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49" w:rsidRDefault="001543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F81149" w:rsidRDefault="001543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общественного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обсуждения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проекта прогноза социально-экономического развития Ленинградской области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на 2027-2029 годы</w:t>
      </w:r>
    </w:p>
    <w:p w:rsidR="00F81149" w:rsidRDefault="00F811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с 28 июля по 7</w:t>
      </w:r>
      <w:r w:rsidR="00FF1AE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августа 2026 года проект прогноза социально-экономического развития Ленинградской области на 2027-2029 годы </w:t>
      </w:r>
      <w:r>
        <w:rPr>
          <w:rFonts w:ascii="Times New Roman" w:hAnsi="Times New Roman"/>
          <w:bCs/>
          <w:sz w:val="24"/>
          <w:szCs w:val="24"/>
        </w:rPr>
        <w:br/>
        <w:t>(далее – проект прогноза) был</w:t>
      </w:r>
      <w:r>
        <w:rPr>
          <w:rFonts w:ascii="Times New Roman" w:hAnsi="Times New Roman"/>
          <w:sz w:val="24"/>
          <w:szCs w:val="24"/>
        </w:rPr>
        <w:t xml:space="preserve"> размещен для общественного обсуждения: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официальном сайте Комитета экономического развития и инвестиционной деятельности Ленинградской области в сети Интернет по адресу: https://econ.lenobl.ru/ru/budget/social/prognozoblasti/prognoz-_lo_2027-2029/obshestvennoe-obsuzhdenie-prognoza-2027-2029/;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сайте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Государственной автоматизированной информационной системы «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Управление»</w:t>
      </w:r>
      <w:r>
        <w:rPr>
          <w:rFonts w:ascii="Times New Roman" w:hAnsi="Times New Roman"/>
          <w:sz w:val="24"/>
          <w:szCs w:val="24"/>
        </w:rPr>
        <w:t xml:space="preserve"> в разделе «Общественное обсуждение проектов» по адресу: http://gasu.gov.ru/stratpassport.</w:t>
      </w:r>
    </w:p>
    <w:p w:rsidR="00F81149" w:rsidRDefault="00F811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Извещения о проведении общественного обсуждения </w:t>
      </w:r>
      <w:r>
        <w:rPr>
          <w:rFonts w:ascii="Times New Roman" w:hAnsi="Times New Roman"/>
          <w:bCs/>
          <w:sz w:val="24"/>
          <w:szCs w:val="24"/>
        </w:rPr>
        <w:t>проекта прогноза были направлены в следующие организации Ленинградской области: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Ленинградская областная торгово-промышленная палата,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Межрегиональное Санкт-Петербурга и Ленинградской области объединение организаций профсоюзов «Ленинградская Федерация Профсоюзов»,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Общественная палата Ленинградской области,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Региональное объединение работодателей «Союз промышленников и предпринимателей Ленинградской области»,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ФГБОУ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 «Санкт-Петербургский государственный экономический университет»,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Санкт-Петербургский филиал ФГАОУ ВПО НИУ «Высшая школа экономики»,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ФГБУН «Институт проблем региональной экономики» Российской академии наук.</w:t>
      </w:r>
    </w:p>
    <w:p w:rsidR="00F81149" w:rsidRDefault="00F811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общественного обсуждения </w:t>
      </w:r>
      <w:r>
        <w:rPr>
          <w:rFonts w:ascii="Times New Roman" w:hAnsi="Times New Roman"/>
          <w:bCs/>
          <w:sz w:val="24"/>
          <w:szCs w:val="24"/>
        </w:rPr>
        <w:t xml:space="preserve">проекта прогноза в Комитет экономического развития и инвестиционной деятельности Ленинградской области поступили </w:t>
      </w:r>
      <w:r>
        <w:rPr>
          <w:rFonts w:ascii="Times New Roman" w:hAnsi="Times New Roman"/>
          <w:sz w:val="24"/>
          <w:szCs w:val="24"/>
        </w:rPr>
        <w:t>отзывы и замечания от ФГБУН «Институт проблем региональной экономики» Российской академии наук» по электронной почте (предложения представлены далее в таблице).</w:t>
      </w:r>
    </w:p>
    <w:p w:rsidR="00F81149" w:rsidRDefault="001543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Через государственную автоматизированную информационную систему «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Управление»</w:t>
      </w:r>
      <w:r>
        <w:rPr>
          <w:rFonts w:ascii="Times New Roman" w:hAnsi="Times New Roman"/>
          <w:sz w:val="24"/>
          <w:szCs w:val="24"/>
        </w:rPr>
        <w:t xml:space="preserve"> отзывов не поступило.</w:t>
      </w:r>
    </w:p>
    <w:p w:rsidR="00F81149" w:rsidRDefault="00F81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81149" w:rsidRDefault="001543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рассмотрения замечаний и предложений, поступивших в рамках общественного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обсуждения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проекта прогноза социально-экономического развития Ленинградской области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на 2027-2029 годы  </w:t>
      </w:r>
    </w:p>
    <w:p w:rsidR="00F81149" w:rsidRDefault="001543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ФГБУН «Институт проблем региональной экономики Российской академии наук» </w:t>
      </w:r>
    </w:p>
    <w:p w:rsidR="00F81149" w:rsidRDefault="001543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(от 07.08.2026 № 14315-01-2115/311, по электронной почте)</w:t>
      </w:r>
    </w:p>
    <w:p w:rsidR="00F81149" w:rsidRDefault="00F811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0186"/>
        <w:gridCol w:w="5174"/>
      </w:tblGrid>
      <w:tr w:rsidR="00F81149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:rsidR="00F81149" w:rsidRDefault="001543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186" w:type="dxa"/>
            <w:shd w:val="clear" w:color="auto" w:fill="auto"/>
            <w:vAlign w:val="center"/>
          </w:tcPr>
          <w:p w:rsidR="00F81149" w:rsidRDefault="00154302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замечания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или предложения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F81149" w:rsidRDefault="001543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рассмотрения 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учтено/частично учтено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 отклонено; указание причины полного или частичного отклонения)</w:t>
            </w:r>
          </w:p>
        </w:tc>
      </w:tr>
      <w:tr w:rsidR="00F81149">
        <w:trPr>
          <w:trHeight w:val="20"/>
        </w:trPr>
        <w:tc>
          <w:tcPr>
            <w:tcW w:w="560" w:type="dxa"/>
            <w:shd w:val="clear" w:color="auto" w:fill="auto"/>
          </w:tcPr>
          <w:p w:rsidR="00F81149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86" w:type="dxa"/>
            <w:shd w:val="clear" w:color="auto" w:fill="auto"/>
          </w:tcPr>
          <w:p w:rsidR="00F81149" w:rsidRDefault="001543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Разработчики прогноза используют двухвариантный прогноз вместо классического трехвариантного прогноза («сценарной вилки»).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 этом в сравнении с трехвариантным прогнозом отсутствует оптимистический сценарий, в прогнозе обозначены только базовый и консервативный сценарии.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Фактически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оптимистический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приравнен разработчиками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базовому. С теоретической точки зрения в рамках ряда научных школ прогнозирования [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1–10</w:t>
            </w:r>
            <w:r>
              <w:rPr>
                <w:rFonts w:ascii="Times New Roman" w:hAnsi="Times New Roman"/>
                <w:sz w:val="24"/>
                <w:szCs w:val="24"/>
              </w:rPr>
              <w:t>] принято считать, что в случае использования двухчастного прогноза следует ориентировать базовый сценарий с сохранением всех текущих тенденций, а альтернативный сценарий ориентировать с учетом изменения параметров внешней среды экономической системы (экзогенными факторами), не только отрицательными, но и положительными.</w:t>
            </w:r>
          </w:p>
        </w:tc>
        <w:tc>
          <w:tcPr>
            <w:tcW w:w="5174" w:type="dxa"/>
            <w:shd w:val="clear" w:color="auto" w:fill="auto"/>
          </w:tcPr>
          <w:p w:rsidR="00F81149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Замечание отклонено. </w:t>
            </w:r>
          </w:p>
          <w:p w:rsidR="00F81149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Вариативность (консервативный и базовый варианты) прогноза социально-экономического развития субъектов Российской Федерации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среднесрочный период установлены в приказе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Минэкономразвития России от 13.03.2019 № 124 (ред. от 10.06.2024) «Об утверждении рекомендуемой формы по основным показателям, представляемым исполнительными органами субъектов Российской Федерации в Минэкономразвития России для разработки прогноза социально-экономического развития Российской Федерации на среднесрочный период, и методических рекомендаций по разработке, корректировке, мониторингу среднесрочных прогнозов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социально-экономического развития субъектов Российской Федерации» (далее – Приказ №124).</w:t>
            </w:r>
          </w:p>
        </w:tc>
      </w:tr>
      <w:tr w:rsidR="00F81149" w:rsidRPr="00502C33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 w:rsidP="00FF1A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Большинство значений варьируются по сценариям и во временном разрезе в пределах диапазона, соответствующего в целом темпам социально-экономического развития области, однако несколько показателей вызывают вопросы: </w:t>
            </w:r>
          </w:p>
          <w:p w:rsidR="00F81149" w:rsidRPr="00502C33" w:rsidRDefault="00154302" w:rsidP="00FF1AE5">
            <w:pPr>
              <w:pStyle w:val="afd"/>
              <w:spacing w:line="240" w:lineRule="auto"/>
              <w:ind w:firstLine="284"/>
              <w:jc w:val="both"/>
              <w:rPr>
                <w:sz w:val="24"/>
                <w:szCs w:val="24"/>
              </w:rPr>
            </w:pPr>
            <w:r w:rsidRPr="00502C33">
              <w:rPr>
                <w:sz w:val="24"/>
                <w:szCs w:val="24"/>
              </w:rPr>
              <w:t xml:space="preserve">А) 12. Производство кожи и изделий из кожи. </w:t>
            </w:r>
            <w:proofErr w:type="gramStart"/>
            <w:r w:rsidRPr="00502C33">
              <w:rPr>
                <w:sz w:val="24"/>
                <w:szCs w:val="24"/>
              </w:rPr>
              <w:t>По этому показателю в 2025 году фактическое превышение относительно предыдущего года составило 365%. В то же время оценка на 2026 год 100% и прогнозное превышение показателя на следующие годы зафиксировано в пределах 2%. Из данных значений следует, что высоких темпов роста по производству кожи и изделий из кожи больше не будет, а достигнутый объем производства будет сохраняться.</w:t>
            </w:r>
            <w:proofErr w:type="gramEnd"/>
            <w:r w:rsidRPr="00502C33">
              <w:rPr>
                <w:sz w:val="24"/>
                <w:szCs w:val="24"/>
              </w:rPr>
              <w:t xml:space="preserve"> Тогда чем обусловлено превышение в 365% в 2025 году относительно 2024 года? </w:t>
            </w:r>
            <w:proofErr w:type="gramStart"/>
            <w:r w:rsidRPr="00502C33">
              <w:rPr>
                <w:sz w:val="24"/>
                <w:szCs w:val="24"/>
              </w:rPr>
              <w:t>Если это был крупный контракт для предприятий Ленинградской области, и он закрыт, тогда в следующие годы должно происходить снижение темпов прироста в %, чего в прогнозе не обозначено.</w:t>
            </w:r>
            <w:proofErr w:type="gramEnd"/>
            <w:r w:rsidRPr="00502C33">
              <w:rPr>
                <w:sz w:val="24"/>
                <w:szCs w:val="24"/>
              </w:rPr>
              <w:t xml:space="preserve"> Иными словами, по материалам прогноза можно сделать вывод о «выходе на плато» по данному виду деятельности, экономические причины чего не до конца ясны. В пояснительной записке дано общее описание без объяснения причин: «Наибольший прирост отмечен в производстве кожи и изделий из кожи (в 3,7 р.)» (стр. 12). Следует обратить особое внимание на экстремальные изменения значений показателей, как в данном случае.   </w:t>
            </w:r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2C33">
              <w:rPr>
                <w:rFonts w:ascii="Times New Roman" w:hAnsi="Times New Roman"/>
                <w:b/>
                <w:sz w:val="24"/>
                <w:szCs w:val="24"/>
              </w:rPr>
              <w:t xml:space="preserve">Замечание отклонено. </w:t>
            </w:r>
          </w:p>
          <w:p w:rsidR="00F81149" w:rsidRPr="00502C33" w:rsidRDefault="00154302">
            <w:pPr>
              <w:tabs>
                <w:tab w:val="left" w:pos="1140"/>
              </w:tabs>
              <w:spacing w:after="0" w:line="240" w:lineRule="auto"/>
              <w:jc w:val="both"/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Доля производства кожи и изделий из кожи в добавленной стоимости  Ленинградской области довольно незначительна, отрасль не входит в число ключевых драйверов экономики региона, в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с чем приводить подробное описание изменения ее динамики в пояснительной записке является нецелесообразным.</w:t>
            </w:r>
          </w:p>
        </w:tc>
      </w:tr>
      <w:tr w:rsidR="00F81149" w:rsidRPr="00502C33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Б) По показателю 39. Ввод в действие жилых домов наблюдается очень большое расхождение между консервативным и базовым сценариями. Например, на 2029 год разрыв составляет 59,6% от значения по консервативному сценарию (2 400,0 против 3 832,0 тыс. кв. м </w:t>
            </w: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>общей площади). Исходя из сопроводительной информации в пояснительной записке (стр. 20) следует, что прогнозные значения по консервативному сценарию значительно ниже, чем плановый показатель объемов ввода жилья, установленный Министерством строительства и жилищно-коммунального хозяйства Российской Федерации и федеральным проектом «Жилье» для Ленинградской области в 2026 году (3 550 тыс. кв. м.). Чем вызвано такое занижение значений по консервативному сценарию? В пояснительной записке ответа нет.</w:t>
            </w:r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Замечание учтено.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Пояснительная информация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о динамике ввода в действие жилых домов в Ленинградской </w:t>
            </w: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>области по консервативному варианту прогноза добавлена в раздел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«Строительство» (стр. 20).</w:t>
            </w:r>
          </w:p>
        </w:tc>
      </w:tr>
      <w:tr w:rsidR="00F81149" w:rsidRPr="00502C33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В) По прогнозным значениям для показателя 52. Инвестиции в основной капитал к ВРП можно указать на следующее: на 2027 год в базовом сценарии значение показателя меньше, чем в консервативном (63,8% против 63,7%), и на первый взгляд, это противоречит логике.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На 2028-2029 годы значение в базовом сценарии логично превышает значение в консервативном.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Это не является фактической ошибкой, так как в консервативном и базовом сценарии рассчитывается разное значение ВРП (1790,4/2805,1; 1826,2/2865,9), однако необходим комментарий-разъяснение в пояснительной записке, почему в базовом сценарии значение оказалось меньше, чем в консервативном, поскольку возникает некоторое недопонимание при ознакомлении с прогнозом.    </w:t>
            </w:r>
            <w:proofErr w:type="gramEnd"/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Замечание отклонено. </w:t>
            </w:r>
          </w:p>
          <w:p w:rsidR="00F81149" w:rsidRPr="00502C33" w:rsidRDefault="00154302">
            <w:pPr>
              <w:spacing w:after="0" w:line="240" w:lineRule="auto"/>
              <w:jc w:val="both"/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В консервативном и базовом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сценариях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используются разные значения ВРП, что напрямую влияет на итоговые проценты инвестиций к ВРП.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При консервативном сценарии ВРП составляет 2805,1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руб., а при базовом - 2865,9 млрд руб. на 2027 год. Соответственно, даже при меньшем процентном показателе в базовом сценарии абсолютный объем инвестиций  выше.</w:t>
            </w:r>
          </w:p>
        </w:tc>
      </w:tr>
      <w:tr w:rsidR="00F81149" w:rsidRPr="00502C33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Г) Зафиксировано некое противоречие между прогнозными значениями по показателю 2. Индекс физического объема валового регионального продукта,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указанными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в таблице 1 и пояснительной записке к ней. В таблице 1 по консервативному сценарию в 2027 году – 100,5% к предыдущему году; в 2028 – 101,4%, в 2029 – 101%. На странице 14 пояснительной записки сказано следующее: «В результате в соответствии с базовым вариантом прогноза ВРП в 2029 году составит 3 265,4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руб. (прирост на 5,6% к уровню 2026 года в сопоставимых ценах), по консервативному варианту – 3 107,2 млрд руб. (на 1,0% к 2026 году)». Таким образом, невозможно изменение в консервативном сценарии на 1% к предыдущему году. Еще ранее, на этой же странице (14) 1% для консервативного сценария обозначался в качестве среднегодового прироста. Значение в скобках должно быть исправлено на: «по консервативному варианту – 3 107,2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руб. (на 2,9% к 2026 году)».       </w:t>
            </w:r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Замечание учтено.</w:t>
            </w:r>
          </w:p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Информация на стр. 14 скорректирована.  </w:t>
            </w:r>
          </w:p>
        </w:tc>
      </w:tr>
      <w:tr w:rsidR="00F81149" w:rsidRPr="00502C33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ind w:firstLine="284"/>
              <w:jc w:val="both"/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Д) В ряде случаев прогнозные значения между консервативным и базовым сценарием не различаются для отдельных годов – 9. Производство табачных изделий (идентичность всех значений на 2027-2029 годы); 13. Обработка древесины и производство изделий из дерева и пробки, кроме мебели, производство изделий из соломки и материалов для плетения (104% в базовом и консервативном сценарии на 2027 год). 14. Производство бумаги и бумажных изделий (104% в базовом и консервативном сценарии на 2027 год); 16. Производство кокса и </w:t>
            </w: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нефтепродуктов (100 % в базовом и консервативном сценарии на 2027 и 2028 годы); 19. Производство резиновых и пластмассовых изделий (102% в базовом и консервативном сценарии на 2028 год); 22. Производство готовых металлических изделий, кроме машин и оборудования (100% в базовом и консервативном сценарии на 2027 год, 102,2% на 2029 год);  28. Производство мебели (104% в базовом и консервативном сценарии на 2027 год, 103,9% на 2028 год); 37. Объем работ, выполненных по виду деятельности "Строительство" (746,5 </w:t>
            </w:r>
            <w:proofErr w:type="gramStart"/>
            <w:r w:rsidRPr="00502C33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руб. в базовом и консервативном сценарии на 2028 год); 40. Плотность автомобильных дорог общего пользования с твердым покрытием (на конец года) (идентичность всех значений на 2027-2029 годы); 41. Индекс потребительских цен на конец года (104% в базовом и консервативном сценарии на 2028 и 2029 годы); 42. Индекс потребительских цен в среднем за год (104% в базовом и консервативном сценарии на 2029 год). 54. Прожиточный минимум в среднем на душу населения (в среднем за год) (идентичность всех значений на 2027-2029 годы). 64. Уровень зарегистрированной безработицы (на конец года) (идентичность всех значений на 2027-2029 годы). </w:t>
            </w:r>
          </w:p>
          <w:p w:rsidR="00F81149" w:rsidRPr="00502C33" w:rsidRDefault="001543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>Совпадение прогнозных значений в разных сценариях возможно в исключительных случаях, требующих дополнительного пояснения. При наличии большого числа идентичных прогнозных значений в разных сценариях нивелируется смысловое значение сценарной градации. Исходя из этого соображения, следует уточнить прогнозные значения для указанных показателей по одному или обоим сценариям. В случае совпадений следует дать четкое обоснование каждого случая (например, жесткая регламентация со стороны федеральных органов власти, плановые показатели, не зависящие от внешних условий и др.).</w:t>
            </w:r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Замечание отклонено. 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t xml:space="preserve"> Совпадение показателей в отдельных случаях является допустимым и объясняется спецификой отраслей и механизмов их регулирования, при этом отдельные параметры  заданы </w:t>
            </w:r>
            <w:proofErr w:type="spellStart"/>
            <w:r w:rsidRPr="00502C33">
              <w:rPr>
                <w:rFonts w:ascii="Times New Roman" w:hAnsi="Times New Roman"/>
                <w:sz w:val="24"/>
                <w:szCs w:val="24"/>
              </w:rPr>
              <w:t>экзогенно</w:t>
            </w:r>
            <w:proofErr w:type="spellEnd"/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и не зависят от различий в </w:t>
            </w: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сценариях. Пример:  54. Прожиточный минимум в среднем на душу населения (в среднем за год), аналогично и по РФ </w:t>
            </w:r>
            <w:hyperlink r:id="rId9" w:tooltip="https://www.economy.gov.ru/material/directions/makroec/prognozy_socialno_ekonomicheskogo_razvitiya/scenarnye_usloviya_funkcionirovaniya_ekonomiki_rf_osnovnye_parametry_prognoza_socialno_ekonomicheskogo_razvitiya_rf_na_2027_god_i_na_planovyy_period_2028_i_2029." w:history="1">
              <w:r w:rsidRPr="00502C33">
                <w:rPr>
                  <w:rStyle w:val="afc"/>
                  <w:rFonts w:ascii="Times New Roman" w:hAnsi="Times New Roman"/>
                  <w:sz w:val="24"/>
                  <w:szCs w:val="24"/>
                </w:rPr>
                <w:t>https://www.economy.gov.ru/material/directions/makroec/prognozy_socialno_ekonomicheskogo_razvitiya/scenarnye_usloviya_funkcionirovaniya_ekonomiki_rf_osnovnye_parametry_prognoza_socialno_ekonomicheskogo_razvitiya_rf_na_2027_god_i_na_planovyy_period_2028_i_2029.html</w:t>
              </w:r>
            </w:hyperlink>
            <w:r w:rsidRPr="00502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81149">
        <w:trPr>
          <w:trHeight w:val="20"/>
        </w:trPr>
        <w:tc>
          <w:tcPr>
            <w:tcW w:w="560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86" w:type="dxa"/>
            <w:shd w:val="clear" w:color="auto" w:fill="auto"/>
          </w:tcPr>
          <w:p w:rsidR="00F81149" w:rsidRPr="00502C33" w:rsidRDefault="00154302">
            <w:pPr>
              <w:pStyle w:val="afd"/>
              <w:spacing w:line="240" w:lineRule="auto"/>
              <w:ind w:firstLine="284"/>
              <w:jc w:val="both"/>
              <w:rPr>
                <w:rFonts w:eastAsia="Times New Roman"/>
                <w:sz w:val="24"/>
                <w:szCs w:val="24"/>
              </w:rPr>
            </w:pPr>
            <w:r w:rsidRPr="00502C33">
              <w:rPr>
                <w:rFonts w:eastAsia="Times New Roman"/>
                <w:sz w:val="24"/>
                <w:szCs w:val="24"/>
              </w:rPr>
              <w:t>Актуальным остается проведение предметного анализа соответствия пакета показателей Прогноза Стратегии социально-экономического развития Ленинградской области до 2036 года (см. Подробнее [11–12]) федеральным требованиям, изложенным в</w:t>
            </w:r>
            <w:proofErr w:type="gramStart"/>
            <w:r w:rsidRPr="00502C33">
              <w:rPr>
                <w:rFonts w:eastAsia="Times New Roman"/>
                <w:sz w:val="24"/>
                <w:szCs w:val="24"/>
              </w:rPr>
              <w:t xml:space="preserve"> С</w:t>
            </w:r>
            <w:proofErr w:type="gramEnd"/>
            <w:r w:rsidRPr="00502C33">
              <w:rPr>
                <w:rFonts w:eastAsia="Times New Roman"/>
                <w:sz w:val="24"/>
                <w:szCs w:val="24"/>
              </w:rPr>
              <w:t xml:space="preserve">т. 33 № 172-ФЗ «О стратегическом планировании в Российской Федерации». Особое внимание следует уделить пункту 4 статьи 33. Обращаем внимание на подпункт 2 пункта 4 статьи 33: «определение вариантов внутренних условий и характеристик социально-экономического развития субъекта Российской Федерации на долгосрочный период, включая основные показатели демографического и научно-технологического развития, состояния окружающей среды и природных ресурсов». В текущем варианте Прогноза, насчитывающем 64 показателя, практически отсутствуют показатели, связанные с экологической ситуацией в Ленинградской области и научно-технологическим развитием. </w:t>
            </w:r>
            <w:r w:rsidRPr="00502C33">
              <w:rPr>
                <w:sz w:val="24"/>
                <w:szCs w:val="24"/>
              </w:rPr>
              <w:t xml:space="preserve">Следует отметить, что Прогноз и пояснительная записка к Прогнозу практически не содержат информации о современных тенденциях социально-экономического развития, связанных с переходом на новый технологический уклад, </w:t>
            </w:r>
            <w:r w:rsidRPr="00502C33">
              <w:rPr>
                <w:sz w:val="24"/>
                <w:szCs w:val="24"/>
              </w:rPr>
              <w:lastRenderedPageBreak/>
              <w:t>формированием экономики знаний, цифровой экономики, развитием креативного сектора. С этой точки зрения, в Пояснительную записку прогноза необходимо включить соответствующий подраздел или несколько подразделов с описанием развития в Ленинградской области новых секторов эконом</w:t>
            </w:r>
            <w:bookmarkStart w:id="0" w:name="_GoBack"/>
            <w:bookmarkEnd w:id="0"/>
            <w:r w:rsidRPr="00502C33">
              <w:rPr>
                <w:sz w:val="24"/>
                <w:szCs w:val="24"/>
              </w:rPr>
              <w:t xml:space="preserve">ики, а также несколько тематических показателей ...и далее по тексту </w:t>
            </w:r>
          </w:p>
        </w:tc>
        <w:tc>
          <w:tcPr>
            <w:tcW w:w="5174" w:type="dxa"/>
            <w:shd w:val="clear" w:color="auto" w:fill="auto"/>
          </w:tcPr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2C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Замечание отклонено.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02C33">
              <w:rPr>
                <w:rFonts w:ascii="Times New Roman" w:hAnsi="Times New Roman"/>
                <w:sz w:val="24"/>
                <w:szCs w:val="24"/>
              </w:rPr>
              <w:t xml:space="preserve">Ст. 33 определяет требования к разработке прогноза на </w:t>
            </w:r>
            <w:r w:rsidRPr="00502C33">
              <w:rPr>
                <w:rFonts w:ascii="Times New Roman" w:hAnsi="Times New Roman"/>
                <w:sz w:val="24"/>
                <w:szCs w:val="24"/>
                <w:u w:val="single"/>
              </w:rPr>
              <w:t>долгосрочный</w:t>
            </w:r>
            <w:r w:rsidRPr="00502C33">
              <w:rPr>
                <w:rFonts w:ascii="Times New Roman" w:hAnsi="Times New Roman"/>
                <w:sz w:val="24"/>
                <w:szCs w:val="24"/>
              </w:rPr>
              <w:t xml:space="preserve"> период. Прогноз Ленинградской области, представленный на общественное обсуждение, разработан на три последующих года и является прогнозом на среднесрочный период (ст. 35).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Структура</w:t>
            </w: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среднесрочного прогноза региона соответствует структуре сценарных условий развития Российской Федерации и набору показателей, установленных Приказом № 124. Представленный прогноз разработан в строгом соответствии с методическими </w:t>
            </w: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рекомендациями Минэкономразвития России и порядком разработки и корректировки прогнозов социально-экономического развития Ленинградской области. 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Включение дополнительных показателей, не предусмотренных методикой, может привести к избыточной информационной нагрузке на документ. </w:t>
            </w:r>
          </w:p>
          <w:p w:rsidR="00F81149" w:rsidRPr="00502C33" w:rsidRDefault="001543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Информация по показателям сфер «Экология», «Образование», «Здравоохранение,  научно-технологическому развитию отражена в других документах стратегического планирования региона. </w:t>
            </w:r>
          </w:p>
          <w:p w:rsidR="00F81149" w:rsidRDefault="00154302" w:rsidP="00FF1A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Таким образом, структура прогноза полностью соответствует установленным </w:t>
            </w:r>
            <w:r w:rsidR="00FF1AE5"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>шаблонам</w:t>
            </w: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не </w:t>
            </w:r>
            <w:r w:rsidR="00FF1AE5"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>требует</w:t>
            </w: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корректировк</w:t>
            </w:r>
            <w:r w:rsidR="00FF1AE5"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указанным основаниям</w:t>
            </w:r>
            <w:r w:rsidR="00FF1AE5" w:rsidRPr="00502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81149" w:rsidRDefault="00F81149">
      <w:pPr>
        <w:rPr>
          <w:rFonts w:ascii="Times New Roman" w:hAnsi="Times New Roman"/>
          <w:sz w:val="24"/>
          <w:szCs w:val="24"/>
        </w:rPr>
      </w:pPr>
    </w:p>
    <w:sectPr w:rsidR="00F81149">
      <w:headerReference w:type="default" r:id="rId10"/>
      <w:pgSz w:w="16838" w:h="11906" w:orient="landscape"/>
      <w:pgMar w:top="851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02" w:rsidRDefault="00154302">
      <w:pPr>
        <w:spacing w:after="0" w:line="240" w:lineRule="auto"/>
      </w:pPr>
      <w:r>
        <w:separator/>
      </w:r>
    </w:p>
  </w:endnote>
  <w:endnote w:type="continuationSeparator" w:id="0">
    <w:p w:rsidR="00154302" w:rsidRDefault="0015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02" w:rsidRDefault="00154302">
      <w:pPr>
        <w:spacing w:after="0" w:line="240" w:lineRule="auto"/>
      </w:pPr>
      <w:r>
        <w:separator/>
      </w:r>
    </w:p>
  </w:footnote>
  <w:footnote w:type="continuationSeparator" w:id="0">
    <w:p w:rsidR="00154302" w:rsidRDefault="0015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149" w:rsidRDefault="00154302">
    <w:pPr>
      <w:pStyle w:val="af7"/>
      <w:spacing w:after="0" w:line="240" w:lineRule="aut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PAGE   \* MERGEFORMAT</w:instrText>
    </w:r>
    <w:r>
      <w:rPr>
        <w:rFonts w:ascii="Times New Roman" w:hAnsi="Times New Roman"/>
        <w:sz w:val="20"/>
        <w:szCs w:val="20"/>
      </w:rPr>
      <w:fldChar w:fldCharType="separate"/>
    </w:r>
    <w:r w:rsidR="00502C33">
      <w:rPr>
        <w:rFonts w:ascii="Times New Roman" w:hAnsi="Times New Roman"/>
        <w:noProof/>
        <w:sz w:val="20"/>
        <w:szCs w:val="20"/>
      </w:rPr>
      <w:t>5</w:t>
    </w:r>
    <w:r>
      <w:rPr>
        <w:rFonts w:ascii="Times New Roman" w:hAnsi="Times New Roman"/>
        <w:sz w:val="20"/>
        <w:szCs w:val="20"/>
      </w:rPr>
      <w:fldChar w:fldCharType="end"/>
    </w:r>
  </w:p>
  <w:p w:rsidR="00F81149" w:rsidRDefault="00F81149">
    <w:pPr>
      <w:pStyle w:val="af7"/>
      <w:spacing w:after="0" w:line="240" w:lineRule="aut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3AEB"/>
    <w:multiLevelType w:val="hybridMultilevel"/>
    <w:tmpl w:val="33D6EDBC"/>
    <w:lvl w:ilvl="0" w:tplc="CAF47484">
      <w:start w:val="1"/>
      <w:numFmt w:val="decimal"/>
      <w:suff w:val="space"/>
      <w:lvlText w:val="%1."/>
      <w:lvlJc w:val="left"/>
    </w:lvl>
    <w:lvl w:ilvl="1" w:tplc="4656C9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5450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0AF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0857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CAD9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CA4E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64ED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2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C3C068A"/>
    <w:multiLevelType w:val="hybridMultilevel"/>
    <w:tmpl w:val="055AAEFC"/>
    <w:lvl w:ilvl="0" w:tplc="73C6F7E8">
      <w:start w:val="1"/>
      <w:numFmt w:val="decimal"/>
      <w:suff w:val="space"/>
      <w:lvlText w:val="%1."/>
      <w:lvlJc w:val="left"/>
    </w:lvl>
    <w:lvl w:ilvl="1" w:tplc="0BA061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CC82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6CD8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446C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48DE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02D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5A50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34A1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22F6588"/>
    <w:multiLevelType w:val="hybridMultilevel"/>
    <w:tmpl w:val="C8F61638"/>
    <w:lvl w:ilvl="0" w:tplc="B17A2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DBE4F82">
      <w:start w:val="1"/>
      <w:numFmt w:val="lowerLetter"/>
      <w:lvlText w:val="%2."/>
      <w:lvlJc w:val="left"/>
      <w:pPr>
        <w:ind w:left="1647" w:hanging="360"/>
      </w:pPr>
    </w:lvl>
    <w:lvl w:ilvl="2" w:tplc="9BE05824">
      <w:start w:val="1"/>
      <w:numFmt w:val="lowerRoman"/>
      <w:lvlText w:val="%3."/>
      <w:lvlJc w:val="right"/>
      <w:pPr>
        <w:ind w:left="2367" w:hanging="180"/>
      </w:pPr>
    </w:lvl>
    <w:lvl w:ilvl="3" w:tplc="BE0ECAC2">
      <w:start w:val="1"/>
      <w:numFmt w:val="decimal"/>
      <w:lvlText w:val="%4."/>
      <w:lvlJc w:val="left"/>
      <w:pPr>
        <w:ind w:left="3087" w:hanging="360"/>
      </w:pPr>
    </w:lvl>
    <w:lvl w:ilvl="4" w:tplc="2D6E47BA">
      <w:start w:val="1"/>
      <w:numFmt w:val="lowerLetter"/>
      <w:lvlText w:val="%5."/>
      <w:lvlJc w:val="left"/>
      <w:pPr>
        <w:ind w:left="3807" w:hanging="360"/>
      </w:pPr>
    </w:lvl>
    <w:lvl w:ilvl="5" w:tplc="F7E22484">
      <w:start w:val="1"/>
      <w:numFmt w:val="lowerRoman"/>
      <w:lvlText w:val="%6."/>
      <w:lvlJc w:val="right"/>
      <w:pPr>
        <w:ind w:left="4527" w:hanging="180"/>
      </w:pPr>
    </w:lvl>
    <w:lvl w:ilvl="6" w:tplc="2620EFCA">
      <w:start w:val="1"/>
      <w:numFmt w:val="decimal"/>
      <w:lvlText w:val="%7."/>
      <w:lvlJc w:val="left"/>
      <w:pPr>
        <w:ind w:left="5247" w:hanging="360"/>
      </w:pPr>
    </w:lvl>
    <w:lvl w:ilvl="7" w:tplc="D94CEBC8">
      <w:start w:val="1"/>
      <w:numFmt w:val="lowerLetter"/>
      <w:lvlText w:val="%8."/>
      <w:lvlJc w:val="left"/>
      <w:pPr>
        <w:ind w:left="5967" w:hanging="360"/>
      </w:pPr>
    </w:lvl>
    <w:lvl w:ilvl="8" w:tplc="DF7079F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CF7D2B"/>
    <w:multiLevelType w:val="hybridMultilevel"/>
    <w:tmpl w:val="472E31A2"/>
    <w:lvl w:ilvl="0" w:tplc="936E733A">
      <w:start w:val="1"/>
      <w:numFmt w:val="decimal"/>
      <w:lvlText w:val="%1."/>
      <w:lvlJc w:val="left"/>
      <w:pPr>
        <w:ind w:left="502" w:hanging="360"/>
      </w:pPr>
    </w:lvl>
    <w:lvl w:ilvl="1" w:tplc="0C0A3B1A">
      <w:start w:val="1"/>
      <w:numFmt w:val="lowerLetter"/>
      <w:lvlText w:val="%2."/>
      <w:lvlJc w:val="left"/>
      <w:pPr>
        <w:ind w:left="1080" w:hanging="360"/>
      </w:pPr>
    </w:lvl>
    <w:lvl w:ilvl="2" w:tplc="E8665590">
      <w:start w:val="1"/>
      <w:numFmt w:val="lowerRoman"/>
      <w:lvlText w:val="%3."/>
      <w:lvlJc w:val="right"/>
      <w:pPr>
        <w:ind w:left="1800" w:hanging="180"/>
      </w:pPr>
    </w:lvl>
    <w:lvl w:ilvl="3" w:tplc="03D67FF0">
      <w:start w:val="1"/>
      <w:numFmt w:val="decimal"/>
      <w:lvlText w:val="%4."/>
      <w:lvlJc w:val="left"/>
      <w:pPr>
        <w:ind w:left="2520" w:hanging="360"/>
      </w:pPr>
    </w:lvl>
    <w:lvl w:ilvl="4" w:tplc="8DEAE2B6">
      <w:start w:val="1"/>
      <w:numFmt w:val="lowerLetter"/>
      <w:lvlText w:val="%5."/>
      <w:lvlJc w:val="left"/>
      <w:pPr>
        <w:ind w:left="3240" w:hanging="360"/>
      </w:pPr>
    </w:lvl>
    <w:lvl w:ilvl="5" w:tplc="FC84EBD6">
      <w:start w:val="1"/>
      <w:numFmt w:val="lowerRoman"/>
      <w:lvlText w:val="%6."/>
      <w:lvlJc w:val="right"/>
      <w:pPr>
        <w:ind w:left="3960" w:hanging="180"/>
      </w:pPr>
    </w:lvl>
    <w:lvl w:ilvl="6" w:tplc="2202190E">
      <w:start w:val="1"/>
      <w:numFmt w:val="decimal"/>
      <w:lvlText w:val="%7."/>
      <w:lvlJc w:val="left"/>
      <w:pPr>
        <w:ind w:left="4680" w:hanging="360"/>
      </w:pPr>
    </w:lvl>
    <w:lvl w:ilvl="7" w:tplc="AC769D80">
      <w:start w:val="1"/>
      <w:numFmt w:val="lowerLetter"/>
      <w:lvlText w:val="%8."/>
      <w:lvlJc w:val="left"/>
      <w:pPr>
        <w:ind w:left="5400" w:hanging="360"/>
      </w:pPr>
    </w:lvl>
    <w:lvl w:ilvl="8" w:tplc="C928765A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2419E8"/>
    <w:multiLevelType w:val="hybridMultilevel"/>
    <w:tmpl w:val="2AA2057E"/>
    <w:lvl w:ilvl="0" w:tplc="203AD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B86F2C0">
      <w:start w:val="1"/>
      <w:numFmt w:val="lowerLetter"/>
      <w:lvlText w:val="%2."/>
      <w:lvlJc w:val="left"/>
      <w:pPr>
        <w:ind w:left="1789" w:hanging="360"/>
      </w:pPr>
    </w:lvl>
    <w:lvl w:ilvl="2" w:tplc="3B06BC0A">
      <w:start w:val="1"/>
      <w:numFmt w:val="lowerRoman"/>
      <w:lvlText w:val="%3."/>
      <w:lvlJc w:val="right"/>
      <w:pPr>
        <w:ind w:left="2509" w:hanging="180"/>
      </w:pPr>
    </w:lvl>
    <w:lvl w:ilvl="3" w:tplc="72247062">
      <w:start w:val="1"/>
      <w:numFmt w:val="decimal"/>
      <w:lvlText w:val="%4."/>
      <w:lvlJc w:val="left"/>
      <w:pPr>
        <w:ind w:left="3229" w:hanging="360"/>
      </w:pPr>
    </w:lvl>
    <w:lvl w:ilvl="4" w:tplc="B8A67246">
      <w:start w:val="1"/>
      <w:numFmt w:val="lowerLetter"/>
      <w:lvlText w:val="%5."/>
      <w:lvlJc w:val="left"/>
      <w:pPr>
        <w:ind w:left="3949" w:hanging="360"/>
      </w:pPr>
    </w:lvl>
    <w:lvl w:ilvl="5" w:tplc="62246E4A">
      <w:start w:val="1"/>
      <w:numFmt w:val="lowerRoman"/>
      <w:lvlText w:val="%6."/>
      <w:lvlJc w:val="right"/>
      <w:pPr>
        <w:ind w:left="4669" w:hanging="180"/>
      </w:pPr>
    </w:lvl>
    <w:lvl w:ilvl="6" w:tplc="90A233C6">
      <w:start w:val="1"/>
      <w:numFmt w:val="decimal"/>
      <w:lvlText w:val="%7."/>
      <w:lvlJc w:val="left"/>
      <w:pPr>
        <w:ind w:left="5389" w:hanging="360"/>
      </w:pPr>
    </w:lvl>
    <w:lvl w:ilvl="7" w:tplc="A322BD90">
      <w:start w:val="1"/>
      <w:numFmt w:val="lowerLetter"/>
      <w:lvlText w:val="%8."/>
      <w:lvlJc w:val="left"/>
      <w:pPr>
        <w:ind w:left="6109" w:hanging="360"/>
      </w:pPr>
    </w:lvl>
    <w:lvl w:ilvl="8" w:tplc="C0027F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797979"/>
    <w:multiLevelType w:val="hybridMultilevel"/>
    <w:tmpl w:val="E6CC9D74"/>
    <w:lvl w:ilvl="0" w:tplc="08B8F8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73412B0">
      <w:start w:val="1"/>
      <w:numFmt w:val="lowerLetter"/>
      <w:lvlText w:val="%2."/>
      <w:lvlJc w:val="left"/>
      <w:pPr>
        <w:ind w:left="1647" w:hanging="360"/>
      </w:pPr>
    </w:lvl>
    <w:lvl w:ilvl="2" w:tplc="69BA884E">
      <w:start w:val="1"/>
      <w:numFmt w:val="lowerRoman"/>
      <w:lvlText w:val="%3."/>
      <w:lvlJc w:val="right"/>
      <w:pPr>
        <w:ind w:left="2367" w:hanging="180"/>
      </w:pPr>
    </w:lvl>
    <w:lvl w:ilvl="3" w:tplc="80941EE4">
      <w:start w:val="1"/>
      <w:numFmt w:val="decimal"/>
      <w:lvlText w:val="%4."/>
      <w:lvlJc w:val="left"/>
      <w:pPr>
        <w:ind w:left="3087" w:hanging="360"/>
      </w:pPr>
    </w:lvl>
    <w:lvl w:ilvl="4" w:tplc="9180749E">
      <w:start w:val="1"/>
      <w:numFmt w:val="lowerLetter"/>
      <w:lvlText w:val="%5."/>
      <w:lvlJc w:val="left"/>
      <w:pPr>
        <w:ind w:left="3807" w:hanging="360"/>
      </w:pPr>
    </w:lvl>
    <w:lvl w:ilvl="5" w:tplc="383A5282">
      <w:start w:val="1"/>
      <w:numFmt w:val="lowerRoman"/>
      <w:lvlText w:val="%6."/>
      <w:lvlJc w:val="right"/>
      <w:pPr>
        <w:ind w:left="4527" w:hanging="180"/>
      </w:pPr>
    </w:lvl>
    <w:lvl w:ilvl="6" w:tplc="B666F8DE">
      <w:start w:val="1"/>
      <w:numFmt w:val="decimal"/>
      <w:lvlText w:val="%7."/>
      <w:lvlJc w:val="left"/>
      <w:pPr>
        <w:ind w:left="5247" w:hanging="360"/>
      </w:pPr>
    </w:lvl>
    <w:lvl w:ilvl="7" w:tplc="132E3C7A">
      <w:start w:val="1"/>
      <w:numFmt w:val="lowerLetter"/>
      <w:lvlText w:val="%8."/>
      <w:lvlJc w:val="left"/>
      <w:pPr>
        <w:ind w:left="5967" w:hanging="360"/>
      </w:pPr>
    </w:lvl>
    <w:lvl w:ilvl="8" w:tplc="86641B1E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E7288E"/>
    <w:multiLevelType w:val="multilevel"/>
    <w:tmpl w:val="BEE267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7">
    <w:nsid w:val="64BD0445"/>
    <w:multiLevelType w:val="multilevel"/>
    <w:tmpl w:val="B21EA9D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8">
    <w:nsid w:val="75C426D5"/>
    <w:multiLevelType w:val="hybridMultilevel"/>
    <w:tmpl w:val="D466DDAA"/>
    <w:lvl w:ilvl="0" w:tplc="8728700A">
      <w:start w:val="1"/>
      <w:numFmt w:val="decimal"/>
      <w:lvlText w:val="%1."/>
      <w:lvlJc w:val="left"/>
      <w:pPr>
        <w:ind w:left="720" w:hanging="360"/>
      </w:pPr>
    </w:lvl>
    <w:lvl w:ilvl="1" w:tplc="C546C6AE">
      <w:start w:val="1"/>
      <w:numFmt w:val="lowerLetter"/>
      <w:lvlText w:val="%2."/>
      <w:lvlJc w:val="left"/>
      <w:pPr>
        <w:ind w:left="1440" w:hanging="360"/>
      </w:pPr>
    </w:lvl>
    <w:lvl w:ilvl="2" w:tplc="B31473CE">
      <w:start w:val="1"/>
      <w:numFmt w:val="lowerRoman"/>
      <w:lvlText w:val="%3."/>
      <w:lvlJc w:val="right"/>
      <w:pPr>
        <w:ind w:left="2160" w:hanging="180"/>
      </w:pPr>
    </w:lvl>
    <w:lvl w:ilvl="3" w:tplc="2A6A68C6">
      <w:start w:val="1"/>
      <w:numFmt w:val="decimal"/>
      <w:lvlText w:val="%4."/>
      <w:lvlJc w:val="left"/>
      <w:pPr>
        <w:ind w:left="2880" w:hanging="360"/>
      </w:pPr>
    </w:lvl>
    <w:lvl w:ilvl="4" w:tplc="0D782F76">
      <w:start w:val="1"/>
      <w:numFmt w:val="lowerLetter"/>
      <w:lvlText w:val="%5."/>
      <w:lvlJc w:val="left"/>
      <w:pPr>
        <w:ind w:left="3600" w:hanging="360"/>
      </w:pPr>
    </w:lvl>
    <w:lvl w:ilvl="5" w:tplc="42926F06">
      <w:start w:val="1"/>
      <w:numFmt w:val="lowerRoman"/>
      <w:lvlText w:val="%6."/>
      <w:lvlJc w:val="right"/>
      <w:pPr>
        <w:ind w:left="4320" w:hanging="180"/>
      </w:pPr>
    </w:lvl>
    <w:lvl w:ilvl="6" w:tplc="C366D766">
      <w:start w:val="1"/>
      <w:numFmt w:val="decimal"/>
      <w:lvlText w:val="%7."/>
      <w:lvlJc w:val="left"/>
      <w:pPr>
        <w:ind w:left="5040" w:hanging="360"/>
      </w:pPr>
    </w:lvl>
    <w:lvl w:ilvl="7" w:tplc="236406FA">
      <w:start w:val="1"/>
      <w:numFmt w:val="lowerLetter"/>
      <w:lvlText w:val="%8."/>
      <w:lvlJc w:val="left"/>
      <w:pPr>
        <w:ind w:left="5760" w:hanging="360"/>
      </w:pPr>
    </w:lvl>
    <w:lvl w:ilvl="8" w:tplc="13B2D3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49"/>
    <w:rsid w:val="00154302"/>
    <w:rsid w:val="00502C33"/>
    <w:rsid w:val="00F81149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Strong"/>
    <w:uiPriority w:val="22"/>
    <w:qFormat/>
    <w:rPr>
      <w:b/>
      <w:bCs/>
    </w:rPr>
  </w:style>
  <w:style w:type="table" w:styleId="a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Pr>
      <w:rFonts w:ascii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Pr>
      <w:sz w:val="22"/>
      <w:szCs w:val="22"/>
      <w:lang w:eastAsia="en-US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sz w:val="22"/>
      <w:szCs w:val="22"/>
      <w:lang w:eastAsia="en-US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c">
    <w:name w:val="Hyperlink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12">
    <w:name w:val="Основной текст Знак1"/>
    <w:basedOn w:val="a0"/>
    <w:link w:val="afd"/>
    <w:uiPriority w:val="99"/>
    <w:rPr>
      <w:rFonts w:ascii="Times New Roman" w:hAnsi="Times New Roman"/>
      <w:sz w:val="26"/>
      <w:szCs w:val="26"/>
    </w:rPr>
  </w:style>
  <w:style w:type="paragraph" w:styleId="afd">
    <w:name w:val="Body Text"/>
    <w:basedOn w:val="a"/>
    <w:link w:val="12"/>
    <w:uiPriority w:val="99"/>
    <w:pPr>
      <w:spacing w:after="0" w:line="324" w:lineRule="auto"/>
      <w:ind w:firstLine="400"/>
    </w:pPr>
    <w:rPr>
      <w:rFonts w:ascii="Times New Roman" w:hAnsi="Times New Roman"/>
      <w:sz w:val="26"/>
      <w:szCs w:val="26"/>
      <w:lang w:eastAsia="ru-RU"/>
    </w:rPr>
  </w:style>
  <w:style w:type="character" w:customStyle="1" w:styleId="afe">
    <w:name w:val="Основной текст Знак"/>
    <w:basedOn w:val="a0"/>
    <w:uiPriority w:val="99"/>
    <w:semiHidden/>
    <w:rPr>
      <w:sz w:val="22"/>
      <w:szCs w:val="22"/>
      <w:lang w:eastAsia="en-US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hAnsi="Times New Roman"/>
      <w:b/>
      <w:bCs/>
      <w:sz w:val="17"/>
      <w:szCs w:val="17"/>
    </w:rPr>
  </w:style>
  <w:style w:type="paragraph" w:customStyle="1" w:styleId="43">
    <w:name w:val="Основной текст (4)"/>
    <w:basedOn w:val="a"/>
    <w:link w:val="42"/>
    <w:uiPriority w:val="99"/>
    <w:pPr>
      <w:spacing w:after="0" w:line="240" w:lineRule="auto"/>
    </w:pPr>
    <w:rPr>
      <w:rFonts w:ascii="Times New Roman" w:hAnsi="Times New Roman"/>
      <w:b/>
      <w:bCs/>
      <w:sz w:val="17"/>
      <w:szCs w:val="17"/>
      <w:lang w:eastAsia="ru-RU"/>
    </w:rPr>
  </w:style>
  <w:style w:type="character" w:customStyle="1" w:styleId="52">
    <w:name w:val="Основной текст (5)_"/>
    <w:basedOn w:val="a0"/>
    <w:link w:val="53"/>
    <w:uiPriority w:val="99"/>
    <w:rPr>
      <w:rFonts w:ascii="Times New Roman" w:hAnsi="Times New Roman"/>
      <w:sz w:val="22"/>
      <w:szCs w:val="22"/>
    </w:rPr>
  </w:style>
  <w:style w:type="paragraph" w:customStyle="1" w:styleId="53">
    <w:name w:val="Основной текст (5)"/>
    <w:basedOn w:val="a"/>
    <w:link w:val="52"/>
    <w:uiPriority w:val="99"/>
    <w:pPr>
      <w:spacing w:after="0" w:line="382" w:lineRule="auto"/>
    </w:pPr>
    <w:rPr>
      <w:rFonts w:ascii="Times New Roman" w:hAnsi="Times New Roman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lang w:eastAsia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styleId="af4">
    <w:name w:val="Strong"/>
    <w:uiPriority w:val="22"/>
    <w:qFormat/>
    <w:rPr>
      <w:b/>
      <w:bCs/>
    </w:rPr>
  </w:style>
  <w:style w:type="table" w:styleId="a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Pr>
      <w:rFonts w:ascii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Pr>
      <w:sz w:val="22"/>
      <w:szCs w:val="22"/>
      <w:lang w:eastAsia="en-US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sz w:val="22"/>
      <w:szCs w:val="22"/>
      <w:lang w:eastAsia="en-US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c">
    <w:name w:val="Hyperlink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12">
    <w:name w:val="Основной текст Знак1"/>
    <w:basedOn w:val="a0"/>
    <w:link w:val="afd"/>
    <w:uiPriority w:val="99"/>
    <w:rPr>
      <w:rFonts w:ascii="Times New Roman" w:hAnsi="Times New Roman"/>
      <w:sz w:val="26"/>
      <w:szCs w:val="26"/>
    </w:rPr>
  </w:style>
  <w:style w:type="paragraph" w:styleId="afd">
    <w:name w:val="Body Text"/>
    <w:basedOn w:val="a"/>
    <w:link w:val="12"/>
    <w:uiPriority w:val="99"/>
    <w:pPr>
      <w:spacing w:after="0" w:line="324" w:lineRule="auto"/>
      <w:ind w:firstLine="400"/>
    </w:pPr>
    <w:rPr>
      <w:rFonts w:ascii="Times New Roman" w:hAnsi="Times New Roman"/>
      <w:sz w:val="26"/>
      <w:szCs w:val="26"/>
      <w:lang w:eastAsia="ru-RU"/>
    </w:rPr>
  </w:style>
  <w:style w:type="character" w:customStyle="1" w:styleId="afe">
    <w:name w:val="Основной текст Знак"/>
    <w:basedOn w:val="a0"/>
    <w:uiPriority w:val="99"/>
    <w:semiHidden/>
    <w:rPr>
      <w:sz w:val="22"/>
      <w:szCs w:val="22"/>
      <w:lang w:eastAsia="en-US"/>
    </w:rPr>
  </w:style>
  <w:style w:type="character" w:customStyle="1" w:styleId="42">
    <w:name w:val="Основной текст (4)_"/>
    <w:basedOn w:val="a0"/>
    <w:link w:val="43"/>
    <w:uiPriority w:val="99"/>
    <w:rPr>
      <w:rFonts w:ascii="Times New Roman" w:hAnsi="Times New Roman"/>
      <w:b/>
      <w:bCs/>
      <w:sz w:val="17"/>
      <w:szCs w:val="17"/>
    </w:rPr>
  </w:style>
  <w:style w:type="paragraph" w:customStyle="1" w:styleId="43">
    <w:name w:val="Основной текст (4)"/>
    <w:basedOn w:val="a"/>
    <w:link w:val="42"/>
    <w:uiPriority w:val="99"/>
    <w:pPr>
      <w:spacing w:after="0" w:line="240" w:lineRule="auto"/>
    </w:pPr>
    <w:rPr>
      <w:rFonts w:ascii="Times New Roman" w:hAnsi="Times New Roman"/>
      <w:b/>
      <w:bCs/>
      <w:sz w:val="17"/>
      <w:szCs w:val="17"/>
      <w:lang w:eastAsia="ru-RU"/>
    </w:rPr>
  </w:style>
  <w:style w:type="character" w:customStyle="1" w:styleId="52">
    <w:name w:val="Основной текст (5)_"/>
    <w:basedOn w:val="a0"/>
    <w:link w:val="53"/>
    <w:uiPriority w:val="99"/>
    <w:rPr>
      <w:rFonts w:ascii="Times New Roman" w:hAnsi="Times New Roman"/>
      <w:sz w:val="22"/>
      <w:szCs w:val="22"/>
    </w:rPr>
  </w:style>
  <w:style w:type="paragraph" w:customStyle="1" w:styleId="53">
    <w:name w:val="Основной текст (5)"/>
    <w:basedOn w:val="a"/>
    <w:link w:val="52"/>
    <w:uiPriority w:val="99"/>
    <w:pPr>
      <w:spacing w:after="0" w:line="382" w:lineRule="auto"/>
    </w:pPr>
    <w:rPr>
      <w:rFonts w:ascii="Times New Roman" w:hAnsi="Times New Roman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lang w:eastAsia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economy.gov.ru/material/directions/makroec/prognozy_socialno_ekonomicheskogo_razvitiya/scenarnye_usloviya_funkcionirovaniya_ekonomiki_rf_osnovnye_parametry_prognoza_socialno_ekonomicheskogo_razvitiya_rf_na_2027_god_i_na_planovyy_period_2028_i_20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7D17-5FF1-4AC9-97BC-283EEFD9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Вячеславовна Ковалёва</dc:creator>
  <cp:lastModifiedBy>Юлия Вячеславовна Ковалёва</cp:lastModifiedBy>
  <cp:revision>3</cp:revision>
  <dcterms:created xsi:type="dcterms:W3CDTF">2026-08-18T10:57:00Z</dcterms:created>
  <dcterms:modified xsi:type="dcterms:W3CDTF">2026-08-18T13:27:00Z</dcterms:modified>
</cp:coreProperties>
</file>