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63" w:firstLine="10773"/>
        <w:shd w:val="clear" w:color="ffffff" w:themeColor="background1" w:fill="ffffff" w:themeFill="background1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ПРОЕКТ </w:t>
      </w:r>
      <w:r>
        <w:rPr>
          <w:color w:val="000000" w:themeColor="text1"/>
          <w:sz w:val="28"/>
          <w:szCs w:val="28"/>
          <w:lang w:eastAsia="en-US"/>
        </w:rPr>
      </w:r>
    </w:p>
    <w:p>
      <w:pPr>
        <w:ind w:left="10065"/>
        <w:jc w:val="center"/>
        <w:shd w:val="clear" w:color="ffffff" w:themeColor="background1" w:fill="ffffff" w:themeFill="background1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left="10065"/>
        <w:jc w:val="center"/>
        <w:shd w:val="clear" w:color="ffffff" w:themeColor="background1" w:fill="ffffff" w:themeFill="background1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ПРОГНОЗ </w:t>
      </w:r>
      <w:r>
        <w:rPr>
          <w:color w:val="000000" w:themeColor="text1"/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социально-экономического развития Ленинградской области на 2027 – 2029 годы</w:t>
      </w:r>
      <w:r>
        <w:rPr>
          <w:color w:val="000000" w:themeColor="text1"/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Показатели прогноза социально-экономического развития Ленинградской области на 2027 – 2029 годы</w:t>
      </w:r>
      <w:r>
        <w:rPr>
          <w:color w:val="000000" w:themeColor="text1"/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5"/>
        <w:gridCol w:w="3550"/>
        <w:gridCol w:w="2410"/>
        <w:gridCol w:w="1951"/>
        <w:gridCol w:w="1149"/>
        <w:gridCol w:w="1149"/>
        <w:gridCol w:w="1240"/>
        <w:gridCol w:w="1240"/>
        <w:gridCol w:w="1240"/>
      </w:tblGrid>
      <w:tr>
        <w:tblPrEx/>
        <w:trPr>
          <w:jc w:val="center"/>
          <w:trHeight w:val="283"/>
          <w:tblHeader/>
        </w:trPr>
        <w:tc>
          <w:tcPr>
            <w:shd w:val="clear" w:color="auto" w:fill="ffffff" w:themeFill="background1"/>
            <w:tcW w:w="260" w:type="pct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/>
            <w:bookmarkStart w:id="0" w:name="RANGE!B1:M118"/>
            <w:r/>
            <w:bookmarkEnd w:id="0"/>
            <w:r>
              <w:rPr>
                <w:color w:val="000000" w:themeColor="text1"/>
              </w:rPr>
              <w:t xml:space="preserve">№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</w:t>
            </w:r>
            <w:r>
              <w:rPr>
                <w:color w:val="000000" w:themeColor="text1"/>
              </w:rPr>
              <w:t xml:space="preserve">/п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20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Показатели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820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Единица 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измерения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664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Вариант прогноза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91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Отчет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91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Оценка</w:t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shd w:val="clear" w:color="auto" w:fill="ffffff" w:themeFill="background1"/>
            <w:tcW w:w="1266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Прогноз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jc w:val="center"/>
          <w:trHeight w:val="283"/>
          <w:tblHeader/>
        </w:trPr>
        <w:tc>
          <w:tcPr>
            <w:shd w:val="clear" w:color="auto" w:fill="ffffff" w:themeFill="background1"/>
            <w:tcW w:w="260" w:type="pct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208" w:type="pct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820" w:type="pct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664" w:type="pct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91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2025 год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91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2026 год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422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2027 год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422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2028 год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422" w:type="pc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2029 год</w:t>
            </w:r>
            <w:r>
              <w:rPr>
                <w:color w:val="000000" w:themeColor="text1"/>
              </w:rPr>
            </w:r>
          </w:p>
        </w:tc>
      </w:tr>
    </w:tbl>
    <w:p>
      <w:pPr>
        <w:shd w:val="clear" w:color="ffffff" w:themeColor="background1" w:fill="ffffff" w:themeFill="background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3"/>
        <w:gridCol w:w="3553"/>
        <w:gridCol w:w="2410"/>
        <w:gridCol w:w="1948"/>
        <w:gridCol w:w="1151"/>
        <w:gridCol w:w="1152"/>
        <w:gridCol w:w="1239"/>
        <w:gridCol w:w="1239"/>
        <w:gridCol w:w="1239"/>
      </w:tblGrid>
      <w:tr>
        <w:tblPrEx/>
        <w:trPr>
          <w:jc w:val="center"/>
          <w:trHeight w:val="283"/>
          <w:tblHeader/>
        </w:trPr>
        <w:tc>
          <w:tcPr>
            <w:shd w:val="clear" w:color="auto" w:fill="ffffff" w:themeFill="background1"/>
            <w:tcW w:w="71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3311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224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073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5</w:t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074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6</w:t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7</w:t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8</w:t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9</w:t>
            </w:r>
            <w:r>
              <w:rPr>
                <w:bCs/>
                <w:color w:val="000000" w:themeColor="text1"/>
                <w:lang w:val="en-US"/>
              </w:rPr>
            </w:r>
          </w:p>
        </w:tc>
      </w:tr>
      <w:tr>
        <w:tblPrEx/>
        <w:trPr>
          <w:jc w:val="center"/>
          <w:trHeight w:val="34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Валовой региональный продукт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ind w:left="-51" w:right="-51"/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2 596,8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2 683,8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2 805,1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2 958,1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3 107,2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ind w:left="-51" w:right="-5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2 865,9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3 069,4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3 265,4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физического объема валового регионального продукта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ind w:left="-51" w:right="-51"/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101,9</w:t>
            </w:r>
            <w:r>
              <w:rPr>
                <w:b/>
                <w:bCs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99,0</w:t>
            </w:r>
            <w:r>
              <w:rPr>
                <w:b/>
                <w:bCs/>
              </w:rPr>
            </w:r>
          </w:p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101,0</w:t>
            </w:r>
            <w:r/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101,5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102,0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102,0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317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промышленным видам деятельности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2 363,7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2 354,9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2 481,3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2 649,7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2 822,8</w:t>
            </w:r>
            <w:r/>
          </w:p>
        </w:tc>
      </w:tr>
      <w:tr>
        <w:tblPrEx/>
        <w:trPr>
          <w:jc w:val="center"/>
          <w:trHeight w:val="6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2 501,6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2 676,5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2 862,0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промышленного производства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96,6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94,6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102,4</w:t>
            </w:r>
            <w:r/>
          </w:p>
        </w:tc>
      </w:tr>
      <w:tr>
        <w:tblPrEx/>
        <w:trPr>
          <w:jc w:val="center"/>
          <w:trHeight w:val="11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101,4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102,5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102,9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13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Добыча полезных ископаемых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(раздел В)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</w:t>
            </w:r>
            <w:r>
              <w:rPr>
                <w:color w:val="000000" w:themeColor="text1"/>
              </w:rPr>
              <w:t xml:space="preserve">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81,7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101,2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Обрабатывающие производства (раздел С)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95,2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92,4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102,7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103,2</w:t>
            </w:r>
            <w:r/>
          </w:p>
        </w:tc>
      </w:tr>
      <w:tr>
        <w:tblPrEx/>
        <w:trPr>
          <w:jc w:val="center"/>
          <w:trHeight w:val="74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пищевых продуктов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100,6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</w:tr>
      <w:tr>
        <w:tblPrEx/>
        <w:trPr>
          <w:jc w:val="center"/>
          <w:trHeight w:val="9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напитков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82,4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100,9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табачных 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97,1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97,5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97,9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97,5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97,9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текстильных 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111,2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103,3</w:t>
            </w:r>
            <w:r/>
          </w:p>
        </w:tc>
      </w:tr>
      <w:tr>
        <w:tblPrEx/>
        <w:trPr>
          <w:jc w:val="center"/>
          <w:trHeight w:val="290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103,8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одежды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103,1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102,2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104,1</w:t>
            </w:r>
            <w:r/>
          </w:p>
        </w:tc>
      </w:tr>
      <w:tr>
        <w:tblPrEx/>
        <w:trPr>
          <w:jc w:val="center"/>
          <w:trHeight w:val="23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104,6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Производство кожи и изделий </w:t>
            </w:r>
            <w:r>
              <w:rPr>
                <w:color w:val="000000" w:themeColor="text1"/>
                <w:lang w:val="en-US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 кожи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365,0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101,6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245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Обработка древесины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производство изделий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 дерева и пробки, кроме мебели, производство изделий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 соломки и материалов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плетения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88,4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86,0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103,9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бумаги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бумажных 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104,8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104,0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104,0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103,8</w:t>
            </w:r>
            <w:r>
              <w:rPr>
                <w:highlight w:val="white"/>
              </w:rPr>
            </w:r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104,2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104,0</w:t>
            </w:r>
            <w:r>
              <w:rPr>
                <w:highlight w:val="white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103,9</w:t>
            </w:r>
            <w:r>
              <w:rPr>
                <w:highlight w:val="white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Деятельность полиграфическая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копирование носителей информации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70,6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93,2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100,3</w:t>
            </w:r>
            <w:r/>
          </w:p>
        </w:tc>
      </w:tr>
      <w:tr>
        <w:tblPrEx/>
        <w:trPr>
          <w:jc w:val="center"/>
          <w:trHeight w:val="10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94,4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100,7</w:t>
            </w:r>
            <w:r/>
          </w:p>
        </w:tc>
      </w:tr>
      <w:tr>
        <w:tblPrEx/>
        <w:trPr>
          <w:jc w:val="center"/>
          <w:trHeight w:val="14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Производство кокса </w:t>
            </w:r>
            <w:r>
              <w:rPr>
                <w:color w:val="000000" w:themeColor="text1"/>
                <w:lang w:val="en-US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и нефтепродуктов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103,2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pageBreakBefore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химических веществ и химических </w:t>
            </w:r>
            <w:r>
              <w:rPr>
                <w:color w:val="000000" w:themeColor="text1"/>
              </w:rPr>
              <w:t xml:space="preserve">продуктов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101,7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17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лекарственных средств и материалов, </w:t>
            </w:r>
            <w:r>
              <w:rPr>
                <w:color w:val="000000" w:themeColor="text1"/>
              </w:rPr>
              <w:t xml:space="preserve">применя-емых</w:t>
            </w:r>
            <w:r>
              <w:rPr>
                <w:color w:val="000000" w:themeColor="text1"/>
              </w:rPr>
              <w:t xml:space="preserve"> в медицинских целях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116,3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108,0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107,7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109,2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109,2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109,2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</w:t>
            </w:r>
            <w:r>
              <w:rPr>
                <w:color w:val="000000" w:themeColor="text1"/>
              </w:rPr>
              <w:t xml:space="preserve">резиновых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пластмассовых 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90,5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60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102,1</w:t>
            </w:r>
            <w:r/>
          </w:p>
        </w:tc>
      </w:tr>
      <w:tr>
        <w:tblPrEx/>
        <w:trPr>
          <w:jc w:val="center"/>
          <w:trHeight w:val="2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</w:t>
            </w:r>
            <w:r>
              <w:rPr>
                <w:color w:val="000000" w:themeColor="text1"/>
              </w:rPr>
              <w:t xml:space="preserve">прочей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неметаллической минеральной продукции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90,1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91,2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6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103,5</w:t>
            </w:r>
            <w:r/>
          </w:p>
        </w:tc>
      </w:tr>
      <w:tr>
        <w:tblPrEx/>
        <w:trPr>
          <w:jc w:val="center"/>
          <w:trHeight w:val="10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металлургическое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68,4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97,0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100,7</w:t>
            </w:r>
            <w:r/>
          </w:p>
        </w:tc>
      </w:tr>
      <w:tr>
        <w:tblPrEx/>
        <w:trPr>
          <w:jc w:val="center"/>
          <w:trHeight w:val="11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97,4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101,2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Производство готовых металлических изделий, </w:t>
            </w:r>
            <w:r>
              <w:rPr>
                <w:color w:val="000000" w:themeColor="text1"/>
                <w:lang w:val="en-US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кроме машин и оборудования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88,3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102,2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102,2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компьютеров, электронных и оптических 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89,4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104,4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104,5</w:t>
            </w:r>
            <w:r/>
          </w:p>
        </w:tc>
      </w:tr>
      <w:tr>
        <w:tblPrEx/>
        <w:trPr>
          <w:jc w:val="center"/>
          <w:trHeight w:val="31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электрического оборудования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102,7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105,0</w:t>
            </w:r>
            <w:r/>
          </w:p>
        </w:tc>
      </w:tr>
      <w:tr>
        <w:tblPrEx/>
        <w:trPr>
          <w:jc w:val="center"/>
          <w:trHeight w:val="8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105,0</w:t>
            </w:r>
            <w:r/>
          </w:p>
        </w:tc>
      </w:tr>
      <w:tr>
        <w:tblPrEx/>
        <w:trPr>
          <w:jc w:val="center"/>
          <w:trHeight w:val="147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машин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оборудования, не </w:t>
            </w:r>
            <w:r>
              <w:rPr>
                <w:color w:val="000000" w:themeColor="text1"/>
              </w:rPr>
              <w:t xml:space="preserve">включенных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другие группировки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104,2</w:t>
            </w:r>
            <w:r/>
          </w:p>
        </w:tc>
      </w:tr>
      <w:tr>
        <w:tblPrEx/>
        <w:trPr>
          <w:jc w:val="center"/>
          <w:trHeight w:val="1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автотранспортных средств, прицепов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полуприцепов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112,4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102,8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105,9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прочих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транспортных средств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оборудования 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53,6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112,9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112,6</w:t>
            </w:r>
            <w:r/>
          </w:p>
        </w:tc>
      </w:tr>
      <w:tr>
        <w:tblPrEx/>
        <w:trPr>
          <w:jc w:val="center"/>
          <w:trHeight w:val="7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113,0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114,7</w:t>
            </w:r>
            <w:r/>
          </w:p>
        </w:tc>
      </w:tr>
      <w:tr>
        <w:tblPrEx/>
        <w:trPr>
          <w:jc w:val="center"/>
          <w:trHeight w:val="96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мебели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88,5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88,5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103,9</w:t>
            </w:r>
            <w:r/>
          </w:p>
        </w:tc>
      </w:tr>
      <w:tr>
        <w:tblPrEx/>
        <w:trPr>
          <w:jc w:val="center"/>
          <w:trHeight w:val="11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103,9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Производство прочих готовых </w:t>
            </w:r>
            <w:r>
              <w:rPr>
                <w:color w:val="000000" w:themeColor="text1"/>
              </w:rPr>
              <w:t xml:space="preserve">изделий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</w:t>
            </w:r>
            <w:r>
              <w:rPr>
                <w:color w:val="000000" w:themeColor="text1"/>
              </w:rPr>
              <w:t xml:space="preserve">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56,8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</w:tr>
      <w:tr>
        <w:tblPrEx/>
        <w:trPr>
          <w:jc w:val="center"/>
          <w:trHeight w:val="135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28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и монтаж машин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оборудования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111,1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130,0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101,9</w:t>
            </w:r>
            <w:r/>
          </w:p>
        </w:tc>
      </w:tr>
      <w:tr>
        <w:tblPrEx/>
        <w:trPr>
          <w:jc w:val="center"/>
          <w:trHeight w:val="5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102,2</w:t>
            </w:r>
            <w:r/>
          </w:p>
        </w:tc>
      </w:tr>
      <w:tr>
        <w:tblPrEx/>
        <w:trPr>
          <w:jc w:val="center"/>
          <w:trHeight w:val="21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Обеспечение электрической энергией, газом и паром; кондиционирование воздуха (раздел D)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102,1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ind w:left="153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</w:tr>
      <w:tr>
        <w:tblPrEx/>
        <w:trPr>
          <w:jc w:val="center"/>
          <w:trHeight w:val="259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Водоснабжение; водоотведение, организация сбора и утилизации отходов, деятельность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ликвидации загрязнений (раздел Е)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107,9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100,9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Потребление электроэнергии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кВт. ч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24,3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25,2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25,4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25,4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25,7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Средние тарифы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электроэнергию, отпущенную различным категориям потребителей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руб./тыс. кВт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ч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6 716,2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7 493,9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8 850,3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9 938,9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10 853,3</w:t>
            </w:r>
            <w:r/>
          </w:p>
        </w:tc>
      </w:tr>
      <w:tr>
        <w:tblPrEx/>
        <w:trPr>
          <w:jc w:val="center"/>
          <w:trHeight w:val="317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8705,0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9 645,2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10 532,4</w:t>
            </w:r>
            <w:r/>
          </w:p>
        </w:tc>
      </w:tr>
      <w:tr>
        <w:tblPrEx/>
        <w:trPr>
          <w:jc w:val="center"/>
          <w:trHeight w:val="84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Продукция сельского хозяйства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169,0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176,6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184,7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192,6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200,8</w:t>
            </w:r>
            <w:r/>
          </w:p>
        </w:tc>
      </w:tr>
      <w:tr>
        <w:tblPrEx/>
        <w:trPr>
          <w:jc w:val="center"/>
          <w:trHeight w:val="116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184,8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193,3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202,1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производства продукции сельского хозяйства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98,2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100,2</w:t>
            </w:r>
            <w:r/>
          </w:p>
        </w:tc>
      </w:tr>
      <w:tr>
        <w:tblPrEx/>
        <w:trPr>
          <w:jc w:val="center"/>
          <w:trHeight w:val="325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100,6</w:t>
            </w:r>
            <w:r/>
          </w:p>
        </w:tc>
      </w:tr>
      <w:tr>
        <w:tblPrEx/>
        <w:trPr>
          <w:jc w:val="center"/>
          <w:trHeight w:val="14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 работ, выполненных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виду деятельности "Строительство"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683,0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666,8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708,6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746,5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785,7</w:t>
            </w:r>
            <w:r/>
          </w:p>
        </w:tc>
      </w:tr>
      <w:tr>
        <w:tblPrEx/>
        <w:trPr>
          <w:jc w:val="center"/>
          <w:trHeight w:val="160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714,2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746,5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801,3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производства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виду деятельности "Строительство"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140,3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92,1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101,3</w:t>
            </w:r>
            <w:r/>
          </w:p>
        </w:tc>
      </w:tr>
      <w:tr>
        <w:tblPrEx/>
        <w:trPr>
          <w:jc w:val="center"/>
          <w:trHeight w:val="6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102,1</w:t>
            </w:r>
            <w:r/>
          </w:p>
        </w:tc>
      </w:tr>
      <w:tr>
        <w:tblPrEx/>
        <w:trPr>
          <w:jc w:val="center"/>
          <w:trHeight w:val="12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Ввод в действие жилых домов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кв. м общей площади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4 219,8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3 550,0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2 500,0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2 450,0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2 400,0</w:t>
            </w:r>
            <w:r/>
          </w:p>
        </w:tc>
      </w:tr>
      <w:tr>
        <w:tblPrEx/>
        <w:trPr>
          <w:jc w:val="center"/>
          <w:trHeight w:val="256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3 718,0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3 801,0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3 832,0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Плотность автомобильных дорог </w:t>
            </w:r>
            <w:r>
              <w:rPr>
                <w:color w:val="000000" w:themeColor="text1"/>
              </w:rPr>
              <w:t xml:space="preserve">общего пользования с твердым покрытием (на конец года)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ind w:left="-51" w:right="-51"/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км</w:t>
            </w:r>
            <w:r>
              <w:rPr>
                <w:color w:val="000000" w:themeColor="text1"/>
              </w:rPr>
              <w:t xml:space="preserve"> путей </w:t>
            </w:r>
            <w:r>
              <w:rPr>
                <w:color w:val="000000" w:themeColor="text1"/>
              </w:rPr>
            </w:r>
          </w:p>
          <w:p>
            <w:pPr>
              <w:ind w:left="-51" w:right="-51"/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10000 кв. км территории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2238,0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2240,0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2 241,2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2 243,5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2 243,6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ind w:left="-51" w:right="-5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2 241,2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2 243,5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2 243,6</w:t>
            </w:r>
            <w:r/>
          </w:p>
        </w:tc>
      </w:tr>
      <w:tr>
        <w:tblPrEx/>
        <w:trPr>
          <w:jc w:val="center"/>
          <w:trHeight w:val="55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потребительских цен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конец года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декабрю предыдущего года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7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9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потребительских цен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среднем за год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109,4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104,0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Оборот розничной торговли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923,1</w:t>
            </w:r>
            <w:r/>
          </w:p>
        </w:tc>
        <w:tc>
          <w:tcPr>
            <w:shd w:val="clear" w:color="auto" w:fill="auto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975,0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1 026,3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1 089,8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1 165,1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1 032,3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1 101,6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1 181,1</w:t>
            </w:r>
            <w:r/>
          </w:p>
        </w:tc>
      </w:tr>
      <w:tr>
        <w:tblPrEx/>
        <w:trPr>
          <w:jc w:val="center"/>
          <w:trHeight w:val="117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Темп роста оборота розничной торговли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 в сопоставимых ценах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101,8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102,8</w:t>
            </w:r>
            <w:r/>
          </w:p>
        </w:tc>
      </w:tr>
      <w:tr>
        <w:tblPrEx/>
        <w:trPr>
          <w:jc w:val="center"/>
          <w:trHeight w:val="5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103,1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 платных услуг населению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193,6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215,1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230,1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245,7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261,7</w:t>
            </w:r>
            <w:r/>
          </w:p>
        </w:tc>
      </w:tr>
      <w:tr>
        <w:tblPrEx/>
        <w:trPr>
          <w:jc w:val="center"/>
          <w:trHeight w:val="90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230,1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247,7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264,8</w:t>
            </w:r>
            <w:r/>
          </w:p>
        </w:tc>
      </w:tr>
      <w:tr>
        <w:tblPrEx/>
        <w:trPr>
          <w:jc w:val="center"/>
          <w:trHeight w:val="263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Темп роста объема платных услуг населению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 в сопоставимых ценах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106,9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104,4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102,3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102,7</w:t>
            </w:r>
            <w:r/>
          </w:p>
        </w:tc>
      </w:tr>
      <w:tr>
        <w:tblPrEx/>
        <w:trPr>
          <w:jc w:val="center"/>
          <w:trHeight w:val="134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малых и средних предприятий, включая микро-предприятия (на конец года)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единиц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89,7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89,8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84,4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82,6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80,8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86,2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81,7</w:t>
            </w:r>
            <w:r/>
          </w:p>
        </w:tc>
      </w:tr>
      <w:tr>
        <w:tblPrEx/>
        <w:trPr>
          <w:jc w:val="center"/>
          <w:trHeight w:val="145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Среднесписочная численность работников малых и средних предприятий, включая </w:t>
            </w:r>
            <w:r>
              <w:rPr>
                <w:color w:val="000000" w:themeColor="text1"/>
              </w:rPr>
              <w:t xml:space="preserve">микропредприятия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(без внешних совместителей)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чел.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171,5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171,6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171,6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171,7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171,9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jc w:val="center"/>
          <w:trHeight w:val="6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Оборот малых и средних предприятий, включая </w:t>
            </w:r>
            <w:r>
              <w:rPr>
                <w:color w:val="000000" w:themeColor="text1"/>
              </w:rPr>
              <w:t xml:space="preserve">микропредприятия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1 703,3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1 704,3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1 706,2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1 708,4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1 711,6</w:t>
            </w:r>
            <w:r/>
          </w:p>
        </w:tc>
      </w:tr>
      <w:tr>
        <w:tblPrEx/>
        <w:trPr>
          <w:jc w:val="center"/>
          <w:trHeight w:val="7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1 708,0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1 711,5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1 715,1</w:t>
            </w:r>
            <w:r/>
          </w:p>
        </w:tc>
      </w:tr>
      <w:tr>
        <w:tblPrEx/>
        <w:trPr>
          <w:jc w:val="center"/>
          <w:trHeight w:val="11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Инвестиции в основной капитал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млрд</w:t>
            </w:r>
            <w:r>
              <w:rPr>
                <w:color w:val="000000" w:themeColor="text1"/>
              </w:rPr>
              <w:t xml:space="preserve"> 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1 593,1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1 705,1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1 790,4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1 845,1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1 763,3</w:t>
            </w:r>
            <w:r/>
          </w:p>
        </w:tc>
      </w:tr>
      <w:tr>
        <w:tblPrEx/>
        <w:trPr>
          <w:jc w:val="center"/>
          <w:trHeight w:val="128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1 826,2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1 920,1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1 856,9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Индекс физического объема инвестиций в основной капитал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129,8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100,5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91,8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102,0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101,0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92,9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Инвестиции в основной капитал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 ВРП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61,3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63,5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63,8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62,4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56,7</w:t>
            </w:r>
            <w:r/>
          </w:p>
        </w:tc>
      </w:tr>
      <w:tr>
        <w:tblPrEx/>
        <w:trPr>
          <w:jc w:val="center"/>
          <w:trHeight w:val="7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63,7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62,6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56,9</w:t>
            </w:r>
            <w:r/>
          </w:p>
        </w:tc>
      </w:tr>
      <w:tr>
        <w:tblPrEx/>
        <w:trPr>
          <w:jc w:val="center"/>
          <w:trHeight w:val="23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Реальные располагаемые денежные доходы населения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b/>
                <w:color w:val="000000"/>
              </w:rPr>
              <w:t xml:space="preserve">112,4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b/>
                <w:color w:val="000000"/>
              </w:rPr>
              <w:t xml:space="preserve">101,0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102,4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102,5</w:t>
            </w:r>
            <w:r/>
          </w:p>
        </w:tc>
      </w:tr>
      <w:tr>
        <w:tblPrEx/>
        <w:trPr>
          <w:jc w:val="center"/>
          <w:trHeight w:val="94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103,0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103,0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 xml:space="preserve">103,0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23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Прожиточный минимум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среднем на душу населения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(в среднем за год)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руб./мес.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18 974,0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20 265,0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21 319,0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t xml:space="preserve">22 172,0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t xml:space="preserve">23 059,0</w:t>
            </w:r>
            <w:r/>
          </w:p>
        </w:tc>
      </w:tr>
      <w:tr>
        <w:tblPrEx/>
        <w:trPr>
          <w:jc w:val="center"/>
          <w:trHeight w:val="231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21 319,0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t xml:space="preserve">22 172,0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t xml:space="preserve">23 059,0</w:t>
            </w:r>
            <w:r/>
          </w:p>
        </w:tc>
      </w:tr>
      <w:tr>
        <w:tblPrEx/>
        <w:trPr>
          <w:jc w:val="center"/>
          <w:trHeight w:val="17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Численность населения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денежными доходами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ниже границы бедности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4,6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5,0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4,8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4,9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4,8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4,7</w:t>
            </w:r>
            <w:r/>
          </w:p>
        </w:tc>
      </w:tr>
      <w:tr>
        <w:tblPrEx/>
        <w:trPr>
          <w:jc w:val="center"/>
          <w:trHeight w:val="134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Численность рабочей силы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чел.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1 140,9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1 147,6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1 147,0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1 151,6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1 158,1</w:t>
            </w:r>
            <w:r/>
          </w:p>
        </w:tc>
      </w:tr>
      <w:tr>
        <w:tblPrEx/>
        <w:trPr>
          <w:jc w:val="center"/>
          <w:trHeight w:val="151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1 159,0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1 163,1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1 169,6</w:t>
            </w:r>
            <w:r/>
          </w:p>
        </w:tc>
      </w:tr>
      <w:tr>
        <w:tblPrEx/>
        <w:trPr>
          <w:jc w:val="center"/>
          <w:trHeight w:val="170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Численность </w:t>
            </w:r>
            <w:r>
              <w:rPr>
                <w:color w:val="000000" w:themeColor="text1"/>
              </w:rPr>
              <w:t xml:space="preserve">занятых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экономике (по данным баланса трудовых ресурсов)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чел.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941,7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990,3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987,2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989,6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976,1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997,7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999,6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986,6</w:t>
            </w:r>
            <w:r/>
          </w:p>
        </w:tc>
      </w:tr>
      <w:tr>
        <w:tblPrEx/>
        <w:trPr>
          <w:jc w:val="center"/>
          <w:trHeight w:val="275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Номинальная начисленная среднемесячная заработная плата работников организаций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руб./мес.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96 716,0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104 740,0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113 220,0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121 260,0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128 660,0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114 060,0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122 960,0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131 690,0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Темп роста номинальной начисленной среднемесячной заработной платы работников организаций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117,9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108,3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108,1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107,1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106,1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108,9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107,8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107,1</w:t>
            </w:r>
            <w:r/>
          </w:p>
        </w:tc>
      </w:tr>
      <w:tr>
        <w:tblPrEx/>
        <w:trPr>
          <w:jc w:val="center"/>
          <w:trHeight w:val="158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Реальная заработная плата работников организаций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107,7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101,6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102,0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102,0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103,0</w:t>
            </w:r>
            <w:r/>
          </w:p>
        </w:tc>
      </w:tr>
      <w:tr>
        <w:tblPrEx/>
        <w:trPr>
          <w:jc w:val="center"/>
          <w:trHeight w:val="169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Среднемесячная начисленная заработная плата наемных работников в организациях,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 индивидуальных </w:t>
            </w:r>
            <w:r>
              <w:rPr>
                <w:color w:val="000000" w:themeColor="text1"/>
              </w:rPr>
              <w:t xml:space="preserve">предприни-мателей</w:t>
            </w:r>
            <w:r>
              <w:rPr>
                <w:color w:val="000000" w:themeColor="text1"/>
              </w:rPr>
              <w:t xml:space="preserve"> и физических лиц (среднемесячный доход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трудовой деятельности)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руб.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75 263,0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80 120,0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85 820,0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91 550,0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96 500,0</w:t>
            </w:r>
            <w:r/>
          </w:p>
        </w:tc>
      </w:tr>
      <w:tr>
        <w:tblPrEx/>
        <w:trPr>
          <w:jc w:val="center"/>
          <w:trHeight w:val="66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87 030,0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93 450,0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99 430,0</w:t>
            </w:r>
            <w:r/>
          </w:p>
        </w:tc>
      </w:tr>
      <w:tr>
        <w:tblPrEx/>
        <w:trPr>
          <w:jc w:val="center"/>
          <w:trHeight w:val="211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Темп роста среднемесячной начисленной заработной платы </w:t>
            </w:r>
            <w:r>
              <w:rPr>
                <w:color w:val="000000" w:themeColor="text1"/>
              </w:rPr>
              <w:t xml:space="preserve">наемных работников в </w:t>
            </w:r>
            <w:r>
              <w:rPr>
                <w:color w:val="000000" w:themeColor="text1"/>
              </w:rPr>
              <w:t xml:space="preserve">органи-зациях</w:t>
            </w:r>
            <w:r>
              <w:rPr>
                <w:color w:val="000000" w:themeColor="text1"/>
              </w:rPr>
              <w:t xml:space="preserve">, у индивидуальных предпринимателей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физических лиц (среднемесячный доход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трудовой деятельности)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предыдущему году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118,1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106,5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107,1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106,7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105,4</w:t>
            </w:r>
            <w:r/>
          </w:p>
        </w:tc>
      </w:tr>
      <w:tr>
        <w:tblPrEx/>
        <w:trPr>
          <w:jc w:val="center"/>
          <w:trHeight w:val="66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108,6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107,4</w:t>
            </w:r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106,4</w:t>
            </w:r>
            <w:r/>
          </w:p>
        </w:tc>
      </w:tr>
      <w:tr>
        <w:tblPrEx/>
        <w:trPr>
          <w:jc w:val="center"/>
          <w:trHeight w:val="258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Численность безработных,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зарегистрированных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государственных учреждениях службы занятости населения </w:t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(на конец года)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чел.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2,3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2,8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3,1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3,1</w:t>
            </w:r>
            <w:r/>
          </w:p>
        </w:tc>
      </w:tr>
      <w:tr>
        <w:tblPrEx/>
        <w:trPr>
          <w:jc w:val="center"/>
          <w:trHeight w:val="283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2,9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3,0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3,0</w:t>
            </w:r>
            <w:r/>
          </w:p>
        </w:tc>
      </w:tr>
      <w:tr>
        <w:tblPrEx/>
        <w:trPr>
          <w:jc w:val="center"/>
          <w:trHeight w:val="52"/>
        </w:trPr>
        <w:tc>
          <w:tcPr>
            <w:shd w:val="clear" w:color="auto" w:fill="ffffff" w:themeFill="background1"/>
            <w:tcW w:w="710" w:type="dxa"/>
            <w:vMerge w:val="restart"/>
            <w:textDirection w:val="lrTb"/>
            <w:noWrap/>
          </w:tcPr>
          <w:p>
            <w:pPr>
              <w:pStyle w:val="979"/>
              <w:numPr>
                <w:ilvl w:val="0"/>
                <w:numId w:val="37"/>
              </w:num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Уровень зарегистрированной безработицы (на конец года)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проц. к рабочей силе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консервативный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0,2</w:t>
            </w:r>
            <w:r/>
          </w:p>
        </w:tc>
        <w:tc>
          <w:tcPr>
            <w:shd w:val="clear" w:color="auto" w:fill="ffffff" w:themeFill="background1"/>
            <w:tcW w:w="1074" w:type="dxa"/>
            <w:vMerge w:val="restart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0,2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0,3</w:t>
            </w:r>
            <w:r/>
          </w:p>
        </w:tc>
      </w:tr>
      <w:tr>
        <w:tblPrEx/>
        <w:trPr>
          <w:jc w:val="center"/>
          <w:trHeight w:val="56"/>
        </w:trPr>
        <w:tc>
          <w:tcPr>
            <w:shd w:val="clear" w:color="auto" w:fill="ffffff" w:themeFill="background1"/>
            <w:tcW w:w="710" w:type="dxa"/>
            <w:vMerge w:val="continue"/>
            <w:textDirection w:val="lrTb"/>
            <w:noWrap w:val="false"/>
          </w:tcPr>
          <w:p>
            <w:pPr>
              <w:pStyle w:val="979"/>
              <w:numPr>
                <w:ilvl w:val="0"/>
                <w:numId w:val="37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331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224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81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базовый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07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0,3</w:t>
            </w:r>
            <w:r/>
          </w:p>
        </w:tc>
        <w:tc>
          <w:tcPr>
            <w:shd w:val="clear" w:color="auto" w:fill="ffffff" w:themeFill="background1"/>
            <w:tcW w:w="1155" w:type="dxa"/>
            <w:textDirection w:val="lrTb"/>
            <w:noWrap/>
          </w:tcPr>
          <w:p>
            <w:pPr>
              <w:shd w:val="clear" w:color="ffffff" w:themeColor="background1" w:fill="ffffff" w:themeFill="background1"/>
            </w:pPr>
            <w:r>
              <w:t xml:space="preserve">0,3</w:t>
            </w:r>
            <w:r/>
          </w:p>
        </w:tc>
      </w:tr>
    </w:tbl>
    <w:p>
      <w:pPr>
        <w:jc w:val="center"/>
        <w:shd w:val="clear" w:color="ffffff" w:themeColor="background1" w:fill="ffffff" w:themeFill="background1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shd w:val="clear" w:color="ffffff" w:themeColor="background1" w:fill="ffffff" w:themeFill="background1"/>
        <w:rPr>
          <w:color w:val="000000" w:themeColor="text1"/>
        </w:rPr>
        <w:sectPr>
          <w:headerReference w:type="default" r:id="rId9"/>
          <w:headerReference w:type="first" r:id="rId10"/>
          <w:footnotePr/>
          <w:endnotePr/>
          <w:type w:val="nextPage"/>
          <w:pgSz w:w="16838" w:h="11906" w:orient="landscape"/>
          <w:pgMar w:top="1418" w:right="1134" w:bottom="1134" w:left="1134" w:header="709" w:footer="301" w:gutter="0"/>
          <w:cols w:num="1" w:sep="0" w:space="708" w:equalWidth="1"/>
          <w:docGrid w:linePitch="360"/>
          <w:titlePg/>
        </w:sect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</w:t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к показателям прогноза социально-экономического развития </w:t>
      </w:r>
      <w:r>
        <w:rPr>
          <w:sz w:val="28"/>
          <w:szCs w:val="28"/>
        </w:rPr>
        <w:br/>
        <w:t xml:space="preserve">Ленинградской области на 2027 – 2029 годы</w:t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Прогноз социально-экономического развития Ленинградской области на 2027 - 2029 годы разработан с учетом сценарных условий функционирования экономики Российской Федерации, основных параметров прогноза социально-эк</w:t>
      </w:r>
      <w:r>
        <w:rPr>
          <w:color w:val="000000" w:themeColor="text1"/>
          <w:sz w:val="28"/>
          <w:szCs w:val="28"/>
        </w:rPr>
        <w:t xml:space="preserve">ономического развития Российской Федерации на 2027 год и на плановый период 2028 и 2029 годов, ретроспективного анализа социально-экономического развития Ленинградской области, итогов социально-экономического развития за 2025 год и за январь-май 2026 года.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момента подготовки и одобрения прогноза социал</w:t>
      </w:r>
      <w:r>
        <w:rPr>
          <w:color w:val="000000" w:themeColor="text1"/>
          <w:sz w:val="28"/>
          <w:szCs w:val="28"/>
        </w:rPr>
        <w:t xml:space="preserve">ьно-экономического развития Ленинградской области на 2026-2028 годы (распоряжение Правительства Ленинградской области от 30.09.2025 № 584-р) темпы роста макроэкономических показателей существенно замедлились на фоне ожидаемого снижения внутреннего спроса. 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Рост мирового ВВП в 2025 году, как и </w:t>
      </w:r>
      <w:r>
        <w:rPr>
          <w:rFonts w:eastAsia="Malgun Gothic"/>
          <w:sz w:val="28"/>
          <w:szCs w:val="28"/>
        </w:rPr>
        <w:t xml:space="preserve">годом</w:t>
      </w:r>
      <w:r>
        <w:rPr>
          <w:rFonts w:eastAsia="Malgun Gothic"/>
          <w:sz w:val="28"/>
          <w:szCs w:val="28"/>
        </w:rPr>
        <w:t xml:space="preserve"> ранее, составил 3,4%</w:t>
      </w:r>
      <w:r>
        <w:rPr>
          <w:rFonts w:eastAsia="Malgun Gothic"/>
          <w:sz w:val="28"/>
          <w:szCs w:val="28"/>
        </w:rPr>
        <w:t xml:space="preserve">. По оценке Мирового валютного фонда, темп роста мировой экономики  в 2026 году составит 3,1%, в перспективе до 2029 года темпы роста мировой экономики могут сохраниться на уровне около 3,2% (в том числе в развитых странах – 1,7%, в развивающихся – 4,1%).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В среднесрочной перспективе ожидается сохранение или усиление следующих структурных сдвигов: повышение доли услуг в общем экспорте товаров и услуг, в том числе услу</w:t>
      </w:r>
      <w:r>
        <w:rPr>
          <w:rFonts w:eastAsia="Malgun Gothic"/>
          <w:sz w:val="28"/>
          <w:szCs w:val="28"/>
        </w:rPr>
        <w:t xml:space="preserve">г, поставляемых в цифровом формате, а также опережающий рост торговли продукцией, связанной с развитием «искусственного интеллекта», снижение доли торговли промежуточными товарами в общем объеме торговли из-за нарушения цепочек поставок и возросших рисков.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Мировая инфляция в 2025 году составила 4,1% в среднем за год, в 2026 году ожидается ускорение роста потребительских цен до 4,4%, в дальнейшем рост замедлится до 3,2% в среднем за год.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2025 году рост российской экономики замедлился до 1,0%. При этом за трехлетний период (2023-2025 гг.) ВВП увеличился более чем на 10% в реальном выражении (в том числе на 4,9% в 2024 году и на 4,1% в 2023 году).</w:t>
      </w:r>
      <w:r>
        <w:rPr>
          <w:sz w:val="28"/>
          <w:szCs w:val="28"/>
        </w:rPr>
        <w:t xml:space="preserve"> Основным драйвером роста выступал внутренний спрос: как потребительский, так и инвестиционный. Валовой региональный продукт Ленинградской области за 2025 год, по оценке, вырос на 1,9% от уровня 2024 года в сопоставимых ценах. 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Сценарные условия, основные параметры прогноза социально-экономического развития Российской Федерации на 2027 год </w:t>
      </w:r>
      <w:r>
        <w:rPr>
          <w:sz w:val="28"/>
          <w:szCs w:val="28"/>
        </w:rPr>
        <w:br/>
        <w:t xml:space="preserve">и на плановый период 2028 и 2029 годов разработаны в двух вариантах: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Базовый (вариант 2) прогноза характеризует основные тенденции и параметры развития экономики в условиях консервативного изменения внешних условий.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Консервативный (вариант 1) прогноза разрабатывается на основе консервативных оценок темпов эконом</w:t>
      </w:r>
      <w:r>
        <w:rPr>
          <w:sz w:val="28"/>
          <w:szCs w:val="28"/>
        </w:rPr>
        <w:t xml:space="preserve">ического роста с учетом возможности ухудшения внешнеэкономических условий: нарастание эскалации геополитических конфликтов, снижение экономической активности в экономике многих крупных стран, сокращение спроса на отдельные товары российского экспорта и др.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В рамках представленных сценарных условий по базовому варианту ожидается, что российская экономика в 2026 году возрастет на 0,4%</w:t>
      </w:r>
      <w:r>
        <w:rPr>
          <w:rFonts w:eastAsia="Malgun Gothic"/>
          <w:sz w:val="28"/>
          <w:szCs w:val="28"/>
        </w:rPr>
        <w:br/>
        <w:t xml:space="preserve">в реальном выражении относительно уровня 2025 года. Далее рост экономики будет ускоряться от 1,4% в 2027 году до 2,4% в 2029 году.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Промышленное производство в 2026 году будет демонстрировать ожидаемое замедление темпов роста - увеличится на 0,6 %, в том числе в обрабатывающей промышленности – на 1,0 процент. Далее объем промышленного производства будет расти на 2,1 – 2,5 % в год.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При этом в 2026 год</w:t>
      </w:r>
      <w:r>
        <w:rPr>
          <w:rFonts w:eastAsia="Malgun Gothic"/>
          <w:sz w:val="28"/>
          <w:szCs w:val="28"/>
        </w:rPr>
        <w:t xml:space="preserve">у продолжится снижение инвестиционной активности (на 1,5%) в условиях сохранения относительно дорогих заемных средств и сокращения прибыли организаций (сальдированный финансовый результат в 2025 году сократился на 3,9% после снижения на 6,9% годом ранее).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По мере смягчения денежно-кредитных условий рост инвестиций в основной капитал возобновится в 2027 году (прирост составит 2,0%). Сокращение 2025-2026 годов будет скомпенсировано по итогам 2028 года.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Инфляция продолжит замедляться и к концу 2026 года составит 5,2%</w:t>
      </w:r>
      <w:r/>
    </w:p>
    <w:p>
      <w:pPr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(декабрь к декабрю). Далее индекс потребительских цен будет расти на 4,0% в год в соответствии с </w:t>
      </w:r>
      <w:r>
        <w:rPr>
          <w:rFonts w:eastAsia="Malgun Gothic"/>
          <w:sz w:val="28"/>
          <w:szCs w:val="28"/>
        </w:rPr>
        <w:t xml:space="preserve">таргетом</w:t>
      </w:r>
      <w:r>
        <w:rPr>
          <w:rFonts w:eastAsia="Malgun Gothic"/>
          <w:sz w:val="28"/>
          <w:szCs w:val="28"/>
        </w:rPr>
        <w:t xml:space="preserve"> Банка России.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С учетом зафиксированного в начале года замедления роста потребительской активности суммарный оборот розничной торговли, общественного питания </w:t>
      </w:r>
      <w:r>
        <w:rPr>
          <w:rFonts w:eastAsia="Malgun Gothic"/>
          <w:sz w:val="28"/>
          <w:szCs w:val="28"/>
        </w:rPr>
        <w:t xml:space="preserve">и платных услуг населению в 2026 году увеличится на 1,2%. Далее рост потребительской активности ускорится. Так, прирост суммарного оборота розничной торговли, платных услуг населению и общественного питания возрастет с 2,4% в 2027 году до 3,1% в 2029 году.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rFonts w:eastAsia="Malgun Gothic"/>
          <w:sz w:val="28"/>
          <w:szCs w:val="28"/>
        </w:rPr>
        <w:t xml:space="preserve">К возможным рискам, сдерживающим экономический рост, </w:t>
      </w:r>
      <w:r>
        <w:rPr>
          <w:rFonts w:eastAsia="Malgun Gothic"/>
          <w:sz w:val="28"/>
          <w:szCs w:val="28"/>
        </w:rPr>
        <w:br/>
        <w:t xml:space="preserve">можно отнести замедление мировой экономики, эскалацию геополитических конфликтов, основным эффектом которых становится рост цен на энергоносители и другие категории товаров.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При прогнозировании макроэкономических индикаторов </w:t>
      </w:r>
      <w:r>
        <w:rPr>
          <w:sz w:val="28"/>
          <w:szCs w:val="28"/>
        </w:rPr>
        <w:br/>
        <w:t xml:space="preserve">социально-экономического развития Ленинградской области на период 2027 – 2029 годов было учтено влияние как традиционных, </w:t>
      </w:r>
      <w:r>
        <w:rPr>
          <w:sz w:val="28"/>
          <w:szCs w:val="28"/>
        </w:rPr>
        <w:br/>
        <w:t xml:space="preserve">так и сформировавшихся в 2022 году внешних и внутренних факторов </w:t>
      </w:r>
      <w:r>
        <w:rPr>
          <w:sz w:val="28"/>
          <w:szCs w:val="28"/>
        </w:rPr>
        <w:br/>
        <w:t xml:space="preserve">и ограничений, связанных с введением антироссийских санкций, </w:t>
      </w:r>
      <w:r>
        <w:rPr>
          <w:sz w:val="28"/>
          <w:szCs w:val="28"/>
        </w:rPr>
        <w:br/>
        <w:t xml:space="preserve">на преодоление которых направлены совместные действия Правительства Ленинградской области, органов исполнительной власти и местного самоуправления Ленинградской области, участников бизнес-сообщества </w:t>
      </w:r>
      <w:r>
        <w:rPr>
          <w:sz w:val="28"/>
          <w:szCs w:val="28"/>
        </w:rPr>
        <w:br/>
        <w:t xml:space="preserve">и общественных организаций.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На период 2027 – 2029 годов сохранится влияние внешних факторов развития Ленинградской области: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несбалансированность системы расселения и мест приложения труда на территории Санкт-Петербургской агломерации;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высокая доля инвестиционных вложений в инфраструктурные отрасли экономики;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изменившийся характер и направление внешнеэкономической деятельности Ленинградской области в связи с импортно-экспортными ограничениями со стороны стран Европейского союза;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рост конкуренции со стороны других регионов Северо-Запада </w:t>
      </w:r>
      <w:r>
        <w:rPr>
          <w:sz w:val="28"/>
          <w:szCs w:val="28"/>
        </w:rPr>
        <w:br/>
        <w:t xml:space="preserve">за инвестиции и логистические потоки;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усугубление дефицита квалифицированных кадров </w:t>
      </w:r>
      <w:r>
        <w:rPr>
          <w:sz w:val="28"/>
          <w:szCs w:val="28"/>
        </w:rPr>
        <w:br/>
        <w:t xml:space="preserve">в высокотехнологичных отраслях в связи с миграционными трендами, демографическими процессами, ростом востребованности удаленной занятости и </w:t>
      </w:r>
      <w:r>
        <w:rPr>
          <w:sz w:val="28"/>
          <w:szCs w:val="28"/>
        </w:rPr>
        <w:t xml:space="preserve">фриланса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рост числа противоправных действий и провокаций со стороны недружественных стран на границе Российской Федерации;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усиление климатических и экологических рисков, связанных </w:t>
      </w:r>
      <w:r>
        <w:rPr>
          <w:sz w:val="28"/>
          <w:szCs w:val="28"/>
        </w:rPr>
        <w:br/>
        <w:t xml:space="preserve">с хозяйственной деятельностью в Балтийском регионе; повышение частоты чрезвычайных ситуаций природного характера;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продолжение волатильности цен на сырьевые товары на мировых рынках;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экономическая политика государства в сфере налогового, таможенного регулирования и функционирования экономики, определяющая инвестиционную привлекательность региона.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К внутренним факторам развития Ленинградской области после введения антироссийских санкций относятся: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форсированная переориентация производственного сектора на политику </w:t>
      </w:r>
      <w:r>
        <w:rPr>
          <w:sz w:val="28"/>
          <w:szCs w:val="28"/>
        </w:rPr>
        <w:t xml:space="preserve">импортозамещения</w:t>
      </w:r>
      <w:r>
        <w:rPr>
          <w:sz w:val="28"/>
          <w:szCs w:val="28"/>
        </w:rPr>
        <w:t xml:space="preserve"> и освоение перспективных экспортных направлений (государства Юго-Восточной Азии, Африки и Латинской Америки);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нарастание уровня </w:t>
      </w:r>
      <w:r>
        <w:rPr>
          <w:sz w:val="28"/>
          <w:szCs w:val="28"/>
        </w:rPr>
        <w:t xml:space="preserve">дотационности</w:t>
      </w:r>
      <w:r>
        <w:rPr>
          <w:sz w:val="28"/>
          <w:szCs w:val="28"/>
        </w:rPr>
        <w:t xml:space="preserve"> ряда муниципальных образований, хозяйствующих субъектов и населения, что выражается в усилении их прямой зависимости от мер бюджетной поддержки;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транспортно-логистического потенциала в новых условиях;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повышение нагрузки на транспортную и социальную инфраструктуру;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развитие индустриальных (промышленных) парков и других зон роста;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необходимость обеспечения продовольственной безопасности, информационной безопасности, цифровой трансформации </w:t>
      </w:r>
      <w:r>
        <w:rPr>
          <w:sz w:val="28"/>
          <w:szCs w:val="28"/>
        </w:rPr>
        <w:br/>
        <w:t xml:space="preserve">и технологического переоснащения;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экологические риски, связанные с ростом хозяйственной деятельности и необходимостью рекультивации земель, ликвидацией несанкционированных свалок, созданием новых комплексов (объектов)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утилизации и размещению твердых коммунальных отходов </w:t>
      </w:r>
      <w:r>
        <w:rPr>
          <w:sz w:val="28"/>
          <w:szCs w:val="28"/>
        </w:rPr>
        <w:br/>
        <w:t xml:space="preserve">и отдельных видов промышленных отходов;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стремительная урбанизация части территорий Ленинградской области в зоне влияния Санкт-Петербургской агломерации с сохранением сельского образа жизни в других районах Ленинградской области;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пространственная поляризация социально-экономического развития с неравновесными темпами роста в различных муниципальных районах Ленинградской области;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усиление роли </w:t>
      </w:r>
      <w:r>
        <w:rPr>
          <w:sz w:val="28"/>
          <w:szCs w:val="28"/>
        </w:rPr>
        <w:t xml:space="preserve">внутрирегиональной</w:t>
      </w:r>
      <w:r>
        <w:rPr>
          <w:sz w:val="28"/>
          <w:szCs w:val="28"/>
        </w:rPr>
        <w:t xml:space="preserve"> кооперации.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Malgun Gothic"/>
          <w:sz w:val="28"/>
          <w:szCs w:val="28"/>
        </w:rPr>
      </w:pPr>
      <w:r>
        <w:rPr>
          <w:rFonts w:eastAsia="Malgun Gothic"/>
          <w:sz w:val="28"/>
          <w:szCs w:val="28"/>
        </w:rPr>
        <w:t xml:space="preserve">Несмотря на новые и традиционные внешние и внутренние риски, главная цель развития Ленинградской области остается неизменной – повышение уровня и качества жизни населения региона</w:t>
      </w:r>
      <w:r>
        <w:rPr>
          <w:rFonts w:eastAsia="Malgun Gothic"/>
          <w:sz w:val="28"/>
          <w:szCs w:val="28"/>
          <w:vertAlign w:val="superscript"/>
        </w:rPr>
        <w:footnoteReference w:id="2"/>
      </w:r>
      <w:r>
        <w:rPr>
          <w:rFonts w:eastAsia="Malgun Gothic"/>
          <w:sz w:val="28"/>
          <w:szCs w:val="28"/>
          <w:vertAlign w:val="superscript"/>
        </w:rPr>
        <w:t xml:space="preserve">.</w:t>
      </w:r>
      <w:r>
        <w:rPr>
          <w:rFonts w:eastAsia="Malgun Gothic"/>
          <w:sz w:val="28"/>
          <w:szCs w:val="28"/>
        </w:rPr>
        <w:t xml:space="preserve"> </w:t>
      </w:r>
      <w:r>
        <w:rPr>
          <w:rFonts w:eastAsia="Malgun Gothic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Актуальны</w:t>
      </w:r>
      <w:r>
        <w:rPr>
          <w:sz w:val="28"/>
          <w:szCs w:val="28"/>
        </w:rPr>
        <w:t xml:space="preserve">е параметры прогноза социально-экономического развития Ленинградской области на среднесрочный период позволяют адекватно отразить складывающиеся в 2026 году тенденции и оценивать перспективы, динамику и направления развития региона на среднесрочный период.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Прогноз социально-экономического развития Ленинградской области на 2027 – 2029 годы разработан в двух </w:t>
      </w:r>
      <w:r>
        <w:rPr>
          <w:sz w:val="28"/>
          <w:szCs w:val="28"/>
        </w:rPr>
        <w:t xml:space="preserve">сопоставимых </w:t>
      </w:r>
      <w:r>
        <w:rPr>
          <w:sz w:val="28"/>
          <w:szCs w:val="28"/>
        </w:rPr>
        <w:t xml:space="preserve">вариантах: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Основные показатели прогноза социально-экономического развития Ленинградской области на 2027 – 2029 годы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88"/>
        <w:tblW w:w="5000" w:type="pct"/>
        <w:tblLook w:val="04A0" w:firstRow="1" w:lastRow="0" w:firstColumn="1" w:lastColumn="0" w:noHBand="0" w:noVBand="1"/>
      </w:tblPr>
      <w:tblGrid>
        <w:gridCol w:w="3706"/>
        <w:gridCol w:w="1335"/>
        <w:gridCol w:w="1185"/>
        <w:gridCol w:w="1036"/>
        <w:gridCol w:w="1005"/>
        <w:gridCol w:w="1020"/>
      </w:tblGrid>
      <w:tr>
        <w:tblPrEx/>
        <w:trPr>
          <w:trHeight w:val="170"/>
        </w:trPr>
        <w:tc>
          <w:tcPr>
            <w:tcW w:w="1995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Наименование показателя</w:t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2025</w:t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отчет</w:t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2026</w:t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оценка</w:t>
            </w:r>
            <w:r>
              <w:rPr>
                <w:b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2027</w:t>
            </w:r>
            <w:r>
              <w:rPr>
                <w:b/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20</w:t>
            </w:r>
            <w:r>
              <w:rPr>
                <w:b/>
                <w:color w:val="000000" w:themeColor="text1"/>
              </w:rPr>
              <w:t xml:space="preserve">28</w:t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20</w:t>
            </w:r>
            <w:r>
              <w:rPr>
                <w:b/>
                <w:color w:val="000000" w:themeColor="text1"/>
              </w:rPr>
              <w:t xml:space="preserve">29</w:t>
            </w:r>
            <w:r>
              <w:rPr>
                <w:b/>
                <w:color w:val="000000" w:themeColor="text1"/>
                <w:lang w:val="en-US"/>
              </w:rPr>
            </w:r>
          </w:p>
        </w:tc>
      </w:tr>
      <w:tr>
        <w:tblPrEx/>
        <w:trPr>
          <w:trHeight w:val="170"/>
        </w:trPr>
        <w:tc>
          <w:tcPr>
            <w:tcW w:w="1995" w:type="pct"/>
            <w:vMerge w:val="continue"/>
            <w:textDirection w:val="lrTb"/>
            <w:noWrap w:val="false"/>
          </w:tcPr>
          <w:p>
            <w:pPr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gridSpan w:val="3"/>
            <w:tcW w:w="164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прогноз</w:t>
            </w:r>
            <w:r>
              <w:rPr>
                <w:b/>
                <w:color w:val="000000" w:themeColor="text1"/>
              </w:rPr>
            </w:r>
          </w:p>
        </w:tc>
      </w:tr>
    </w:tbl>
    <w:p>
      <w:pPr>
        <w:jc w:val="both"/>
        <w:shd w:val="clear" w:color="ffffff" w:themeColor="background1" w:fill="ffffff" w:themeFill="background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988"/>
        <w:tblW w:w="5000" w:type="pct"/>
        <w:tblLook w:val="04A0" w:firstRow="1" w:lastRow="0" w:firstColumn="1" w:lastColumn="0" w:noHBand="0" w:noVBand="1"/>
      </w:tblPr>
      <w:tblGrid>
        <w:gridCol w:w="3706"/>
        <w:gridCol w:w="1335"/>
        <w:gridCol w:w="1185"/>
        <w:gridCol w:w="1036"/>
        <w:gridCol w:w="1005"/>
        <w:gridCol w:w="1020"/>
      </w:tblGrid>
      <w:tr>
        <w:tblPrEx/>
        <w:trPr>
          <w:trHeight w:val="170"/>
          <w:tblHeader/>
        </w:trPr>
        <w:tc>
          <w:tcPr>
            <w:tcW w:w="1995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>
              <w:t xml:space="preserve">1</w:t>
            </w:r>
            <w:r/>
          </w:p>
        </w:tc>
        <w:tc>
          <w:tcPr>
            <w:tcW w:w="71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>
              <w:t xml:space="preserve">2</w:t>
            </w:r>
            <w:r/>
          </w:p>
        </w:tc>
        <w:tc>
          <w:tcPr>
            <w:tcW w:w="63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>
              <w:t xml:space="preserve">3</w:t>
            </w:r>
            <w:r/>
          </w:p>
        </w:tc>
        <w:tc>
          <w:tcPr>
            <w:gridSpan w:val="3"/>
            <w:tcW w:w="164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>
              <w:t xml:space="preserve">4</w:t>
            </w:r>
            <w:r/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Валовой региональный продукт,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1,9*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-0,1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0,5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1,4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1,5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Промышленность,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-3,4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-5,4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0,5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2,3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2,4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1,4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2,5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2,9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Сельское хозяйство,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-1,8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0,1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0,1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0,2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0,3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0,4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0,6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Инвестиции в основной капитал,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29,8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0,5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-1,0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-8,2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2,0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-7,1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Реальная заработная плата,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 xml:space="preserve">7,7</w:t>
            </w:r>
            <w:r>
              <w:rPr>
                <w:bCs/>
                <w:color w:val="000000" w:themeColor="text1"/>
                <w:lang w:val="en-US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1,6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2,0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2,1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3,0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3,0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Оборот розничной торговли, прирост/снижение</w:t>
            </w:r>
            <w:r>
              <w:t xml:space="preserve"> (%)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1,8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1,0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1,7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2,3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2,8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2,3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2,8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3,1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Индекс потребительских цен, прирост/снижение (% к дек. пред</w:t>
            </w:r>
            <w:r>
              <w:t xml:space="preserve">.</w:t>
            </w:r>
            <w:r>
              <w:t xml:space="preserve"> </w:t>
            </w:r>
            <w:r>
              <w:t xml:space="preserve">г</w:t>
            </w:r>
            <w:r>
              <w:t xml:space="preserve">ода)</w:t>
            </w:r>
            <w:r/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консервативный вариант</w:t>
            </w:r>
            <w:r/>
          </w:p>
        </w:tc>
        <w:tc>
          <w:tcPr>
            <w:tcW w:w="719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7,2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38" w:type="pct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6,0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6,0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3"/>
        </w:trPr>
        <w:tc>
          <w:tcPr>
            <w:tcW w:w="1995" w:type="pc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</w:pPr>
            <w:r>
              <w:t xml:space="preserve">базовый вариант</w:t>
            </w:r>
            <w:r/>
          </w:p>
        </w:tc>
        <w:tc>
          <w:tcPr>
            <w:tcW w:w="719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" w:type="pct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5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5,5</w:t>
            </w:r>
            <w:r>
              <w:rPr>
                <w:color w:val="000000" w:themeColor="text1"/>
              </w:rPr>
            </w:r>
          </w:p>
        </w:tc>
        <w:tc>
          <w:tcPr>
            <w:tcW w:w="541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4,0</w:t>
            </w:r>
            <w:r>
              <w:rPr>
                <w:color w:val="000000" w:themeColor="text1"/>
              </w:rPr>
            </w:r>
          </w:p>
        </w:tc>
        <w:tc>
          <w:tcPr>
            <w:tcW w:w="549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4,0</w:t>
            </w:r>
            <w:r>
              <w:rPr>
                <w:color w:val="000000" w:themeColor="text1"/>
              </w:rPr>
            </w:r>
          </w:p>
        </w:tc>
      </w:tr>
    </w:tbl>
    <w:p>
      <w:pPr>
        <w:ind w:firstLine="709"/>
        <w:jc w:val="both"/>
        <w:shd w:val="clear" w:color="ffffff" w:themeColor="background1" w:fill="ffffff" w:themeFill="background1"/>
        <w:rPr>
          <w:sz w:val="20"/>
          <w:szCs w:val="28"/>
        </w:rPr>
      </w:pPr>
      <w:r>
        <w:rPr>
          <w:sz w:val="20"/>
          <w:szCs w:val="28"/>
        </w:rPr>
        <w:t xml:space="preserve">____________</w:t>
      </w:r>
      <w:r>
        <w:rPr>
          <w:sz w:val="20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0"/>
          <w:szCs w:val="28"/>
        </w:rPr>
      </w:pPr>
      <w:r>
        <w:rPr>
          <w:sz w:val="20"/>
          <w:szCs w:val="28"/>
        </w:rPr>
        <w:t xml:space="preserve">* Оценочные данные.</w:t>
      </w:r>
      <w:r>
        <w:rPr>
          <w:sz w:val="20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Для формирования параметров консолидированного бюджета Ленинградской области на среднесрочный период в качестве основного рекомендован базовый вариант</w:t>
      </w:r>
      <w:r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Итоги социально-экономического развития Ленинградской области</w:t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за 2025 год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Основной задачей для экономики Ленинградской области в 2025 году было сохранение ранее достигнутого уровня экономического потенциала на фоне высокой базы двух предыдущих лет.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Экономика региона вошла в период «охлаждения», который характеризуется замедлением темпов экономического роста и промышленного производства.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 официально опубликованным данным Росстата по итогам 2025 года индекс промышленного производства по полному кругу предприятий в Ленинградской области составил 96,6% к 2024 году, по обрабатывающей промышленности – 95,2%.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За 2025 год положительную динамику производства показали организации 12-ти (из 24) классов обрабатывающей промышленности. Наибольший прирост от</w:t>
      </w:r>
      <w:r>
        <w:rPr>
          <w:sz w:val="28"/>
          <w:szCs w:val="28"/>
        </w:rPr>
        <w:t xml:space="preserve">мечен в производстве кожи и изделий из кожи (в 3,7 р.), лекарственных средств и материалов, применяемых в медицинских целях и ветеринарии (на 16,3%), автотранспортных средств, прицепов и полуприцепов (на 12,4%), текстильных изделий (на 11,2% к 2024 году).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Из ключевых отраслей промышленности региона необходимо отметить стабильную динамику прироста производства бумаги и бумажных изделий (на 4,8%), кокса и нефтепродуктов (на 3,2%), маш</w:t>
      </w:r>
      <w:r>
        <w:rPr>
          <w:sz w:val="28"/>
          <w:szCs w:val="28"/>
        </w:rPr>
        <w:t xml:space="preserve">ин и оборудования, не включенных в другие группировки (на 1,4%), пищевых продуктов (на 0,6%), химических веществ и химических продуктов (на 0,3% к 2024 году). Эти пять превалирующих отраслей в сумме составляют почти 51% отгрузки обрабатывающих производств.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Основное отрицательное влияние на темп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промышленного производства оказало снижение на 46,4% объемов продукции по производству прочих транспортных средств и оборудования.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Высокий инвестиционный потенциал Ленинградской области и привлекательность региона, как территории для успешного ведения бизнеса, подтверждает стабильный рост инвестиций в основной капитал.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Пятый год подря</w:t>
      </w:r>
      <w:r>
        <w:rPr>
          <w:sz w:val="28"/>
          <w:szCs w:val="28"/>
        </w:rPr>
        <w:t xml:space="preserve">д в Ленинградской области сохраняются высокие темпы роста вложенных инвестиций: за период 2021-2025 годы реальный рост инвестиций составил 2,6 раза (в 2025  году – 129,8% к 2024 году). В 2025 году объем инвестиций в основной капитал составил рекордные 1,6 </w:t>
      </w:r>
      <w:r>
        <w:rPr>
          <w:sz w:val="28"/>
          <w:szCs w:val="28"/>
        </w:rPr>
        <w:t xml:space="preserve">трлн</w:t>
      </w:r>
      <w:r>
        <w:rPr>
          <w:sz w:val="28"/>
          <w:szCs w:val="28"/>
        </w:rPr>
        <w:t xml:space="preserve"> рублей.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 производства продукции сельского хозяйства за 2025 год составил 169,0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рублей, индекс производства к уровню 2024 года – 98,2%.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Инфляция в Ленинградской области (к декабрю 2024 года) сложилась на уровне 107,2%.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Потребление населения продолжало расти: оборот розничной торговли вырос на 1,8%, платные услуги – на 6,9% к 2024 году.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Наблюдался существенный рост реальной зарплаты – 7,7%, номинальная заработная плата в 2025 году составила 96 716 руб. (прирост на 17,9%).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Уровень безработицы составил 0,2%.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Достижения и успехи Ленинградской области также подтверждаются различными независимыми рейтингами по итогам 2025 года: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- 1 место в Рейтинге субъектов контроля (КНД), проводимом Минэкономразвития России;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- 4 место в рейтинге регионов по вводу жилья (ООО «Рейтинговое агентство «РИА Рейтинг»);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- 4 место в рейтинге эффективности управления (Агентство политических и экономических коммуникаций (АПЭК));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- 4 место в рейтинге регионов по реальным денежным доходам (Минэкономразвития России);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- 6 место по объему инвестиций в основной капитал (Минэкономразвития России);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- 7 место в рейтинге качества жизни в российских регионах (ООО «Рейтинговое агентство «РИА Рейтинг»);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- 16 места в Итоговом рейтинге регионов (РИА Рейтинг) и Национальном туристическом рейтинге (ЦИК Рейтинг).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Валовой региональный продукт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2024 году объем валового регионального продукта Ленинградской области (далее - ВРП) составил 2 404,1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рублей, что на 12,4% выше уровня 2023 года в сопоставимых ценах.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 оценке 2025 года ВРП области достиг уровня 2,6 </w:t>
      </w:r>
      <w:r>
        <w:rPr>
          <w:sz w:val="28"/>
          <w:szCs w:val="28"/>
        </w:rPr>
        <w:t xml:space="preserve">трлн</w:t>
      </w:r>
      <w:r>
        <w:rPr>
          <w:sz w:val="28"/>
          <w:szCs w:val="28"/>
        </w:rPr>
        <w:t xml:space="preserve"> рублей (101,9% к 2024 году).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Основная часть валового регионального продукта (около 76% от общего объема) создается в реальном секторе экономики: промышленном производстве, строительстве, на транспорте и связи, в оптовой и розничной торговле и сельском хозяйстве.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Изменение структуры валового регионального продукта</w:t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Ленинградской области за период 2018 – 2024 годов (в процентах)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49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2"/>
        <w:gridCol w:w="885"/>
        <w:gridCol w:w="884"/>
        <w:gridCol w:w="884"/>
        <w:gridCol w:w="884"/>
        <w:gridCol w:w="884"/>
        <w:gridCol w:w="884"/>
        <w:gridCol w:w="821"/>
      </w:tblGrid>
      <w:tr>
        <w:tblPrEx/>
        <w:trPr>
          <w:jc w:val="center"/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Год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2018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2019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2020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2021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2022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2023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2024</w:t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ВРП - всего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113"/>
              <w:shd w:val="clear" w:color="ffffff" w:themeColor="background1" w:fill="ffffff" w:themeFill="background1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в том числе:</w:t>
            </w:r>
            <w:r>
              <w:rPr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75,3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76,4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72,2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74,7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74,5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74,4</w:t>
            </w:r>
            <w:r>
              <w:rPr>
                <w:b/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75,9</w:t>
            </w:r>
            <w:r>
              <w:rPr>
                <w:i/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465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Промышленность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37,4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39,6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35,5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39,3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37,9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36,0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34,7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465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10,3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8,2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7,2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8,8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12,9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465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Транспортировка и хранение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12,6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13,6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13,4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12,8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13,1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14,6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14,6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465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Торговля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10,3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10,4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10,1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9,6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7" w:type="dxa"/>
            <w:vAlign w:val="center"/>
            <w:textDirection w:val="lrTb"/>
            <w:noWrap w:val="false"/>
          </w:tcPr>
          <w:p>
            <w:pPr>
              <w:ind w:left="465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Сельское хозяйство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5,2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5,0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4,1</w:t>
            </w:r>
            <w:r>
              <w:rPr>
                <w:color w:val="000000" w:themeColor="text1"/>
              </w:rPr>
            </w:r>
          </w:p>
        </w:tc>
      </w:tr>
    </w:tbl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2026 году ВРП области прогнозируется на уровне 2,7 </w:t>
      </w:r>
      <w:r>
        <w:rPr>
          <w:sz w:val="28"/>
          <w:szCs w:val="28"/>
        </w:rPr>
        <w:t xml:space="preserve">трлн</w:t>
      </w:r>
      <w:r>
        <w:rPr>
          <w:sz w:val="28"/>
          <w:szCs w:val="28"/>
        </w:rPr>
        <w:t xml:space="preserve"> руб. Снижение реального ВРП области (99% к 2025 году) обусловлено спадом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промышленности, консервативными темпами роста инвестиционного и потребительского спроса на фоне сохраняющегося </w:t>
      </w:r>
      <w:r>
        <w:rPr>
          <w:sz w:val="28"/>
          <w:szCs w:val="28"/>
        </w:rPr>
        <w:t xml:space="preserve">санкционного</w:t>
      </w:r>
      <w:r>
        <w:rPr>
          <w:sz w:val="28"/>
          <w:szCs w:val="28"/>
        </w:rPr>
        <w:t xml:space="preserve"> давления.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На период 2027-2029 г</w:t>
      </w:r>
      <w:r>
        <w:rPr>
          <w:sz w:val="28"/>
          <w:szCs w:val="28"/>
        </w:rPr>
        <w:t xml:space="preserve">одов с учетом прогнозируемых положительных темпов роста показателей развития в важнейших отраслях экономики индекс физического объема ВРП в 2029 году составит 105,6% к 2026 году (среднегодовой прирост – 1,8% по базовому варианту и 1,0% по консервативному).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2027-2029 годах </w:t>
      </w:r>
      <w:r>
        <w:rPr>
          <w:sz w:val="28"/>
          <w:szCs w:val="28"/>
        </w:rPr>
        <w:t xml:space="preserve">средний ежегодный прирост промышленного производства прогнозируется на уровне до 1,7% (по консервативному варианту) и</w:t>
      </w:r>
      <w:r>
        <w:rPr>
          <w:sz w:val="28"/>
          <w:szCs w:val="28"/>
        </w:rPr>
        <w:t xml:space="preserve"> до 2,3% (по базовому варианту), сельскохозяйственного производства – от 0,1% до 0,4%, объема работ по виду деятельности «строительство» – от 1,3% до 2,0%, оборота розничной торговли – от 2,3% до 2,7%, объема платных услуг – от 2,0% до 2,4% соответственно.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Важным фактором формирования роста ВРП в 2027-2029 годах является реализация крупных инвестиционных проектов, и, как следствие, объем инвестиционных вложений в Ленинградской области составит не менее 1,7 </w:t>
      </w:r>
      <w:r>
        <w:rPr>
          <w:sz w:val="28"/>
          <w:szCs w:val="28"/>
        </w:rPr>
        <w:t xml:space="preserve">трлн</w:t>
      </w:r>
      <w:r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 xml:space="preserve">ежегодно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среднесрочной перспективе до 2029 года важным фактором </w:t>
      </w:r>
      <w:r>
        <w:rPr>
          <w:sz w:val="28"/>
          <w:szCs w:val="28"/>
        </w:rPr>
        <w:t xml:space="preserve">экономического </w:t>
      </w:r>
      <w:r>
        <w:rPr>
          <w:sz w:val="28"/>
          <w:szCs w:val="28"/>
        </w:rPr>
        <w:t xml:space="preserve">роста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Ленинградской области станет ре</w:t>
      </w:r>
      <w:r>
        <w:rPr>
          <w:sz w:val="28"/>
          <w:szCs w:val="28"/>
        </w:rPr>
        <w:t xml:space="preserve">ализация проектов в сфере промышленности, транспорта и логистики (развитие морских торговых портов и проекты строительства отдельных терминалов), рост производства в отдельных отраслях обрабатывающей промышленности, высокие объемы жилищного строительства. 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результате в соответствии с базовым вариантом прогноза ВРП в 2029 году составит 3 265,4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 (прирост на 5,6% к уровню 2026 года в сопоставимых ценах), по консервативному варианту – 3 107,2 млрд руб. (на 1,0% к 2026 году). 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Промышленное производство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Почти 35% экономического потенциала области формируется промышленным комплексом, в котором заняты 23% общей численности </w:t>
      </w:r>
      <w:r>
        <w:rPr>
          <w:sz w:val="28"/>
          <w:szCs w:val="28"/>
        </w:rPr>
        <w:t xml:space="preserve">занятых</w:t>
      </w:r>
      <w:r>
        <w:rPr>
          <w:sz w:val="28"/>
          <w:szCs w:val="28"/>
        </w:rPr>
        <w:t xml:space="preserve"> в экономике Ленинградской области. Промышленный комплекс Ленинградской области представлен развитой электроэнергетикой и 24 классами обрабатывающих производств.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2025 году индекс промышленного производства (далее – ИПП) по полному кругу предприятий составил 96,6%, в том числе: в добыче полезных ископаемых – 8</w:t>
      </w:r>
      <w:r>
        <w:rPr>
          <w:sz w:val="28"/>
          <w:szCs w:val="28"/>
        </w:rPr>
        <w:t xml:space="preserve">1,7%, в обрабатывающих производствах – 95,2%, в обеспечении электрической энергией, газом и паром, кондиционировании воздуха – 102,1%; в водоснабжении, водоотведении, организации сбора и утилизации отходов, деятельности по ликвидации загрязнений – 107,9%.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Около 86% областной промышленности приходится на долю обрабатывающих производств с неоднородной динамикой развития.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 итогам 2025 года положительную динамику производства показали организации 12-ти (из 24) классов обрабатывающей промышленности. Наибольший прирост от</w:t>
      </w:r>
      <w:r>
        <w:rPr>
          <w:sz w:val="28"/>
          <w:szCs w:val="28"/>
        </w:rPr>
        <w:t xml:space="preserve">мечен в производстве кожи и изделий из кожи (в 3,7 р.), лекарственных средств и материалов, применяемых в медицинских целях и ветеринарии (на 16,3%), автотранспортных средств, прицепов и полуприцепов (на 12,4%), текстильных изделий (на 11,2% к 2024 году).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Из ключевых отраслей промышленности региона необходимо отметить стабильную динамику прироста производства бумаги и бумажных изделий (на 4,8%), кокса и нефтепродуктов (на 3,2%), маш</w:t>
      </w:r>
      <w:r>
        <w:rPr>
          <w:sz w:val="28"/>
          <w:szCs w:val="28"/>
        </w:rPr>
        <w:t xml:space="preserve">ин и оборудования, не включенных в другие группировки (на 1,4%), пищевых продуктов (на 0,6%), химических веществ и химических продуктов (на 0,3% к 2024 году). Эти пять превалирующих отраслей в сумме составляют почти 51% отгрузки обрабатывающих производств.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Основное отрицательное влияние на снижение темпов промышленного производства оказало снижение на 46,4% объемов продукции по производству прочих транспортных средств и оборудования.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 учетом замедления развития промышленного потенциала области повышается потребность предприятий области в мерах государственной поддержки, которые реализуются в регионе.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Востребованными мерами поддержки предприятий остаютс</w:t>
      </w:r>
      <w:r>
        <w:rPr>
          <w:sz w:val="28"/>
          <w:szCs w:val="28"/>
        </w:rPr>
        <w:t xml:space="preserve">я налоговые льготы в виде обнуления налога на имущество и пониженной ставки налога на прибыль. По итогам 2025 года заключено 10 договоров о предоставлении режима государственной поддержки инвестиционной деятельности с общим объемом вложений в размере 47,0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рублей. В реестр участников региональных инвестиционных проектов включено 5 организаций, реализующих инвестиционные проекты с общим объемом инвестиций в размере 8,8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2025 го</w:t>
      </w:r>
      <w:r>
        <w:rPr>
          <w:sz w:val="28"/>
          <w:szCs w:val="28"/>
        </w:rPr>
        <w:t xml:space="preserve">ду в целях стимулирования венчурных инвестиций и развития на территории Ленинградской области быстрорастущих высокотехнологичных компаний введен новый инструмент снижения налоговой нагрузки по налогу на прибыль организаций - инвестиционный налоговый вычет.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b/>
          <w:bCs/>
          <w:iCs/>
          <w:color w:val="000000" w:themeColor="text1"/>
          <w:sz w:val="28"/>
          <w:szCs w:val="28"/>
        </w:rPr>
        <w:t xml:space="preserve">В 2026 году</w:t>
      </w:r>
      <w:r>
        <w:rPr>
          <w:iCs/>
          <w:color w:val="000000" w:themeColor="text1"/>
          <w:sz w:val="28"/>
          <w:szCs w:val="28"/>
        </w:rPr>
        <w:t xml:space="preserve"> индекс промышленного производства по полному кругу предприятий оценивается на уровне 94,6%, в обрабатывающей промышленности – на уровне 92,4%.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iCs/>
          <w:color w:val="000000" w:themeColor="text1"/>
          <w:sz w:val="28"/>
          <w:szCs w:val="28"/>
        </w:rPr>
        <w:t xml:space="preserve">В формировании сводного индекса промышленного производства ключевую роль </w:t>
      </w:r>
      <w:r>
        <w:rPr>
          <w:iCs/>
          <w:color w:val="000000" w:themeColor="text1"/>
          <w:sz w:val="28"/>
          <w:szCs w:val="28"/>
          <w:highlight w:val="white"/>
        </w:rPr>
        <w:t xml:space="preserve">играют восемь базовых отраслей. Рост в 4 отраслях лишь частично компенсирует спад в других четырех: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резиновых и пластмассовых изделий – 105,0%,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бумаги и бумажных изделий – 103,0%,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пищевых продуктов – 100,3%,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химических веществ и химических продуктов – 100,3%,</w:t>
      </w:r>
      <w:r>
        <w:rPr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табачных изделий – 99%,</w:t>
      </w:r>
      <w:r>
        <w:rPr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прочей неметаллической минеральной продукции – 91,2%,</w:t>
      </w:r>
      <w:r>
        <w:rPr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кокса и нефтепродуктов – 85,0%,</w:t>
      </w:r>
      <w:r>
        <w:rPr>
          <w:highlight w:val="white"/>
        </w:rPr>
      </w:r>
    </w:p>
    <w:p>
      <w:pPr>
        <w:pStyle w:val="979"/>
        <w:numPr>
          <w:ilvl w:val="0"/>
          <w:numId w:val="38"/>
        </w:numPr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производство прочих транспортных средств и оборудования – 60,0%.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  <w:highlight w:val="white"/>
        </w:rPr>
        <w:t xml:space="preserve">Драйверами минимального роста выступят производство резины и пластмассы (+5%) и целлюлозно-бумажная промышленность (+3%). Однако этот рост нивелируется глубоким кризисом в транспортном машиностроении (-40%) и существенным падением выпуска в нефтеперер</w:t>
      </w:r>
      <w:r>
        <w:rPr>
          <w:iCs/>
          <w:color w:val="000000" w:themeColor="text1"/>
          <w:sz w:val="28"/>
          <w:szCs w:val="28"/>
        </w:rPr>
        <w:t xml:space="preserve">аботке (-15%). </w:t>
      </w:r>
      <w:r>
        <w:rPr>
          <w:iCs/>
          <w:color w:val="000000" w:themeColor="text1"/>
          <w:sz w:val="28"/>
          <w:szCs w:val="28"/>
        </w:rPr>
        <w:t xml:space="preserve">Не выше предыдущих </w:t>
      </w:r>
      <w:r>
        <w:rPr>
          <w:iCs/>
          <w:color w:val="000000" w:themeColor="text1"/>
          <w:sz w:val="28"/>
          <w:szCs w:val="28"/>
        </w:rPr>
        <w:t xml:space="preserve">значений прогнозируется динамика в производстве пищевых продуктов – рост на 0,3% и в производстве химических веществ и химических продуктов – рост на 0,3%.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Помимо ключевых секторов, снижение индекса промышленного производства прогнозируется еще в восьми отраслях с небольшой удельной долей</w:t>
      </w:r>
      <w:r>
        <w:rPr>
          <w:iCs/>
          <w:color w:val="000000" w:themeColor="text1"/>
          <w:sz w:val="28"/>
          <w:szCs w:val="28"/>
        </w:rPr>
        <w:t xml:space="preserve"> в промышленном комплексе</w:t>
      </w:r>
      <w:r>
        <w:rPr>
          <w:iCs/>
          <w:color w:val="000000" w:themeColor="text1"/>
          <w:sz w:val="28"/>
          <w:szCs w:val="28"/>
        </w:rPr>
        <w:t xml:space="preserve">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Наибольшее падение о</w:t>
      </w:r>
      <w:r>
        <w:rPr>
          <w:iCs/>
          <w:color w:val="000000" w:themeColor="text1"/>
          <w:sz w:val="28"/>
          <w:szCs w:val="28"/>
        </w:rPr>
        <w:t xml:space="preserve">жидается в полиграфии (-40%) и производстве компьютеров, электронных и оптических изделий (-20%). Умеренный спад прогнозируется в обработке древесины (-14%), металлургии (-10%) и производстве электрического оборудования (-9%). Основной причиной сокращения </w:t>
      </w:r>
      <w:r>
        <w:rPr>
          <w:iCs/>
          <w:color w:val="000000" w:themeColor="text1"/>
          <w:sz w:val="28"/>
          <w:szCs w:val="28"/>
        </w:rPr>
        <w:t xml:space="preserve">выпуска стало уменьшение производства конкретных товарных позиций крупными игроками. На этом фоне выделяются два сегмента-лидера: ремонт и монтаж оборудования (+30%) и выпуск прочих готовых изделий (+10%), чей рост поддерживается стабильно высоким спросом.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В Ленинградской области продолжается реализация мероприятий по дополнительным мерам поддержки промышленных предприятий в сложившихся экономических условиях: 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1. Льготное заемное финансирование - предоставляется на проекты, направленные на </w:t>
      </w:r>
      <w:r>
        <w:rPr>
          <w:iCs/>
          <w:color w:val="000000" w:themeColor="text1"/>
          <w:sz w:val="28"/>
          <w:szCs w:val="28"/>
        </w:rPr>
        <w:t xml:space="preserve">импортозамещение</w:t>
      </w:r>
      <w:r>
        <w:rPr>
          <w:iCs/>
          <w:color w:val="000000" w:themeColor="text1"/>
          <w:sz w:val="28"/>
          <w:szCs w:val="28"/>
        </w:rPr>
        <w:t xml:space="preserve"> и производство конкурентоспособной продукции. 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2. Субсидии - выделяются из областного бюджета для реализации региональных программ развития промышленности.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3. Инвестиционный налоговый в</w:t>
      </w:r>
      <w:r>
        <w:rPr>
          <w:iCs/>
          <w:color w:val="000000" w:themeColor="text1"/>
          <w:sz w:val="28"/>
          <w:szCs w:val="28"/>
        </w:rPr>
        <w:t xml:space="preserve">ычет - инструмент снижения налоговой нагрузки по налогу на прибыль организаций, представляет собой принцип ускоренной амортизации, когда на стоимость приобретения оборудования можно уменьшить не налоговую базу по налогу на прибыль, а сам исчисленный налог.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Важную роль в становлении региональной экономики сыграли инвестиционные льготы, пре</w:t>
      </w:r>
      <w:r>
        <w:rPr>
          <w:iCs/>
          <w:color w:val="000000" w:themeColor="text1"/>
          <w:sz w:val="28"/>
          <w:szCs w:val="28"/>
          <w:highlight w:val="white"/>
        </w:rPr>
        <w:t xml:space="preserve">доставляемые Правительством Ленинградской области при инвестировании в реальный сектор. Приоритет был отдан развитию таких направлений, как транспортное машиностроение, строительные материалы, химия и нефтехимия, лесопромышленный комплекс, логистика и АПК.</w:t>
      </w:r>
      <w:r>
        <w:rPr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Реализация этих мер привела к конкретным результатам. В рамках проектов со статусом наибольшего благоприятствования были введены в эксплуатацию новые производственные мощности, что позволило создать тысячи новых рабочих мест.</w:t>
      </w:r>
      <w:r>
        <w:rPr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На сегодняшний день это сформировало устойчиво</w:t>
      </w:r>
      <w:r>
        <w:rPr>
          <w:iCs/>
          <w:color w:val="000000" w:themeColor="text1"/>
          <w:sz w:val="28"/>
          <w:szCs w:val="28"/>
          <w:highlight w:val="white"/>
        </w:rPr>
        <w:t xml:space="preserve">е промышленное ядро из восьми отраслей: пищевой промышленности, выпуска табака, бумаги, кокса и нефтепродуктов, резины и пластмассы, транспорта, химии и минеральных продуктов. Данные секторы определяют современное социально-экономическое состояние региона.</w:t>
      </w:r>
      <w:r>
        <w:rPr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В прогнозируемом периоде </w:t>
      </w:r>
      <w:r>
        <w:rPr>
          <w:b/>
          <w:bCs/>
          <w:iCs/>
          <w:color w:val="000000" w:themeColor="text1"/>
          <w:sz w:val="28"/>
          <w:szCs w:val="28"/>
        </w:rPr>
        <w:t xml:space="preserve">2027-2029 годов</w:t>
      </w:r>
      <w:r>
        <w:rPr>
          <w:iCs/>
          <w:color w:val="000000" w:themeColor="text1"/>
          <w:sz w:val="28"/>
          <w:szCs w:val="28"/>
        </w:rPr>
        <w:t xml:space="preserve"> в  промышленности ожидается в среднем умеренный рос</w:t>
      </w:r>
      <w:r>
        <w:rPr>
          <w:iCs/>
          <w:color w:val="000000" w:themeColor="text1"/>
          <w:sz w:val="28"/>
          <w:szCs w:val="28"/>
        </w:rPr>
        <w:t xml:space="preserve">т по обоим вариантам прогноза: в среднем на 1,7% ежегодно по консервативному варианту и на 2,3% ежегодно по базовому варианту; по обрабатывающей промышленности: в среднем на 2,0% ежегодно по консервативному варианту и на 2,6% ежегодно по базовому варианту.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</w:pPr>
      <w:r>
        <w:rPr>
          <w:iCs/>
          <w:color w:val="000000" w:themeColor="text1"/>
          <w:sz w:val="28"/>
          <w:szCs w:val="28"/>
        </w:rPr>
        <w:t xml:space="preserve">Прогноз обусловлен развитием основных от</w:t>
      </w:r>
      <w:r>
        <w:rPr>
          <w:iCs/>
          <w:color w:val="000000" w:themeColor="text1"/>
          <w:sz w:val="28"/>
          <w:szCs w:val="28"/>
        </w:rPr>
        <w:t xml:space="preserve">раслей обрабатывающей промышленности, таких как производство пищевых продуктов, бумаги и бумажных изделий, кокса и нефтепродуктов, резиновых и пластмассовых изделий, химических веществ и химических продуктов, а также восстановлением отрасли машиностроения.</w:t>
      </w:r>
      <w:r/>
    </w:p>
    <w:p>
      <w:pPr>
        <w:contextualSpacing/>
        <w:ind w:firstLine="709"/>
        <w:jc w:val="both"/>
        <w:shd w:val="clear" w:color="ffffff" w:themeColor="background1" w:fill="ffffff" w:themeFill="background1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Также прогнозируется, что ввод в эксплуатацию объектов капитального строительства в рамках крупных инвестиционных проектов на территории Ленинградской области в среднесрочной перспективе приведет к увеличению производственных мощностей.</w:t>
      </w:r>
      <w:r>
        <w:rPr>
          <w:iCs/>
          <w:color w:val="000000" w:themeColor="text1"/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 производства продукции сельского хозяйства в Ленинградской области в 2025 году составил 169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руб., индекс </w:t>
      </w:r>
      <w:r>
        <w:rPr>
          <w:sz w:val="28"/>
          <w:szCs w:val="28"/>
        </w:rPr>
        <w:t xml:space="preserve">пр</w:t>
      </w:r>
      <w:r>
        <w:rPr>
          <w:sz w:val="28"/>
          <w:szCs w:val="28"/>
        </w:rPr>
        <w:t xml:space="preserve">оизводства продукции сельского хозяйства – 98,2%. На отрицательную динамику в отрасли повлияло снижение производства продукции растениеводства, индекс которого составил 93%. При этом индекс объема производства продукции животноводства в 2025 году – 100,3%.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Ленинградская область, расположенная в зоне рискованного земледелия, сталкивается с существенными агроклиматическими вызовами. В 2025 году из-за не</w:t>
      </w:r>
      <w:r>
        <w:rPr>
          <w:sz w:val="28"/>
          <w:szCs w:val="28"/>
        </w:rPr>
        <w:t xml:space="preserve">благоприятных погодных условий хозяйства не смоги завершить посадку картофеля, овощей, зерновых и кормовых культур. На протяжении 57 дней (в период с 22 мая по 17 июля 2025 года) на территории региона было зафиксировано переувлажнение верхних слоев почвы.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Агрономическими службами хозяйств были приняты все необходимые меры, позволившие заготовить корма для отрасли животноводства выше среднего показателя за последние 5 лет.</w:t>
      </w:r>
      <w:r>
        <w:rPr>
          <w:sz w:val="28"/>
          <w:szCs w:val="28"/>
        </w:rPr>
        <w:t xml:space="preserve"> По итогам года на 1 </w:t>
      </w:r>
      <w:r>
        <w:rPr>
          <w:sz w:val="28"/>
          <w:szCs w:val="28"/>
        </w:rPr>
        <w:t xml:space="preserve">усл</w:t>
      </w:r>
      <w:r>
        <w:rPr>
          <w:sz w:val="28"/>
          <w:szCs w:val="28"/>
        </w:rPr>
        <w:t xml:space="preserve">. голову для зимне-стойлового периода 2025-2026 годов было заготовлено 30 ц кормовых ед. грубых и сочных кормов – 120% к плану (25,0 ц кормовых ед.) при нормах потребления 17 ц кормовых единиц.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Объемы прои</w:t>
      </w:r>
      <w:r>
        <w:rPr>
          <w:sz w:val="28"/>
          <w:szCs w:val="28"/>
        </w:rPr>
        <w:t xml:space="preserve">зводства продукции растениеводства в 2025 году в хозяйствах всех категорий: зерновые культуры – 144,8 тыс. тонн; масличные культуры – 17,2 тыс. тонн; картофель – 144,4 тыс. тонн; овощи – 170 тыс. тонн; плоды и ягоды – 49,6 тыс. тонн; грибы – 9,5 тыс. тонн.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Объемы производства продукции животноводства в хозяйствах всех категорий в 2025 году: мясо скота и птицы – 363,9 тыс. тонн; молоко – 726,5 тыс. тонн; яйца – 3772,6 </w:t>
      </w:r>
      <w:r>
        <w:rPr>
          <w:sz w:val="28"/>
          <w:szCs w:val="28"/>
        </w:rPr>
        <w:t xml:space="preserve">млн</w:t>
      </w:r>
      <w:r>
        <w:rPr>
          <w:sz w:val="28"/>
          <w:szCs w:val="28"/>
        </w:rPr>
        <w:t xml:space="preserve"> шт.; надой молока на 1 корову (в </w:t>
      </w:r>
      <w:r>
        <w:rPr>
          <w:sz w:val="28"/>
          <w:szCs w:val="28"/>
        </w:rPr>
        <w:t xml:space="preserve">сельхозорганизациях</w:t>
      </w:r>
      <w:r>
        <w:rPr>
          <w:sz w:val="28"/>
          <w:szCs w:val="28"/>
        </w:rPr>
        <w:t xml:space="preserve">) – 10 197 кг.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Ежегодный объем производства товарной рыбной продукции составляет более 70 тыс. тонн. </w:t>
      </w:r>
      <w:r>
        <w:rPr>
          <w:sz w:val="28"/>
          <w:szCs w:val="28"/>
        </w:rPr>
        <w:t xml:space="preserve">В 2025 году объем добычи водных биоресурсов составил 31,16 тыс. тонн, это рекордный показатель за последние 30 лет.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Аквакультура</w:t>
      </w:r>
      <w:r>
        <w:rPr>
          <w:sz w:val="28"/>
          <w:szCs w:val="28"/>
        </w:rPr>
        <w:t xml:space="preserve"> (рыбоводство) по-прежнему является динамично развивающимся направлением в регионе. За 2025 год выращено 9,66 тыс. тонн, реализовано – 4,8 тыс. тонн продукции товарного рыбоводства.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По оценке в 2026 году объем производства продукции сельского хозяйства составит 176,6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руб., индекс производства – 100,0%.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Принятый консервативный подход к прогнозированию развития отрасли в 2026 году обусловлен отрицательной динамикой предшествующего периода, когда по итогам 2025 года индекс производства составил 98,2%.</w:t>
      </w:r>
      <w:r>
        <w:rPr>
          <w:sz w:val="28"/>
          <w:szCs w:val="28"/>
        </w:rPr>
        <w:t xml:space="preserve"> Прогнозируемая динамика отрасли формируется под влиянием макроэкономических условий, зафиксированных в прогнозе Министерства экономического развития Российской Федерации, а также системных вызовов, с которыми сталкивается региональное сельское хозяйство. 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Сдерживающим фактором выступает ожидаемое снижение объемов в секторе мясного птицеводства. Сохранение негативного тренда 2025 года в производстве мяса птицы связано с существенными структурными </w:t>
      </w:r>
      <w:r>
        <w:rPr>
          <w:sz w:val="28"/>
          <w:szCs w:val="28"/>
        </w:rPr>
        <w:t xml:space="preserve">изменениями на локальном рынке: прекращением деятельности двух крупных профильных предприятий (ООО «Дубрава» </w:t>
      </w:r>
      <w:r>
        <w:rPr>
          <w:sz w:val="28"/>
          <w:szCs w:val="28"/>
        </w:rPr>
        <w:t xml:space="preserve">и ООО</w:t>
      </w:r>
      <w:r>
        <w:rPr>
          <w:sz w:val="28"/>
          <w:szCs w:val="28"/>
        </w:rPr>
        <w:t xml:space="preserve"> «Конкорд»), а также закрытием мясного направления в АО «Птицефабрика «</w:t>
      </w:r>
      <w:r>
        <w:rPr>
          <w:sz w:val="28"/>
          <w:szCs w:val="28"/>
        </w:rPr>
        <w:t xml:space="preserve">Роскар</w:t>
      </w:r>
      <w:r>
        <w:rPr>
          <w:sz w:val="28"/>
          <w:szCs w:val="28"/>
        </w:rPr>
        <w:t xml:space="preserve">» (перевод площадки на яичное направление).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Существенных колебаний в тенденциях развития АПК Ленинградской области на 2027-2029 годы не прогнозируется.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Рост объемов производства продукции животноводства в среднесрочной перспективе обусловлен комплексной интенсификацией отрасли, включающей качественное повышение продуктивности молочного КРС.</w:t>
      </w:r>
      <w:r>
        <w:rPr>
          <w:sz w:val="28"/>
          <w:szCs w:val="28"/>
        </w:rPr>
        <w:t xml:space="preserve"> Ключевыми факторами станут техничес</w:t>
      </w:r>
      <w:r>
        <w:rPr>
          <w:sz w:val="28"/>
          <w:szCs w:val="28"/>
        </w:rPr>
        <w:t xml:space="preserve">кое переоснащение отрасли посредством обновления машинно-тракторного парка и внедрения высокотехнологичного оборудования, а также полная реализация производственного потенциала объектов, введенных в эксплуатацию в предыдущие годы. Важную роль будет играть </w:t>
      </w:r>
      <w:r>
        <w:rPr>
          <w:sz w:val="28"/>
          <w:szCs w:val="28"/>
        </w:rPr>
        <w:t xml:space="preserve">цифровизация</w:t>
      </w:r>
      <w:r>
        <w:rPr>
          <w:sz w:val="28"/>
          <w:szCs w:val="28"/>
        </w:rPr>
        <w:t xml:space="preserve"> производственных процессов, обеспечивающая точный контроль параметров содержания, кормления и ветеринарного сопровождения, что в совокупности минимизирует риски и максимизирует экономическую эффективность животноводческой отрасли.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Повышение эффективности растениеводства будет обеспечено за счет технологической модернизации: внедрения высокопр</w:t>
      </w:r>
      <w:r>
        <w:rPr>
          <w:sz w:val="28"/>
          <w:szCs w:val="28"/>
        </w:rPr>
        <w:t xml:space="preserve">оизводительной техники полного цикла, универсальных агрегатов нового поколения и цифровых решений в рамках точного земледелия. Особый акцент сделан на развитие предприятий с замкнутыми производственными циклами – от выращивания до предпродажной подготовки </w:t>
      </w:r>
      <w:r>
        <w:rPr>
          <w:sz w:val="28"/>
          <w:szCs w:val="28"/>
        </w:rPr>
        <w:t xml:space="preserve">продукции. В перспективе ожидается как экстенсивный рост за счет вовлечения в оборот неиспользуемых сельхозугодий, так и интенсивный – благодаря внедрению современных технологий, что в совокупности приведет к устойчивому росту урожайности ключевых культур.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 xml:space="preserve">рыбохозяйственного</w:t>
      </w:r>
      <w:r>
        <w:rPr>
          <w:sz w:val="28"/>
          <w:szCs w:val="28"/>
        </w:rPr>
        <w:t xml:space="preserve"> комплекса, увеличение выпуска товарной пищевой рыбной продукции будет осуществляться в основном за счет товарной </w:t>
      </w:r>
      <w:r>
        <w:rPr>
          <w:sz w:val="28"/>
          <w:szCs w:val="28"/>
        </w:rPr>
        <w:t xml:space="preserve">аквакультуры</w:t>
      </w:r>
      <w:r>
        <w:rPr>
          <w:sz w:val="28"/>
          <w:szCs w:val="28"/>
        </w:rPr>
        <w:t xml:space="preserve"> (товарного рыбоводства) и береговой </w:t>
      </w:r>
      <w:r>
        <w:rPr>
          <w:sz w:val="28"/>
          <w:szCs w:val="28"/>
        </w:rPr>
        <w:t xml:space="preserve">рыбопереработки</w:t>
      </w:r>
      <w:r>
        <w:rPr>
          <w:sz w:val="28"/>
          <w:szCs w:val="28"/>
        </w:rPr>
        <w:t xml:space="preserve">. Увеличение объемов производства продукции </w:t>
      </w:r>
      <w:r>
        <w:rPr>
          <w:sz w:val="28"/>
          <w:szCs w:val="28"/>
        </w:rPr>
        <w:t xml:space="preserve">аквакультуры</w:t>
      </w:r>
      <w:r>
        <w:rPr>
          <w:sz w:val="28"/>
          <w:szCs w:val="28"/>
        </w:rPr>
        <w:t xml:space="preserve"> будет осуществляться за счет развития мощностей действующих рыбоводных хозяйств, освоения новых акваторий для выращивания рыбы: Финский залив, Ладожское озеро, реки </w:t>
      </w:r>
      <w:r>
        <w:rPr>
          <w:sz w:val="28"/>
          <w:szCs w:val="28"/>
        </w:rPr>
        <w:t xml:space="preserve">Вуокса</w:t>
      </w:r>
      <w:r>
        <w:rPr>
          <w:sz w:val="28"/>
          <w:szCs w:val="28"/>
        </w:rPr>
        <w:t xml:space="preserve"> и Свирь, а также создания установок замкнутого водоснабжения. Для устойчивого развития </w:t>
      </w:r>
      <w:r>
        <w:rPr>
          <w:sz w:val="28"/>
          <w:szCs w:val="28"/>
        </w:rPr>
        <w:t xml:space="preserve">аквакультуры</w:t>
      </w:r>
      <w:r>
        <w:rPr>
          <w:sz w:val="28"/>
          <w:szCs w:val="28"/>
        </w:rPr>
        <w:t xml:space="preserve"> на территории Ленинградской области планируется уделять особое внимание созданию производств рыбопосадочного материала и кормов для рыб. В силу наличия устойчивого спроса на </w:t>
      </w:r>
      <w:r>
        <w:rPr>
          <w:sz w:val="28"/>
          <w:szCs w:val="28"/>
        </w:rPr>
        <w:t xml:space="preserve">рыбопродукциию</w:t>
      </w:r>
      <w:r>
        <w:rPr>
          <w:sz w:val="28"/>
          <w:szCs w:val="28"/>
        </w:rPr>
        <w:t xml:space="preserve">, а также развития </w:t>
      </w:r>
      <w:r>
        <w:rPr>
          <w:sz w:val="28"/>
          <w:szCs w:val="28"/>
        </w:rPr>
        <w:t xml:space="preserve">аквакультуры</w:t>
      </w:r>
      <w:r>
        <w:rPr>
          <w:sz w:val="28"/>
          <w:szCs w:val="28"/>
        </w:rPr>
        <w:t xml:space="preserve"> будут увеличиваться </w:t>
      </w:r>
      <w:r>
        <w:rPr>
          <w:sz w:val="28"/>
          <w:szCs w:val="28"/>
        </w:rPr>
        <w:t xml:space="preserve">рыбоперерабатывающие</w:t>
      </w:r>
      <w:r>
        <w:rPr>
          <w:sz w:val="28"/>
          <w:szCs w:val="28"/>
        </w:rPr>
        <w:t xml:space="preserve"> мощности. Развитие береговой </w:t>
      </w:r>
      <w:r>
        <w:rPr>
          <w:sz w:val="28"/>
          <w:szCs w:val="28"/>
        </w:rPr>
        <w:t xml:space="preserve">рыбопереработки</w:t>
      </w:r>
      <w:r>
        <w:rPr>
          <w:sz w:val="28"/>
          <w:szCs w:val="28"/>
        </w:rPr>
        <w:t xml:space="preserve"> возможно за счет увеличения объемов глубокой переработки рыбного сырья, поставляемого из Северо-Восточной Атлантики и Дальневосточного </w:t>
      </w:r>
      <w:r>
        <w:rPr>
          <w:sz w:val="28"/>
          <w:szCs w:val="28"/>
        </w:rPr>
        <w:t xml:space="preserve">рыбохозяйственного</w:t>
      </w:r>
      <w:r>
        <w:rPr>
          <w:sz w:val="28"/>
          <w:szCs w:val="28"/>
        </w:rPr>
        <w:t xml:space="preserve"> бассейна.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Строительство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 работ по виду деятельности "Строительство" </w:t>
      </w:r>
      <w:r>
        <w:rPr>
          <w:sz w:val="28"/>
          <w:szCs w:val="28"/>
        </w:rPr>
        <w:br/>
        <w:t xml:space="preserve">в Ленинградской области в 2025 году составил 683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руб., что на 40,3% больше уровня 2024 года в сопоставимых ценах.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 выполненных подрядных работ в 2026 году (оценка) составит 666,8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 (92,1%). Прогнозируемое снижение объемов вызвано общей экономической ситуацией, ростом ставок по ипотеке, завершением крупных строительных проектов в регионе и отсутствием прежних объемов нового строительства.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На прогнозный период 2027-2029 годов ожидается сохранение существующих объемов за счет завершения строительства уже начатых проектов.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2025 году в Ленинградской области введено в эксплуатацию 4 219,8 тыс. кв. м. По вводу жилых домов по итогам 2025 года Ленинградская область заняла 1 место в Северо-Западном федеральном округе и 4 место среди регионов Российской Федерации.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Объемы ввода жилья, установленные Министерством строительства и жилищно-коммунального хозяйства Российской Федерации и федеральным проектом «Жилье»</w:t>
      </w:r>
      <w:r>
        <w:rPr>
          <w:sz w:val="28"/>
          <w:szCs w:val="28"/>
        </w:rPr>
        <w:t xml:space="preserve"> для Ленинградской области, стабильно выполняются. Плановый показатель на 2025 год по объему ввода жилья в эксплуатацию на территории Ленинградской области – 3 499 тыс. кв. м выполнен на 120,6%. В 2026 году плановый показатель составляет 3 550 тыс. кв. м.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Сектор индивидуального жилищного строительства продолжает демонстрировать устойчивый рост. В 2025 году объем ввода индивидуального жилья составил 3099,8 тыс. кв. м (доля в общем объеме введенного жилья составляет 73%).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За период 2027-2029 гг. планируется ввести в эксплуатацию 11 351 тыс. кв. м жилья. Средняя обеспеченность одного жителя Ленинградской области на конец прогнозного периода достигнет уровня 37,1 кв. м на одного жителя.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2025 году расселено аварийного жилищного фонда – 45,13 тыс. кв. м,  переселено – 2 786 чел., построено 6 новых многоквартирных дома.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2026 году приобретаются квартиры на вторичном рынке жилья и готовое жилье у застройщиков в домах, введенных в эксплуатацию для расселения 13,98 тыс. </w:t>
      </w:r>
      <w:r>
        <w:rPr>
          <w:sz w:val="28"/>
          <w:szCs w:val="28"/>
        </w:rPr>
        <w:t xml:space="preserve">кв</w:t>
      </w:r>
      <w:r>
        <w:rPr>
          <w:sz w:val="28"/>
          <w:szCs w:val="28"/>
        </w:rPr>
        <w:t xml:space="preserve">.м</w:t>
      </w:r>
      <w:r>
        <w:rPr>
          <w:sz w:val="28"/>
          <w:szCs w:val="28"/>
        </w:rPr>
        <w:t xml:space="preserve"> аварийного жилищного фонда, в котором проживают 911 человек.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прогнозными данными, в течение 2026-2030 годов благодаря реализации мероприятий по переселению граждан из аварийного жилищного фонда, признанного таковым после 1 янв</w:t>
      </w:r>
      <w:r>
        <w:rPr>
          <w:sz w:val="28"/>
          <w:szCs w:val="28"/>
        </w:rPr>
        <w:t xml:space="preserve">аря 2017 года, доля аварийного жилья в жилищном фонде будет снижена до 0,40% (региональная адресная программа «Переселение граждан из аварийного жилищного фонда на территории Ленинградской области в 2025-2030 годах» должна быть реализована до 31.12.2030). 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Торговля и услуги населению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2025 году региональный потребительский рынок демонстрировал устойчивую положительную динамику. Оборот розничной торговли в 2025 году составил 923,1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рублей, темпы роста в сопоставимых ценах замедлились до 1,8%, что соответствует общероссийской тенденции охлаждения потребительской активности на фоне жестких денежно-кредитных условий и замедления </w:t>
      </w:r>
      <w:r>
        <w:rPr>
          <w:sz w:val="28"/>
          <w:szCs w:val="28"/>
        </w:rPr>
        <w:t xml:space="preserve">темпов </w:t>
      </w:r>
      <w:r>
        <w:rPr>
          <w:sz w:val="28"/>
          <w:szCs w:val="28"/>
        </w:rPr>
        <w:t xml:space="preserve">роста реальных располагаемых доходов населения. 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Объем платных услуг населению в 2025 году достиг 193,6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 с </w:t>
      </w:r>
      <w:r>
        <w:rPr>
          <w:sz w:val="28"/>
          <w:szCs w:val="28"/>
        </w:rPr>
        <w:t xml:space="preserve">ростом физического объема на 6,9%. Более высокие темпы роста сферы услуг по сравнению с розничной торговлей обусловлены активным развитием внутреннего туризма, расширением рынка бытовых и медицинских услуг, а также эффектом низкой базы предыдущих периодов.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color w:val="000000" w:themeColor="text1"/>
          <w:sz w:val="28"/>
          <w:szCs w:val="28"/>
        </w:rPr>
        <w:t xml:space="preserve">В 2026 году объем платных услуг населению прогнозируется на уровне 215,1 </w:t>
      </w:r>
      <w:r>
        <w:rPr>
          <w:color w:val="000000" w:themeColor="text1"/>
          <w:sz w:val="28"/>
          <w:szCs w:val="28"/>
        </w:rPr>
        <w:t xml:space="preserve">млрд</w:t>
      </w:r>
      <w:r>
        <w:rPr>
          <w:color w:val="000000" w:themeColor="text1"/>
          <w:sz w:val="28"/>
          <w:szCs w:val="28"/>
        </w:rPr>
        <w:t xml:space="preserve"> рублей с ростом физического объема на 4,4% к 2025 году. Замедление темпов роста по сравнению с 2025 годом обусло</w:t>
      </w:r>
      <w:r>
        <w:rPr>
          <w:color w:val="000000" w:themeColor="text1"/>
          <w:sz w:val="28"/>
          <w:szCs w:val="28"/>
        </w:rPr>
        <w:t xml:space="preserve">влено постепенным исчерпанием эффекта восстановительного спроса на отдельные виды услуг после периода ускоренного роста, а также перераспределением части расходов домашних хозяйств в пользу обязательных платежей и приобретения товаров первой необходимости.</w:t>
      </w:r>
      <w:r/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color w:val="000000" w:themeColor="text1"/>
          <w:sz w:val="28"/>
          <w:szCs w:val="28"/>
        </w:rPr>
        <w:t xml:space="preserve">Поддержанию устойчивого развития по</w:t>
      </w:r>
      <w:r>
        <w:rPr>
          <w:color w:val="000000" w:themeColor="text1"/>
          <w:sz w:val="28"/>
          <w:szCs w:val="28"/>
        </w:rPr>
        <w:t xml:space="preserve">требительского рынка в 2026 году будет способствовать реализация Правительством Ленинградской области комплекса мероприятий, направленного на развитие торговой инфраструктуры и обеспечение доступности товаров для населения. Продолжается работа по развитию </w:t>
      </w:r>
      <w:r>
        <w:rPr>
          <w:color w:val="000000" w:themeColor="text1"/>
          <w:sz w:val="28"/>
          <w:szCs w:val="28"/>
        </w:rPr>
        <w:t xml:space="preserve">многоформатной</w:t>
      </w:r>
      <w:r>
        <w:rPr>
          <w:color w:val="000000" w:themeColor="text1"/>
          <w:sz w:val="28"/>
          <w:szCs w:val="28"/>
        </w:rPr>
        <w:t xml:space="preserve"> торговли, поддержке субъектов малого и среднего предпринимательства, организации ярмарочной деятельности, содействию продвижению продукции местных производ</w:t>
      </w:r>
      <w:r>
        <w:rPr>
          <w:color w:val="000000" w:themeColor="text1"/>
          <w:sz w:val="28"/>
          <w:szCs w:val="28"/>
        </w:rPr>
        <w:t xml:space="preserve">ителей, а также совершенствованию механизмов размещения нестационарных торговых объектов. Отдельное внимание уделяется обеспечению доступности торгового обслуживания в малых населенных пунктах и развитию логистической инфраструктуры потребительского рынка.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2027–2029 годах прогнозируется </w:t>
      </w:r>
      <w:r>
        <w:rPr>
          <w:sz w:val="28"/>
          <w:szCs w:val="28"/>
          <w:highlight w:val="white"/>
        </w:rPr>
        <w:t xml:space="preserve">средний ежегодный прирост  оборота розничной торговли – от 2,3% по консервативному варианту до 2,7% по базовому, объема платных услуг – от 2,0% до 2,4% соответственно.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Ускорение динамики в среднесрочной перспективе будет обеспечено восстановлением покупательской способности населения на фоне роста реальных доходов, дальнейшим развитием электронной коммерции и </w:t>
      </w:r>
      <w:r>
        <w:rPr>
          <w:color w:val="000000" w:themeColor="text1"/>
          <w:sz w:val="28"/>
          <w:szCs w:val="28"/>
          <w:highlight w:val="white"/>
        </w:rPr>
        <w:t xml:space="preserve">маркетплейсов</w:t>
      </w:r>
      <w:r>
        <w:rPr>
          <w:color w:val="000000" w:themeColor="text1"/>
          <w:sz w:val="28"/>
          <w:szCs w:val="28"/>
          <w:highlight w:val="white"/>
        </w:rPr>
        <w:t xml:space="preserve">, способствующим повышению доступности товаров в муниципальных образованиях региона, а также укреплением сегмента продовольственной торговли за счет расширения ассортимента </w:t>
      </w:r>
      <w:r>
        <w:rPr>
          <w:color w:val="000000" w:themeColor="text1"/>
          <w:sz w:val="28"/>
          <w:szCs w:val="28"/>
          <w:highlight w:val="white"/>
        </w:rPr>
        <w:t xml:space="preserve">отечественных товаров и дальнейшего развития процессов </w:t>
      </w:r>
      <w:r>
        <w:rPr>
          <w:color w:val="000000" w:themeColor="text1"/>
          <w:sz w:val="28"/>
          <w:szCs w:val="28"/>
          <w:highlight w:val="white"/>
        </w:rPr>
        <w:t xml:space="preserve">импортозамещения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Дополнительным фактором развития потребительского рынка Ленинградской области остается тесная интеграция экономики региона с Санкт-Петербургской агломерацией, развитие логистической инфраструктуры федеральных торговых сетей и расширение присутствия </w:t>
      </w:r>
      <w:r>
        <w:rPr>
          <w:color w:val="000000" w:themeColor="text1"/>
          <w:sz w:val="28"/>
          <w:szCs w:val="28"/>
          <w:highlight w:val="white"/>
        </w:rPr>
        <w:t xml:space="preserve">маркетплейсов</w:t>
      </w:r>
      <w:r>
        <w:rPr>
          <w:color w:val="000000" w:themeColor="text1"/>
          <w:sz w:val="28"/>
          <w:szCs w:val="28"/>
          <w:highlight w:val="white"/>
        </w:rPr>
        <w:t xml:space="preserve"> в муниципальных образованиях области. Номинальный объем оборота розничной торговли в 2029 году по базовому варианту достигнет 1 181,1 </w:t>
      </w:r>
      <w:r>
        <w:rPr>
          <w:color w:val="000000" w:themeColor="text1"/>
          <w:sz w:val="28"/>
          <w:szCs w:val="28"/>
          <w:highlight w:val="white"/>
        </w:rPr>
        <w:t xml:space="preserve">млрд</w:t>
      </w:r>
      <w:r>
        <w:rPr>
          <w:color w:val="000000" w:themeColor="text1"/>
          <w:sz w:val="28"/>
          <w:szCs w:val="28"/>
          <w:highlight w:val="white"/>
        </w:rPr>
        <w:t xml:space="preserve"> рублей.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Основными драйверами роста сферы услуг в прогнозном периоде остаются расширение рынка бытовых, персональных и досуг</w:t>
      </w:r>
      <w:r>
        <w:rPr>
          <w:color w:val="000000" w:themeColor="text1"/>
          <w:sz w:val="28"/>
          <w:szCs w:val="28"/>
          <w:highlight w:val="white"/>
        </w:rPr>
        <w:t xml:space="preserve">овых услуг, развитие внутреннего туризма и повышение мобильности населения, стимулирующее спрос на гостиничные, транспортные и сопутствующие сервисы; увеличение объема медицинских услуг, в том числе профилактического и реабилитационного характера; а также </w:t>
      </w:r>
      <w:r>
        <w:rPr>
          <w:color w:val="000000" w:themeColor="text1"/>
          <w:sz w:val="28"/>
          <w:szCs w:val="28"/>
          <w:highlight w:val="white"/>
        </w:rPr>
        <w:t xml:space="preserve">цифровизация</w:t>
      </w:r>
      <w:r>
        <w:rPr>
          <w:color w:val="000000" w:themeColor="text1"/>
          <w:sz w:val="28"/>
          <w:szCs w:val="28"/>
          <w:highlight w:val="white"/>
        </w:rPr>
        <w:t xml:space="preserve"> сферы услуг и распространение платформенных решений в сегментах телекоммуникаций, образования и медицины.</w:t>
      </w:r>
      <w:r>
        <w:rPr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Малое и среднее предпринимательство,</w:t>
      </w:r>
      <w:r>
        <w:rPr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включая </w:t>
      </w:r>
      <w:r>
        <w:rPr>
          <w:sz w:val="28"/>
          <w:szCs w:val="28"/>
          <w:highlight w:val="white"/>
        </w:rPr>
        <w:t xml:space="preserve">микропредприятия</w:t>
      </w:r>
      <w:r>
        <w:rPr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Количество субъектов малого и среднего предпринимательства (далее – субъекты МСП) в Ленинградской области по состоянию на 10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января 2026 года в соответствии с единым реестром субъектов МСП составило 89 697 единиц (прирост к значению по состоянию на 10 января 2025 года составил 5,24%). В связи</w:t>
      </w:r>
      <w:r>
        <w:rPr>
          <w:sz w:val="28"/>
          <w:szCs w:val="28"/>
        </w:rPr>
        <w:t xml:space="preserve"> с последними изменениями в системе налогообложения, а также сохранением высоких ставок по кредитам, темпы роста общей численности предпринимателей заметно снизились. Наблюдаемая тенденция, скорее всего, приведет к снижению общей численности субъектов МСП.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Несмотря на снижение темпов роста количества субъектов МСП, наблюдается стабильное увеличение объемов продаж товаров (как собственного, так и несобственного производства), а также объемов оказываемых услуг.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Ленинградской области разработан и реализуется комплекс мер, направленных на стимулирование и развитие субъектов МСП. Он включает налоговую, финансовую, информационную, консультационную и образовательную поддержку.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Одной из главных целей региона является снижение доли торговли и повышение ро</w:t>
      </w:r>
      <w:r>
        <w:rPr>
          <w:sz w:val="28"/>
          <w:szCs w:val="28"/>
        </w:rPr>
        <w:t xml:space="preserve">ли обрабатывающей промышленности в структуре МСП. Ожидается, что предприятия этого сектора будут активнее пользоваться программами льготного лизинга оборудования, компенсациями по существующим договорам лизинга и по модернизации производственных мощностей.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 учетом сложившейся тенденции по итогам 2026 года оценивается, что в Ленинградской области будет осуществлять деятельность около 89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832 предприятий малого и среднего бизнеса.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Среднесписочная численность работников на предприятиях МСП по итогам 2026 года оценивается на уровне 171,5 тыс. человек - на уровне предыдущего года.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При сохранении текущей динамики развития МСП к концу 2026 года оборот субъектов МСП ожидается на уровне 1 704,3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Главными задачами на 2027-2029 годы являются: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обеспечение устойчивой динамики сектора малого и среднего предпринимательства как результата ранее реализованных мер;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обеспечение роста доходов субъектов МСП на одного работника;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обеспечение доступности заемных сре</w:t>
      </w:r>
      <w:r>
        <w:rPr>
          <w:sz w:val="28"/>
          <w:szCs w:val="28"/>
        </w:rPr>
        <w:t xml:space="preserve">дств дл</w:t>
      </w:r>
      <w:r>
        <w:rPr>
          <w:sz w:val="28"/>
          <w:szCs w:val="28"/>
        </w:rPr>
        <w:t xml:space="preserve">я субъектов малого бизнеса;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- продолжение формирования благоприятных условий для устойчивой деятельности как действующих, так и вновь создаваемых субъектов малого предпринимательства.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прогнозном периоде количество МСП в Ленинградской области  в 2029 году составит 80 848 единиц (по консервативному варианту) и 81 747 единиц (по базовому варианту), что соответствует снижению на 9% по отношению к 2026 году.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Согласно базовому варианту к 2029 году ожидается постепенное увеличение среднесписочной численности работников малых и средних предприятий до 171,9 тыс. человек. Оборот субъектов МСП составит 1 715,1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рублей, что на 0,6% превысит уровень 2026 года.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Инвестиции</w:t>
      </w:r>
      <w:r>
        <w:rPr>
          <w:rFonts w:eastAsia="Calibri"/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Объем инвестиций в основной капитал за счет всех источников финансирования в 2025 году составил 1 593,1 </w:t>
      </w:r>
      <w:r>
        <w:rPr>
          <w:rFonts w:eastAsia="Calibri"/>
          <w:sz w:val="28"/>
          <w:szCs w:val="28"/>
        </w:rPr>
        <w:t xml:space="preserve">млрд</w:t>
      </w:r>
      <w:r>
        <w:rPr>
          <w:rFonts w:eastAsia="Calibri"/>
          <w:sz w:val="28"/>
          <w:szCs w:val="28"/>
        </w:rPr>
        <w:t xml:space="preserve"> руб., что в 1,3 раза выше 2024 года в сопоставимых ценах. </w:t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Согласно оценке </w:t>
      </w:r>
      <w:r>
        <w:rPr>
          <w:b/>
          <w:bCs/>
          <w:sz w:val="28"/>
          <w:szCs w:val="28"/>
          <w:highlight w:val="white"/>
        </w:rPr>
        <w:t xml:space="preserve">2026 года</w:t>
      </w:r>
      <w:r>
        <w:rPr>
          <w:sz w:val="28"/>
          <w:szCs w:val="28"/>
          <w:highlight w:val="white"/>
        </w:rPr>
        <w:t xml:space="preserve"> объем инвестиций в основной капитал </w:t>
      </w:r>
      <w:r>
        <w:rPr>
          <w:sz w:val="28"/>
          <w:szCs w:val="28"/>
          <w:highlight w:val="white"/>
        </w:rPr>
        <w:br/>
        <w:t xml:space="preserve">в Ленинградской области составит 1 705,1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или 100,5% к уровню 2025 года.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Распределение объема инвестиций в основной капитал в 2026 году по видам экономической деятельности оценивается следующим образом: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 – обрабатывающая промышленность – 1 205,5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(или 70,7%) от общего объема инвестиций в основной капитал);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– транспортировка и хранение – 90,3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(5,3%);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highlight w:val="white"/>
        </w:rPr>
      </w:pPr>
      <w:r>
        <w:rPr>
          <w:sz w:val="28"/>
          <w:szCs w:val="28"/>
          <w:highlight w:val="white"/>
        </w:rPr>
        <w:t xml:space="preserve">– обеспечение электроэнергией, газом и паром – 76,7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(4,5%);</w:t>
      </w:r>
      <w:r>
        <w:rPr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 строительство – 56,3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(3,3%);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 операции с недвижимым имуществом, аренда и предоставление услуг – 29,2 </w:t>
      </w:r>
      <w:r>
        <w:rPr>
          <w:sz w:val="28"/>
          <w:szCs w:val="28"/>
          <w:highlight w:val="white"/>
        </w:rPr>
        <w:t xml:space="preserve">млрд</w:t>
      </w:r>
      <w:r>
        <w:rPr>
          <w:sz w:val="28"/>
          <w:szCs w:val="28"/>
          <w:highlight w:val="white"/>
        </w:rPr>
        <w:t xml:space="preserve"> руб. (4,7%);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– сельское хозяйство, охота и лесное хозяйство – 25,6 </w:t>
      </w:r>
      <w:r>
        <w:rPr>
          <w:sz w:val="28"/>
          <w:szCs w:val="28"/>
        </w:rPr>
        <w:t xml:space="preserve">млрд</w:t>
      </w:r>
      <w:r>
        <w:rPr>
          <w:sz w:val="28"/>
          <w:szCs w:val="28"/>
        </w:rPr>
        <w:t xml:space="preserve"> руб. (1,5%).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</w:rPr>
        <w:t xml:space="preserve">В период </w:t>
      </w:r>
      <w:r>
        <w:rPr>
          <w:b/>
          <w:bCs/>
          <w:sz w:val="28"/>
        </w:rPr>
        <w:t xml:space="preserve">с 2027 по 2029 годы</w:t>
      </w:r>
      <w:r>
        <w:rPr>
          <w:sz w:val="28"/>
        </w:rPr>
        <w:t xml:space="preserve"> структура распределения инвестиций по видам экономической деятельности может меняться, что обусловлено внешними и внутренними условиями развития российской экономики и пересмотром инвесторами сроков начала реализации инвестиционных проектов.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highlight w:val="white"/>
        </w:rPr>
        <w:t xml:space="preserve">В указанном периоде продолжится реализация крупных инвестиционных проектов в сфере </w:t>
      </w:r>
      <w:r>
        <w:rPr>
          <w:sz w:val="28"/>
          <w:highlight w:val="white"/>
        </w:rPr>
        <w:t xml:space="preserve">газохимии</w:t>
      </w:r>
      <w:r>
        <w:rPr>
          <w:sz w:val="28"/>
          <w:highlight w:val="white"/>
        </w:rPr>
        <w:t xml:space="preserve"> - строительство </w:t>
      </w:r>
      <w:r>
        <w:rPr>
          <w:sz w:val="28"/>
          <w:szCs w:val="28"/>
          <w:highlight w:val="white"/>
        </w:rPr>
        <w:t xml:space="preserve">ООО «</w:t>
      </w:r>
      <w:r>
        <w:rPr>
          <w:sz w:val="28"/>
          <w:szCs w:val="28"/>
          <w:highlight w:val="white"/>
        </w:rPr>
        <w:t xml:space="preserve">РусХимАльянс</w:t>
      </w:r>
      <w:r>
        <w:rPr>
          <w:sz w:val="28"/>
          <w:szCs w:val="28"/>
          <w:highlight w:val="white"/>
        </w:rPr>
        <w:t xml:space="preserve">» и ООО «Балтийский Химический Комплекс» комплекса по переработке </w:t>
      </w:r>
      <w:r>
        <w:rPr>
          <w:sz w:val="28"/>
          <w:szCs w:val="28"/>
          <w:highlight w:val="white"/>
        </w:rPr>
        <w:t xml:space="preserve">этансодержащего</w:t>
      </w:r>
      <w:r>
        <w:rPr>
          <w:sz w:val="28"/>
          <w:szCs w:val="28"/>
          <w:highlight w:val="white"/>
        </w:rPr>
        <w:t xml:space="preserve"> газа, реализация крупных портовых проектов ООО «</w:t>
      </w:r>
      <w:r>
        <w:rPr>
          <w:sz w:val="28"/>
          <w:szCs w:val="28"/>
          <w:highlight w:val="white"/>
        </w:rPr>
        <w:t xml:space="preserve">Ультрамар</w:t>
      </w:r>
      <w:r>
        <w:rPr>
          <w:sz w:val="28"/>
          <w:szCs w:val="28"/>
          <w:highlight w:val="white"/>
        </w:rPr>
        <w:t xml:space="preserve">» (строительство специализированного терминала по перевалке минеральных удобрений), ГК «</w:t>
      </w:r>
      <w:r>
        <w:rPr>
          <w:sz w:val="28"/>
          <w:szCs w:val="28"/>
          <w:highlight w:val="white"/>
        </w:rPr>
        <w:t xml:space="preserve">Новотранс</w:t>
      </w:r>
      <w:r>
        <w:rPr>
          <w:sz w:val="28"/>
          <w:szCs w:val="28"/>
          <w:highlight w:val="white"/>
        </w:rPr>
        <w:t xml:space="preserve">» (строительство универсального торгового терминала «Усть-Луга»), </w:t>
      </w:r>
      <w:r>
        <w:rPr>
          <w:bCs/>
          <w:sz w:val="28"/>
          <w:szCs w:val="28"/>
          <w:highlight w:val="white"/>
        </w:rPr>
        <w:t xml:space="preserve">ООО «</w:t>
      </w:r>
      <w:r>
        <w:rPr>
          <w:bCs/>
          <w:sz w:val="28"/>
          <w:szCs w:val="28"/>
          <w:highlight w:val="white"/>
        </w:rPr>
        <w:t xml:space="preserve">ЕвроХим</w:t>
      </w:r>
      <w:r>
        <w:rPr>
          <w:bCs/>
          <w:sz w:val="28"/>
          <w:szCs w:val="28"/>
          <w:highlight w:val="white"/>
        </w:rPr>
        <w:t xml:space="preserve"> терминал Усть-Луга»</w:t>
      </w:r>
      <w:r>
        <w:rPr>
          <w:bCs/>
          <w:i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 xml:space="preserve">(строительство терминала по перевалке минеральных удобрений в морском торговом порту Усть-Луга), в</w:t>
      </w:r>
      <w:r>
        <w:rPr>
          <w:bCs/>
          <w:sz w:val="28"/>
          <w:szCs w:val="28"/>
          <w:highlight w:val="white"/>
        </w:rPr>
        <w:t xml:space="preserve"> том числе переход в эксплуатационную стадию проект</w:t>
      </w:r>
      <w:r>
        <w:rPr>
          <w:bCs/>
          <w:sz w:val="28"/>
          <w:szCs w:val="28"/>
          <w:highlight w:val="white"/>
        </w:rPr>
        <w:t xml:space="preserve">а ООО</w:t>
      </w:r>
      <w:r>
        <w:rPr>
          <w:bCs/>
          <w:sz w:val="28"/>
          <w:szCs w:val="28"/>
          <w:highlight w:val="white"/>
        </w:rPr>
        <w:t xml:space="preserve"> «</w:t>
      </w:r>
      <w:r>
        <w:rPr>
          <w:bCs/>
          <w:sz w:val="28"/>
          <w:szCs w:val="28"/>
          <w:highlight w:val="white"/>
        </w:rPr>
        <w:t xml:space="preserve">ЕвроХим</w:t>
      </w:r>
      <w:r>
        <w:rPr>
          <w:bCs/>
          <w:sz w:val="28"/>
          <w:szCs w:val="28"/>
          <w:highlight w:val="white"/>
        </w:rPr>
        <w:t xml:space="preserve"> Северо-Запад-2» после успешного запуска в 2026 году (производство аммиака, метанола и карбамида), строительство второй очереди Ленинградской АЭС-2 (энергоблоки 3-4).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соответствии с прогноз</w:t>
      </w:r>
      <w:r>
        <w:rPr>
          <w:sz w:val="28"/>
          <w:szCs w:val="28"/>
        </w:rPr>
        <w:t xml:space="preserve">ными оценками, сформированными по состоянию на 2026 год, наибольший объем инвестиций ожидается в 2027–2028 годах. В 2029 году прогнозируется завершение инвестиционного цикла большинства крупных проектов, что обусловит планомерное снижение общего объема инв</w:t>
      </w:r>
      <w:r>
        <w:rPr>
          <w:sz w:val="28"/>
          <w:szCs w:val="28"/>
        </w:rPr>
        <w:t xml:space="preserve">естиций в основной капитал по сравнению с пиковыми значениями предыдущих лет. При этом инвестиционная активность сохранится за счет реализации проектов среднего масштаба, направленных на дальнейшее развитие производственной и инфраструктурной базы региона.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течение всего прогнозного периода приоритетными </w:t>
      </w:r>
      <w:r>
        <w:rPr>
          <w:sz w:val="28"/>
          <w:szCs w:val="28"/>
        </w:rPr>
        <w:t xml:space="preserve">направлениями инвестиционной деятельности остаются промышленное производство, развитие транспортно-логистической инфраструктуры, энергетического комплекса, агропромышленного комплекса, индустриальных парков, а также реализация проектов, ориентированных на </w:t>
      </w:r>
      <w:r>
        <w:rPr>
          <w:sz w:val="28"/>
          <w:szCs w:val="28"/>
        </w:rPr>
        <w:t xml:space="preserve">импортозамещение</w:t>
      </w:r>
      <w:r>
        <w:rPr>
          <w:sz w:val="28"/>
          <w:szCs w:val="28"/>
        </w:rPr>
        <w:t xml:space="preserve">. Сохранение указа</w:t>
      </w:r>
      <w:r>
        <w:rPr>
          <w:sz w:val="28"/>
          <w:szCs w:val="28"/>
        </w:rPr>
        <w:t xml:space="preserve">нной отраслевой структуры инвестиций будет способствовать достижению целей структурной модернизации экономики, повышению уровня технологического развития, укреплению промышленного потенциала и дальнейшему повышению инвестиционной привлекательности региона.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Денежные доходы населения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2025 году среднемесячная номинальная начисленная заработная плата одного работника составила 96 716,00 рублей. Реальная начисленная заработная плата, рассчитанная с учетом индекса потребительских цен, в </w:t>
      </w:r>
      <w:r>
        <w:rPr>
          <w:sz w:val="28"/>
          <w:szCs w:val="28"/>
        </w:rPr>
        <w:t xml:space="preserve">2025 году – 107,7% к уровню 2024 года, денежные доходы на душу населения составили 65 151 руб. или 118,9% к уровню 2024 года.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2026 году среднемесячная номинальная начисленная заработная плата одного работника оценивается на уровне 104 740,0 рублей (темп роста - 108,3% к уровню 2025 года), реальная заработная плата работников организаций составит 101,6% к уровню 2025 года.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2027-2029 годах по базовому варианту прогноза среднегодовой прирост реальных располагаемых денежных доходов населения составит 3,0%.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 оценке 2029 года номинальная начисленная среднемесячная заработная плата работников организаций региона возрастет до 131 690,0 руб. (125,7% к уровню 2026 года), реальная заработная плата работников организаций составит 109,3% к уровню 2026 года.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Стабильный рост заработной платы планируется обеспечить за счет: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Постоянного повышения уровня прожиточного минимума. </w:t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соответствии со статьей 4 Федерального закона от 24</w:t>
      </w:r>
      <w:r>
        <w:rPr>
          <w:sz w:val="28"/>
          <w:szCs w:val="28"/>
        </w:rPr>
        <w:t xml:space="preserve">.10.</w:t>
      </w:r>
      <w:r>
        <w:rPr>
          <w:sz w:val="28"/>
          <w:szCs w:val="28"/>
        </w:rPr>
        <w:t xml:space="preserve">1997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134-ФЗ с 2022 года величина прожиточного минимума (далее – ПМ) на душу населения в Ленинградской области рассчитывается ежегодно путем умно</w:t>
      </w:r>
      <w:r>
        <w:rPr>
          <w:sz w:val="28"/>
          <w:szCs w:val="28"/>
        </w:rPr>
        <w:t xml:space="preserve">жения величины ПМ на душу населения в целом по Российской Федерации, установленной на очередной год, на коэффициент региональной дифференциации, который утвержден дорожной картой ежегодного установления величины ПМ на душу населения в Ленинградской области</w:t>
      </w:r>
      <w:r>
        <w:rPr>
          <w:sz w:val="28"/>
          <w:szCs w:val="28"/>
        </w:rPr>
        <w:t xml:space="preserve"> (с 2025 года коэффициент региональной дифференциации составляет 1,07).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Величина ПМ на душу населения в Ленинградской области в среднем на 2025 год установлена в размере 18 974,0 рубля, на 2026 год – 20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265,0 рублей.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соответствии с Правилами установления величины ПМ на душу населения и по основным социально-демографическим группам населения в субъектах Российской Федерации на очередной год, утвержденных постановлением Правительства Российской Федерации от 26</w:t>
      </w:r>
      <w:r>
        <w:rPr>
          <w:sz w:val="28"/>
          <w:szCs w:val="28"/>
        </w:rPr>
        <w:t xml:space="preserve">.06.</w:t>
      </w:r>
      <w:r>
        <w:rPr>
          <w:sz w:val="28"/>
          <w:szCs w:val="28"/>
        </w:rPr>
        <w:t xml:space="preserve">2021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1022, величина ПМ на душу населения в Российской Федерации прогнозируется в двух вариантах: консервативном и базовом. </w:t>
      </w:r>
      <w:r>
        <w:rPr>
          <w:sz w:val="28"/>
          <w:szCs w:val="28"/>
        </w:rPr>
        <w:t xml:space="preserve">В соответствии с основными макроэкономическими параметрами среднесрочного прогноза социальн</w:t>
      </w:r>
      <w:r>
        <w:rPr>
          <w:sz w:val="28"/>
          <w:szCs w:val="28"/>
        </w:rPr>
        <w:t xml:space="preserve">о-экономического развития Российской Федерации до 2029 года в базовом и консервативном вариантах прогнозируемая величина ПМ на душу населения в Российской Федерации в 2027 году составит 19 924 рубля, в 2028 году – 20 721 рубль; в 2029 году – 21 550 рублей.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Следовательно, величина ПМ на душу населения в Ленинградской области в 2027 году составит 21 319 рублей (19 924 х 1,07), в 2028 году – 22 172 рубля (20 721 х 1,07); в 2029 году – 23 059 рублей (21 550 х 1,07).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В результате прогнозируемая величина ПМ в среднем на душу населения в Ленинградской области к 2029 году по отношению к 2025 году и к 2026 году увеличится в 1,3 раза.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2. Планомерного повышения за</w:t>
      </w:r>
      <w:r>
        <w:rPr>
          <w:sz w:val="28"/>
          <w:szCs w:val="28"/>
        </w:rPr>
        <w:t xml:space="preserve">работной платы отдельных категорий работников бюджетной сферы и сохранения достигнутых целевых показателей в соответствии с указом Президента Российской Федерации от 7 мая 2012 года № 597 «О мероприятиях по реализации государственной социальной политики».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Реализации в рамках Указа Президента</w:t>
      </w:r>
      <w:r>
        <w:rPr>
          <w:sz w:val="28"/>
          <w:szCs w:val="28"/>
        </w:rPr>
        <w:t xml:space="preserve"> Российской Федерации от 28.11.2025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мероприятий «дорожной карты» по достижению в Ленинг</w:t>
      </w:r>
      <w:r>
        <w:rPr>
          <w:sz w:val="28"/>
          <w:szCs w:val="28"/>
        </w:rPr>
        <w:t xml:space="preserve">радской области значений (уровней) показателя «Темп роста (индекс роста) реального среднедушевого денежного дохода населения» для оценки эффективности деятельности Губернатора Ленинградской области и деятельности органов исполнительной власти Ленинградской</w:t>
      </w:r>
      <w:r>
        <w:rPr>
          <w:sz w:val="28"/>
          <w:szCs w:val="28"/>
        </w:rPr>
        <w:t xml:space="preserve"> области с обеспечением на период 2025-2030 годов устойчивого роста доходов населения Ленинградской области темпами не ниже уровня инфляции.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4. Реализации мероприятий региональной программы Ленинградской области «Снижение доли населения с доходами ниже границы бедности», утвержденной постановлением Правительства Ленинградской области от 07.12.2020 № 801. </w:t>
      </w:r>
      <w:r/>
    </w:p>
    <w:p>
      <w:pPr>
        <w:ind w:firstLine="709"/>
        <w:jc w:val="both"/>
        <w:shd w:val="clear" w:color="ffffff" w:themeColor="background1" w:fill="ffffff" w:themeFill="background1"/>
      </w:pPr>
      <w:r>
        <w:rPr>
          <w:sz w:val="28"/>
          <w:szCs w:val="28"/>
        </w:rPr>
        <w:t xml:space="preserve">По данным Росстата уровень бедности в Ленинградской области за 2025 год составил 4,6% (2024 год – 5,2%).</w:t>
      </w:r>
      <w:r/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По показателю «Численность населения с денежными доходами ниже границы бедности к общей численности населения» в Ленингра</w:t>
      </w:r>
      <w:r>
        <w:rPr>
          <w:sz w:val="28"/>
          <w:szCs w:val="28"/>
        </w:rPr>
        <w:t xml:space="preserve">дской области отмечается устойчивая тенденция к снижению доли бедного населения: с 2020 по 2025 год показатель последовательно снижался, сократившись почти вдвое с 9,1% до 4,6% (2020 – 9,1%, 2021 – 8,3%, 2022 – 7,0%, 2023 – 6,4%, 2024 – 5,2%, 2025 – 4,6%).</w:t>
      </w:r>
      <w:r>
        <w:rPr>
          <w:sz w:val="28"/>
          <w:szCs w:val="28"/>
        </w:rPr>
        <w:t xml:space="preserve"> Данное снижение обеспечено применением мер социальной поддержки, направленных на повышение уровня жизни населения, ростом реальных располагаемых доходов населения и увеличением минимального </w:t>
      </w:r>
      <w:r>
        <w:rPr>
          <w:sz w:val="28"/>
          <w:szCs w:val="28"/>
        </w:rPr>
        <w:t xml:space="preserve">размера оплаты труда</w:t>
      </w:r>
      <w:r>
        <w:rPr>
          <w:sz w:val="28"/>
          <w:szCs w:val="28"/>
        </w:rPr>
        <w:t xml:space="preserve">, созданием условий для устойчивого экономического роста в целях улучшения благосостояния населения.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Труд и занятость</w:t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</w:pPr>
      <w:r>
        <w:rPr>
          <w:sz w:val="28"/>
          <w:szCs w:val="28"/>
        </w:rPr>
        <w:t xml:space="preserve">Рынок труда</w:t>
      </w:r>
      <w:r>
        <w:rPr>
          <w:sz w:val="28"/>
          <w:szCs w:val="28"/>
        </w:rPr>
        <w:t xml:space="preserve"> Ленинградской области испытывает острую нехватку квалифицированных кадров, несмотря на рост числа граждан, официально признанных безработными. Служба занятости активно взаимодействует с работодателями региона, фокусируясь на закрытии кадровой потребности.</w:t>
      </w:r>
      <w:r/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</w:pPr>
      <w:r>
        <w:rPr>
          <w:sz w:val="28"/>
          <w:szCs w:val="28"/>
        </w:rPr>
        <w:t xml:space="preserve">В Ленинградской области к концу 2025 года уровень регистрируемой безработицы составил 0,2% от рабочей силы, что на 0,05 </w:t>
      </w:r>
      <w:r>
        <w:rPr>
          <w:sz w:val="28"/>
          <w:szCs w:val="28"/>
        </w:rPr>
        <w:t xml:space="preserve">процентных</w:t>
      </w:r>
      <w:r>
        <w:rPr>
          <w:sz w:val="28"/>
          <w:szCs w:val="28"/>
        </w:rPr>
        <w:t xml:space="preserve"> пункта выше значения показателя на начало 2025 года (0,15%).</w:t>
      </w:r>
      <w:r/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Ленинградская область входит в ТОП-5 регионов в рейтинге субъектов Российской Федерации по минимальному значению показателя – уровень регистрируемой безработицы.</w:t>
      </w:r>
      <w:r>
        <w:rPr>
          <w:sz w:val="28"/>
          <w:szCs w:val="28"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  <w:rPr>
          <w:bCs/>
          <w:iCs/>
          <w:color w:val="000000" w:themeColor="text1"/>
          <w:sz w:val="28"/>
          <w:szCs w:val="28"/>
          <w:highlight w:val="white"/>
        </w:rPr>
      </w:pPr>
      <w:r>
        <w:rPr>
          <w:bCs/>
          <w:iCs/>
          <w:color w:val="000000" w:themeColor="text1"/>
          <w:sz w:val="28"/>
          <w:szCs w:val="28"/>
          <w:highlight w:val="white"/>
        </w:rPr>
        <w:t xml:space="preserve">Для сохранения занятости и подде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ржания стабильной ситуации на рынке труда для работников, находящихся под угрозой увольнения, были организованы программы переподготовки и повышения квалификации, оказывалась помощь в открытии собственного дела. В рамках содействия трудоустройству граждан,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 уволенных с системообразующих предприятий региона: сформирован перечень предприятий, готовых трудоустроить и принять граждан на общественные работы; реализованы меры по содействию трудоустройству (отборы, ярмарки вакансий, адресная работа с соискателями).</w:t>
      </w:r>
      <w:r>
        <w:rPr>
          <w:bCs/>
          <w:iCs/>
          <w:color w:val="000000" w:themeColor="text1"/>
          <w:sz w:val="28"/>
          <w:szCs w:val="28"/>
          <w:highlight w:val="white"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  <w:rPr>
          <w:bCs/>
          <w:iCs/>
          <w:color w:val="000000" w:themeColor="text1"/>
          <w:sz w:val="28"/>
          <w:szCs w:val="28"/>
          <w:highlight w:val="white"/>
        </w:rPr>
      </w:pPr>
      <w:r>
        <w:rPr>
          <w:bCs/>
          <w:iCs/>
          <w:color w:val="000000" w:themeColor="text1"/>
          <w:sz w:val="28"/>
          <w:szCs w:val="28"/>
          <w:highlight w:val="white"/>
        </w:rPr>
        <w:t xml:space="preserve">В 2025 году в службу занятости населения за помощью в трудоустройстве обратилось 29,6 тыс. чел., что на 6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,2 тыс. чел. больше, чем в 2024 (23,4 тыс. чел.); признано безработными 6,9 тыс. чел., что на 821 человека больше, чем в 2024 году (6,1 тыс. чел.) Трудоустроено на все виды работ - 21,7 тыс. чел. Общая эффективность трудоустройства граждан составила 73,3%.</w:t>
      </w:r>
      <w:r>
        <w:rPr>
          <w:bCs/>
          <w:iCs/>
          <w:color w:val="000000" w:themeColor="text1"/>
          <w:sz w:val="28"/>
          <w:szCs w:val="28"/>
          <w:highlight w:val="white"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  <w:highlight w:val="white"/>
        </w:rPr>
        <w:t xml:space="preserve">С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 2026 года прогнозируется значительное увеличение количества граждан, занятых в сфере транспортировки и хранения, в среднем на 40 тыс. чел. ежегодно, что связано с завершением реализации инвестиционных проектов по строительству распределительного центра в 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г.п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. Красный Бор (О</w:t>
      </w:r>
      <w:r>
        <w:rPr>
          <w:bCs/>
          <w:iCs/>
          <w:color w:val="000000" w:themeColor="text1"/>
          <w:sz w:val="28"/>
          <w:szCs w:val="28"/>
        </w:rPr>
        <w:t xml:space="preserve">ОО «РВБ»), универсального склада (ООО</w:t>
      </w:r>
      <w:r>
        <w:rPr>
          <w:bCs/>
          <w:iCs/>
          <w:color w:val="000000" w:themeColor="text1"/>
          <w:sz w:val="28"/>
          <w:szCs w:val="28"/>
        </w:rPr>
        <w:t xml:space="preserve"> </w:t>
      </w:r>
      <w:r>
        <w:rPr>
          <w:bCs/>
          <w:iCs/>
          <w:color w:val="000000" w:themeColor="text1"/>
          <w:sz w:val="28"/>
          <w:szCs w:val="28"/>
        </w:rPr>
        <w:t xml:space="preserve">«</w:t>
      </w:r>
      <w:r>
        <w:rPr>
          <w:bCs/>
          <w:iCs/>
          <w:color w:val="000000" w:themeColor="text1"/>
          <w:sz w:val="28"/>
          <w:szCs w:val="28"/>
        </w:rPr>
        <w:t xml:space="preserve">Девелопмент</w:t>
      </w:r>
      <w:r>
        <w:rPr>
          <w:bCs/>
          <w:iCs/>
          <w:color w:val="000000" w:themeColor="text1"/>
          <w:sz w:val="28"/>
          <w:szCs w:val="28"/>
        </w:rPr>
        <w:t xml:space="preserve">-СП») и распределительного центра АО «Тандер» (ООО «</w:t>
      </w:r>
      <w:r>
        <w:rPr>
          <w:bCs/>
          <w:iCs/>
          <w:color w:val="000000" w:themeColor="text1"/>
          <w:sz w:val="28"/>
          <w:szCs w:val="28"/>
        </w:rPr>
        <w:t xml:space="preserve">Девелопмент</w:t>
      </w:r>
      <w:r>
        <w:rPr>
          <w:bCs/>
          <w:iCs/>
          <w:color w:val="000000" w:themeColor="text1"/>
          <w:sz w:val="28"/>
          <w:szCs w:val="28"/>
        </w:rPr>
        <w:t xml:space="preserve">-Е») во Всеволожском районе Ленинградской области.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  <w:rPr>
          <w:highlight w:val="white"/>
        </w:rPr>
      </w:pPr>
      <w:r>
        <w:rPr>
          <w:bCs/>
          <w:iCs/>
          <w:color w:val="000000" w:themeColor="text1"/>
          <w:sz w:val="28"/>
          <w:szCs w:val="28"/>
        </w:rPr>
        <w:t xml:space="preserve">Оба варианта прогноза – консервативный (вариант 1) и базовый (вариант 2) сформированы при условии стабильного социально-экономического развития Ленинградск</w:t>
      </w:r>
      <w:r>
        <w:rPr>
          <w:iCs/>
          <w:color w:val="000000" w:themeColor="text1"/>
          <w:sz w:val="28"/>
          <w:szCs w:val="28"/>
          <w:highlight w:val="white"/>
        </w:rPr>
        <w:t xml:space="preserve">ой области в 2027-2029 годах.</w:t>
      </w:r>
      <w:r>
        <w:rPr>
          <w:highlight w:val="white"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Консервативный (вариант 1):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Прогноз рынка труда по консервативному варианту основан на предпосылке о менее благоприятной ситуации, связанной с условиями более жесткого применения </w:t>
      </w:r>
      <w:r>
        <w:rPr>
          <w:bCs/>
          <w:iCs/>
          <w:color w:val="000000" w:themeColor="text1"/>
          <w:sz w:val="28"/>
          <w:szCs w:val="28"/>
        </w:rPr>
        <w:t xml:space="preserve">санкционного</w:t>
      </w:r>
      <w:r>
        <w:rPr>
          <w:bCs/>
          <w:iCs/>
          <w:color w:val="000000" w:themeColor="text1"/>
          <w:sz w:val="28"/>
          <w:szCs w:val="28"/>
        </w:rPr>
        <w:t xml:space="preserve"> режима, более медленной перестройки предприятий в новых условиям работы.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В 2027-2029 годах прогнозируется: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- значение показателя уровень безработицы (по методологии МОТ) в среднем за год составит 2,8%, снижение показателя до 2,7% прогнозируется в 2029 году;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- численность безработных (по методологии МОТ) в среднем составит 31,9 тыс. чел. В 2027 – 2029 годах возможно снижение (на 1,9%) численности безработных граждан. К 2029 году численность безработных граждан (по методологии МОТ) не превысит 31,6 тыс. чел.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- уровень регистрируемой безработицы прогнозируется в 2027 - 2029 годах не выше 0,3%.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- численность официально зарегистрированных в службе занятости безработных граждан прогнозируется в конце 2026 года – 2,8 тыс. чел., увеличится до 3,1 тыс. человек к 2029 году.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Базовый (вариант 2):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Прогноз рынка труда по базовому варианту опирается на позитивные ожидания в развитии всех сфер экономики региона, а также в части развития рынка труда (сохранение стабильности на рынке труда региона).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В 2027-2029 год прогнозируется, что показатель «уровень безработицы» (по методологии МОТ) не превысит в среднем значение 2,7%.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Численность безработных (по методологии МОТ) в период с </w:t>
      </w:r>
      <w:r>
        <w:rPr>
          <w:bCs/>
          <w:iCs/>
          <w:color w:val="000000" w:themeColor="text1"/>
          <w:sz w:val="28"/>
          <w:szCs w:val="28"/>
          <w:highlight w:val="white"/>
        </w:rPr>
        <w:t xml:space="preserve">2027 по 20</w:t>
      </w:r>
      <w:r>
        <w:rPr>
          <w:bCs/>
          <w:iCs/>
          <w:color w:val="000000" w:themeColor="text1"/>
          <w:sz w:val="28"/>
          <w:szCs w:val="28"/>
        </w:rPr>
        <w:t xml:space="preserve">29 год составит в среднем 31,4 тыс. человек, уменьшившись к концу 2027 года до 31,2 тыс. чел. (на 1,6%).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До</w:t>
      </w:r>
      <w:r>
        <w:rPr>
          <w:bCs/>
          <w:iCs/>
          <w:color w:val="000000" w:themeColor="text1"/>
          <w:sz w:val="28"/>
          <w:szCs w:val="28"/>
        </w:rPr>
        <w:t xml:space="preserve"> конца 2029 года значение показателя «уровень регистрируемой безработицы» ожидается не выше 0,3%. По показателю численность официально зарегистрированных в службе занятости безработных граждан прогнозируется, что значение не будет превышать 3 тыс. человек.</w:t>
      </w:r>
      <w:r/>
    </w:p>
    <w:p>
      <w:pPr>
        <w:pStyle w:val="980"/>
        <w:contextualSpacing/>
        <w:ind w:firstLine="709"/>
        <w:jc w:val="center"/>
        <w:spacing w:after="0"/>
        <w:shd w:val="clear" w:color="ffffff" w:themeColor="background1" w:fill="ffffff" w:themeFill="background1"/>
      </w:pPr>
      <w:r>
        <w:rPr>
          <w:bCs/>
          <w:i/>
          <w:iCs/>
          <w:color w:val="000000" w:themeColor="text1"/>
          <w:sz w:val="28"/>
          <w:szCs w:val="28"/>
        </w:rPr>
        <w:t xml:space="preserve">Мониторинг занятости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С 2022 года (начало </w:t>
      </w:r>
      <w:r>
        <w:rPr>
          <w:bCs/>
          <w:iCs/>
          <w:color w:val="000000" w:themeColor="text1"/>
          <w:sz w:val="28"/>
          <w:szCs w:val="28"/>
        </w:rPr>
        <w:t xml:space="preserve">санкционного</w:t>
      </w:r>
      <w:r>
        <w:rPr>
          <w:bCs/>
          <w:iCs/>
          <w:color w:val="000000" w:themeColor="text1"/>
          <w:sz w:val="28"/>
          <w:szCs w:val="28"/>
        </w:rPr>
        <w:t xml:space="preserve"> давления, вызванного проведением специальной операции) по настоящее время, на особый контроль взяты организации/предприятия, на которых возможно изменение занятости  - введение режимов неполного рабочего времени, простоя/приостановки.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По состоянию на 23 июня 2026 года официально заявлены св</w:t>
      </w:r>
      <w:r>
        <w:rPr>
          <w:bCs/>
          <w:iCs/>
          <w:color w:val="000000" w:themeColor="text1"/>
          <w:sz w:val="28"/>
          <w:szCs w:val="28"/>
        </w:rPr>
        <w:t xml:space="preserve">едения о предполагаемых увольнениях 1 521 человека на 91 предприятии, в рамках организационно-штатных мероприятий сохранят свои рабочие места на 12 предприятиях 495 чел., в связи с реорганизационными процессами сокращение проведут 83 организации, 826 чел.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В режиме неполного рабочего времени работают 788 человек в 13 организациях.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О временной приостановке работы (простое) заявили 18 предприятий, численность работников, находящихся в простое составила 668 чел.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Кроме официальных данных (поступающих из отчетов предприятий), проводится мон</w:t>
      </w:r>
      <w:r>
        <w:rPr>
          <w:bCs/>
          <w:iCs/>
          <w:color w:val="000000" w:themeColor="text1"/>
          <w:sz w:val="28"/>
          <w:szCs w:val="28"/>
        </w:rPr>
        <w:t xml:space="preserve">иторинг информации, поступающей из средств массовой информации, социальных сетей и других неофициальных источников о возможных изменениях в структуре занятости в организациях региона. Под наблюдением находятся 10 организаций с общей численностью 7 858 чел.</w:t>
      </w:r>
      <w:r/>
    </w:p>
    <w:p>
      <w:pPr>
        <w:pStyle w:val="980"/>
        <w:contextualSpacing/>
        <w:ind w:firstLine="709"/>
        <w:jc w:val="center"/>
        <w:spacing w:after="0"/>
        <w:shd w:val="clear" w:color="ffffff" w:themeColor="background1" w:fill="ffffff" w:themeFill="background1"/>
        <w:rPr>
          <w:i/>
        </w:rPr>
      </w:pPr>
      <w:r>
        <w:rPr>
          <w:bCs/>
          <w:i/>
          <w:iCs/>
          <w:color w:val="000000" w:themeColor="text1"/>
          <w:sz w:val="28"/>
          <w:szCs w:val="28"/>
        </w:rPr>
        <w:t xml:space="preserve">Организации общественных и временных работ</w:t>
      </w:r>
      <w:r>
        <w:rPr>
          <w:i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За безработными гражданами, принимающими участие в общественных работах, сохраняется право на получение пособия по безработице.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Рабочие места для временных или общественных работ создаются на период  до трёх и до шести месяцев. </w:t>
      </w:r>
      <w:r/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</w:pPr>
      <w:r>
        <w:rPr>
          <w:bCs/>
          <w:iCs/>
          <w:color w:val="000000" w:themeColor="text1"/>
          <w:sz w:val="28"/>
          <w:szCs w:val="28"/>
        </w:rPr>
        <w:t xml:space="preserve">В рамках программы субсидирования найма, при которой работодатели получают господдержку от Социального Фонда за трудоустройство отдельных категорий граждан за 2025 год трудоустроено 59 человек, за январь – июль 2026 года трудоустроено 34 человека. </w:t>
      </w:r>
      <w:r/>
    </w:p>
    <w:p>
      <w:pPr>
        <w:pStyle w:val="980"/>
        <w:contextualSpacing/>
        <w:ind w:firstLine="709"/>
        <w:jc w:val="center"/>
        <w:spacing w:after="0"/>
        <w:shd w:val="clear" w:color="ffffff" w:themeColor="background1" w:fill="ffffff" w:themeFill="background1"/>
        <w:rPr>
          <w:i/>
        </w:rPr>
      </w:pPr>
      <w:r>
        <w:rPr>
          <w:bCs/>
          <w:i/>
          <w:iCs/>
          <w:color w:val="000000" w:themeColor="text1"/>
          <w:sz w:val="28"/>
          <w:szCs w:val="28"/>
        </w:rPr>
        <w:t xml:space="preserve">Организация профессионального обучения и дополнительного профессионального образования работников предприятий оборонно-промышленного комплекса</w:t>
      </w:r>
      <w:r>
        <w:rPr>
          <w:i/>
        </w:rPr>
      </w:r>
    </w:p>
    <w:p>
      <w:pPr>
        <w:pStyle w:val="980"/>
        <w:contextualSpacing/>
        <w:ind w:firstLine="709"/>
        <w:jc w:val="both"/>
        <w:spacing w:after="0"/>
        <w:shd w:val="clear" w:color="ffffff" w:themeColor="background1" w:fill="ffffff" w:themeFill="background1"/>
        <w:rPr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 xml:space="preserve">В части опережающего профессионального обучения работников организаций, находящихся под риском увольнения и работников организаций, осуществляющих реструктуризацию или модернизацию производства в соответствии с инвестиционными проектами, направленными на </w:t>
      </w:r>
      <w:r>
        <w:rPr>
          <w:bCs/>
          <w:iCs/>
          <w:color w:val="000000" w:themeColor="text1"/>
          <w:sz w:val="28"/>
          <w:szCs w:val="28"/>
        </w:rPr>
        <w:t xml:space="preserve">импортозамещение</w:t>
      </w:r>
      <w:r>
        <w:rPr>
          <w:bCs/>
          <w:iCs/>
          <w:color w:val="000000" w:themeColor="text1"/>
          <w:sz w:val="28"/>
          <w:szCs w:val="28"/>
        </w:rPr>
        <w:t xml:space="preserve"> и повышение производительности труда, план на 2027-2028 - 650 человек. В части профессионального обучения и дополнительного профессионального образования работников предприятий оборонно-промышленного комплекса: на 2027-2028 </w:t>
      </w:r>
      <w:r>
        <w:rPr>
          <w:bCs/>
          <w:iCs/>
          <w:color w:val="000000" w:themeColor="text1"/>
          <w:sz w:val="28"/>
          <w:szCs w:val="28"/>
        </w:rPr>
        <w:t xml:space="preserve">г.г</w:t>
      </w:r>
      <w:r>
        <w:rPr>
          <w:bCs/>
          <w:iCs/>
          <w:color w:val="000000" w:themeColor="text1"/>
          <w:sz w:val="28"/>
          <w:szCs w:val="28"/>
        </w:rPr>
        <w:t xml:space="preserve">. - 154 человека. Данные согласованы с </w:t>
      </w:r>
      <w:r>
        <w:rPr>
          <w:bCs/>
          <w:iCs/>
          <w:color w:val="000000" w:themeColor="text1"/>
          <w:sz w:val="28"/>
          <w:szCs w:val="28"/>
        </w:rPr>
        <w:t xml:space="preserve">Рострудом</w:t>
      </w:r>
      <w:r>
        <w:rPr>
          <w:bCs/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Основные параметры государственных программ</w:t>
      </w:r>
      <w:r>
        <w:rPr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Ленинградской области</w:t>
      </w:r>
      <w:r>
        <w:rPr>
          <w:sz w:val="28"/>
          <w:szCs w:val="28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/>
      <w:bookmarkStart w:id="1" w:name="_GoBack"/>
      <w:r/>
      <w:bookmarkEnd w:id="1"/>
      <w:r>
        <w:rPr>
          <w:rFonts w:eastAsia="Calibri"/>
          <w:sz w:val="28"/>
          <w:szCs w:val="28"/>
          <w:highlight w:val="white"/>
        </w:rPr>
        <w:t xml:space="preserve">Финансирование 18 государственных программ Ленинградской области в 2025 году составило 334,74 млрд руб. (в 2024 году – 283,3 млрд руб.) за счет средств всех источников (в соответствии с утвержденными государственными программами</w:t>
      </w:r>
      <w:r>
        <w:rPr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Ленинградской области).</w:t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Информация о запланированном финансировании, фактическом финансировании государственных программ в 2025 году</w:t>
      </w:r>
      <w:r>
        <w:rPr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разрезе источников</w:t>
      </w:r>
      <w:r>
        <w:rPr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607"/>
        <w:gridCol w:w="2118"/>
        <w:gridCol w:w="2207"/>
        <w:gridCol w:w="2355"/>
      </w:tblGrid>
      <w:tr>
        <w:tblPrEx/>
        <w:trPr/>
        <w:tc>
          <w:tcPr>
            <w:tcW w:w="1403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источника финансирования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Запланированный объем, </w:t>
            </w:r>
            <w:r>
              <w:rPr>
                <w:sz w:val="22"/>
                <w:szCs w:val="22"/>
                <w:highlight w:val="white"/>
              </w:rPr>
              <w:t xml:space="preserve">млрд</w:t>
            </w:r>
            <w:r>
              <w:rPr>
                <w:sz w:val="22"/>
                <w:szCs w:val="22"/>
                <w:highlight w:val="white"/>
              </w:rPr>
              <w:t xml:space="preserve"> рублей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Финансирование (кассовый расход), </w:t>
            </w:r>
            <w:r>
              <w:rPr>
                <w:sz w:val="22"/>
                <w:szCs w:val="22"/>
                <w:highlight w:val="white"/>
              </w:rPr>
              <w:t xml:space="preserve">млрд</w:t>
            </w:r>
            <w:r>
              <w:rPr>
                <w:sz w:val="22"/>
                <w:szCs w:val="22"/>
                <w:highlight w:val="white"/>
              </w:rPr>
              <w:t xml:space="preserve"> рублей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Процент </w:t>
            </w:r>
            <w:r>
              <w:rPr>
                <w:sz w:val="22"/>
                <w:szCs w:val="22"/>
                <w:highlight w:val="white"/>
              </w:rPr>
              <w:t xml:space="preserve">финансиро-вания</w:t>
            </w:r>
            <w:r>
              <w:rPr>
                <w:sz w:val="22"/>
                <w:szCs w:val="22"/>
                <w:highlight w:val="white"/>
              </w:rPr>
              <w:t xml:space="preserve"> от запланирован-</w:t>
            </w:r>
            <w:r>
              <w:rPr>
                <w:sz w:val="22"/>
                <w:szCs w:val="22"/>
                <w:highlight w:val="white"/>
              </w:rPr>
              <w:t xml:space="preserve">ного</w:t>
            </w:r>
            <w:r>
              <w:rPr>
                <w:sz w:val="22"/>
                <w:szCs w:val="22"/>
                <w:highlight w:val="white"/>
              </w:rPr>
              <w:t xml:space="preserve"> объема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40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 по всем источникам, в том числе: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334,74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328,36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98,1%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85"/>
        </w:trPr>
        <w:tc>
          <w:tcPr>
            <w:tcW w:w="140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Федеральный бюджет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20,14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20,09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99,8%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40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Областной бюджет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269,24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262,89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97,6%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40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Местные бюджеты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4,77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4,72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98,9%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40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Прочие источники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40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40,59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18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40,66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268" w:type="pc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100,2%</w:t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Финансирование из областного бюджета Ленинградской области осуществлялось по всем 18 государственным программам и составило </w:t>
      </w:r>
      <w:r>
        <w:rPr>
          <w:rFonts w:eastAsia="Calibri"/>
          <w:sz w:val="28"/>
          <w:szCs w:val="28"/>
          <w:highlight w:val="white"/>
        </w:rPr>
        <w:br/>
        <w:t xml:space="preserve">262,89 </w:t>
      </w:r>
      <w:r>
        <w:rPr>
          <w:rFonts w:eastAsia="Calibri"/>
          <w:sz w:val="28"/>
          <w:szCs w:val="28"/>
          <w:highlight w:val="white"/>
        </w:rPr>
        <w:t xml:space="preserve">млрд</w:t>
      </w:r>
      <w:r>
        <w:rPr>
          <w:rFonts w:eastAsia="Calibri"/>
          <w:sz w:val="28"/>
          <w:szCs w:val="28"/>
          <w:highlight w:val="white"/>
        </w:rPr>
        <w:t xml:space="preserve"> руб., или 97,6</w:t>
      </w:r>
      <w:r>
        <w:rPr>
          <w:sz w:val="28"/>
          <w:szCs w:val="28"/>
          <w:highlight w:val="white"/>
        </w:rPr>
        <w:t xml:space="preserve">%</w:t>
      </w:r>
      <w:r>
        <w:rPr>
          <w:rFonts w:eastAsia="Calibri"/>
          <w:sz w:val="28"/>
          <w:szCs w:val="28"/>
          <w:highlight w:val="white"/>
        </w:rPr>
        <w:t xml:space="preserve"> (в 2023 году – 227,4 млрд руб., или 97,3</w:t>
      </w:r>
      <w:r>
        <w:rPr>
          <w:sz w:val="28"/>
          <w:szCs w:val="28"/>
          <w:highlight w:val="white"/>
        </w:rPr>
        <w:t xml:space="preserve">%)</w:t>
      </w:r>
      <w:r>
        <w:rPr>
          <w:rFonts w:eastAsia="Calibri"/>
          <w:sz w:val="28"/>
          <w:szCs w:val="28"/>
          <w:highlight w:val="white"/>
        </w:rPr>
        <w:br/>
        <w:t xml:space="preserve">от запланированного на год объема финансирования.</w:t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Финансирование (кассовое исполнение) государственных программ</w:t>
      </w:r>
      <w:r>
        <w:rPr>
          <w:rFonts w:eastAsia="Calibri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за счет средств областного бюджета Ленинградской области</w:t>
      </w:r>
      <w:r>
        <w:rPr>
          <w:rFonts w:eastAsia="Calibri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(с учетом межбюджетных трансфертов из федерального бюджета)</w:t>
      </w:r>
      <w:r>
        <w:rPr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09"/>
        <w:gridCol w:w="1503"/>
        <w:gridCol w:w="1629"/>
        <w:gridCol w:w="1246"/>
      </w:tblGrid>
      <w:tr>
        <w:tblPrEx/>
        <w:trPr>
          <w:trHeight w:val="591"/>
        </w:trPr>
        <w:tc>
          <w:tcPr>
            <w:shd w:val="clear" w:color="ffffff" w:fill="ffffff"/>
            <w:tcW w:w="2643" w:type="pct"/>
            <w:vAlign w:val="center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Наименование государственной программы</w:t>
            </w:r>
            <w:r>
              <w:rPr>
                <w:color w:val="000000"/>
                <w:highlight w:val="white"/>
              </w:rPr>
            </w:r>
          </w:p>
        </w:tc>
        <w:tc>
          <w:tcPr>
            <w:gridSpan w:val="2"/>
            <w:shd w:val="clear" w:color="ffffff" w:fill="ffffff"/>
            <w:tcW w:w="1686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Средства областного бюджета, млн. рублей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Процент 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287"/>
        </w:trPr>
        <w:tc>
          <w:tcPr>
            <w:shd w:val="clear" w:color="ffffff" w:fill="ffffff"/>
            <w:tcW w:w="2643" w:type="pct"/>
            <w:vMerge w:val="continue"/>
            <w:textDirection w:val="lrTb"/>
            <w:noWrap w:val="false"/>
          </w:tcPr>
          <w:p>
            <w:pPr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</w:r>
            <w:r>
              <w:rPr>
                <w:color w:val="000000"/>
                <w:highlight w:val="green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план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факт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</w:r>
            <w:r>
              <w:rPr>
                <w:color w:val="000000"/>
                <w:highlight w:val="green"/>
              </w:rPr>
            </w:r>
          </w:p>
        </w:tc>
      </w:tr>
    </w:tbl>
    <w:p>
      <w:pPr>
        <w:shd w:val="clear" w:color="ffffff" w:themeColor="background1" w:fill="ffffff" w:themeFill="background1"/>
        <w:rPr>
          <w:sz w:val="2"/>
          <w:szCs w:val="2"/>
          <w:highlight w:val="white"/>
        </w:rPr>
      </w:pPr>
      <w:r>
        <w:rPr>
          <w:sz w:val="2"/>
          <w:szCs w:val="2"/>
          <w:highlight w:val="white"/>
        </w:rPr>
      </w:r>
      <w:r>
        <w:rPr>
          <w:sz w:val="2"/>
          <w:szCs w:val="2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09"/>
        <w:gridCol w:w="1503"/>
        <w:gridCol w:w="1629"/>
        <w:gridCol w:w="1246"/>
      </w:tblGrid>
      <w:tr>
        <w:tblPrEx/>
        <w:trPr>
          <w:trHeight w:val="245"/>
          <w:tblHeader/>
        </w:trPr>
        <w:tc>
          <w:tcPr>
            <w:shd w:val="clear" w:color="ffffff" w:fill="ffffff"/>
            <w:tcW w:w="2643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</w:t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</w:t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4</w:t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Развитие внутреннего и въездного туризма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935,5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934,5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99,9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Социальная поддержка отдельных категорий граждан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55064,2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54918,8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99,7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Развитие здравоохранения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41523,5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41066,0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98,9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Цифровое развитие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7276,7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7182,3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98,7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Безопасность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5877,1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5783,3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98,4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Развитие транспортной системы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36326,5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35678,5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98,2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Управление государственными финансами и государственным долгом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9919,9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9697,1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97,8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vAlign w:val="center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Современное образование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67958,2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66346,0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  <w:lang w:val="en-US"/>
              </w:rPr>
              <w:t xml:space="preserve">97</w:t>
            </w:r>
            <w:r>
              <w:rPr>
                <w:color w:val="000000"/>
                <w:highlight w:val="white"/>
              </w:rPr>
              <w:t xml:space="preserve">,</w:t>
            </w:r>
            <w:r>
              <w:rPr>
                <w:color w:val="000000"/>
                <w:highlight w:val="white"/>
                <w:lang w:val="en-US"/>
              </w:rPr>
              <w:t xml:space="preserve">6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Содействие занятости населения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1256,7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1222,6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  <w:lang w:val="en-US"/>
              </w:rPr>
              <w:t xml:space="preserve">97</w:t>
            </w:r>
            <w:r>
              <w:rPr>
                <w:color w:val="000000"/>
                <w:highlight w:val="white"/>
              </w:rPr>
              <w:t xml:space="preserve">,3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Обеспечение устойчивого функционирования и развития коммунальной и инженерной инфраструктуры и повышение </w:t>
            </w:r>
            <w:r>
              <w:rPr>
                <w:color w:val="000000"/>
                <w:highlight w:val="white"/>
              </w:rPr>
              <w:t xml:space="preserve">энергоэффективности</w:t>
            </w:r>
            <w:r>
              <w:rPr>
                <w:color w:val="000000"/>
                <w:highlight w:val="white"/>
              </w:rPr>
              <w:t xml:space="preserve">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21673,5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21094,1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97,3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Развитие сельского хозяйства Ленинградской области</w:t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7314,4</w:t>
            </w:r>
            <w:r>
              <w:rPr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7108,0</w:t>
            </w:r>
            <w:r>
              <w:rPr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97,2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Охрана окружающей среды Ленинградской области</w:t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3384,9</w:t>
            </w:r>
            <w:r>
              <w:rPr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3269,8</w:t>
            </w:r>
            <w:r>
              <w:rPr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96,6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Формирование городской среды и обеспечение качественным жильем граждан на территории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11402,1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10883,9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95,5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Устойчивое общественное развитие 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3104,8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2903,2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93,5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vAlign w:val="center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Развитие культуры в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6801,2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6310,9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92,8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Стимулирование экономической активности Ленинградской области</w:t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3493,3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3217,3</w:t>
            </w:r>
            <w:r>
              <w:rPr>
                <w:color w:val="000000"/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92,1</w:t>
            </w:r>
            <w:r>
              <w:rPr>
                <w:color w:val="000000"/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Развитие физической культуры и спорта в Ленинградской области</w:t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4028,0</w:t>
            </w:r>
            <w:r>
              <w:rPr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3500,8</w:t>
            </w:r>
            <w:r>
              <w:rPr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86,9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2643" w:type="pc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Комплексное развитие сельских территорий Ленинградской области</w:t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809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2041,5</w:t>
            </w:r>
            <w:r>
              <w:rPr>
                <w:highlight w:val="white"/>
              </w:rPr>
            </w:r>
          </w:p>
        </w:tc>
        <w:tc>
          <w:tcPr>
            <w:tcW w:w="877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1718,9</w:t>
            </w:r>
            <w:r>
              <w:rPr>
                <w:highlight w:val="white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84,2</w:t>
            </w:r>
            <w:r>
              <w:rPr>
                <w:highlight w:val="white"/>
              </w:rPr>
            </w:r>
          </w:p>
        </w:tc>
      </w:tr>
    </w:tbl>
    <w:p>
      <w:pPr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В рамках реализации государственных программ в 2025 году был запланирован ввод (приобретение) 38 объектов, введено (завершено строительство, приобретено) 27 объектов: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left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1) </w:t>
      </w:r>
      <w:r>
        <w:rPr>
          <w:rFonts w:cs="Calibri"/>
          <w:sz w:val="28"/>
          <w:szCs w:val="28"/>
          <w:highlight w:val="white"/>
          <w:u w:val="single"/>
        </w:rPr>
        <w:t xml:space="preserve">введены</w:t>
      </w:r>
      <w:r>
        <w:rPr>
          <w:rFonts w:cs="Calibri"/>
          <w:sz w:val="28"/>
          <w:szCs w:val="28"/>
          <w:highlight w:val="white"/>
          <w:u w:val="single"/>
        </w:rPr>
        <w:t xml:space="preserve"> в эксплуатацию</w:t>
      </w:r>
      <w:r>
        <w:rPr>
          <w:rFonts w:cs="Calibri"/>
          <w:sz w:val="28"/>
          <w:szCs w:val="28"/>
          <w:highlight w:val="white"/>
        </w:rPr>
        <w:t xml:space="preserve">: 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общеобразовательная школа на 1175 мест в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.Г</w:t>
      </w:r>
      <w:r>
        <w:rPr>
          <w:rFonts w:cs="Calibri"/>
          <w:sz w:val="28"/>
          <w:szCs w:val="28"/>
          <w:highlight w:val="white"/>
        </w:rPr>
        <w:t xml:space="preserve">атчина</w:t>
      </w:r>
      <w:r>
        <w:rPr>
          <w:rFonts w:cs="Calibri"/>
          <w:sz w:val="28"/>
          <w:szCs w:val="28"/>
          <w:highlight w:val="white"/>
        </w:rPr>
        <w:t xml:space="preserve">, микрорайон «Аэродром»;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школа на 350 учащихся с центром консультирования и диагностики на 100 человек в г. Лодейное Поле;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Центр по производству медицинских изделий, предназначенных для оказания протезно-ортопедической помощи инвалидам в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.В</w:t>
      </w:r>
      <w:r>
        <w:rPr>
          <w:rFonts w:cs="Calibri"/>
          <w:sz w:val="28"/>
          <w:szCs w:val="28"/>
          <w:highlight w:val="white"/>
        </w:rPr>
        <w:t xml:space="preserve">севоложск</w:t>
      </w:r>
      <w:r>
        <w:rPr>
          <w:rFonts w:cs="Calibri"/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Лабораторно-производственный корпус № 4 индустриального парка «Северо-Западный </w:t>
      </w:r>
      <w:r>
        <w:rPr>
          <w:rFonts w:cs="Calibri"/>
          <w:sz w:val="28"/>
          <w:szCs w:val="28"/>
          <w:highlight w:val="white"/>
        </w:rPr>
        <w:t xml:space="preserve">нанотехнологический</w:t>
      </w:r>
      <w:r>
        <w:rPr>
          <w:rFonts w:cs="Calibri"/>
          <w:sz w:val="28"/>
          <w:szCs w:val="28"/>
          <w:highlight w:val="white"/>
        </w:rPr>
        <w:t xml:space="preserve"> центр» общей площадью 1345,2 м</w:t>
      </w:r>
      <w:r>
        <w:rPr>
          <w:sz w:val="28"/>
          <w:szCs w:val="28"/>
          <w:highlight w:val="white"/>
        </w:rPr>
        <w:t xml:space="preserve">² в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.Г</w:t>
      </w:r>
      <w:r>
        <w:rPr>
          <w:sz w:val="28"/>
          <w:szCs w:val="28"/>
          <w:highlight w:val="white"/>
        </w:rPr>
        <w:t xml:space="preserve">атчина</w:t>
      </w:r>
      <w:r>
        <w:rPr>
          <w:rFonts w:cs="Calibri"/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физкультурно-оздоровительный комплекс с 25-метровым плавательным бассейном и универсальным игровым залом в </w:t>
      </w:r>
      <w:r>
        <w:rPr>
          <w:rFonts w:cs="Calibri"/>
          <w:sz w:val="28"/>
          <w:szCs w:val="28"/>
          <w:highlight w:val="white"/>
        </w:rPr>
        <w:t xml:space="preserve">г.п</w:t>
      </w:r>
      <w:r>
        <w:rPr>
          <w:rFonts w:cs="Calibri"/>
          <w:sz w:val="28"/>
          <w:szCs w:val="28"/>
          <w:highlight w:val="white"/>
        </w:rPr>
        <w:t xml:space="preserve">.В</w:t>
      </w:r>
      <w:r>
        <w:rPr>
          <w:rFonts w:cs="Calibri"/>
          <w:sz w:val="28"/>
          <w:szCs w:val="28"/>
          <w:highlight w:val="white"/>
        </w:rPr>
        <w:t xml:space="preserve">иллози</w:t>
      </w:r>
      <w:r>
        <w:rPr>
          <w:rFonts w:cs="Calibri"/>
          <w:sz w:val="28"/>
          <w:szCs w:val="28"/>
          <w:highlight w:val="white"/>
        </w:rPr>
        <w:t xml:space="preserve"> Ломоносовского района (единовременная пропускная способность 149 человек в смену);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плавательный бассейн в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.С</w:t>
      </w:r>
      <w:r>
        <w:rPr>
          <w:rFonts w:cs="Calibri"/>
          <w:sz w:val="28"/>
          <w:szCs w:val="28"/>
          <w:highlight w:val="white"/>
        </w:rPr>
        <w:t xml:space="preserve">ертолово</w:t>
      </w:r>
      <w:r>
        <w:rPr>
          <w:rFonts w:cs="Calibri"/>
          <w:sz w:val="28"/>
          <w:szCs w:val="28"/>
          <w:highlight w:val="white"/>
        </w:rPr>
        <w:t xml:space="preserve"> Всеволожского района (единовременная пропускная способность 157 человек в смену);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дом культуры на 150 мест в </w:t>
      </w:r>
      <w:r>
        <w:rPr>
          <w:rFonts w:cs="Calibri"/>
          <w:sz w:val="28"/>
          <w:szCs w:val="28"/>
          <w:highlight w:val="white"/>
        </w:rPr>
        <w:t xml:space="preserve">г.п</w:t>
      </w:r>
      <w:r>
        <w:rPr>
          <w:rFonts w:cs="Calibri"/>
          <w:sz w:val="28"/>
          <w:szCs w:val="28"/>
          <w:highlight w:val="white"/>
        </w:rPr>
        <w:t xml:space="preserve">.К</w:t>
      </w:r>
      <w:r>
        <w:rPr>
          <w:rFonts w:cs="Calibri"/>
          <w:sz w:val="28"/>
          <w:szCs w:val="28"/>
          <w:highlight w:val="white"/>
        </w:rPr>
        <w:t xml:space="preserve">расный</w:t>
      </w:r>
      <w:r>
        <w:rPr>
          <w:rFonts w:cs="Calibri"/>
          <w:sz w:val="28"/>
          <w:szCs w:val="28"/>
          <w:highlight w:val="white"/>
        </w:rPr>
        <w:t xml:space="preserve"> Бор Тосненского района;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поликлиника на 600 посещений в смену на территории ГБУЗ ЛО «Кировская межрайонная больница» в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.К</w:t>
      </w:r>
      <w:r>
        <w:rPr>
          <w:rFonts w:cs="Calibri"/>
          <w:sz w:val="28"/>
          <w:szCs w:val="28"/>
          <w:highlight w:val="white"/>
        </w:rPr>
        <w:t xml:space="preserve">ировск</w:t>
      </w:r>
      <w:r>
        <w:rPr>
          <w:rFonts w:cs="Calibri"/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амбулаторно-поликлинический комплекс на 140 посещений в смену в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.Т</w:t>
      </w:r>
      <w:r>
        <w:rPr>
          <w:rFonts w:cs="Calibri"/>
          <w:sz w:val="28"/>
          <w:szCs w:val="28"/>
          <w:highlight w:val="white"/>
        </w:rPr>
        <w:t xml:space="preserve">ельмана</w:t>
      </w:r>
      <w:r>
        <w:rPr>
          <w:rFonts w:cs="Calibri"/>
          <w:sz w:val="28"/>
          <w:szCs w:val="28"/>
          <w:highlight w:val="white"/>
        </w:rPr>
        <w:t xml:space="preserve"> Тосненского района;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внутриквартальные проезды с канализационны</w:t>
      </w:r>
      <w:r>
        <w:rPr>
          <w:rFonts w:cs="Calibri"/>
          <w:sz w:val="28"/>
          <w:szCs w:val="28"/>
          <w:highlight w:val="white"/>
        </w:rPr>
        <w:t xml:space="preserve">ми сетями квартала малоэтажной застройки в районе ГК «Искра» в г. Сосновый Бор протяженностью 2,042 км (жилищные условия улучшили 102 семьи, земельные участки которых обеспечены инженерной и транспортной инфраструктурой, в том числе 101 многодетная семья).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  <w:u w:val="single"/>
        </w:rPr>
      </w:pPr>
      <w:r>
        <w:rPr>
          <w:rFonts w:cs="Calibri"/>
          <w:sz w:val="28"/>
          <w:szCs w:val="28"/>
          <w:highlight w:val="white"/>
        </w:rPr>
        <w:t xml:space="preserve">2) </w:t>
      </w:r>
      <w:r>
        <w:rPr>
          <w:rFonts w:cs="Calibri"/>
          <w:sz w:val="28"/>
          <w:szCs w:val="28"/>
          <w:highlight w:val="white"/>
          <w:u w:val="single"/>
        </w:rPr>
        <w:t xml:space="preserve">завершено строительство (реконструкция):</w:t>
      </w:r>
      <w:r>
        <w:rPr>
          <w:rFonts w:cs="Calibri"/>
          <w:sz w:val="28"/>
          <w:szCs w:val="28"/>
          <w:highlight w:val="white"/>
          <w:u w:val="singl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дома культуры на 150 мест в </w:t>
      </w:r>
      <w:r>
        <w:rPr>
          <w:rFonts w:cs="Calibri"/>
          <w:sz w:val="28"/>
          <w:szCs w:val="28"/>
          <w:highlight w:val="white"/>
        </w:rPr>
        <w:t xml:space="preserve">п</w:t>
      </w:r>
      <w:r>
        <w:rPr>
          <w:rFonts w:cs="Calibri"/>
          <w:sz w:val="28"/>
          <w:szCs w:val="28"/>
          <w:highlight w:val="white"/>
        </w:rPr>
        <w:t xml:space="preserve">.Т</w:t>
      </w:r>
      <w:r>
        <w:rPr>
          <w:rFonts w:cs="Calibri"/>
          <w:sz w:val="28"/>
          <w:szCs w:val="28"/>
          <w:highlight w:val="white"/>
        </w:rPr>
        <w:t xml:space="preserve">орковичи</w:t>
      </w:r>
      <w:r>
        <w:rPr>
          <w:rFonts w:cs="Calibri"/>
          <w:sz w:val="28"/>
          <w:szCs w:val="28"/>
          <w:highlight w:val="white"/>
        </w:rPr>
        <w:t xml:space="preserve"> Лужского района;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pacing w:val="-6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ЛЭП 0,4 </w:t>
      </w:r>
      <w:r>
        <w:rPr>
          <w:rFonts w:cs="Calibri"/>
          <w:sz w:val="28"/>
          <w:szCs w:val="28"/>
          <w:highlight w:val="white"/>
        </w:rPr>
        <w:t xml:space="preserve">кВ</w:t>
      </w:r>
      <w:r>
        <w:rPr>
          <w:rFonts w:cs="Calibri"/>
          <w:sz w:val="28"/>
          <w:szCs w:val="28"/>
          <w:highlight w:val="white"/>
        </w:rPr>
        <w:t xml:space="preserve">, трансформаторной подстанции № 256 в пос. </w:t>
      </w:r>
      <w:r>
        <w:rPr>
          <w:rFonts w:cs="Calibri"/>
          <w:sz w:val="28"/>
          <w:szCs w:val="28"/>
          <w:highlight w:val="white"/>
        </w:rPr>
        <w:t xml:space="preserve">Бородинское</w:t>
      </w:r>
      <w:r>
        <w:rPr>
          <w:rFonts w:cs="Calibri"/>
          <w:sz w:val="28"/>
          <w:szCs w:val="28"/>
          <w:highlight w:val="white"/>
        </w:rPr>
        <w:t xml:space="preserve"> Выборгского района</w:t>
      </w:r>
      <w:r>
        <w:rPr>
          <w:rFonts w:cs="Calibri"/>
          <w:spacing w:val="-6"/>
          <w:sz w:val="28"/>
          <w:szCs w:val="28"/>
          <w:highlight w:val="white"/>
        </w:rPr>
        <w:t xml:space="preserve">;</w:t>
      </w:r>
      <w:r>
        <w:rPr>
          <w:rFonts w:cs="Calibri"/>
          <w:spacing w:val="-6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pacing w:val="-6"/>
          <w:sz w:val="28"/>
          <w:szCs w:val="28"/>
          <w:highlight w:val="white"/>
        </w:rPr>
      </w:pPr>
      <w:r>
        <w:rPr>
          <w:rFonts w:cs="Calibri"/>
          <w:spacing w:val="-6"/>
          <w:sz w:val="28"/>
          <w:szCs w:val="28"/>
          <w:highlight w:val="white"/>
        </w:rPr>
        <w:t xml:space="preserve">- детского сада на 220 мест в </w:t>
      </w:r>
      <w:r>
        <w:rPr>
          <w:rFonts w:cs="Calibri"/>
          <w:spacing w:val="-6"/>
          <w:sz w:val="28"/>
          <w:szCs w:val="28"/>
          <w:highlight w:val="white"/>
        </w:rPr>
        <w:t xml:space="preserve">д</w:t>
      </w:r>
      <w:r>
        <w:rPr>
          <w:rFonts w:cs="Calibri"/>
          <w:spacing w:val="-6"/>
          <w:sz w:val="28"/>
          <w:szCs w:val="28"/>
          <w:highlight w:val="white"/>
        </w:rPr>
        <w:t xml:space="preserve">.А</w:t>
      </w:r>
      <w:r>
        <w:rPr>
          <w:rFonts w:cs="Calibri"/>
          <w:spacing w:val="-6"/>
          <w:sz w:val="28"/>
          <w:szCs w:val="28"/>
          <w:highlight w:val="white"/>
        </w:rPr>
        <w:t xml:space="preserve">галатово</w:t>
      </w:r>
      <w:r>
        <w:rPr>
          <w:rFonts w:cs="Calibri"/>
          <w:spacing w:val="-6"/>
          <w:sz w:val="28"/>
          <w:szCs w:val="28"/>
          <w:highlight w:val="white"/>
        </w:rPr>
        <w:t xml:space="preserve"> Всеволожского района;</w:t>
      </w:r>
      <w:r>
        <w:rPr>
          <w:rFonts w:cs="Calibri"/>
          <w:spacing w:val="-6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pacing w:val="-6"/>
          <w:sz w:val="28"/>
          <w:szCs w:val="28"/>
          <w:highlight w:val="white"/>
        </w:rPr>
      </w:pPr>
      <w:r>
        <w:rPr>
          <w:rFonts w:cs="Calibri"/>
          <w:spacing w:val="-6"/>
          <w:sz w:val="28"/>
          <w:szCs w:val="28"/>
          <w:highlight w:val="white"/>
        </w:rPr>
        <w:t xml:space="preserve">- модульной газовой котельной в </w:t>
      </w:r>
      <w:r>
        <w:rPr>
          <w:rFonts w:cs="Calibri"/>
          <w:spacing w:val="-6"/>
          <w:sz w:val="28"/>
          <w:szCs w:val="28"/>
          <w:highlight w:val="white"/>
        </w:rPr>
        <w:t xml:space="preserve">п</w:t>
      </w:r>
      <w:r>
        <w:rPr>
          <w:rFonts w:cs="Calibri"/>
          <w:spacing w:val="-6"/>
          <w:sz w:val="28"/>
          <w:szCs w:val="28"/>
          <w:highlight w:val="white"/>
        </w:rPr>
        <w:t xml:space="preserve">.А</w:t>
      </w:r>
      <w:r>
        <w:rPr>
          <w:rFonts w:cs="Calibri"/>
          <w:spacing w:val="-6"/>
          <w:sz w:val="28"/>
          <w:szCs w:val="28"/>
          <w:highlight w:val="white"/>
        </w:rPr>
        <w:t xml:space="preserve">врово</w:t>
      </w:r>
      <w:r>
        <w:rPr>
          <w:rFonts w:cs="Calibri"/>
          <w:spacing w:val="-6"/>
          <w:sz w:val="28"/>
          <w:szCs w:val="28"/>
          <w:highlight w:val="white"/>
        </w:rPr>
        <w:t xml:space="preserve"> </w:t>
      </w:r>
      <w:r>
        <w:rPr>
          <w:rFonts w:cs="Calibri"/>
          <w:spacing w:val="-6"/>
          <w:sz w:val="28"/>
          <w:szCs w:val="28"/>
          <w:highlight w:val="white"/>
        </w:rPr>
        <w:t xml:space="preserve">Волховского</w:t>
      </w:r>
      <w:r>
        <w:rPr>
          <w:rFonts w:cs="Calibri"/>
          <w:spacing w:val="-6"/>
          <w:sz w:val="28"/>
          <w:szCs w:val="28"/>
          <w:highlight w:val="white"/>
        </w:rPr>
        <w:t xml:space="preserve"> района мощностью 2,2 МВт;</w:t>
      </w:r>
      <w:r>
        <w:rPr>
          <w:rFonts w:cs="Calibri"/>
          <w:spacing w:val="-6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pacing w:val="-6"/>
          <w:sz w:val="28"/>
          <w:szCs w:val="28"/>
          <w:highlight w:val="white"/>
          <w:u w:val="single"/>
        </w:rPr>
      </w:pPr>
      <w:r>
        <w:rPr>
          <w:rFonts w:cs="Calibri"/>
          <w:spacing w:val="-6"/>
          <w:sz w:val="28"/>
          <w:szCs w:val="28"/>
          <w:highlight w:val="white"/>
        </w:rPr>
        <w:t xml:space="preserve">3)</w:t>
      </w:r>
      <w:r>
        <w:rPr>
          <w:rFonts w:cs="Calibri"/>
          <w:spacing w:val="-6"/>
          <w:sz w:val="28"/>
          <w:szCs w:val="28"/>
          <w:highlight w:val="white"/>
          <w:u w:val="single"/>
        </w:rPr>
        <w:t xml:space="preserve"> приобретены:</w:t>
      </w:r>
      <w:r>
        <w:rPr>
          <w:rFonts w:cs="Calibri"/>
          <w:spacing w:val="-6"/>
          <w:sz w:val="28"/>
          <w:szCs w:val="28"/>
          <w:highlight w:val="white"/>
          <w:u w:val="singl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- 3 нежилых помещения для размещения общеобразовательных учреждений общим количеством мест – 2209 (на 825 и 550 в </w:t>
      </w:r>
      <w:r>
        <w:rPr>
          <w:rFonts w:cs="Calibri"/>
          <w:sz w:val="28"/>
          <w:szCs w:val="28"/>
          <w:highlight w:val="white"/>
        </w:rPr>
        <w:t xml:space="preserve">г.п</w:t>
      </w:r>
      <w:r>
        <w:rPr>
          <w:rFonts w:cs="Calibri"/>
          <w:sz w:val="28"/>
          <w:szCs w:val="28"/>
          <w:highlight w:val="white"/>
        </w:rPr>
        <w:t xml:space="preserve">.Н</w:t>
      </w:r>
      <w:r>
        <w:rPr>
          <w:rFonts w:cs="Calibri"/>
          <w:sz w:val="28"/>
          <w:szCs w:val="28"/>
          <w:highlight w:val="white"/>
        </w:rPr>
        <w:t xml:space="preserve">овоселье</w:t>
      </w:r>
      <w:r>
        <w:rPr>
          <w:rFonts w:cs="Calibri"/>
          <w:sz w:val="28"/>
          <w:szCs w:val="28"/>
          <w:highlight w:val="white"/>
        </w:rPr>
        <w:t xml:space="preserve"> Ломоносовского района, на 834 места в </w:t>
      </w:r>
      <w:r>
        <w:rPr>
          <w:rFonts w:cs="Calibri"/>
          <w:sz w:val="28"/>
          <w:szCs w:val="28"/>
          <w:highlight w:val="white"/>
        </w:rPr>
        <w:t xml:space="preserve">г.Мурино</w:t>
      </w:r>
      <w:r>
        <w:rPr>
          <w:rFonts w:cs="Calibri"/>
          <w:sz w:val="28"/>
          <w:szCs w:val="28"/>
          <w:highlight w:val="white"/>
        </w:rPr>
        <w:t xml:space="preserve"> Всеволожского района);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- 7 нежилых помещений для размещения учреждений дошкольного образования общим количеством мест - 1985 (во Всеволожском районе - 1635 мест, в Ломоносовском районе - 350 мест);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пристройка к жилому дому для размещения Аннинской детской школы искусств в </w:t>
      </w:r>
      <w:r>
        <w:rPr>
          <w:rFonts w:cs="Calibri"/>
          <w:sz w:val="28"/>
          <w:szCs w:val="28"/>
          <w:highlight w:val="white"/>
        </w:rPr>
        <w:t xml:space="preserve">п</w:t>
      </w:r>
      <w:r>
        <w:rPr>
          <w:rFonts w:cs="Calibri"/>
          <w:sz w:val="28"/>
          <w:szCs w:val="28"/>
          <w:highlight w:val="white"/>
        </w:rPr>
        <w:t xml:space="preserve">.А</w:t>
      </w:r>
      <w:r>
        <w:rPr>
          <w:rFonts w:cs="Calibri"/>
          <w:sz w:val="28"/>
          <w:szCs w:val="28"/>
          <w:highlight w:val="white"/>
        </w:rPr>
        <w:t xml:space="preserve">ннино</w:t>
      </w:r>
      <w:r>
        <w:rPr>
          <w:rFonts w:cs="Calibri"/>
          <w:sz w:val="28"/>
          <w:szCs w:val="28"/>
          <w:highlight w:val="white"/>
        </w:rPr>
        <w:t xml:space="preserve"> Ломоносовского района (на 130 мест, пропускная способность 450 учащихся);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недвижимое имущество в целях размещения филиала Национального центра «Россия» на 150000 посещений в год, 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.В</w:t>
      </w:r>
      <w:r>
        <w:rPr>
          <w:rFonts w:cs="Calibri"/>
          <w:sz w:val="28"/>
          <w:szCs w:val="28"/>
          <w:highlight w:val="white"/>
        </w:rPr>
        <w:t xml:space="preserve">севоложск</w:t>
      </w:r>
      <w:r>
        <w:rPr>
          <w:rFonts w:cs="Calibri"/>
          <w:sz w:val="28"/>
          <w:szCs w:val="28"/>
          <w:highlight w:val="white"/>
        </w:rPr>
        <w:t xml:space="preserve">, </w:t>
      </w:r>
      <w:r>
        <w:rPr>
          <w:rFonts w:cs="Calibri"/>
          <w:sz w:val="28"/>
          <w:szCs w:val="28"/>
          <w:highlight w:val="white"/>
        </w:rPr>
        <w:t xml:space="preserve">ул.Культуры</w:t>
      </w:r>
      <w:r>
        <w:rPr>
          <w:rFonts w:cs="Calibri"/>
          <w:sz w:val="28"/>
          <w:szCs w:val="28"/>
          <w:highlight w:val="white"/>
        </w:rPr>
        <w:t xml:space="preserve">, д.64;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встроенно-пристроенное помещение для размещения амбулаторно-поликлинического отделения на 200 посещений в смену в </w:t>
      </w:r>
      <w:r>
        <w:rPr>
          <w:rFonts w:cs="Calibri"/>
          <w:sz w:val="28"/>
          <w:szCs w:val="28"/>
          <w:highlight w:val="white"/>
        </w:rPr>
        <w:t xml:space="preserve">мкр</w:t>
      </w:r>
      <w:r>
        <w:rPr>
          <w:rFonts w:cs="Calibri"/>
          <w:sz w:val="28"/>
          <w:szCs w:val="28"/>
          <w:highlight w:val="white"/>
        </w:rPr>
        <w:t xml:space="preserve">.Ю</w:t>
      </w:r>
      <w:r>
        <w:rPr>
          <w:rFonts w:cs="Calibri"/>
          <w:sz w:val="28"/>
          <w:szCs w:val="28"/>
          <w:highlight w:val="white"/>
        </w:rPr>
        <w:t xml:space="preserve">жный</w:t>
      </w:r>
      <w:r>
        <w:rPr>
          <w:rFonts w:cs="Calibri"/>
          <w:sz w:val="28"/>
          <w:szCs w:val="28"/>
          <w:highlight w:val="white"/>
        </w:rPr>
        <w:t xml:space="preserve"> </w:t>
      </w:r>
      <w:r>
        <w:rPr>
          <w:rFonts w:cs="Calibri"/>
          <w:sz w:val="28"/>
          <w:szCs w:val="28"/>
          <w:highlight w:val="white"/>
        </w:rPr>
        <w:t xml:space="preserve">г.Всеволожск</w:t>
      </w:r>
      <w:r>
        <w:rPr>
          <w:rFonts w:cs="Calibri"/>
          <w:sz w:val="28"/>
          <w:szCs w:val="28"/>
          <w:highlight w:val="white"/>
        </w:rPr>
        <w:t xml:space="preserve">.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11 объектам строительные работы не завершены.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9 объектам возникла необходимость корректировки проектно-сметной документации (в том </w:t>
      </w:r>
      <w:r>
        <w:rPr>
          <w:sz w:val="28"/>
          <w:szCs w:val="28"/>
          <w:highlight w:val="white"/>
        </w:rPr>
        <w:t xml:space="preserve">числе в связи с расхождением проектных решений и фактическим состоянием объекта, изменением ранее выданных технических условий, увеличением стоимости работ, необходимостью выполнения работ, неучтенных проектом, отклонением от проекта при выполнении работ):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Реконструкция спортивного комплекса Государственного автономного образовательного учреждения высшего образования Ленинградской области "Гатчинский государственный университет" (строительная готовность – 86%)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Физкультурно-оздоровительный комплекс с универсальным игровым залом, Всеволожский муниципальный район, </w:t>
      </w:r>
      <w:r>
        <w:rPr>
          <w:sz w:val="28"/>
          <w:szCs w:val="28"/>
          <w:highlight w:val="white"/>
        </w:rPr>
        <w:t xml:space="preserve">г.п</w:t>
      </w:r>
      <w:r>
        <w:rPr>
          <w:sz w:val="28"/>
          <w:szCs w:val="28"/>
          <w:highlight w:val="white"/>
        </w:rPr>
        <w:t xml:space="preserve">.Н</w:t>
      </w:r>
      <w:r>
        <w:rPr>
          <w:sz w:val="28"/>
          <w:szCs w:val="28"/>
          <w:highlight w:val="white"/>
        </w:rPr>
        <w:t xml:space="preserve">евская</w:t>
      </w:r>
      <w:r>
        <w:rPr>
          <w:sz w:val="28"/>
          <w:szCs w:val="28"/>
          <w:highlight w:val="white"/>
        </w:rPr>
        <w:t xml:space="preserve"> Дубровка, ул. Школьная (строительная готовность – 38%)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культурно-досугового центра, II этап, Гатчинский муниципальный округ, </w:t>
      </w:r>
      <w:r>
        <w:rPr>
          <w:sz w:val="28"/>
          <w:szCs w:val="28"/>
          <w:highlight w:val="white"/>
        </w:rPr>
        <w:t xml:space="preserve">г.п</w:t>
      </w:r>
      <w:r>
        <w:rPr>
          <w:sz w:val="28"/>
          <w:szCs w:val="28"/>
          <w:highlight w:val="white"/>
        </w:rPr>
        <w:t xml:space="preserve">. Тайцы, ул. Санаторская, д.1а (строительная готовность – 82%)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котельной мощностью 3 МВт в </w:t>
      </w:r>
      <w:r>
        <w:rPr>
          <w:sz w:val="28"/>
          <w:szCs w:val="28"/>
          <w:highlight w:val="white"/>
        </w:rPr>
        <w:t xml:space="preserve">г.п</w:t>
      </w:r>
      <w:r>
        <w:rPr>
          <w:sz w:val="28"/>
          <w:szCs w:val="28"/>
          <w:highlight w:val="white"/>
        </w:rPr>
        <w:t xml:space="preserve">.С</w:t>
      </w:r>
      <w:r>
        <w:rPr>
          <w:sz w:val="28"/>
          <w:szCs w:val="28"/>
          <w:highlight w:val="white"/>
        </w:rPr>
        <w:t xml:space="preserve">вирьстрой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Лодейнопольского</w:t>
      </w:r>
      <w:r>
        <w:rPr>
          <w:sz w:val="28"/>
          <w:szCs w:val="28"/>
          <w:highlight w:val="white"/>
        </w:rPr>
        <w:t xml:space="preserve"> муниципального района с сетями инженерно-технического обеспечения (строительная готовность – 70%)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пешеходного мостового перехода через р. Оредеж                 в дер. </w:t>
      </w:r>
      <w:r>
        <w:rPr>
          <w:sz w:val="28"/>
          <w:szCs w:val="28"/>
          <w:highlight w:val="white"/>
        </w:rPr>
        <w:t xml:space="preserve">Даймище</w:t>
      </w:r>
      <w:r>
        <w:rPr>
          <w:sz w:val="28"/>
          <w:szCs w:val="28"/>
          <w:highlight w:val="white"/>
        </w:rPr>
        <w:t xml:space="preserve"> Гатчинского муниципального округа (строительная готовность – 26%)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автомобильной дороги, расположенной по адресу: Ленинградская область, Тосненский район, г. Тосно, дорога к стадиону от региональной автодороги "</w:t>
      </w:r>
      <w:r>
        <w:rPr>
          <w:sz w:val="28"/>
          <w:szCs w:val="28"/>
          <w:highlight w:val="white"/>
        </w:rPr>
        <w:t xml:space="preserve">Кемполово</w:t>
      </w:r>
      <w:r>
        <w:rPr>
          <w:sz w:val="28"/>
          <w:szCs w:val="28"/>
          <w:highlight w:val="white"/>
        </w:rPr>
        <w:t xml:space="preserve"> - </w:t>
      </w:r>
      <w:r>
        <w:rPr>
          <w:sz w:val="28"/>
          <w:szCs w:val="28"/>
          <w:highlight w:val="white"/>
        </w:rPr>
        <w:t xml:space="preserve">Губаницы</w:t>
      </w:r>
      <w:r>
        <w:rPr>
          <w:sz w:val="28"/>
          <w:szCs w:val="28"/>
          <w:highlight w:val="white"/>
        </w:rPr>
        <w:t xml:space="preserve"> - </w:t>
      </w:r>
      <w:r>
        <w:rPr>
          <w:sz w:val="28"/>
          <w:szCs w:val="28"/>
          <w:highlight w:val="white"/>
        </w:rPr>
        <w:t xml:space="preserve">Калитино</w:t>
      </w:r>
      <w:r>
        <w:rPr>
          <w:sz w:val="28"/>
          <w:szCs w:val="28"/>
          <w:highlight w:val="white"/>
        </w:rPr>
        <w:t xml:space="preserve"> - Выра - Тосно - Шапки" (строительная готовность -95%)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местной улицы пос. </w:t>
      </w:r>
      <w:r>
        <w:rPr>
          <w:sz w:val="28"/>
          <w:szCs w:val="28"/>
          <w:highlight w:val="white"/>
        </w:rPr>
        <w:t xml:space="preserve">Щеглово</w:t>
      </w:r>
      <w:r>
        <w:rPr>
          <w:sz w:val="28"/>
          <w:szCs w:val="28"/>
          <w:highlight w:val="white"/>
        </w:rPr>
        <w:t xml:space="preserve"> по адресу: Всеволожский муниципальный район, </w:t>
      </w:r>
      <w:r>
        <w:rPr>
          <w:sz w:val="28"/>
          <w:szCs w:val="28"/>
          <w:highlight w:val="white"/>
        </w:rPr>
        <w:t xml:space="preserve">Щегловское</w:t>
      </w:r>
      <w:r>
        <w:rPr>
          <w:sz w:val="28"/>
          <w:szCs w:val="28"/>
          <w:highlight w:val="white"/>
        </w:rPr>
        <w:t xml:space="preserve"> сельское поселение, пос. </w:t>
      </w:r>
      <w:r>
        <w:rPr>
          <w:sz w:val="28"/>
          <w:szCs w:val="28"/>
          <w:highlight w:val="white"/>
        </w:rPr>
        <w:t xml:space="preserve">Щеглово</w:t>
      </w:r>
      <w:r>
        <w:rPr>
          <w:sz w:val="28"/>
          <w:szCs w:val="28"/>
          <w:highlight w:val="white"/>
        </w:rPr>
        <w:t xml:space="preserve">, кадастровые номера участков: 47:07:0000000: 94138, </w:t>
      </w:r>
      <w:r>
        <w:rPr>
          <w:sz w:val="28"/>
          <w:szCs w:val="28"/>
          <w:highlight w:val="white"/>
        </w:rPr>
        <w:t xml:space="preserve">47:07:0912007:742, 47:07:0912007:734, 47:07:0000000:90666 (строительная готовность – 10%)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Сооружение стадиона, г. Луга, пр. </w:t>
      </w:r>
      <w:r>
        <w:rPr>
          <w:sz w:val="28"/>
          <w:szCs w:val="28"/>
          <w:highlight w:val="white"/>
        </w:rPr>
        <w:t xml:space="preserve">Комсомольский</w:t>
      </w:r>
      <w:r>
        <w:rPr>
          <w:sz w:val="28"/>
          <w:szCs w:val="28"/>
          <w:highlight w:val="white"/>
        </w:rPr>
        <w:t xml:space="preserve"> (строительная готовность – 30%)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40"/>
        </w:numPr>
        <w:contextualSpacing/>
        <w:ind w:left="0"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Строительство фельдшерско-акушерского пункта, </w:t>
      </w:r>
      <w:r>
        <w:rPr>
          <w:sz w:val="28"/>
          <w:szCs w:val="28"/>
          <w:highlight w:val="white"/>
        </w:rPr>
        <w:t xml:space="preserve">дер</w:t>
      </w:r>
      <w:r>
        <w:rPr>
          <w:sz w:val="28"/>
          <w:szCs w:val="28"/>
          <w:highlight w:val="white"/>
        </w:rPr>
        <w:t xml:space="preserve">.Я</w:t>
      </w:r>
      <w:r>
        <w:rPr>
          <w:sz w:val="28"/>
          <w:szCs w:val="28"/>
          <w:highlight w:val="white"/>
        </w:rPr>
        <w:t xml:space="preserve">льгелево</w:t>
      </w:r>
      <w:r>
        <w:rPr>
          <w:sz w:val="28"/>
          <w:szCs w:val="28"/>
          <w:highlight w:val="white"/>
        </w:rPr>
        <w:t xml:space="preserve">, Ломоносовского муниципального района (строительная готовность – 90%).</w:t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объекту «</w:t>
      </w:r>
      <w:r>
        <w:rPr>
          <w:sz w:val="28"/>
          <w:szCs w:val="28"/>
          <w:highlight w:val="white"/>
        </w:rPr>
        <w:t xml:space="preserve">Биатлонно</w:t>
      </w:r>
      <w:r>
        <w:rPr>
          <w:sz w:val="28"/>
          <w:szCs w:val="28"/>
          <w:highlight w:val="white"/>
        </w:rPr>
        <w:t xml:space="preserve">-лыжный комплекс в пос. Шапки Тосненского района (1 этап строительства)» контракт расторгнут 05.11.2025, планируется заключение нового контракта в 2026 году (строительная готовность – 60%).</w:t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объекту «Реконструкция стадиона "Нефтяник", г. Кириши, ул. Строителей, д.5» в связи с тем, что стадион  планируется в качестве базы подготовки спортсменов </w:t>
      </w:r>
      <w:r>
        <w:rPr>
          <w:sz w:val="28"/>
          <w:szCs w:val="28"/>
          <w:highlight w:val="white"/>
        </w:rPr>
        <w:t xml:space="preserve">Киришского</w:t>
      </w:r>
      <w:r>
        <w:rPr>
          <w:sz w:val="28"/>
          <w:szCs w:val="28"/>
          <w:highlight w:val="white"/>
        </w:rPr>
        <w:t xml:space="preserve"> района и сборных команд Ленинградской области по легкой атлетике, откоррек</w:t>
      </w:r>
      <w:r>
        <w:rPr>
          <w:sz w:val="28"/>
          <w:szCs w:val="28"/>
          <w:highlight w:val="white"/>
        </w:rPr>
        <w:t xml:space="preserve">тирован перечень спортивного оборудования с большим сроком поставки (изготавливается по стандартным требованиям и одобряется Всемирной федерацией легкой атлетики), необходима укладка травяного покрытия при стабильной положительной температуре (строительная</w:t>
      </w:r>
      <w:r>
        <w:rPr>
          <w:sz w:val="28"/>
          <w:szCs w:val="28"/>
          <w:highlight w:val="white"/>
        </w:rPr>
        <w:t xml:space="preserve"> готовность – 95%).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Кроме того: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>
        <w:rPr>
          <w:rFonts w:cs="Calibri"/>
          <w:sz w:val="28"/>
          <w:szCs w:val="28"/>
          <w:highlight w:val="white"/>
        </w:rPr>
        <w:t xml:space="preserve">после ремонта и капитального ремонта </w:t>
      </w:r>
      <w:r>
        <w:rPr>
          <w:rFonts w:cs="Calibri"/>
          <w:sz w:val="28"/>
          <w:szCs w:val="28"/>
          <w:highlight w:val="white"/>
        </w:rPr>
        <w:t xml:space="preserve">введены</w:t>
      </w:r>
      <w:r>
        <w:rPr>
          <w:rFonts w:cs="Calibri"/>
          <w:sz w:val="28"/>
          <w:szCs w:val="28"/>
          <w:highlight w:val="white"/>
        </w:rPr>
        <w:t xml:space="preserve">: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участки автомобильных дорог общего пользования местного значения, общей протяженностью 99,29 км;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участки автомобильных дорог регионального значения протяженностью 216,08 км и искусственные сооружения на них общей протяженностью 281,94 </w:t>
      </w:r>
      <w:r>
        <w:rPr>
          <w:rFonts w:cs="Calibri"/>
          <w:sz w:val="28"/>
          <w:szCs w:val="28"/>
          <w:highlight w:val="white"/>
        </w:rPr>
        <w:t xml:space="preserve">пог</w:t>
      </w:r>
      <w:r>
        <w:rPr>
          <w:rFonts w:cs="Calibri"/>
          <w:sz w:val="28"/>
          <w:szCs w:val="28"/>
          <w:highlight w:val="white"/>
        </w:rPr>
        <w:t xml:space="preserve">.м</w:t>
      </w:r>
      <w:r>
        <w:rPr>
          <w:rFonts w:cs="Calibri"/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contextualSpacing/>
        <w:ind w:firstLine="1134"/>
        <w:jc w:val="both"/>
        <w:shd w:val="clear" w:color="ffffff" w:themeColor="background1" w:fill="ffffff" w:themeFill="background1"/>
        <w:tabs>
          <w:tab w:val="left" w:pos="1134" w:leader="none"/>
        </w:tabs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автомобильные дороги общего пользования, обеспечивающие доступ к садоводческим некоммерческим товариществам, протяженностью 39,46 км;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к сетям газораспределения подключено 5116 индивидуальных домовладений;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отремонтированы, построены и реконструированы 14 автомобильных дорог, связывающих 8 объектов сельскохозяйственного назначения между собой и (или) с дорогами общего пользования общей протяженностью 6,36 км;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улучшили жилищные условия: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ind w:left="0"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126 молодых семей (граждан) - приобретены (построены) жилые помещения общей площадью 7354,59 м²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ind w:left="0"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116 граждан (семей) приобрели жилые помещения общей площадью 7111,4 м² с использованием средств ипотечных кредитов</w:t>
      </w:r>
      <w:r>
        <w:rPr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contextualSpacing/>
        <w:ind w:left="0" w:firstLine="709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41 сельская семья - приобретены жилые помещения общей площадью 3184,14 м²;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ind w:left="0"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переселено 2786 человек из аварийного жилищного фонда общей площадью 45,13 тыс. м</w:t>
      </w:r>
      <w:r>
        <w:rPr>
          <w:sz w:val="28"/>
          <w:szCs w:val="28"/>
          <w:highlight w:val="white"/>
        </w:rPr>
        <w:t xml:space="preserve">²</w:t>
      </w:r>
      <w:r>
        <w:rPr>
          <w:rFonts w:cs="Calibri"/>
          <w:sz w:val="28"/>
          <w:szCs w:val="28"/>
          <w:highlight w:val="white"/>
        </w:rPr>
        <w:t xml:space="preserve">;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ind w:left="0"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приобретено 4 жилых помещения для семей ветеранов ВОВ;</w:t>
      </w:r>
      <w:r>
        <w:rPr>
          <w:rFonts w:cs="Calibri"/>
          <w:sz w:val="28"/>
          <w:szCs w:val="28"/>
          <w:highlight w:val="white"/>
        </w:rPr>
      </w:r>
    </w:p>
    <w:p>
      <w:pPr>
        <w:numPr>
          <w:ilvl w:val="0"/>
          <w:numId w:val="39"/>
        </w:numPr>
        <w:ind w:left="0"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приобретено 312 жилых помещений для последующей передачи детям-сиротам, детям, оставшимся без попечения родителей, лицам, из числа детей-сирот и детей, оставшихся без попечения родите</w:t>
      </w:r>
      <w:r>
        <w:rPr>
          <w:rFonts w:cs="Calibri"/>
          <w:sz w:val="28"/>
          <w:szCs w:val="28"/>
          <w:highlight w:val="white"/>
        </w:rPr>
        <w:t xml:space="preserve">лей, по договорам социального найма. Предоставлены по договору социального найма жилые помещения общей площадью 8699,4 м² 272 детям-сиротам, детям, оставшимся без попечения родителей, лицам, из числа детей-сирот и детей, оставшихся без попечения родителей.</w:t>
      </w:r>
      <w:r>
        <w:rPr>
          <w:rFonts w:cs="Calibri"/>
          <w:sz w:val="28"/>
          <w:szCs w:val="28"/>
          <w:highlight w:val="white"/>
        </w:rPr>
      </w:r>
    </w:p>
    <w:p>
      <w:pPr>
        <w:ind w:left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В рамках мероприятий по формированию комфортной городской среды: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благоустроено 128 общественных пространств и дворовых территорий;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- реализовано 3 проекта в городах - победителях Всероссийского конкурса лучших проектов создания комфортной городской среды (</w:t>
      </w:r>
      <w:r>
        <w:rPr>
          <w:rFonts w:cs="Calibri"/>
          <w:sz w:val="28"/>
          <w:szCs w:val="28"/>
          <w:highlight w:val="white"/>
        </w:rPr>
        <w:t xml:space="preserve">г</w:t>
      </w:r>
      <w:r>
        <w:rPr>
          <w:rFonts w:cs="Calibri"/>
          <w:sz w:val="28"/>
          <w:szCs w:val="28"/>
          <w:highlight w:val="white"/>
        </w:rPr>
        <w:t xml:space="preserve">.С</w:t>
      </w:r>
      <w:r>
        <w:rPr>
          <w:rFonts w:cs="Calibri"/>
          <w:sz w:val="28"/>
          <w:szCs w:val="28"/>
          <w:highlight w:val="white"/>
        </w:rPr>
        <w:t xml:space="preserve">основый</w:t>
      </w:r>
      <w:r>
        <w:rPr>
          <w:rFonts w:cs="Calibri"/>
          <w:sz w:val="28"/>
          <w:szCs w:val="28"/>
          <w:highlight w:val="white"/>
        </w:rPr>
        <w:t xml:space="preserve"> Бор, </w:t>
      </w:r>
      <w:r>
        <w:rPr>
          <w:rFonts w:cs="Calibri"/>
          <w:sz w:val="28"/>
          <w:szCs w:val="28"/>
          <w:highlight w:val="white"/>
        </w:rPr>
        <w:t xml:space="preserve">г.Выборг</w:t>
      </w:r>
      <w:r>
        <w:rPr>
          <w:rFonts w:cs="Calibri"/>
          <w:sz w:val="28"/>
          <w:szCs w:val="28"/>
          <w:highlight w:val="white"/>
        </w:rPr>
        <w:t xml:space="preserve">, </w:t>
      </w:r>
      <w:r>
        <w:rPr>
          <w:rFonts w:cs="Calibri"/>
          <w:sz w:val="28"/>
          <w:szCs w:val="28"/>
          <w:highlight w:val="white"/>
        </w:rPr>
        <w:t xml:space="preserve">г.Кингисепп</w:t>
      </w:r>
      <w:r>
        <w:rPr>
          <w:rFonts w:cs="Calibri"/>
          <w:sz w:val="28"/>
          <w:szCs w:val="28"/>
          <w:highlight w:val="white"/>
        </w:rPr>
        <w:t xml:space="preserve">).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Гражданам - участникам долевого строительства передано 2322 </w:t>
      </w:r>
      <w:r>
        <w:rPr>
          <w:rFonts w:cs="Calibri"/>
          <w:sz w:val="28"/>
          <w:szCs w:val="28"/>
          <w:highlight w:val="white"/>
        </w:rPr>
        <w:t xml:space="preserve">жилых</w:t>
      </w:r>
      <w:r>
        <w:rPr>
          <w:rFonts w:cs="Calibri"/>
          <w:sz w:val="28"/>
          <w:szCs w:val="28"/>
          <w:highlight w:val="white"/>
        </w:rPr>
        <w:t xml:space="preserve"> помещения. Компенсационные выплаты предоставлены 701 гражданину – участнику долевого строительства.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cs="Calibri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</w:rPr>
        <w:t xml:space="preserve">Учитывая </w:t>
      </w:r>
      <w:r>
        <w:rPr>
          <w:rFonts w:cs="Calibri"/>
          <w:sz w:val="28"/>
          <w:szCs w:val="28"/>
          <w:highlight w:val="white"/>
        </w:rPr>
        <w:t xml:space="preserve">изложенное</w:t>
      </w:r>
      <w:r>
        <w:rPr>
          <w:rFonts w:cs="Calibri"/>
          <w:sz w:val="28"/>
          <w:szCs w:val="28"/>
          <w:highlight w:val="white"/>
        </w:rPr>
        <w:t xml:space="preserve">, итоги реализации государственных программ                                           за 2025 год можно признать удовлетворительными.</w:t>
      </w:r>
      <w:r>
        <w:rPr>
          <w:rFonts w:cs="Calibri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 прогнозируемый период 2027 </w:t>
      </w:r>
      <w:r>
        <w:rPr>
          <w:sz w:val="28"/>
          <w:szCs w:val="28"/>
          <w:highlight w:val="white"/>
        </w:rPr>
        <w:t xml:space="preserve">– 2028 годов финансирование государственных программ Ленинградской области планируется в рамках бюджетных ассигнований, которые будут определены в областном законе об областном бюджете Ленинградской области на очередной финансовый год и на плановый период.</w:t>
      </w:r>
      <w:r>
        <w:rPr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footnotePr/>
      <w:endnotePr/>
      <w:type w:val="nextPage"/>
      <w:pgSz w:w="11906" w:h="16838" w:orient="portrait"/>
      <w:pgMar w:top="1134" w:right="1134" w:bottom="1134" w:left="1701" w:header="51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Malgun Gothic">
    <w:panose1 w:val="020B0503020204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4"/>
        <w:jc w:val="both"/>
        <w:spacing w:after="12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Стратеги</w:t>
      </w:r>
      <w:r>
        <w:rPr>
          <w:rFonts w:ascii="Times New Roman" w:hAnsi="Times New Roman"/>
          <w:lang w:val="ru-RU"/>
        </w:rPr>
        <w:t xml:space="preserve">я</w:t>
      </w:r>
      <w:r>
        <w:rPr>
          <w:rFonts w:ascii="Times New Roman" w:hAnsi="Times New Roman"/>
        </w:rPr>
        <w:t xml:space="preserve"> социально-экономического развития Ленинградской области до 203</w:t>
      </w:r>
      <w:r>
        <w:rPr>
          <w:rFonts w:ascii="Times New Roman" w:hAnsi="Times New Roman"/>
          <w:lang w:val="ru-RU"/>
        </w:rPr>
        <w:t xml:space="preserve">6</w:t>
      </w:r>
      <w:r>
        <w:rPr>
          <w:rFonts w:ascii="Times New Roman" w:hAnsi="Times New Roman"/>
        </w:rPr>
        <w:t xml:space="preserve"> года (областной закон от </w:t>
      </w:r>
      <w:r>
        <w:rPr>
          <w:rFonts w:ascii="Times New Roman" w:hAnsi="Times New Roman"/>
          <w:lang w:val="ru-RU"/>
        </w:rPr>
        <w:t xml:space="preserve">23 июня 2025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года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  <w:lang w:val="ru-RU"/>
        </w:rPr>
        <w:t xml:space="preserve">70</w:t>
      </w:r>
      <w:r>
        <w:rPr>
          <w:rFonts w:ascii="Times New Roman" w:hAnsi="Times New Roman"/>
        </w:rPr>
        <w:t xml:space="preserve">-оз</w:t>
      </w:r>
      <w:r>
        <w:rPr>
          <w:rFonts w:ascii="Times New Roman" w:hAnsi="Times New Roman"/>
          <w:lang w:val="ru-RU"/>
        </w:rPr>
        <w:t xml:space="preserve">).</w:t>
      </w:r>
      <w:r>
        <w:rPr>
          <w:rFonts w:ascii="Times New Roman" w:hAnsi="Times New Roman"/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47825875"/>
      <w:docPartObj>
        <w:docPartGallery w:val="Page Numbers (Top of Page)"/>
        <w:docPartUnique w:val="true"/>
      </w:docPartObj>
      <w:rPr/>
    </w:sdtPr>
    <w:sdtContent>
      <w:p>
        <w:pPr>
          <w:pStyle w:val="97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29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80669950"/>
      <w:docPartObj>
        <w:docPartGallery w:val="Page Numbers (Top of Page)"/>
        <w:docPartUnique w:val="true"/>
      </w:docPartObj>
      <w:rPr/>
    </w:sdtPr>
    <w:sdtContent>
      <w:p>
        <w:pPr>
          <w:pStyle w:val="97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5"/>
      <w:numFmt w:val="bullet"/>
      <w:isLgl w:val="false"/>
      <w:suff w:val="tab"/>
      <w:lvlText w:val="–"/>
      <w:lvlJc w:val="left"/>
      <w:pPr>
        <w:ind w:left="213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07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803"/>
      <w:numFmt w:val="bullet"/>
      <w:isLgl w:val="false"/>
      <w:suff w:val="tab"/>
      <w:lvlText w:val="-"/>
      <w:lvlJc w:val="left"/>
      <w:pPr>
        <w:ind w:left="1144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50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9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50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20" w:hanging="360"/>
      </w:pPr>
      <w:rPr>
        <w:rFonts w:hint="default"/>
        <w:spacing w:val="0"/>
        <w:position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287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53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353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5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61" w:hanging="141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29"/>
  </w:num>
  <w:num w:numId="4">
    <w:abstractNumId w:val="28"/>
  </w:num>
  <w:num w:numId="5">
    <w:abstractNumId w:val="17"/>
  </w:num>
  <w:num w:numId="6">
    <w:abstractNumId w:val="31"/>
  </w:num>
  <w:num w:numId="7">
    <w:abstractNumId w:val="1"/>
  </w:num>
  <w:num w:numId="8">
    <w:abstractNumId w:val="12"/>
  </w:num>
  <w:num w:numId="9">
    <w:abstractNumId w:val="21"/>
  </w:num>
  <w:num w:numId="10">
    <w:abstractNumId w:val="11"/>
  </w:num>
  <w:num w:numId="11">
    <w:abstractNumId w:val="34"/>
  </w:num>
  <w:num w:numId="12">
    <w:abstractNumId w:val="5"/>
  </w:num>
  <w:num w:numId="13">
    <w:abstractNumId w:val="25"/>
  </w:num>
  <w:num w:numId="14">
    <w:abstractNumId w:val="20"/>
  </w:num>
  <w:num w:numId="15">
    <w:abstractNumId w:val="32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36"/>
  </w:num>
  <w:num w:numId="19">
    <w:abstractNumId w:val="2"/>
  </w:num>
  <w:num w:numId="20">
    <w:abstractNumId w:val="13"/>
  </w:num>
  <w:num w:numId="21">
    <w:abstractNumId w:val="14"/>
  </w:num>
  <w:num w:numId="22">
    <w:abstractNumId w:val="10"/>
  </w:num>
  <w:num w:numId="23">
    <w:abstractNumId w:val="33"/>
  </w:num>
  <w:num w:numId="24">
    <w:abstractNumId w:val="4"/>
  </w:num>
  <w:num w:numId="25">
    <w:abstractNumId w:val="23"/>
  </w:num>
  <w:num w:numId="26">
    <w:abstractNumId w:val="0"/>
  </w:num>
  <w:num w:numId="27">
    <w:abstractNumId w:val="6"/>
  </w:num>
  <w:num w:numId="28">
    <w:abstractNumId w:val="37"/>
  </w:num>
  <w:num w:numId="29">
    <w:abstractNumId w:val="3"/>
  </w:num>
  <w:num w:numId="30">
    <w:abstractNumId w:val="30"/>
  </w:num>
  <w:num w:numId="31">
    <w:abstractNumId w:val="24"/>
  </w:num>
  <w:num w:numId="32">
    <w:abstractNumId w:val="7"/>
  </w:num>
  <w:num w:numId="33">
    <w:abstractNumId w:val="18"/>
  </w:num>
  <w:num w:numId="34">
    <w:abstractNumId w:val="15"/>
  </w:num>
  <w:num w:numId="35">
    <w:abstractNumId w:val="35"/>
  </w:num>
  <w:num w:numId="36">
    <w:abstractNumId w:val="9"/>
  </w:num>
  <w:num w:numId="37">
    <w:abstractNumId w:val="26"/>
  </w:num>
  <w:num w:numId="38">
    <w:abstractNumId w:val="38"/>
  </w:num>
  <w:num w:numId="39">
    <w:abstractNumId w:val="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">
    <w:name w:val="Heading 3 Char"/>
    <w:basedOn w:val="806"/>
    <w:link w:val="79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806"/>
    <w:link w:val="80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806"/>
    <w:link w:val="8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806"/>
    <w:link w:val="80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806"/>
    <w:link w:val="80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806"/>
    <w:link w:val="8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806"/>
    <w:link w:val="8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806"/>
    <w:link w:val="819"/>
    <w:uiPriority w:val="10"/>
    <w:rPr>
      <w:sz w:val="48"/>
      <w:szCs w:val="48"/>
    </w:rPr>
  </w:style>
  <w:style w:type="character" w:styleId="38">
    <w:name w:val="Subtitle Char"/>
    <w:basedOn w:val="806"/>
    <w:link w:val="821"/>
    <w:uiPriority w:val="11"/>
    <w:rPr>
      <w:sz w:val="24"/>
      <w:szCs w:val="24"/>
    </w:rPr>
  </w:style>
  <w:style w:type="character" w:styleId="40">
    <w:name w:val="Quote Char"/>
    <w:link w:val="823"/>
    <w:uiPriority w:val="29"/>
    <w:rPr>
      <w:i/>
    </w:rPr>
  </w:style>
  <w:style w:type="character" w:styleId="42">
    <w:name w:val="Intense Quote Char"/>
    <w:link w:val="825"/>
    <w:uiPriority w:val="30"/>
    <w:rPr>
      <w:i/>
    </w:rPr>
  </w:style>
  <w:style w:type="character" w:styleId="48">
    <w:name w:val="Caption Char"/>
    <w:basedOn w:val="806"/>
    <w:link w:val="829"/>
    <w:uiPriority w:val="35"/>
    <w:rPr>
      <w:b/>
      <w:bCs/>
      <w:color w:val="4f81bd" w:themeColor="accent1"/>
      <w:sz w:val="18"/>
      <w:szCs w:val="18"/>
    </w:rPr>
  </w:style>
  <w:style w:type="character" w:styleId="180">
    <w:name w:val="Endnote Text Char"/>
    <w:link w:val="958"/>
    <w:uiPriority w:val="99"/>
    <w:rPr>
      <w:sz w:val="20"/>
    </w:rPr>
  </w:style>
  <w:style w:type="paragraph" w:styleId="79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7">
    <w:name w:val="Heading 1"/>
    <w:basedOn w:val="796"/>
    <w:next w:val="796"/>
    <w:link w:val="987"/>
    <w:qFormat/>
    <w:pPr>
      <w:keepNext/>
      <w:spacing w:after="200" w:line="276" w:lineRule="auto"/>
      <w:outlineLvl w:val="0"/>
    </w:pPr>
    <w:rPr>
      <w:i/>
      <w:iCs/>
    </w:rPr>
  </w:style>
  <w:style w:type="paragraph" w:styleId="798">
    <w:name w:val="Heading 2"/>
    <w:basedOn w:val="796"/>
    <w:next w:val="796"/>
    <w:link w:val="994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99">
    <w:name w:val="Heading 3"/>
    <w:basedOn w:val="796"/>
    <w:next w:val="796"/>
    <w:link w:val="81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800">
    <w:name w:val="Heading 4"/>
    <w:basedOn w:val="796"/>
    <w:next w:val="796"/>
    <w:link w:val="81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01">
    <w:name w:val="Heading 5"/>
    <w:basedOn w:val="796"/>
    <w:next w:val="796"/>
    <w:link w:val="81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802">
    <w:name w:val="Heading 6"/>
    <w:basedOn w:val="796"/>
    <w:next w:val="796"/>
    <w:link w:val="81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03">
    <w:name w:val="Heading 7"/>
    <w:basedOn w:val="796"/>
    <w:next w:val="796"/>
    <w:link w:val="81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04">
    <w:name w:val="Heading 8"/>
    <w:basedOn w:val="796"/>
    <w:next w:val="796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05">
    <w:name w:val="Heading 9"/>
    <w:basedOn w:val="796"/>
    <w:next w:val="796"/>
    <w:link w:val="81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06" w:default="1">
    <w:name w:val="Default Paragraph Font"/>
    <w:uiPriority w:val="1"/>
    <w:semiHidden/>
    <w:unhideWhenUsed/>
  </w:style>
  <w:style w:type="table" w:styleId="8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8" w:default="1">
    <w:name w:val="No List"/>
    <w:uiPriority w:val="99"/>
    <w:semiHidden/>
    <w:unhideWhenUsed/>
  </w:style>
  <w:style w:type="character" w:styleId="809" w:customStyle="1">
    <w:name w:val="Heading 1 Char"/>
    <w:basedOn w:val="80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10" w:customStyle="1">
    <w:name w:val="Heading 2 Char"/>
    <w:basedOn w:val="806"/>
    <w:uiPriority w:val="9"/>
    <w:rPr>
      <w:rFonts w:ascii="Liberation Sans" w:hAnsi="Liberation Sans" w:eastAsia="Liberation Sans" w:cs="Liberation Sans"/>
      <w:sz w:val="34"/>
    </w:rPr>
  </w:style>
  <w:style w:type="character" w:styleId="811" w:customStyle="1">
    <w:name w:val="Заголовок 3 Знак"/>
    <w:basedOn w:val="806"/>
    <w:link w:val="79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12" w:customStyle="1">
    <w:name w:val="Заголовок 4 Знак"/>
    <w:basedOn w:val="806"/>
    <w:link w:val="80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13" w:customStyle="1">
    <w:name w:val="Заголовок 5 Знак"/>
    <w:basedOn w:val="806"/>
    <w:link w:val="8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14" w:customStyle="1">
    <w:name w:val="Заголовок 6 Знак"/>
    <w:basedOn w:val="806"/>
    <w:link w:val="80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15" w:customStyle="1">
    <w:name w:val="Заголовок 7 Знак"/>
    <w:basedOn w:val="806"/>
    <w:link w:val="80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16" w:customStyle="1">
    <w:name w:val="Заголовок 8 Знак"/>
    <w:basedOn w:val="806"/>
    <w:link w:val="8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17" w:customStyle="1">
    <w:name w:val="Заголовок 9 Знак"/>
    <w:basedOn w:val="806"/>
    <w:link w:val="8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18">
    <w:name w:val="No Spacing"/>
    <w:uiPriority w:val="1"/>
    <w:qFormat/>
    <w:pPr>
      <w:spacing w:after="0" w:line="240" w:lineRule="auto"/>
    </w:pPr>
  </w:style>
  <w:style w:type="paragraph" w:styleId="819">
    <w:name w:val="Title"/>
    <w:basedOn w:val="796"/>
    <w:next w:val="796"/>
    <w:link w:val="8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0" w:customStyle="1">
    <w:name w:val="Название Знак"/>
    <w:basedOn w:val="806"/>
    <w:link w:val="819"/>
    <w:uiPriority w:val="10"/>
    <w:rPr>
      <w:sz w:val="48"/>
      <w:szCs w:val="48"/>
    </w:rPr>
  </w:style>
  <w:style w:type="paragraph" w:styleId="821">
    <w:name w:val="Subtitle"/>
    <w:basedOn w:val="796"/>
    <w:next w:val="796"/>
    <w:link w:val="822"/>
    <w:uiPriority w:val="11"/>
    <w:qFormat/>
    <w:pPr>
      <w:spacing w:before="200" w:after="200"/>
    </w:pPr>
  </w:style>
  <w:style w:type="character" w:styleId="822" w:customStyle="1">
    <w:name w:val="Подзаголовок Знак"/>
    <w:basedOn w:val="806"/>
    <w:link w:val="821"/>
    <w:uiPriority w:val="11"/>
    <w:rPr>
      <w:sz w:val="24"/>
      <w:szCs w:val="24"/>
    </w:rPr>
  </w:style>
  <w:style w:type="paragraph" w:styleId="823">
    <w:name w:val="Quote"/>
    <w:basedOn w:val="796"/>
    <w:next w:val="796"/>
    <w:link w:val="824"/>
    <w:uiPriority w:val="29"/>
    <w:qFormat/>
    <w:pPr>
      <w:ind w:left="720" w:right="720"/>
    </w:pPr>
    <w:rPr>
      <w:i/>
    </w:rPr>
  </w:style>
  <w:style w:type="character" w:styleId="824" w:customStyle="1">
    <w:name w:val="Цитата 2 Знак"/>
    <w:link w:val="823"/>
    <w:uiPriority w:val="29"/>
    <w:rPr>
      <w:i/>
    </w:rPr>
  </w:style>
  <w:style w:type="paragraph" w:styleId="825">
    <w:name w:val="Intense Quote"/>
    <w:basedOn w:val="796"/>
    <w:next w:val="796"/>
    <w:link w:val="8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6" w:customStyle="1">
    <w:name w:val="Выделенная цитата Знак"/>
    <w:link w:val="825"/>
    <w:uiPriority w:val="30"/>
    <w:rPr>
      <w:i/>
    </w:rPr>
  </w:style>
  <w:style w:type="character" w:styleId="827" w:customStyle="1">
    <w:name w:val="Header Char"/>
    <w:basedOn w:val="806"/>
    <w:uiPriority w:val="99"/>
  </w:style>
  <w:style w:type="character" w:styleId="828" w:customStyle="1">
    <w:name w:val="Footer Char"/>
    <w:basedOn w:val="806"/>
    <w:uiPriority w:val="99"/>
  </w:style>
  <w:style w:type="paragraph" w:styleId="829">
    <w:name w:val="Caption"/>
    <w:basedOn w:val="796"/>
    <w:next w:val="796"/>
    <w:link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0" w:customStyle="1">
    <w:name w:val="Название объекта Знак"/>
    <w:basedOn w:val="806"/>
    <w:link w:val="829"/>
    <w:uiPriority w:val="35"/>
    <w:rPr>
      <w:b/>
      <w:bCs/>
      <w:color w:val="4f81bd" w:themeColor="accent1"/>
      <w:sz w:val="18"/>
      <w:szCs w:val="18"/>
    </w:rPr>
  </w:style>
  <w:style w:type="table" w:styleId="831" w:customStyle="1">
    <w:name w:val="Table Grid Light"/>
    <w:basedOn w:val="80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 w:customStyle="1">
    <w:name w:val="Plain Table 1"/>
    <w:basedOn w:val="80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3" w:customStyle="1">
    <w:name w:val="Plain Table 2"/>
    <w:basedOn w:val="8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4" w:customStyle="1">
    <w:name w:val="Plain Table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5" w:customStyle="1">
    <w:name w:val="Plain Table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Plain Table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1 Light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Grid Table 1 Light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Grid Table 1 Light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Grid Table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2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3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4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Grid Table 4 - Accent 1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60" w:customStyle="1">
    <w:name w:val="Grid Table 4 - Accent 2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61" w:customStyle="1">
    <w:name w:val="Grid Table 4 - Accent 3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62" w:customStyle="1">
    <w:name w:val="Grid Table 4 - Accent 4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3" w:customStyle="1">
    <w:name w:val="Grid Table 4 - Accent 5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Grid Table 4 - Accent 6"/>
    <w:basedOn w:val="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5" w:customStyle="1">
    <w:name w:val="Grid Table 5 Dark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71" w:customStyle="1">
    <w:name w:val="Grid Table 5 Dark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72" w:customStyle="1">
    <w:name w:val="Grid Table 6 Colorful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3" w:customStyle="1">
    <w:name w:val="Grid Table 6 Colorful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4" w:customStyle="1">
    <w:name w:val="Grid Table 6 Colorful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5" w:customStyle="1">
    <w:name w:val="Grid Table 6 Colorful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6" w:customStyle="1">
    <w:name w:val="Grid Table 6 Colorful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7" w:customStyle="1">
    <w:name w:val="Grid Table 6 Colorful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8" w:customStyle="1">
    <w:name w:val="Grid Table 6 Colorful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9" w:customStyle="1">
    <w:name w:val="Grid Table 7 Colorful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7 Colorful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7 Colorful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1 Light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8" w:customStyle="1">
    <w:name w:val="List Table 2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9" w:customStyle="1">
    <w:name w:val="List Table 2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00" w:customStyle="1">
    <w:name w:val="List Table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3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3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4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4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5 Dark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5" w:customStyle="1">
    <w:name w:val="List Table 5 Dark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6" w:customStyle="1">
    <w:name w:val="List Table 5 Dark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7" w:customStyle="1">
    <w:name w:val="List Table 5 Dark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8" w:customStyle="1">
    <w:name w:val="List Table 5 Dark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9" w:customStyle="1">
    <w:name w:val="List Table 5 Dark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0" w:customStyle="1">
    <w:name w:val="List Table 5 Dark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1" w:customStyle="1">
    <w:name w:val="List Table 6 Colorful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2" w:customStyle="1">
    <w:name w:val="List Table 6 Colorful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3" w:customStyle="1">
    <w:name w:val="List Table 6 Colorful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4" w:customStyle="1">
    <w:name w:val="List Table 6 Colorful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5" w:customStyle="1">
    <w:name w:val="List Table 6 Colorful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6" w:customStyle="1">
    <w:name w:val="List Table 6 Colorful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7" w:customStyle="1">
    <w:name w:val="List Table 6 Colorful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8" w:customStyle="1">
    <w:name w:val="List Table 7 Colorful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7 Colorful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7 Colorful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ned - Accent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6" w:customStyle="1">
    <w:name w:val="Lined - Accent 1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7" w:customStyle="1">
    <w:name w:val="Lined - Accent 2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8" w:customStyle="1">
    <w:name w:val="Lined - Accent 3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9" w:customStyle="1">
    <w:name w:val="Lined - Accent 4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0" w:customStyle="1">
    <w:name w:val="Lined - Accent 5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1" w:customStyle="1">
    <w:name w:val="Lined - Accent 6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2" w:customStyle="1">
    <w:name w:val="Bordered &amp; Lined - Accent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3" w:customStyle="1">
    <w:name w:val="Bordered &amp; Lined - Accent 1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4" w:customStyle="1">
    <w:name w:val="Bordered &amp; Lined - Accent 2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5" w:customStyle="1">
    <w:name w:val="Bordered &amp; Lined - Accent 3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6" w:customStyle="1">
    <w:name w:val="Bordered &amp; Lined - Accent 4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7" w:customStyle="1">
    <w:name w:val="Bordered &amp; Lined - Accent 5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8" w:customStyle="1">
    <w:name w:val="Bordered &amp; Lined - Accent 6"/>
    <w:basedOn w:val="8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9" w:customStyle="1">
    <w:name w:val="Bordered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0" w:customStyle="1">
    <w:name w:val="Bordered - Accent 1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51" w:customStyle="1">
    <w:name w:val="Bordered - Accent 2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52" w:customStyle="1">
    <w:name w:val="Bordered - Accent 3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3" w:customStyle="1">
    <w:name w:val="Bordered - Accent 4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4" w:customStyle="1">
    <w:name w:val="Bordered - Accent 5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5" w:customStyle="1">
    <w:name w:val="Bordered - Accent 6"/>
    <w:basedOn w:val="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6">
    <w:name w:val="Hyperlink"/>
    <w:uiPriority w:val="99"/>
    <w:unhideWhenUsed/>
    <w:rPr>
      <w:color w:val="0000ff" w:themeColor="hyperlink"/>
      <w:u w:val="single"/>
    </w:rPr>
  </w:style>
  <w:style w:type="character" w:styleId="957" w:customStyle="1">
    <w:name w:val="Footnote Text Char"/>
    <w:uiPriority w:val="99"/>
    <w:rPr>
      <w:sz w:val="18"/>
    </w:rPr>
  </w:style>
  <w:style w:type="paragraph" w:styleId="958">
    <w:name w:val="endnote text"/>
    <w:basedOn w:val="796"/>
    <w:link w:val="959"/>
    <w:uiPriority w:val="99"/>
    <w:semiHidden/>
    <w:unhideWhenUsed/>
    <w:rPr>
      <w:sz w:val="20"/>
    </w:rPr>
  </w:style>
  <w:style w:type="character" w:styleId="959" w:customStyle="1">
    <w:name w:val="Текст концевой сноски Знак"/>
    <w:link w:val="958"/>
    <w:uiPriority w:val="99"/>
    <w:rPr>
      <w:sz w:val="20"/>
    </w:rPr>
  </w:style>
  <w:style w:type="character" w:styleId="960">
    <w:name w:val="endnote reference"/>
    <w:basedOn w:val="806"/>
    <w:uiPriority w:val="99"/>
    <w:semiHidden/>
    <w:unhideWhenUsed/>
    <w:rPr>
      <w:vertAlign w:val="superscript"/>
    </w:rPr>
  </w:style>
  <w:style w:type="paragraph" w:styleId="961">
    <w:name w:val="toc 1"/>
    <w:basedOn w:val="796"/>
    <w:next w:val="796"/>
    <w:uiPriority w:val="39"/>
    <w:unhideWhenUsed/>
    <w:pPr>
      <w:spacing w:after="57"/>
    </w:pPr>
  </w:style>
  <w:style w:type="paragraph" w:styleId="962">
    <w:name w:val="toc 2"/>
    <w:basedOn w:val="796"/>
    <w:next w:val="796"/>
    <w:uiPriority w:val="39"/>
    <w:unhideWhenUsed/>
    <w:pPr>
      <w:ind w:left="283"/>
      <w:spacing w:after="57"/>
    </w:pPr>
  </w:style>
  <w:style w:type="paragraph" w:styleId="963">
    <w:name w:val="toc 4"/>
    <w:basedOn w:val="796"/>
    <w:next w:val="796"/>
    <w:uiPriority w:val="39"/>
    <w:unhideWhenUsed/>
    <w:pPr>
      <w:ind w:left="850"/>
      <w:spacing w:after="57"/>
    </w:pPr>
  </w:style>
  <w:style w:type="paragraph" w:styleId="964">
    <w:name w:val="toc 5"/>
    <w:basedOn w:val="796"/>
    <w:next w:val="796"/>
    <w:uiPriority w:val="39"/>
    <w:unhideWhenUsed/>
    <w:pPr>
      <w:ind w:left="1134"/>
      <w:spacing w:after="57"/>
    </w:pPr>
  </w:style>
  <w:style w:type="paragraph" w:styleId="965">
    <w:name w:val="toc 6"/>
    <w:basedOn w:val="796"/>
    <w:next w:val="796"/>
    <w:uiPriority w:val="39"/>
    <w:unhideWhenUsed/>
    <w:pPr>
      <w:ind w:left="1417"/>
      <w:spacing w:after="57"/>
    </w:pPr>
  </w:style>
  <w:style w:type="paragraph" w:styleId="966">
    <w:name w:val="toc 7"/>
    <w:basedOn w:val="796"/>
    <w:next w:val="796"/>
    <w:uiPriority w:val="39"/>
    <w:unhideWhenUsed/>
    <w:pPr>
      <w:ind w:left="1701"/>
      <w:spacing w:after="57"/>
    </w:pPr>
  </w:style>
  <w:style w:type="paragraph" w:styleId="967">
    <w:name w:val="toc 8"/>
    <w:basedOn w:val="796"/>
    <w:next w:val="796"/>
    <w:uiPriority w:val="39"/>
    <w:unhideWhenUsed/>
    <w:pPr>
      <w:ind w:left="1984"/>
      <w:spacing w:after="57"/>
    </w:pPr>
  </w:style>
  <w:style w:type="paragraph" w:styleId="968">
    <w:name w:val="toc 9"/>
    <w:basedOn w:val="796"/>
    <w:next w:val="796"/>
    <w:uiPriority w:val="39"/>
    <w:unhideWhenUsed/>
    <w:pPr>
      <w:ind w:left="2268"/>
      <w:spacing w:after="57"/>
    </w:pPr>
  </w:style>
  <w:style w:type="paragraph" w:styleId="969">
    <w:name w:val="TOC Heading"/>
    <w:uiPriority w:val="39"/>
    <w:unhideWhenUsed/>
  </w:style>
  <w:style w:type="paragraph" w:styleId="970">
    <w:name w:val="table of figures"/>
    <w:basedOn w:val="796"/>
    <w:next w:val="796"/>
    <w:uiPriority w:val="99"/>
    <w:unhideWhenUsed/>
  </w:style>
  <w:style w:type="paragraph" w:styleId="971">
    <w:name w:val="Header"/>
    <w:basedOn w:val="796"/>
    <w:link w:val="9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2" w:customStyle="1">
    <w:name w:val="Верхний колонтитул Знак"/>
    <w:basedOn w:val="806"/>
    <w:link w:val="97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3">
    <w:name w:val="Footer"/>
    <w:basedOn w:val="796"/>
    <w:link w:val="9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4" w:customStyle="1">
    <w:name w:val="Нижний колонтитул Знак"/>
    <w:basedOn w:val="806"/>
    <w:link w:val="97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5">
    <w:name w:val="Balloon Text"/>
    <w:basedOn w:val="796"/>
    <w:link w:val="976"/>
    <w:uiPriority w:val="99"/>
    <w:semiHidden/>
    <w:unhideWhenUsed/>
    <w:rPr>
      <w:rFonts w:ascii="Tahoma" w:hAnsi="Tahoma" w:cs="Tahoma"/>
      <w:sz w:val="16"/>
      <w:szCs w:val="16"/>
    </w:rPr>
  </w:style>
  <w:style w:type="character" w:styleId="976" w:customStyle="1">
    <w:name w:val="Текст выноски Знак"/>
    <w:basedOn w:val="806"/>
    <w:link w:val="97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77">
    <w:name w:val="Body Text Indent"/>
    <w:basedOn w:val="796"/>
    <w:link w:val="978"/>
    <w:pPr>
      <w:ind w:left="283"/>
      <w:spacing w:after="120"/>
    </w:pPr>
  </w:style>
  <w:style w:type="character" w:styleId="978" w:customStyle="1">
    <w:name w:val="Основной текст с отступом Знак"/>
    <w:basedOn w:val="806"/>
    <w:link w:val="97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9">
    <w:name w:val="List Paragraph"/>
    <w:basedOn w:val="796"/>
    <w:uiPriority w:val="34"/>
    <w:qFormat/>
    <w:pPr>
      <w:contextualSpacing/>
      <w:ind w:left="720"/>
    </w:pPr>
  </w:style>
  <w:style w:type="paragraph" w:styleId="980">
    <w:name w:val="Body Text"/>
    <w:basedOn w:val="796"/>
    <w:link w:val="981"/>
    <w:uiPriority w:val="99"/>
    <w:unhideWhenUsed/>
    <w:pPr>
      <w:spacing w:after="120"/>
    </w:pPr>
  </w:style>
  <w:style w:type="character" w:styleId="981" w:customStyle="1">
    <w:name w:val="Основной текст Знак"/>
    <w:basedOn w:val="806"/>
    <w:link w:val="98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 w:customStyle="1">
    <w:name w:val="Основной текст 24"/>
    <w:basedOn w:val="796"/>
    <w:qFormat/>
    <w:pPr>
      <w:ind w:firstLine="720"/>
      <w:jc w:val="both"/>
      <w:spacing w:after="60"/>
      <w:widowControl w:val="off"/>
    </w:pPr>
    <w:rPr>
      <w:sz w:val="28"/>
      <w:szCs w:val="20"/>
    </w:rPr>
  </w:style>
  <w:style w:type="character" w:styleId="983">
    <w:name w:val="annotation reference"/>
    <w:uiPriority w:val="99"/>
    <w:unhideWhenUsed/>
    <w:rPr>
      <w:sz w:val="16"/>
      <w:szCs w:val="16"/>
    </w:rPr>
  </w:style>
  <w:style w:type="paragraph" w:styleId="984">
    <w:name w:val="footnote text"/>
    <w:basedOn w:val="796"/>
    <w:link w:val="985"/>
    <w:uiPriority w:val="99"/>
    <w:pPr>
      <w:spacing w:after="200" w:line="276" w:lineRule="auto"/>
    </w:pPr>
    <w:rPr>
      <w:rFonts w:ascii="Arial" w:hAnsi="Arial"/>
      <w:bCs/>
      <w:sz w:val="20"/>
      <w:szCs w:val="20"/>
      <w:lang w:val="zh-CN" w:eastAsia="zh-CN"/>
    </w:rPr>
  </w:style>
  <w:style w:type="character" w:styleId="985" w:customStyle="1">
    <w:name w:val="Текст сноски Знак"/>
    <w:basedOn w:val="806"/>
    <w:link w:val="984"/>
    <w:uiPriority w:val="99"/>
    <w:rPr>
      <w:rFonts w:ascii="Arial" w:hAnsi="Arial" w:eastAsia="Times New Roman" w:cs="Times New Roman"/>
      <w:bCs/>
      <w:sz w:val="20"/>
      <w:szCs w:val="20"/>
      <w:lang w:val="zh-CN" w:eastAsia="zh-CN"/>
    </w:rPr>
  </w:style>
  <w:style w:type="character" w:styleId="986">
    <w:name w:val="footnote reference"/>
    <w:uiPriority w:val="99"/>
    <w:rPr>
      <w:vertAlign w:val="superscript"/>
    </w:rPr>
  </w:style>
  <w:style w:type="character" w:styleId="987" w:customStyle="1">
    <w:name w:val="Заголовок 1 Знак"/>
    <w:basedOn w:val="806"/>
    <w:link w:val="797"/>
    <w:qFormat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table" w:styleId="988">
    <w:name w:val="Table Grid"/>
    <w:basedOn w:val="8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89" w:customStyle="1">
    <w:name w:val="Обычный +14 Знак Знак"/>
    <w:basedOn w:val="796"/>
    <w:qFormat/>
    <w:pPr>
      <w:ind w:firstLine="709"/>
      <w:jc w:val="both"/>
      <w:spacing w:after="200" w:line="276" w:lineRule="auto"/>
    </w:pPr>
    <w:rPr>
      <w:sz w:val="28"/>
      <w:szCs w:val="20"/>
    </w:rPr>
  </w:style>
  <w:style w:type="paragraph" w:styleId="990">
    <w:name w:val="Document Map"/>
    <w:basedOn w:val="796"/>
    <w:link w:val="991"/>
    <w:pPr>
      <w:spacing w:after="200" w:line="276" w:lineRule="auto"/>
    </w:pPr>
    <w:rPr>
      <w:rFonts w:ascii="Tahoma" w:hAnsi="Tahoma"/>
      <w:sz w:val="16"/>
      <w:szCs w:val="16"/>
      <w:lang w:val="zh-CN" w:eastAsia="zh-CN"/>
    </w:rPr>
  </w:style>
  <w:style w:type="character" w:styleId="991" w:customStyle="1">
    <w:name w:val="Схема документа Знак"/>
    <w:basedOn w:val="806"/>
    <w:link w:val="990"/>
    <w:rPr>
      <w:rFonts w:ascii="Tahoma" w:hAnsi="Tahoma" w:eastAsia="Times New Roman" w:cs="Times New Roman"/>
      <w:sz w:val="16"/>
      <w:szCs w:val="16"/>
      <w:lang w:val="zh-CN" w:eastAsia="zh-CN"/>
    </w:rPr>
  </w:style>
  <w:style w:type="paragraph" w:styleId="992" w:customStyle="1">
    <w:name w:val="Основной текст 21"/>
    <w:basedOn w:val="796"/>
    <w:qFormat/>
    <w:pPr>
      <w:ind w:firstLine="720"/>
      <w:jc w:val="both"/>
      <w:spacing w:after="60"/>
    </w:pPr>
    <w:rPr>
      <w:sz w:val="28"/>
      <w:szCs w:val="20"/>
    </w:rPr>
  </w:style>
  <w:style w:type="paragraph" w:styleId="993" w:customStyle="1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994" w:customStyle="1">
    <w:name w:val="Заголовок 2 Знак"/>
    <w:basedOn w:val="806"/>
    <w:link w:val="798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paragraph" w:styleId="995">
    <w:name w:val="toc 3"/>
    <w:basedOn w:val="796"/>
    <w:next w:val="796"/>
    <w:uiPriority w:val="39"/>
    <w:qFormat/>
    <w:pPr>
      <w:ind w:left="480"/>
      <w:spacing w:after="200" w:line="276" w:lineRule="auto"/>
    </w:pPr>
  </w:style>
  <w:style w:type="character" w:styleId="996">
    <w:name w:val="Emphasis"/>
    <w:basedOn w:val="806"/>
    <w:uiPriority w:val="20"/>
    <w:qFormat/>
    <w:rPr>
      <w:i/>
      <w:iCs/>
    </w:rPr>
  </w:style>
  <w:style w:type="paragraph" w:styleId="997" w:customStyle="1">
    <w:name w:val="Абзац списка1"/>
    <w:basedOn w:val="796"/>
    <w:link w:val="998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998" w:customStyle="1">
    <w:name w:val="List Paragraph Char"/>
    <w:link w:val="997"/>
    <w:rPr>
      <w:rFonts w:ascii="Calibri" w:hAnsi="Calibri" w:eastAsia="Times New Roman" w:cs="Calibri"/>
      <w:lang w:eastAsia="ru-RU"/>
    </w:rPr>
  </w:style>
  <w:style w:type="paragraph" w:styleId="999" w:customStyle="1">
    <w:name w:val="Знак Знак1"/>
    <w:basedOn w:val="796"/>
    <w:pPr>
      <w:spacing w:after="160" w:line="240" w:lineRule="exact"/>
    </w:pPr>
    <w:rPr>
      <w:sz w:val="20"/>
      <w:szCs w:val="20"/>
    </w:rPr>
  </w:style>
  <w:style w:type="paragraph" w:styleId="1000" w:customStyle="1">
    <w:name w:val="ConsPlusNormal"/>
    <w:link w:val="1001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1001" w:customStyle="1">
    <w:name w:val="ConsPlusNormal Знак"/>
    <w:link w:val="1000"/>
    <w:rPr>
      <w:rFonts w:ascii="Arial" w:hAnsi="Arial" w:eastAsia="Times New Roman" w:cs="Arial"/>
      <w:sz w:val="20"/>
      <w:szCs w:val="20"/>
      <w:lang w:eastAsia="ru-RU"/>
    </w:rPr>
  </w:style>
  <w:style w:type="paragraph" w:styleId="1002">
    <w:name w:val="Body Text Indent 3"/>
    <w:basedOn w:val="796"/>
    <w:link w:val="1003"/>
    <w:pPr>
      <w:ind w:left="283"/>
      <w:spacing w:after="120"/>
    </w:pPr>
    <w:rPr>
      <w:sz w:val="16"/>
      <w:szCs w:val="16"/>
    </w:rPr>
  </w:style>
  <w:style w:type="character" w:styleId="1003" w:customStyle="1">
    <w:name w:val="Основной текст с отступом 3 Знак"/>
    <w:basedOn w:val="806"/>
    <w:link w:val="1002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04">
    <w:name w:val="annotation text"/>
    <w:basedOn w:val="796"/>
    <w:link w:val="1005"/>
    <w:uiPriority w:val="99"/>
    <w:semiHidden/>
    <w:unhideWhenUsed/>
    <w:rPr>
      <w:sz w:val="20"/>
      <w:szCs w:val="20"/>
    </w:rPr>
  </w:style>
  <w:style w:type="character" w:styleId="1005" w:customStyle="1">
    <w:name w:val="Текст примечания Знак"/>
    <w:basedOn w:val="806"/>
    <w:link w:val="100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6">
    <w:name w:val="annotation subject"/>
    <w:basedOn w:val="1004"/>
    <w:next w:val="1004"/>
    <w:link w:val="1007"/>
    <w:uiPriority w:val="99"/>
    <w:semiHidden/>
    <w:unhideWhenUsed/>
    <w:rPr>
      <w:b/>
      <w:bCs/>
    </w:rPr>
  </w:style>
  <w:style w:type="character" w:styleId="1007" w:customStyle="1">
    <w:name w:val="Тема примечания Знак"/>
    <w:basedOn w:val="1005"/>
    <w:link w:val="100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08" w:customStyle="1">
    <w:name w:val="Основной текст Знак1"/>
    <w:basedOn w:val="806"/>
    <w:uiPriority w:val="99"/>
    <w:rPr>
      <w:rFonts w:ascii="Times New Roman" w:hAnsi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541B2-C6F4-4953-986A-5458529E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Вячеславовна Ковалёва</dc:creator>
  <cp:lastModifiedBy>yuv_antonova</cp:lastModifiedBy>
  <cp:revision>4</cp:revision>
  <dcterms:created xsi:type="dcterms:W3CDTF">2026-07-24T12:42:00Z</dcterms:created>
  <dcterms:modified xsi:type="dcterms:W3CDTF">2026-07-27T08:05:55Z</dcterms:modified>
</cp:coreProperties>
</file>