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9A" w:rsidRDefault="00A9689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689A" w:rsidRDefault="00A9689A">
      <w:pPr>
        <w:pStyle w:val="ConsPlusNormal"/>
        <w:outlineLvl w:val="0"/>
      </w:pPr>
    </w:p>
    <w:p w:rsidR="00A9689A" w:rsidRDefault="00A9689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9689A" w:rsidRDefault="00A9689A">
      <w:pPr>
        <w:pStyle w:val="ConsPlusTitle"/>
        <w:jc w:val="center"/>
      </w:pPr>
    </w:p>
    <w:p w:rsidR="00A9689A" w:rsidRDefault="00A9689A">
      <w:pPr>
        <w:pStyle w:val="ConsPlusTitle"/>
        <w:jc w:val="center"/>
      </w:pPr>
      <w:r>
        <w:t>ПОСТАНОВЛЕНИЕ</w:t>
      </w:r>
    </w:p>
    <w:p w:rsidR="00A9689A" w:rsidRDefault="00A9689A">
      <w:pPr>
        <w:pStyle w:val="ConsPlusTitle"/>
        <w:jc w:val="center"/>
      </w:pPr>
      <w:r>
        <w:t>от 14 ноября 2013 г. N 395</w:t>
      </w:r>
    </w:p>
    <w:p w:rsidR="00A9689A" w:rsidRDefault="00A9689A">
      <w:pPr>
        <w:pStyle w:val="ConsPlusTitle"/>
        <w:jc w:val="center"/>
      </w:pPr>
    </w:p>
    <w:p w:rsidR="00A9689A" w:rsidRDefault="00A9689A">
      <w:pPr>
        <w:pStyle w:val="ConsPlusTitle"/>
        <w:jc w:val="center"/>
      </w:pPr>
      <w:r>
        <w:t>ОБ УТВЕРЖДЕНИИ ГОСУДАРСТВЕННОЙ ПРОГРАММЫ ЛЕНИНГРАДСКОЙ</w:t>
      </w:r>
    </w:p>
    <w:p w:rsidR="00A9689A" w:rsidRDefault="00A9689A">
      <w:pPr>
        <w:pStyle w:val="ConsPlusTitle"/>
        <w:jc w:val="center"/>
      </w:pPr>
      <w:r>
        <w:t>ОБЛАСТИ "ЦИФРОВОЕ РАЗВИТИЕ ЛЕНИНГРАДСКОЙ ОБЛАСТИ"</w:t>
      </w:r>
    </w:p>
    <w:p w:rsidR="00A9689A" w:rsidRDefault="00A968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6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89A" w:rsidRDefault="00A968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89A" w:rsidRDefault="00A968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689A" w:rsidRDefault="00A968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15.07.2014 </w:t>
            </w:r>
            <w:hyperlink r:id="rId6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10.11.2014 </w:t>
            </w:r>
            <w:hyperlink r:id="rId7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04.08.2015 </w:t>
            </w:r>
            <w:hyperlink r:id="rId8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9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29.12.2015 </w:t>
            </w:r>
            <w:hyperlink r:id="rId10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20.07.2016 </w:t>
            </w:r>
            <w:hyperlink r:id="rId1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08.09.2016 </w:t>
            </w:r>
            <w:hyperlink r:id="rId12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23.12.2016 </w:t>
            </w:r>
            <w:hyperlink r:id="rId13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23.06.2017 </w:t>
            </w:r>
            <w:hyperlink r:id="rId14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5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29.12.2018 </w:t>
            </w:r>
            <w:hyperlink r:id="rId16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 xml:space="preserve">, от 29.12.2018 </w:t>
            </w:r>
            <w:hyperlink r:id="rId17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18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01.10.2019 </w:t>
            </w:r>
            <w:hyperlink r:id="rId19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12.12.2019 </w:t>
            </w:r>
            <w:hyperlink r:id="rId20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2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15.06.2020 </w:t>
            </w:r>
            <w:hyperlink r:id="rId22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17.08.2020 </w:t>
            </w:r>
            <w:hyperlink r:id="rId23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24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 xml:space="preserve">, от 28.12.2020 </w:t>
            </w:r>
            <w:hyperlink r:id="rId25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29.12.2020 </w:t>
            </w:r>
            <w:hyperlink r:id="rId26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27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16.08.2021 </w:t>
            </w:r>
            <w:hyperlink r:id="rId28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14.12.2021 </w:t>
            </w:r>
            <w:hyperlink r:id="rId29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30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02.06.2022 </w:t>
            </w:r>
            <w:hyperlink r:id="rId3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18.11.2022 </w:t>
            </w:r>
            <w:hyperlink r:id="rId32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33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30.12.2022 </w:t>
            </w:r>
            <w:hyperlink r:id="rId34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 xml:space="preserve">, от 29.06.2023 </w:t>
            </w:r>
            <w:hyperlink r:id="rId35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13.12.2023 </w:t>
            </w:r>
            <w:hyperlink r:id="rId36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13.12.2023 </w:t>
            </w:r>
            <w:hyperlink r:id="rId37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17.03.2025 </w:t>
            </w:r>
            <w:hyperlink r:id="rId3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89A" w:rsidRDefault="00A9689A">
            <w:pPr>
              <w:pStyle w:val="ConsPlusNormal"/>
            </w:pPr>
          </w:p>
        </w:tc>
      </w:tr>
    </w:tbl>
    <w:p w:rsidR="00A9689A" w:rsidRDefault="00A9689A">
      <w:pPr>
        <w:pStyle w:val="ConsPlusNormal"/>
        <w:jc w:val="center"/>
      </w:pPr>
    </w:p>
    <w:p w:rsidR="00A9689A" w:rsidRDefault="00A9689A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Ленинградской области от 29 сентября 2023 года </w:t>
      </w:r>
      <w:hyperlink r:id="rId39">
        <w:r>
          <w:rPr>
            <w:color w:val="0000FF"/>
          </w:rPr>
          <w:t>N 679</w:t>
        </w:r>
      </w:hyperlink>
      <w:r>
        <w:t xml:space="preserve"> "Об утверждении Порядка разработки, реализации и оценки эффективности государственных программ Ленинградской области" и от 24 октября 2023 года </w:t>
      </w:r>
      <w:hyperlink r:id="rId40">
        <w:r>
          <w:rPr>
            <w:color w:val="0000FF"/>
          </w:rPr>
          <w:t>N 731</w:t>
        </w:r>
      </w:hyperlink>
      <w:r>
        <w:t xml:space="preserve"> "Об утверждении Перечня государственных программ Ленинградской области, внесении изменения в постановление Правительства Ленинградской области от 19 февраля 2014 года N 29 и признании утратившими силу отдельных</w:t>
      </w:r>
      <w:proofErr w:type="gramEnd"/>
      <w:r>
        <w:t xml:space="preserve"> постановлений Правительства Ленинградской области", в целях реализации государственной политики Ленинградской области в сфере информатизации и связи, обеспечения информационной безопасности и защиты информации Правительство Ленинградской области постановляет:</w:t>
      </w:r>
    </w:p>
    <w:p w:rsidR="00A9689A" w:rsidRDefault="00A9689A">
      <w:pPr>
        <w:pStyle w:val="ConsPlusNormal"/>
        <w:jc w:val="both"/>
      </w:pPr>
      <w:r>
        <w:t xml:space="preserve">(преамбула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17.03.2025 N 257)</w:t>
      </w:r>
    </w:p>
    <w:p w:rsidR="00A9689A" w:rsidRDefault="00A9689A">
      <w:pPr>
        <w:pStyle w:val="ConsPlusNormal"/>
        <w:ind w:firstLine="540"/>
        <w:jc w:val="both"/>
      </w:pPr>
    </w:p>
    <w:p w:rsidR="00A9689A" w:rsidRDefault="00A9689A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44">
        <w:r>
          <w:rPr>
            <w:color w:val="0000FF"/>
          </w:rPr>
          <w:t>программу</w:t>
        </w:r>
      </w:hyperlink>
      <w:r>
        <w:t xml:space="preserve"> Ленинградской области "Цифровое развитие Ленинградской области".</w:t>
      </w:r>
    </w:p>
    <w:p w:rsidR="00A9689A" w:rsidRDefault="00A968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29.12.2018 N 555)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A9689A" w:rsidRDefault="00A968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14.05.2019 </w:t>
      </w:r>
      <w:hyperlink r:id="rId43">
        <w:r>
          <w:rPr>
            <w:color w:val="0000FF"/>
          </w:rPr>
          <w:t>N 216</w:t>
        </w:r>
      </w:hyperlink>
      <w:r>
        <w:t xml:space="preserve">, от 28.12.2020 </w:t>
      </w:r>
      <w:hyperlink r:id="rId44">
        <w:r>
          <w:rPr>
            <w:color w:val="0000FF"/>
          </w:rPr>
          <w:t>N 872</w:t>
        </w:r>
      </w:hyperlink>
      <w:r>
        <w:t>)</w:t>
      </w:r>
    </w:p>
    <w:p w:rsidR="00A9689A" w:rsidRDefault="00A9689A">
      <w:pPr>
        <w:pStyle w:val="ConsPlusNormal"/>
      </w:pPr>
    </w:p>
    <w:p w:rsidR="00A9689A" w:rsidRDefault="00A9689A">
      <w:pPr>
        <w:pStyle w:val="ConsPlusNormal"/>
        <w:jc w:val="right"/>
      </w:pPr>
      <w:r>
        <w:t>Губернатор</w:t>
      </w:r>
    </w:p>
    <w:p w:rsidR="00A9689A" w:rsidRDefault="00A9689A">
      <w:pPr>
        <w:pStyle w:val="ConsPlusNormal"/>
        <w:jc w:val="right"/>
      </w:pPr>
      <w:r>
        <w:t>Ленинградской области</w:t>
      </w:r>
    </w:p>
    <w:p w:rsidR="00A9689A" w:rsidRDefault="00A9689A">
      <w:pPr>
        <w:pStyle w:val="ConsPlusNormal"/>
        <w:jc w:val="right"/>
      </w:pPr>
      <w:r>
        <w:t>А.Дрозденко</w:t>
      </w:r>
    </w:p>
    <w:p w:rsidR="00A9689A" w:rsidRDefault="00A9689A">
      <w:pPr>
        <w:pStyle w:val="ConsPlusNormal"/>
        <w:jc w:val="right"/>
      </w:pPr>
    </w:p>
    <w:p w:rsidR="00A9689A" w:rsidRDefault="00A9689A">
      <w:pPr>
        <w:pStyle w:val="ConsPlusNormal"/>
        <w:jc w:val="right"/>
      </w:pPr>
    </w:p>
    <w:p w:rsidR="00A9689A" w:rsidRDefault="00A9689A">
      <w:pPr>
        <w:pStyle w:val="ConsPlusNormal"/>
        <w:jc w:val="right"/>
      </w:pPr>
    </w:p>
    <w:p w:rsidR="00A9689A" w:rsidRDefault="00A9689A">
      <w:pPr>
        <w:pStyle w:val="ConsPlusNormal"/>
        <w:jc w:val="right"/>
      </w:pPr>
    </w:p>
    <w:p w:rsidR="00A9689A" w:rsidRDefault="00A9689A">
      <w:pPr>
        <w:pStyle w:val="ConsPlusNormal"/>
        <w:jc w:val="right"/>
      </w:pPr>
    </w:p>
    <w:p w:rsidR="00A9689A" w:rsidRDefault="00A9689A">
      <w:pPr>
        <w:pStyle w:val="ConsPlusNormal"/>
        <w:jc w:val="right"/>
        <w:outlineLvl w:val="0"/>
      </w:pPr>
      <w:r>
        <w:lastRenderedPageBreak/>
        <w:t>УТВЕРЖДЕНА</w:t>
      </w:r>
    </w:p>
    <w:p w:rsidR="00A9689A" w:rsidRDefault="00A9689A">
      <w:pPr>
        <w:pStyle w:val="ConsPlusNormal"/>
        <w:jc w:val="right"/>
      </w:pPr>
      <w:r>
        <w:t>постановлением Правительства</w:t>
      </w:r>
    </w:p>
    <w:p w:rsidR="00A9689A" w:rsidRDefault="00A9689A">
      <w:pPr>
        <w:pStyle w:val="ConsPlusNormal"/>
        <w:jc w:val="right"/>
      </w:pPr>
      <w:r>
        <w:t>Ленинградской области</w:t>
      </w:r>
    </w:p>
    <w:p w:rsidR="00A9689A" w:rsidRDefault="00A9689A">
      <w:pPr>
        <w:pStyle w:val="ConsPlusNormal"/>
        <w:jc w:val="right"/>
      </w:pPr>
      <w:r>
        <w:t>от 14.11.2013 N 395</w:t>
      </w:r>
    </w:p>
    <w:p w:rsidR="00A9689A" w:rsidRDefault="00A9689A">
      <w:pPr>
        <w:pStyle w:val="ConsPlusNormal"/>
        <w:jc w:val="right"/>
      </w:pPr>
      <w:r>
        <w:t>(приложение)</w:t>
      </w:r>
    </w:p>
    <w:p w:rsidR="00A9689A" w:rsidRDefault="00A9689A">
      <w:pPr>
        <w:pStyle w:val="ConsPlusNormal"/>
        <w:ind w:firstLine="540"/>
        <w:jc w:val="both"/>
      </w:pPr>
    </w:p>
    <w:p w:rsidR="00A9689A" w:rsidRDefault="00A9689A">
      <w:pPr>
        <w:pStyle w:val="ConsPlusTitle"/>
        <w:jc w:val="center"/>
      </w:pPr>
      <w:bookmarkStart w:id="0" w:name="P44"/>
      <w:bookmarkEnd w:id="0"/>
      <w:r>
        <w:t>ГОСУДАРСТВЕННАЯ ПРОГРАММА</w:t>
      </w:r>
    </w:p>
    <w:p w:rsidR="00A9689A" w:rsidRDefault="00A9689A">
      <w:pPr>
        <w:pStyle w:val="ConsPlusTitle"/>
        <w:jc w:val="center"/>
      </w:pPr>
      <w:r>
        <w:t>ЛЕНИНГРАДСКОЙ ОБЛАСТИ "ЦИФРОВОЕ РАЗВИТИЕ</w:t>
      </w:r>
    </w:p>
    <w:p w:rsidR="00A9689A" w:rsidRDefault="00A9689A">
      <w:pPr>
        <w:pStyle w:val="ConsPlusTitle"/>
        <w:jc w:val="center"/>
      </w:pPr>
      <w:r>
        <w:t>ЛЕНИНГРАДСКОЙ ОБЛАСТИ"</w:t>
      </w:r>
    </w:p>
    <w:p w:rsidR="00A9689A" w:rsidRDefault="00A968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68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89A" w:rsidRDefault="00A968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89A" w:rsidRDefault="00A968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689A" w:rsidRDefault="00A968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9689A" w:rsidRDefault="00A968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13.12.2023 </w:t>
            </w:r>
            <w:hyperlink r:id="rId45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17.03.2025 </w:t>
            </w:r>
            <w:hyperlink r:id="rId46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89A" w:rsidRDefault="00A9689A">
            <w:pPr>
              <w:pStyle w:val="ConsPlusNormal"/>
            </w:pPr>
          </w:p>
        </w:tc>
      </w:tr>
    </w:tbl>
    <w:p w:rsidR="00A9689A" w:rsidRDefault="00A9689A">
      <w:pPr>
        <w:pStyle w:val="ConsPlusNormal"/>
        <w:jc w:val="center"/>
      </w:pPr>
    </w:p>
    <w:p w:rsidR="00A9689A" w:rsidRDefault="00A9689A">
      <w:pPr>
        <w:pStyle w:val="ConsPlusTitle"/>
        <w:jc w:val="center"/>
        <w:outlineLvl w:val="1"/>
      </w:pPr>
      <w:r>
        <w:t>1. Оценка текущего состояния сферы реализации</w:t>
      </w:r>
    </w:p>
    <w:p w:rsidR="00A9689A" w:rsidRDefault="00A9689A">
      <w:pPr>
        <w:pStyle w:val="ConsPlusTitle"/>
        <w:jc w:val="center"/>
      </w:pPr>
      <w:r>
        <w:t>государственной программы</w:t>
      </w:r>
    </w:p>
    <w:p w:rsidR="00A9689A" w:rsidRDefault="00A9689A">
      <w:pPr>
        <w:pStyle w:val="ConsPlusNormal"/>
        <w:jc w:val="center"/>
      </w:pPr>
    </w:p>
    <w:p w:rsidR="00A9689A" w:rsidRDefault="00A9689A">
      <w:pPr>
        <w:pStyle w:val="ConsPlusNormal"/>
        <w:ind w:firstLine="540"/>
        <w:jc w:val="both"/>
      </w:pPr>
      <w:r>
        <w:t>Информационные и коммуникационные технологии (ИКТ)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В течение последних лет ключевые показатели ИТ-отрасли в Российской Федерации поступательно росли. За 10 лет удельный вес отрасли ИКТ в валовом внутреннем продукте (ВВП) Российской Федерации вырос в 2,5 раза - с 0,54 проц. в 2012 году до 1,35 проц. в 2022 году.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Валовая добавленная стоимость (ВДС) ИТ-отрасли возросла с 319 </w:t>
      </w:r>
      <w:proofErr w:type="gramStart"/>
      <w:r>
        <w:t>млрд</w:t>
      </w:r>
      <w:proofErr w:type="gramEnd"/>
      <w:r>
        <w:t xml:space="preserve"> рублей в 2012 году до 1898 млрд рублей в 2022 году. По итогам 2022 года рост ВДС ИТ-отрасли составил 5,9 проц. по сравнению с 2021 годом (в постоянных ценах). При этом рост IT-отрасли опережал динамику ВВП за рассматриваемый период в среднем на 10 процентных пунктов.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Объем реализации собственных продуктов и услуг ИТ-отрасли в 2022 году достиг значения 2881 </w:t>
      </w:r>
      <w:proofErr w:type="gramStart"/>
      <w:r>
        <w:t>млрд</w:t>
      </w:r>
      <w:proofErr w:type="gramEnd"/>
      <w:r>
        <w:t xml:space="preserve"> рублей (или 117,2 проц. к 2021 году). В целях укрепления технологического суверенитета Российской Федерации уделялось повышенное внимание реализации комплекса мер по поддержке сектора ИКТ и его основных сегментов. Продолжилась работа по дальнейшему динамичному развитию инфраструктуры связи и телекоммуникаций, информационной безопасности, импортозамещению, цифрового государственного управления и перевода государственных и муниципальных услуг в электронный вид, а также кадровому обеспечению отрасли информационных технологий.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По данным Министерства цифрового развития, связи и массовых коммуникаций Российской Федерации, в сфере связи по итогам 2022 года объем рынка телекоммуникаций в России составил 1,81 </w:t>
      </w:r>
      <w:proofErr w:type="gramStart"/>
      <w:r>
        <w:t>трлн</w:t>
      </w:r>
      <w:proofErr w:type="gramEnd"/>
      <w:r>
        <w:t xml:space="preserve"> рублей. Годовая динамика рынка была положительной и составила 2,8 проц. в сопоставимых ценах. В структуре российского телекоммуникационного рынка самую большую долю (порядка 45 проц.) занимают услуги мобильной связи, включая доступ к сети "Интернет".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Объем российского рынка доступа к сети "Интернет" через сети фиксированной и подвижной связи в целом в 2022 году оценивается в 598,8 </w:t>
      </w:r>
      <w:proofErr w:type="gramStart"/>
      <w:r>
        <w:t>млрд</w:t>
      </w:r>
      <w:proofErr w:type="gramEnd"/>
      <w:r>
        <w:t xml:space="preserve"> рублей, из них 76,6 проц. (459,0 млрд рублей) приходится на долю услуг, оказанных населению.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По итогам 2022 года доля домохозяйств, которым обеспечена возможность широкополосного доступа к сети "Интернет", составила 86,1 проц. (плановое значение - 80 проц.).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На 1 января 2023 года в Ленинградской области зарегистрировано 644 организации по виду экономической деятельности в области информации и связи. Прирост за год составил 9,2 </w:t>
      </w:r>
      <w:r>
        <w:lastRenderedPageBreak/>
        <w:t>процента.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Оборот организаций Ленинградской области по виду экономической деятельности в области информации и связи за 2022 год - 9,5 </w:t>
      </w:r>
      <w:proofErr w:type="gramStart"/>
      <w:r>
        <w:t>млрд</w:t>
      </w:r>
      <w:proofErr w:type="gramEnd"/>
      <w:r>
        <w:t xml:space="preserve"> руб., что составило 105,2 проц. к уровню 2021 года.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В рамках реализации государственной программы Ленинградской области "Цифровое развитие Ленинградской области" (далее - государственная программа) по состоянию на 1 января 2023 года достигнуты следующие результаты: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в зоне уверенного приема сигнала цифрового эфирного наземного телерадиовещания 20 федеральных общедоступных телеканалов 1-го и 2-го мультиплексов и трех радиостанций (Радио Маяк, Вести FM, Радио Россия) проживает более 98,9 проц. (РТРС-1) и 96,3 проц. (РТРС-2) жителей региона;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услуги мобильной связи доступны </w:t>
      </w:r>
      <w:proofErr w:type="gramStart"/>
      <w:r>
        <w:t>для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99 проц. жителей региона;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доля домохозяйств региона, которым обеспечена возможность широкополосного доступа к информационно-телекоммуникационной сети "Интернет", составляет 97 проц.;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в рамках федеральной программы по устранению цифрового неравенства было установлено 102 точки доступа беспроводного высокоскоростного бесплатного доступа к сети "Интернет" в населенных пунктах Ленинградской области с населением от 250 до 500 человек;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на втором этапе федеральной программы по устранению цифрового неравенства осуществляется строительство в населенных пунктах региона с численностью населения от 100 до 500 человек объектов связи для предоставления универсальных услуг связи, </w:t>
      </w:r>
      <w:proofErr w:type="gramStart"/>
      <w:r>
        <w:t>включая</w:t>
      </w:r>
      <w:proofErr w:type="gramEnd"/>
      <w:r>
        <w:t xml:space="preserve"> в том числе услуги подвижной радиотелефонной связи;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обеспечено предоставление защищенных каналов связи цифровой технологической сети передачи данных между территориально разделенными объектами (абонентами) Единой сети передачи данных Ленинградской области, расположенными по 545 адресам в черте Санкт-Петербурга и на территории Ленинградской области;</w:t>
      </w:r>
    </w:p>
    <w:p w:rsidR="00A9689A" w:rsidRDefault="00A9689A">
      <w:pPr>
        <w:pStyle w:val="ConsPlusNormal"/>
        <w:spacing w:before="220"/>
        <w:ind w:firstLine="540"/>
        <w:jc w:val="both"/>
      </w:pPr>
      <w:proofErr w:type="gramStart"/>
      <w:r>
        <w:t>в рамках созданной и успешно функционирующей единой информационно-справочной службы "122" Ленинградской области по вопросам здравоохранения внедрен Голосовой помощник (Робот), обработавший в 2022 году более 817 тыс. звонков; также с помощью Робота жители оформляют электронные больничные листы, обращаются за консультацией по тестированию на новую коронавирусную инфекцию и иным вопросам;</w:t>
      </w:r>
      <w:proofErr w:type="gramEnd"/>
      <w:r>
        <w:t xml:space="preserve"> кроме того, номер "122" активно используется для приема обращений по выплатам мобилизованным, а также по частичной мобилизации и осеннему призыву;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к автоматизированной информационной системе "Межведомственное электронное взаимодействия в Ленинградской области" подключено более 87 видов сведений, среди которых сведения ведомств-поставщиков: Фонда пенсионного и социального страхования Российской Федерации, Федеральной налоговой службы, Федеральной службы государственной регистрации, кадастра и картографии;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количество учетных записей в Единой системе идентификац</w:t>
      </w:r>
      <w:proofErr w:type="gramStart"/>
      <w:r>
        <w:t>ии и ау</w:t>
      </w:r>
      <w:proofErr w:type="gramEnd"/>
      <w:r>
        <w:t>тентификации (ЕСИА) к численности населения Ленинградской области составляет 93 процента;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за 2022 год оказано 4861274 государственных, муниципальных и иных услуг в многофункциональных центрах предоставления государственных (муниципальных) услуг Ленинградской области;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с каждым годом увеличивается количество услуг, оказанных в электронном виде на портале государственных и муниципальных услуг (функций) Ленинградской области. </w:t>
      </w:r>
      <w:proofErr w:type="gramStart"/>
      <w:r>
        <w:t xml:space="preserve">Количество </w:t>
      </w:r>
      <w:r>
        <w:lastRenderedPageBreak/>
        <w:t>заявлений, поданных в электронном виде для оказания государственных и муниципальных услуг, в 2021 году - 35427, в 2022 году - 150960, за девять месяцев 2023 года - 126906, что составляет соответственно 25,9 проц. и 30 проц. и 30,1 проц. от общего количества заявлений во всех формах за получением услуг из регионального перечня массовых социально значимых услуг в Ленинградской области;</w:t>
      </w:r>
      <w:proofErr w:type="gramEnd"/>
    </w:p>
    <w:p w:rsidR="00A9689A" w:rsidRDefault="00A9689A">
      <w:pPr>
        <w:pStyle w:val="ConsPlusNormal"/>
        <w:spacing w:before="220"/>
        <w:ind w:firstLine="540"/>
        <w:jc w:val="both"/>
      </w:pPr>
      <w:r>
        <w:t>уровень "цифровой зрелости" ключевых отраслей экономики и социальной сферы, в том числе здравоохранения и образования, а также государственного управления составил 66,4 проц.;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по итогам 2022 года государственные полномочия Ленинградской области выполняются с использованием 71 государственной информационной системы Ленинградской области;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сформирована цифровая платформа в сфере образования, спорта, культуры и туризма, труда и занятости населения Ленинградской области;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100 проц. государственных информационных систем, в которых осуществляется обработка информации ограниченного распространения, в том числе персональные данные, аттестованы по установленным требованиям к защите информации;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в течение 2022 года обеспечена доступность значимых объектов критической информационной инфраструктуры, принадлежащих органам исполнительной власти Ленинградской области, на уровне 100 процентов.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Дальнейший характер развития отечественной отрасли информационных технологий будет обусловлен совокупностью мировых и локальных тенденций.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отраслей экономики и уровень обороноспособности страны. Масштабное распространение информационных технологий предполагается в здравоохранении, образовании, науке, культуре, обеспечении безопасности, промышленности, сельском хозяйстве, финансовой сфере и транспорте.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В то же время новый виток цифровой трансформации несет угрозы информационной безопасности не только государству, но и личности, а также обществу в целом. В Российской Федерации каждое четвертое преступление совершается с использованием информационно-телекоммуникационных технологий. В 2021 году выявлено 517,7 тыс. преступлений данной категории, большинство из них совершено с применением средств мобильной связи, сети "Интернет", а также расчетных пластиковых карт.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Обеспечение информационной безопасности в текущих условиях требует создания доверенной среды разработки ИКТ, которая объединила бы отечественных разработчиков и производителей программного обеспечения, компьютерного и телекоммуникационного оборудования, в том числе в области информационной безопасности (ИБ), и позволила бы использовать уникальную инфраструктуру (доверенную среду) совместного проектирования, тестирования и </w:t>
      </w:r>
      <w:proofErr w:type="gramStart"/>
      <w:r>
        <w:t>внедрения</w:t>
      </w:r>
      <w:proofErr w:type="gramEnd"/>
      <w:r>
        <w:t xml:space="preserve"> гарантированно защищенных ИКТ на основе инновационных методов, обеспечивающих высокую динамику разработки, а также развития российской элементной и аппаратной базы с учетом вопросов обеспечения ИБ.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Основными направлениями развития ИТ-отрасли на ближайшую перспективу являются: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развитие искусственного интеллекта, включающего мероприятия по разработке и развитию программного обеспечения, поддержка научных исследований и разработок повышения доступности и качества данных, повышение доступности аппаратного обеспечения;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lastRenderedPageBreak/>
        <w:t>развитие экономики данных, включающей мероприятия в области обработки данных, таких как сбор данных при помощи высокочувствительных данных, передачи данных и развитие систем связи нового поколения. Кроме этого, необходимо предусмотреть создание инфраструктуры для вычисления и хранения данных с использованием отечественного оборудования, технологий и программного обеспечения, включая облачные платформы, центры обработки данных и вычислительные мощности.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Ограничениями, влияющими на развитие ИТ-отрасли, являются: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недостаточный уровень использования государственных и муниципальных услуг в электронной форме гражданами и организациями;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недостаточный уровень цифровой грамотности населения и низкий уровень доверия к цифровой среде и цифровым услугам;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недостаточный уровень обеспеченности инфраструктурой сотовой связи и мобильной передачи данных (в том числе недостаточный уровень развития транспортной сети передачи данных за счет строительства волоконно-оптических и радиорелейных линий связи) в малонаселенных и отдаленных поселениях;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постоянно увеличивающийся объем атак на объекты критической информационной инфраструктуры Ленинградской области, содержащей персональные данные.</w:t>
      </w:r>
    </w:p>
    <w:p w:rsidR="00A9689A" w:rsidRDefault="00A9689A">
      <w:pPr>
        <w:pStyle w:val="ConsPlusNormal"/>
        <w:jc w:val="center"/>
      </w:pPr>
    </w:p>
    <w:p w:rsidR="00A9689A" w:rsidRDefault="00A9689A">
      <w:pPr>
        <w:pStyle w:val="ConsPlusTitle"/>
        <w:jc w:val="center"/>
        <w:outlineLvl w:val="1"/>
      </w:pPr>
      <w:r>
        <w:t>2. Приоритеты и цели государственной политики</w:t>
      </w:r>
    </w:p>
    <w:p w:rsidR="00A9689A" w:rsidRDefault="00A9689A">
      <w:pPr>
        <w:pStyle w:val="ConsPlusTitle"/>
        <w:jc w:val="center"/>
      </w:pPr>
      <w:r>
        <w:t>в сфере реализации государственной программы</w:t>
      </w:r>
    </w:p>
    <w:p w:rsidR="00A9689A" w:rsidRDefault="00A9689A">
      <w:pPr>
        <w:pStyle w:val="ConsPlusNormal"/>
        <w:jc w:val="center"/>
      </w:pPr>
    </w:p>
    <w:p w:rsidR="00A9689A" w:rsidRDefault="00A9689A">
      <w:pPr>
        <w:pStyle w:val="ConsPlusNormal"/>
        <w:ind w:firstLine="540"/>
        <w:jc w:val="both"/>
      </w:pPr>
      <w:r>
        <w:t>Основополагающими документами общесистемного характера, определяющими стратегические направления развития сферы ИКТ и приоритеты развития системы государственного управления, являются: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A9689A" w:rsidRDefault="00A9689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17.03.2025 N 257)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Указ</w:t>
        </w:r>
      </w:hyperlink>
      <w:r>
        <w:t xml:space="preserve"> Президента Российской Федерации от 28 ноября 2024 года N 1014 "Об оценке </w:t>
      </w:r>
      <w:proofErr w:type="gramStart"/>
      <w:r>
        <w:t>эффективности деятельности высших должностных лиц субъектов Российской Федерации</w:t>
      </w:r>
      <w:proofErr w:type="gramEnd"/>
      <w:r>
        <w:t xml:space="preserve"> и деятельности исполнительных органов субъектов Российской Федерации";</w:t>
      </w:r>
    </w:p>
    <w:p w:rsidR="00A9689A" w:rsidRDefault="00A9689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17.03.2025 N 257)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Доктрина</w:t>
        </w:r>
      </w:hyperlink>
      <w:r>
        <w:t xml:space="preserve"> информационной безопасности Российской Федерации, утвержденная Указом Президента Российской Федерации от 5 декабря 2016 года N 646;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Паспорт</w:t>
        </w:r>
      </w:hyperlink>
      <w:r>
        <w:t xml:space="preserve"> национального проекта "Национальная программа "Цифровая экономика Российской Федерации", утвержденного президиумом Совета при Президенте Российской Федерации по стратегическому развитию и национальным проектам (протокол от 4 июня 2019 года N 7);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Стратегия</w:t>
        </w:r>
      </w:hyperlink>
      <w:r>
        <w:t xml:space="preserve"> развития информационного общества в Российской Федерации на 2017-2030 годы, утвержденная Указом Президента Российской Федерации от 9 мая 2017 года N 203;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Ленинградской области до 2030 года, утвержденная областным законом от 8 августа 2016 года N 76-оз (далее - Стратегия СЭР);</w:t>
      </w:r>
    </w:p>
    <w:p w:rsidR="00A9689A" w:rsidRDefault="00A9689A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Стратегия</w:t>
        </w:r>
      </w:hyperlink>
      <w:r>
        <w:t xml:space="preserve"> в области цифровой трансформации отраслей экономики, социальной сферы и государственного управления Ленинградской области, утвержденная распоряжением Правительства Ленинградской области от 23 сентября 2022 года N 692-р (далее - Стратегия ЦТ).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Приоритетами, которые предусмотрены документами стратегического планирования, являются: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повышение благосостояния, качества жизни и работы граждан;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улучшение доступности и качества государственных услуг;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повышение степени информированности и цифровой грамотности;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развитие экономического потенциала страны с использованием современных информационных, телекоммуникационных и цифровых технологий;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обеспечение прав граждан на доступ к информации;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свободы выбора средств получения знаний</w:t>
      </w:r>
      <w:proofErr w:type="gramEnd"/>
      <w:r>
        <w:t xml:space="preserve"> при работе с информацией;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защита личности, общества и государства от внутренних и внешних информационных угроз;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обеспечение государственной защиты интересов российских граждан в информационной сфере.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Национальной целью развития Российской Федерации на период до 2030 года в сфере ИКТ является цифровая трансформация.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Согласно Стратегии СЭР цифровая трансформация государственного управления должна касаться тех областей деятельности, где будет получен наивысший эффект для достижения целей социально-экономического развития Ленинградской области. Планируется итерационное расширение охвата системных проектов с постоянным учетом развития технологий и изменений в информационных потребностях. Основные действия (задачи) будут направлены на создание цифровых платформ и эталонных информационных ресурсов, позволяющих на их основе выстраивать работу отраслевых информационных систем, создавать "суперсервисы", оказывать услуги гражданам и бизнесу, принимать решения на основе данных.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Одним из основополагающих, системных документов на региональном уровне, отражающим стратегические направления и задачи цифровой трансформации в Ленинградской области, является Стратегия ЦТ.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 xml:space="preserve">Целью цифровой трансформации отраслей экономики, социальной сферы и государственного управления Ленинградской области является создание условий для повышения качества жизни населения и ускорения экономического роста посредством внедрения цифровых технологий. </w:t>
      </w:r>
      <w:proofErr w:type="gramStart"/>
      <w:r>
        <w:t>Стратегия ЦТ учитывает 16 отраслей: образование, здравоохранение, развитие городской среды, транспорт и логистика, государственное управление, социальная сфера, экология и природопользование, сельское хозяйство, промышленность, культура, туризм, безопасность, кадровое обеспечение цифровой экономики, физическая культура и спорт, торговля и предпринимательство, строительство.</w:t>
      </w:r>
      <w:proofErr w:type="gramEnd"/>
    </w:p>
    <w:p w:rsidR="00A9689A" w:rsidRDefault="00A9689A">
      <w:pPr>
        <w:pStyle w:val="ConsPlusNormal"/>
        <w:spacing w:before="220"/>
        <w:ind w:firstLine="540"/>
        <w:jc w:val="both"/>
      </w:pPr>
      <w:r>
        <w:t>Ключевые приоритеты, определенные на федеральном уровне, учтены при формировании государственной программы в соответствии со спецификой Ленинградской области.</w:t>
      </w:r>
    </w:p>
    <w:p w:rsidR="00A9689A" w:rsidRDefault="00A9689A">
      <w:pPr>
        <w:pStyle w:val="ConsPlusNormal"/>
        <w:jc w:val="center"/>
      </w:pPr>
    </w:p>
    <w:p w:rsidR="00A9689A" w:rsidRDefault="00A9689A">
      <w:pPr>
        <w:pStyle w:val="ConsPlusTitle"/>
        <w:jc w:val="center"/>
        <w:outlineLvl w:val="1"/>
      </w:pPr>
      <w:r>
        <w:t>3. Сведения о взаимосвязи со стратегическими приоритетами,</w:t>
      </w:r>
    </w:p>
    <w:p w:rsidR="00A9689A" w:rsidRDefault="00A9689A">
      <w:pPr>
        <w:pStyle w:val="ConsPlusTitle"/>
        <w:jc w:val="center"/>
      </w:pPr>
      <w:r>
        <w:t>целями и показателями государственных программ</w:t>
      </w:r>
    </w:p>
    <w:p w:rsidR="00A9689A" w:rsidRDefault="00A9689A">
      <w:pPr>
        <w:pStyle w:val="ConsPlusTitle"/>
        <w:jc w:val="center"/>
      </w:pPr>
      <w:r>
        <w:t>Российской Федерации</w:t>
      </w:r>
    </w:p>
    <w:p w:rsidR="00A9689A" w:rsidRDefault="00A9689A">
      <w:pPr>
        <w:pStyle w:val="ConsPlusNormal"/>
        <w:jc w:val="center"/>
      </w:pPr>
    </w:p>
    <w:p w:rsidR="00A9689A" w:rsidRDefault="00A9689A">
      <w:pPr>
        <w:pStyle w:val="ConsPlusNormal"/>
        <w:ind w:firstLine="540"/>
        <w:jc w:val="both"/>
      </w:pPr>
      <w:r>
        <w:t>Реализация мероприятий государственной программы вносит вклад в достижение следующих целей государственной программы Российской Федерации "Информационное общество" (далее - Программа):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к 2030 году уровень "цифровой зрелости" ключевых отраслей экономики и социальной сферы, в том числе здравоохранения и образования, а также государственного управления достигнет 100 процентов;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к 2030 году обеспечено увеличение доли массовых социально значимых услуг, доступных в электронном виде, до 99 процентов.</w:t>
      </w:r>
    </w:p>
    <w:p w:rsidR="00A9689A" w:rsidRDefault="00A9689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17.03.2025 N 257)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Цель Программы - "рост доли домохозяйств, которым обеспечена возможность широкополосного доступа к сети "Интернет", до 97 процентов в 2030 году" на территории Ленинградской области достигнута. Дополнительных мероприятий государственной программой не предусмотрено.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Показатели, предусмотренные государственной программой, влияют на следующие показатели Программы: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увеличение доли массовых социально значимых услуг, доступных в электронном виде.</w:t>
      </w:r>
    </w:p>
    <w:p w:rsidR="00A9689A" w:rsidRDefault="00A9689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17.03.2025 N 257)</w:t>
      </w:r>
    </w:p>
    <w:p w:rsidR="00A9689A" w:rsidRDefault="00A9689A">
      <w:pPr>
        <w:pStyle w:val="ConsPlusNormal"/>
        <w:ind w:firstLine="540"/>
        <w:jc w:val="both"/>
      </w:pPr>
    </w:p>
    <w:p w:rsidR="00A9689A" w:rsidRDefault="00A9689A">
      <w:pPr>
        <w:pStyle w:val="ConsPlusTitle"/>
        <w:jc w:val="center"/>
        <w:outlineLvl w:val="1"/>
      </w:pPr>
      <w:r>
        <w:t>4. Цели государственной программы и способы их достижения</w:t>
      </w:r>
    </w:p>
    <w:p w:rsidR="00A9689A" w:rsidRDefault="00A9689A">
      <w:pPr>
        <w:pStyle w:val="ConsPlusNormal"/>
        <w:ind w:firstLine="540"/>
        <w:jc w:val="both"/>
      </w:pPr>
    </w:p>
    <w:p w:rsidR="00A9689A" w:rsidRDefault="00A9689A">
      <w:pPr>
        <w:pStyle w:val="ConsPlusNormal"/>
        <w:ind w:firstLine="540"/>
        <w:jc w:val="both"/>
      </w:pPr>
      <w:r>
        <w:t>С учетом положений стратегических документов определены следующие цели государственной программы: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к 2030 году уровень "цифровой зрелости" ключевых отраслей экономики и социальной сферы, в том числе здравоохранения и образования, а также государственного управления, в Ленинградской области достигнет 100 процентов;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обеспечение функционирования инфраструктуры связи и обмена информацией электронного правительства Ленинградской области.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Достижение указанных целей обеспечивается: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путем цифровизации деятельности органов власти, включая предоставление государственных услуг, а также создания доверия к электронному формату получения услуг путем повышения уровня информационной безопасности, включая защиту персональных данных граждан и данных в государственных информационных системах Ленинградской области;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координацией деятельности по достижению в Ленинградской области целевого значения показателя "цифровая зрелость" ключевых отраслей экономики и социальной сферы, в том числе здравоохранения и образования, а также государственного управления к 2030 году в пяти отраслях экономики и социальной сферы;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путем развития сети передачи данных Ленинградской области, системы хранения и функционирования государственных информационных систем и ресурсов Ленинградской области, а также создания, развития и сопровождения систем защиты информации объектов информатизации, функционирующих в составе государственных информационных систем органов исполнительной власти Ленинградской области.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lastRenderedPageBreak/>
        <w:t>Существенный вклад в цифровую трансформацию экономики Ленинградской области вносит реализация региональных проектов в рамках федеральных проектов "Информационная инфраструктура", "Информационная безопасность", "Цифровое государственное управление", "Цифровые технологии". Региональные проекты разработаны в соответствии с федеральными проектами национальной программы "Цифровая экономика Российской Федерации".</w:t>
      </w:r>
    </w:p>
    <w:p w:rsidR="00A9689A" w:rsidRDefault="00A9689A">
      <w:pPr>
        <w:pStyle w:val="ConsPlusNormal"/>
        <w:spacing w:before="220"/>
        <w:ind w:firstLine="540"/>
        <w:jc w:val="both"/>
      </w:pPr>
      <w:r>
        <w:t>Таким образом, цели и направления реализации государственной программы в полной мере соответствуют приоритетам и целям государственной политики в сфере информационных и коммуникационных технологий.</w:t>
      </w:r>
    </w:p>
    <w:p w:rsidR="00A9689A" w:rsidRDefault="00A9689A">
      <w:pPr>
        <w:pStyle w:val="ConsPlusNormal"/>
        <w:jc w:val="both"/>
      </w:pPr>
    </w:p>
    <w:p w:rsidR="00A9689A" w:rsidRDefault="00A9689A">
      <w:pPr>
        <w:pStyle w:val="ConsPlusNormal"/>
        <w:jc w:val="both"/>
      </w:pPr>
    </w:p>
    <w:p w:rsidR="00A9689A" w:rsidRDefault="00A968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FFC" w:rsidRDefault="00EB7FFC">
      <w:bookmarkStart w:id="1" w:name="_GoBack"/>
      <w:bookmarkEnd w:id="1"/>
    </w:p>
    <w:sectPr w:rsidR="00EB7FFC" w:rsidSect="00E8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9A"/>
    <w:rsid w:val="00A9689A"/>
    <w:rsid w:val="00E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8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8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181806&amp;dst=100005" TargetMode="External"/><Relationship Id="rId18" Type="http://schemas.openxmlformats.org/officeDocument/2006/relationships/hyperlink" Target="https://login.consultant.ru/link/?req=doc&amp;base=SPB&amp;n=263467&amp;dst=100016" TargetMode="External"/><Relationship Id="rId26" Type="http://schemas.openxmlformats.org/officeDocument/2006/relationships/hyperlink" Target="https://login.consultant.ru/link/?req=doc&amp;base=SPB&amp;n=236637&amp;dst=100005" TargetMode="External"/><Relationship Id="rId39" Type="http://schemas.openxmlformats.org/officeDocument/2006/relationships/hyperlink" Target="https://login.consultant.ru/link/?req=doc&amp;base=SPB&amp;n=315279&amp;dst=100070" TargetMode="External"/><Relationship Id="rId21" Type="http://schemas.openxmlformats.org/officeDocument/2006/relationships/hyperlink" Target="https://login.consultant.ru/link/?req=doc&amp;base=SPB&amp;n=222518&amp;dst=100005" TargetMode="External"/><Relationship Id="rId34" Type="http://schemas.openxmlformats.org/officeDocument/2006/relationships/hyperlink" Target="https://login.consultant.ru/link/?req=doc&amp;base=SPB&amp;n=267777&amp;dst=100005" TargetMode="External"/><Relationship Id="rId42" Type="http://schemas.openxmlformats.org/officeDocument/2006/relationships/hyperlink" Target="https://login.consultant.ru/link/?req=doc&amp;base=SPB&amp;n=209357&amp;dst=100008" TargetMode="External"/><Relationship Id="rId47" Type="http://schemas.openxmlformats.org/officeDocument/2006/relationships/hyperlink" Target="https://login.consultant.ru/link/?req=doc&amp;base=LAW&amp;n=358026" TargetMode="External"/><Relationship Id="rId50" Type="http://schemas.openxmlformats.org/officeDocument/2006/relationships/hyperlink" Target="https://login.consultant.ru/link/?req=doc&amp;base=LAW&amp;n=491669" TargetMode="External"/><Relationship Id="rId55" Type="http://schemas.openxmlformats.org/officeDocument/2006/relationships/hyperlink" Target="https://login.consultant.ru/link/?req=doc&amp;base=SPB&amp;n=221116&amp;dst=101224" TargetMode="External"/><Relationship Id="rId7" Type="http://schemas.openxmlformats.org/officeDocument/2006/relationships/hyperlink" Target="https://login.consultant.ru/link/?req=doc&amp;base=SPB&amp;n=153537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08170&amp;dst=100005" TargetMode="External"/><Relationship Id="rId29" Type="http://schemas.openxmlformats.org/officeDocument/2006/relationships/hyperlink" Target="https://login.consultant.ru/link/?req=doc&amp;base=SPB&amp;n=250153&amp;dst=100005" TargetMode="External"/><Relationship Id="rId11" Type="http://schemas.openxmlformats.org/officeDocument/2006/relationships/hyperlink" Target="https://login.consultant.ru/link/?req=doc&amp;base=SPB&amp;n=175609&amp;dst=100005" TargetMode="External"/><Relationship Id="rId24" Type="http://schemas.openxmlformats.org/officeDocument/2006/relationships/hyperlink" Target="https://login.consultant.ru/link/?req=doc&amp;base=SPB&amp;n=232742&amp;dst=100005" TargetMode="External"/><Relationship Id="rId32" Type="http://schemas.openxmlformats.org/officeDocument/2006/relationships/hyperlink" Target="https://login.consultant.ru/link/?req=doc&amp;base=SPB&amp;n=264868&amp;dst=100005" TargetMode="External"/><Relationship Id="rId37" Type="http://schemas.openxmlformats.org/officeDocument/2006/relationships/hyperlink" Target="https://login.consultant.ru/link/?req=doc&amp;base=SPB&amp;n=284808&amp;dst=100005" TargetMode="External"/><Relationship Id="rId40" Type="http://schemas.openxmlformats.org/officeDocument/2006/relationships/hyperlink" Target="https://login.consultant.ru/link/?req=doc&amp;base=SPB&amp;n=313319" TargetMode="External"/><Relationship Id="rId45" Type="http://schemas.openxmlformats.org/officeDocument/2006/relationships/hyperlink" Target="https://login.consultant.ru/link/?req=doc&amp;base=SPB&amp;n=284808&amp;dst=100005" TargetMode="External"/><Relationship Id="rId53" Type="http://schemas.openxmlformats.org/officeDocument/2006/relationships/hyperlink" Target="https://login.consultant.ru/link/?req=doc&amp;base=LAW&amp;n=328854" TargetMode="External"/><Relationship Id="rId58" Type="http://schemas.openxmlformats.org/officeDocument/2006/relationships/hyperlink" Target="https://login.consultant.ru/link/?req=doc&amp;base=SPB&amp;n=308066&amp;dst=100014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SPB&amp;n=217897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68243&amp;dst=100005" TargetMode="External"/><Relationship Id="rId14" Type="http://schemas.openxmlformats.org/officeDocument/2006/relationships/hyperlink" Target="https://login.consultant.ru/link/?req=doc&amp;base=SPB&amp;n=187645&amp;dst=100005" TargetMode="External"/><Relationship Id="rId22" Type="http://schemas.openxmlformats.org/officeDocument/2006/relationships/hyperlink" Target="https://login.consultant.ru/link/?req=doc&amp;base=SPB&amp;n=227384&amp;dst=100005" TargetMode="External"/><Relationship Id="rId27" Type="http://schemas.openxmlformats.org/officeDocument/2006/relationships/hyperlink" Target="https://login.consultant.ru/link/?req=doc&amp;base=SPB&amp;n=241951&amp;dst=100005" TargetMode="External"/><Relationship Id="rId30" Type="http://schemas.openxmlformats.org/officeDocument/2006/relationships/hyperlink" Target="https://login.consultant.ru/link/?req=doc&amp;base=SPB&amp;n=251861&amp;dst=100005" TargetMode="External"/><Relationship Id="rId35" Type="http://schemas.openxmlformats.org/officeDocument/2006/relationships/hyperlink" Target="https://login.consultant.ru/link/?req=doc&amp;base=SPB&amp;n=276044&amp;dst=100005" TargetMode="External"/><Relationship Id="rId43" Type="http://schemas.openxmlformats.org/officeDocument/2006/relationships/hyperlink" Target="https://login.consultant.ru/link/?req=doc&amp;base=SPB&amp;n=263467&amp;dst=100016" TargetMode="External"/><Relationship Id="rId48" Type="http://schemas.openxmlformats.org/officeDocument/2006/relationships/hyperlink" Target="https://login.consultant.ru/link/?req=doc&amp;base=LAW&amp;n=475991" TargetMode="External"/><Relationship Id="rId56" Type="http://schemas.openxmlformats.org/officeDocument/2006/relationships/hyperlink" Target="https://login.consultant.ru/link/?req=doc&amp;base=SPB&amp;n=264976&amp;dst=100008" TargetMode="External"/><Relationship Id="rId8" Type="http://schemas.openxmlformats.org/officeDocument/2006/relationships/hyperlink" Target="https://login.consultant.ru/link/?req=doc&amp;base=SPB&amp;n=163228&amp;dst=100005" TargetMode="External"/><Relationship Id="rId51" Type="http://schemas.openxmlformats.org/officeDocument/2006/relationships/hyperlink" Target="https://login.consultant.ru/link/?req=doc&amp;base=SPB&amp;n=308066&amp;dst=100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177606&amp;dst=100005" TargetMode="External"/><Relationship Id="rId17" Type="http://schemas.openxmlformats.org/officeDocument/2006/relationships/hyperlink" Target="https://login.consultant.ru/link/?req=doc&amp;base=SPB&amp;n=209357&amp;dst=100005" TargetMode="External"/><Relationship Id="rId25" Type="http://schemas.openxmlformats.org/officeDocument/2006/relationships/hyperlink" Target="https://login.consultant.ru/link/?req=doc&amp;base=SPB&amp;n=236695&amp;dst=100005" TargetMode="External"/><Relationship Id="rId33" Type="http://schemas.openxmlformats.org/officeDocument/2006/relationships/hyperlink" Target="https://login.consultant.ru/link/?req=doc&amp;base=SPB&amp;n=266611&amp;dst=100005" TargetMode="External"/><Relationship Id="rId38" Type="http://schemas.openxmlformats.org/officeDocument/2006/relationships/hyperlink" Target="https://login.consultant.ru/link/?req=doc&amp;base=SPB&amp;n=308066&amp;dst=100005" TargetMode="External"/><Relationship Id="rId46" Type="http://schemas.openxmlformats.org/officeDocument/2006/relationships/hyperlink" Target="https://login.consultant.ru/link/?req=doc&amp;base=SPB&amp;n=308066&amp;dst=10000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220541&amp;dst=100005" TargetMode="External"/><Relationship Id="rId41" Type="http://schemas.openxmlformats.org/officeDocument/2006/relationships/hyperlink" Target="https://login.consultant.ru/link/?req=doc&amp;base=SPB&amp;n=308066&amp;dst=100006" TargetMode="External"/><Relationship Id="rId54" Type="http://schemas.openxmlformats.org/officeDocument/2006/relationships/hyperlink" Target="https://login.consultant.ru/link/?req=doc&amp;base=LAW&amp;n=216363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9386&amp;dst=100005" TargetMode="External"/><Relationship Id="rId15" Type="http://schemas.openxmlformats.org/officeDocument/2006/relationships/hyperlink" Target="https://login.consultant.ru/link/?req=doc&amp;base=SPB&amp;n=194810&amp;dst=100005" TargetMode="External"/><Relationship Id="rId23" Type="http://schemas.openxmlformats.org/officeDocument/2006/relationships/hyperlink" Target="https://login.consultant.ru/link/?req=doc&amp;base=SPB&amp;n=230003&amp;dst=100005" TargetMode="External"/><Relationship Id="rId28" Type="http://schemas.openxmlformats.org/officeDocument/2006/relationships/hyperlink" Target="https://login.consultant.ru/link/?req=doc&amp;base=SPB&amp;n=245198&amp;dst=100005" TargetMode="External"/><Relationship Id="rId36" Type="http://schemas.openxmlformats.org/officeDocument/2006/relationships/hyperlink" Target="https://login.consultant.ru/link/?req=doc&amp;base=SPB&amp;n=284580&amp;dst=100005" TargetMode="External"/><Relationship Id="rId49" Type="http://schemas.openxmlformats.org/officeDocument/2006/relationships/hyperlink" Target="https://login.consultant.ru/link/?req=doc&amp;base=SPB&amp;n=308066&amp;dst=100009" TargetMode="External"/><Relationship Id="rId57" Type="http://schemas.openxmlformats.org/officeDocument/2006/relationships/hyperlink" Target="https://login.consultant.ru/link/?req=doc&amp;base=SPB&amp;n=308066&amp;dst=100013" TargetMode="External"/><Relationship Id="rId10" Type="http://schemas.openxmlformats.org/officeDocument/2006/relationships/hyperlink" Target="https://login.consultant.ru/link/?req=doc&amp;base=SPB&amp;n=168587&amp;dst=100005" TargetMode="External"/><Relationship Id="rId31" Type="http://schemas.openxmlformats.org/officeDocument/2006/relationships/hyperlink" Target="https://login.consultant.ru/link/?req=doc&amp;base=SPB&amp;n=257331&amp;dst=100005" TargetMode="External"/><Relationship Id="rId44" Type="http://schemas.openxmlformats.org/officeDocument/2006/relationships/hyperlink" Target="https://login.consultant.ru/link/?req=doc&amp;base=SPB&amp;n=236695&amp;dst=100010" TargetMode="External"/><Relationship Id="rId52" Type="http://schemas.openxmlformats.org/officeDocument/2006/relationships/hyperlink" Target="https://login.consultant.ru/link/?req=doc&amp;base=LAW&amp;n=208191&amp;dst=10001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Александровнa Орлова</dc:creator>
  <cp:lastModifiedBy>Наталья Александровнa Орлова</cp:lastModifiedBy>
  <cp:revision>1</cp:revision>
  <dcterms:created xsi:type="dcterms:W3CDTF">2025-09-05T11:46:00Z</dcterms:created>
  <dcterms:modified xsi:type="dcterms:W3CDTF">2025-09-05T11:46:00Z</dcterms:modified>
</cp:coreProperties>
</file>