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C3BB2" w14:textId="77777777" w:rsidR="00873260" w:rsidRPr="006B46EF" w:rsidRDefault="00873260" w:rsidP="00873260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ПРОЕКТ ОДОБРЕН изм.31.08.2022</w:t>
      </w:r>
    </w:p>
    <w:p w14:paraId="0A0DCC48" w14:textId="77777777" w:rsidR="00F26724" w:rsidRPr="001A5695" w:rsidRDefault="00F26724" w:rsidP="00DB58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14:paraId="4E629EE0" w14:textId="77777777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Ленинградской области </w:t>
      </w:r>
    </w:p>
    <w:p w14:paraId="3875E479" w14:textId="77777777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____________________ </w:t>
      </w:r>
      <w:r w:rsidRPr="006E1FB3">
        <w:rPr>
          <w:b/>
          <w:i/>
          <w:sz w:val="28"/>
          <w:szCs w:val="28"/>
        </w:rPr>
        <w:t>(указывается наименование единицы территориального деления, на которой орган местного самоуправления предоставляет муниципальную услугу)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1"/>
    <w:p w14:paraId="7EB90E4F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2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77777777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77777777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555BC0">
        <w:rPr>
          <w:rFonts w:eastAsia="Calibri"/>
          <w:sz w:val="28"/>
          <w:szCs w:val="28"/>
        </w:rPr>
        <w:t xml:space="preserve">________,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>графиках работы,  контактных телефонах, адресах электронной почты размещается:</w:t>
      </w:r>
    </w:p>
    <w:p w14:paraId="174A319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555BC0">
        <w:rPr>
          <w:rFonts w:ascii="Times New Roman" w:hAnsi="Times New Roman"/>
          <w:sz w:val="28"/>
          <w:szCs w:val="28"/>
          <w:u w:val="single"/>
        </w:rPr>
        <w:t>http://mfc47.ru/;</w:t>
      </w:r>
    </w:p>
    <w:p w14:paraId="126D17A6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9" w:history="1">
        <w:r w:rsidRPr="00555BC0">
          <w:rPr>
            <w:rStyle w:val="afd"/>
            <w:rFonts w:ascii="Times New Roman" w:hAnsi="Times New Roman"/>
            <w:sz w:val="28"/>
            <w:szCs w:val="28"/>
          </w:rPr>
          <w:t>www.gosuslugi.ru</w:t>
        </w:r>
      </w:hyperlink>
      <w:r w:rsidRPr="00555BC0">
        <w:rPr>
          <w:rFonts w:ascii="Times New Roman" w:hAnsi="Times New Roman"/>
          <w:sz w:val="28"/>
          <w:szCs w:val="28"/>
        </w:rPr>
        <w:t>.</w:t>
      </w:r>
    </w:p>
    <w:p w14:paraId="7E30FFEF" w14:textId="77777777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sub_1002"/>
      <w:bookmarkEnd w:id="2"/>
    </w:p>
    <w:p w14:paraId="14B1A93F" w14:textId="77777777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lastRenderedPageBreak/>
        <w:t xml:space="preserve">2. Стандарт предоставления </w:t>
      </w:r>
      <w:r w:rsidRPr="001A5695">
        <w:rPr>
          <w:b/>
          <w:sz w:val="28"/>
          <w:szCs w:val="28"/>
        </w:rPr>
        <w:t>государственной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3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5" w:name="sub_1022"/>
      <w:bookmarkEnd w:id="4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6" w:name="sub_1023"/>
      <w:bookmarkEnd w:id="5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7EFA883C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«________________» Ленинградской области </w:t>
      </w:r>
      <w:r w:rsidRPr="00555BC0">
        <w:rPr>
          <w:rFonts w:eastAsia="Calibri"/>
          <w:sz w:val="28"/>
          <w:szCs w:val="28"/>
        </w:rPr>
        <w:t>(далее – администрация)</w:t>
      </w:r>
    </w:p>
    <w:p w14:paraId="440E11C3" w14:textId="3CDCAB3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ГБУ ЛО «МФЦ».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филиалах, отделах, удаленных рабочих местах ГБУ ЛО «МФЦ»;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личный кабинет заявителя на ПГУ ЛО/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по телефону – администрации, ГБУ ЛО «МФЦ»;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4BF1B940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14:paraId="135CB78D" w14:textId="17FDCF7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</w:p>
    <w:p w14:paraId="3EC054F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555BC0">
        <w:rPr>
          <w:sz w:val="28"/>
          <w:szCs w:val="28"/>
        </w:rPr>
        <w:br/>
        <w:t>в ОМСУ, ГБУ ЛО "МФЦ"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</w:r>
      <w:r w:rsidRPr="00555BC0">
        <w:rPr>
          <w:sz w:val="28"/>
          <w:szCs w:val="28"/>
        </w:rPr>
        <w:lastRenderedPageBreak/>
        <w:t>о физическом лице в указанных информационных системах;</w:t>
      </w:r>
    </w:p>
    <w:p w14:paraId="629AA125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555BC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филиалах, отделах, удаленных рабочих местах ГБУ ЛО «МФЦ»;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личный кабинет заявителя на ПГУ ЛО/ЕПГУ;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77777777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Результат предоставления услуги:</w:t>
      </w:r>
    </w:p>
    <w:p w14:paraId="307CC28B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Администрацию,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77777777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lastRenderedPageBreak/>
        <w:t xml:space="preserve">Результат предоставления услуги (его копия или сведения, содержащиеся в нем), предусмотренный подпунктом "а"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proofErr w:type="gramStart"/>
      <w:r w:rsidR="00A443B7" w:rsidRPr="00F56706">
        <w:rPr>
          <w:sz w:val="28"/>
          <w:szCs w:val="28"/>
          <w:lang w:eastAsia="x-none"/>
        </w:rPr>
        <w:t>с даты поступления</w:t>
      </w:r>
      <w:proofErr w:type="gramEnd"/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27"/>
      <w:bookmarkEnd w:id="6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8" w:name="sub_121028"/>
      <w:bookmarkStart w:id="9" w:name="sub_1028"/>
      <w:bookmarkEnd w:id="7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B1FAC5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 Минстроя России от 25.04.2017 N 741/</w:t>
      </w:r>
      <w:proofErr w:type="spellStart"/>
      <w:r w:rsidR="00EC4AC4" w:rsidRPr="00953B04">
        <w:rPr>
          <w:sz w:val="28"/>
          <w:szCs w:val="28"/>
        </w:rPr>
        <w:t>пр</w:t>
      </w:r>
      <w:proofErr w:type="spellEnd"/>
      <w:r w:rsidR="00EC4AC4" w:rsidRPr="00953B04">
        <w:rPr>
          <w:sz w:val="28"/>
          <w:szCs w:val="28"/>
        </w:rPr>
        <w:t xml:space="preserve"> (ред. от 02.09.2021) «Об утверждении формы градостроительного плана земельного участка и порядка ее заполнения»;</w:t>
      </w:r>
    </w:p>
    <w:p w14:paraId="5234E25C" w14:textId="0E2B681B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>Постановление Правительства РФ от 06.04.2022 N 603 (ред. от 10.06.2022)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372688AF" w14:textId="76BDE130" w:rsidR="00953B04" w:rsidRPr="00BE5D49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lightGray"/>
        </w:rPr>
      </w:pPr>
      <w:r w:rsidRPr="00953B04">
        <w:rPr>
          <w:sz w:val="28"/>
          <w:szCs w:val="28"/>
        </w:rPr>
        <w:lastRenderedPageBreak/>
        <w:t xml:space="preserve">7) </w:t>
      </w:r>
      <w:r w:rsidRPr="00953B04">
        <w:rPr>
          <w:color w:val="000000"/>
          <w:sz w:val="28"/>
          <w:szCs w:val="28"/>
        </w:rPr>
        <w:t>_______ (указать иные муниципальные НПА, при наличии).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а) заявление о выдаче градостроительного плана земельного участка. </w:t>
      </w:r>
      <w:r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 xml:space="preserve">В случае </w:t>
      </w:r>
      <w:r w:rsidRPr="003712C5">
        <w:rPr>
          <w:rFonts w:eastAsia="Calibri"/>
          <w:strike/>
          <w:sz w:val="28"/>
          <w:szCs w:val="28"/>
          <w:highlight w:val="red"/>
          <w:lang w:eastAsia="en-US"/>
        </w:rPr>
        <w:t xml:space="preserve">представления </w:t>
      </w:r>
      <w:r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>заявления о выдаче градостроительного плана земельного участка</w:t>
      </w:r>
      <w:r w:rsidRPr="003712C5">
        <w:rPr>
          <w:rFonts w:eastAsia="Calibri"/>
          <w:strike/>
          <w:sz w:val="28"/>
          <w:szCs w:val="28"/>
          <w:highlight w:val="red"/>
          <w:lang w:eastAsia="en-US"/>
        </w:rPr>
        <w:t xml:space="preserve"> в электронной форме посредством Единого портала, регионального портала в соответствии с подпунктом "а" пункта 2.</w:t>
      </w:r>
      <w:r w:rsidR="00DE0757" w:rsidRPr="003712C5">
        <w:rPr>
          <w:rFonts w:eastAsia="Calibri"/>
          <w:strike/>
          <w:sz w:val="28"/>
          <w:szCs w:val="28"/>
          <w:highlight w:val="red"/>
          <w:lang w:eastAsia="en-US"/>
        </w:rPr>
        <w:t>21</w:t>
      </w:r>
      <w:r w:rsidRPr="003712C5">
        <w:rPr>
          <w:rFonts w:eastAsia="Calibri"/>
          <w:strike/>
          <w:sz w:val="28"/>
          <w:szCs w:val="28"/>
          <w:highlight w:val="red"/>
          <w:lang w:eastAsia="en-US"/>
        </w:rPr>
        <w:t xml:space="preserve"> настоящего Административного регламента указанное заявление заполняется </w:t>
      </w:r>
      <w:r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14:paraId="60B26E28" w14:textId="77777777" w:rsidR="004A0D05" w:rsidRPr="00A14A5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Администрацию,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 xml:space="preserve">. В случае представления документов в электронной форме посредством Единого портала, регионального портала </w:t>
      </w:r>
      <w:r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>в соответствии с подпунктом "а" пункта 2.</w:t>
      </w:r>
      <w:r w:rsidR="00DE0757"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>21</w:t>
      </w:r>
      <w:r w:rsidRPr="003712C5">
        <w:rPr>
          <w:rFonts w:eastAsia="Calibri"/>
          <w:bCs/>
          <w:strike/>
          <w:sz w:val="28"/>
          <w:szCs w:val="28"/>
          <w:highlight w:val="red"/>
          <w:lang w:eastAsia="en-US"/>
        </w:rPr>
        <w:t xml:space="preserve"> настоящего Административного регламента</w:t>
      </w:r>
      <w:r w:rsidRPr="00F56706">
        <w:rPr>
          <w:rFonts w:eastAsia="Calibri"/>
          <w:bCs/>
          <w:sz w:val="28"/>
          <w:szCs w:val="28"/>
          <w:lang w:eastAsia="en-US"/>
        </w:rPr>
        <w:t xml:space="preserve"> представление указанного документа не требуется;</w:t>
      </w:r>
    </w:p>
    <w:p w14:paraId="3838D44A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1A5695">
        <w:rPr>
          <w:rFonts w:eastAsia="Calibri"/>
          <w:bCs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регионального портала </w:t>
      </w:r>
      <w:r w:rsidRPr="00BF19BB">
        <w:rPr>
          <w:rFonts w:eastAsia="Calibri"/>
          <w:bCs/>
          <w:strike/>
          <w:sz w:val="28"/>
          <w:szCs w:val="28"/>
          <w:highlight w:val="red"/>
          <w:lang w:eastAsia="en-US"/>
        </w:rPr>
        <w:t>в соответствии с подпунктом "а" пункта 2.</w:t>
      </w:r>
      <w:r w:rsidR="00DE0757" w:rsidRPr="00BF19BB">
        <w:rPr>
          <w:rFonts w:eastAsia="Calibri"/>
          <w:bCs/>
          <w:strike/>
          <w:sz w:val="28"/>
          <w:szCs w:val="28"/>
          <w:highlight w:val="red"/>
          <w:lang w:eastAsia="en-US"/>
        </w:rPr>
        <w:t>21</w:t>
      </w:r>
      <w:r w:rsidRPr="00BF19BB">
        <w:rPr>
          <w:rFonts w:eastAsia="Calibri"/>
          <w:bCs/>
          <w:strike/>
          <w:sz w:val="28"/>
          <w:szCs w:val="28"/>
          <w:highlight w:val="red"/>
          <w:lang w:eastAsia="en-US"/>
        </w:rPr>
        <w:t xml:space="preserve"> настоящего Административного регламента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сведения из Единого государственного реестра юридических лиц (при обращении заявителя, являющегося юридическим лицом) или из Единого </w:t>
      </w:r>
      <w:r w:rsidR="004A0D05" w:rsidRPr="001A5695">
        <w:rPr>
          <w:rFonts w:eastAsia="Calibri"/>
          <w:bCs/>
          <w:sz w:val="28"/>
          <w:szCs w:val="28"/>
          <w:lang w:eastAsia="en-US"/>
        </w:rPr>
        <w:lastRenderedPageBreak/>
        <w:t>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7777777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14:paraId="7C96A032" w14:textId="1B13543B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 статьи 57.3 Градостроительного кодекса Российской Федерации;</w:t>
      </w:r>
    </w:p>
    <w:p w14:paraId="398C9A9F" w14:textId="5BD7627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0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договор о комплексном развитии территории в случае, предусмотренном частью 4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76A451D5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</w:t>
      </w:r>
      <w:proofErr w:type="spellStart"/>
      <w:r w:rsidR="001A5695" w:rsidRPr="001A5695">
        <w:rPr>
          <w:rFonts w:eastAsia="Calibri"/>
          <w:bCs/>
          <w:sz w:val="28"/>
          <w:szCs w:val="28"/>
          <w:lang w:eastAsia="en-US"/>
        </w:rPr>
        <w:t>расположенпы</w:t>
      </w:r>
      <w:proofErr w:type="spellEnd"/>
      <w:r w:rsidR="001A569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0A7E8331" w14:textId="0B5AE71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8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1A5695">
        <w:rPr>
          <w:rFonts w:eastAsia="Calibri"/>
          <w:bCs/>
          <w:sz w:val="28"/>
          <w:szCs w:val="28"/>
          <w:lang w:eastAsia="en-US"/>
        </w:rPr>
        <w:t>.3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lastRenderedPageBreak/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63551264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36A54F09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непредставление документов, предусмотренных подпунктами "а" - "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4A0D05" w:rsidRPr="00A14A55">
        <w:rPr>
          <w:rFonts w:eastAsia="Calibri"/>
          <w:bCs/>
          <w:sz w:val="28"/>
          <w:szCs w:val="28"/>
          <w:lang w:eastAsia="en-US"/>
        </w:rPr>
        <w:t>"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15AE8C9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"б" - "г"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lastRenderedPageBreak/>
        <w:t xml:space="preserve">Заявление с комплектом документов </w:t>
      </w:r>
      <w:proofErr w:type="gramStart"/>
      <w:r w:rsidRPr="00416297">
        <w:rPr>
          <w:sz w:val="28"/>
          <w:szCs w:val="28"/>
          <w:u w:val="single"/>
        </w:rPr>
        <w:t>подписаны</w:t>
      </w:r>
      <w:proofErr w:type="gramEnd"/>
      <w:r w:rsidRPr="00416297">
        <w:rPr>
          <w:sz w:val="28"/>
          <w:szCs w:val="28"/>
          <w:u w:val="single"/>
        </w:rPr>
        <w:t xml:space="preserve"> недействительной электронной подписью:</w:t>
      </w:r>
    </w:p>
    <w:p w14:paraId="5E2511B6" w14:textId="579828E3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5F016C11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77777777" w:rsidR="00EA25E4" w:rsidRPr="0020647F" w:rsidRDefault="00EA25E4" w:rsidP="00EA25E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58D1A4D2" w14:textId="0DB58B88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77777777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lastRenderedPageBreak/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lastRenderedPageBreak/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77777777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8"/>
    <w:bookmarkEnd w:id="9"/>
    <w:p w14:paraId="71C94623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lastRenderedPageBreak/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14:paraId="0F1A789D" w14:textId="764D329A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3E806B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>2.18.4.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79F31A8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</w:t>
      </w:r>
      <w:r w:rsidRPr="007A5EC2">
        <w:rPr>
          <w:sz w:val="28"/>
          <w:szCs w:val="28"/>
        </w:rPr>
        <w:lastRenderedPageBreak/>
        <w:t xml:space="preserve">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A5EC2">
        <w:rPr>
          <w:sz w:val="28"/>
          <w:szCs w:val="28"/>
        </w:rPr>
        <w:t>сурдопереводчика</w:t>
      </w:r>
      <w:proofErr w:type="spellEnd"/>
      <w:r w:rsidRPr="007A5EC2">
        <w:rPr>
          <w:sz w:val="28"/>
          <w:szCs w:val="28"/>
        </w:rPr>
        <w:t xml:space="preserve">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ЕПГУ, либо ПГУ ЛО;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7A5EC2">
        <w:rPr>
          <w:sz w:val="28"/>
          <w:szCs w:val="28"/>
        </w:rPr>
        <w:br/>
        <w:t>и (или) ПГУ ЛО.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</w:r>
      <w:r w:rsidRPr="007A5EC2">
        <w:rPr>
          <w:sz w:val="28"/>
          <w:szCs w:val="28"/>
        </w:rPr>
        <w:lastRenderedPageBreak/>
        <w:t xml:space="preserve">и получении результата; </w:t>
      </w:r>
    </w:p>
    <w:p w14:paraId="1A7BBA2A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1F71A444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</w:t>
      </w:r>
      <w:r w:rsidRPr="001A5695">
        <w:rPr>
          <w:bCs/>
          <w:sz w:val="28"/>
          <w:szCs w:val="28"/>
        </w:rPr>
        <w:br/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 xml:space="preserve"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lastRenderedPageBreak/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0"/>
      <w:bookmarkEnd w:id="11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1A5695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A5695">
        <w:rPr>
          <w:sz w:val="28"/>
          <w:szCs w:val="28"/>
        </w:rPr>
        <w:t>3.1.</w:t>
      </w:r>
      <w:r w:rsidR="00802F4F" w:rsidRPr="001A5695">
        <w:rPr>
          <w:sz w:val="28"/>
          <w:szCs w:val="28"/>
        </w:rPr>
        <w:t>1.</w:t>
      </w:r>
      <w:r w:rsidRPr="001A5695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>ассмотрение заявления о предоставлении муниципальной услуги и 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77777777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При поступлении заявления (запроса) заявителя в электронной форме через ПГУ ЛО</w:t>
      </w:r>
      <w:r w:rsidRPr="00A37153">
        <w:rPr>
          <w:rFonts w:eastAsia="Calibri"/>
          <w:sz w:val="28"/>
          <w:szCs w:val="28"/>
        </w:rPr>
        <w:t xml:space="preserve">, либо 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lastRenderedPageBreak/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72ACE68E" w14:textId="77777777" w:rsidR="00BF19BB" w:rsidRPr="00BF19BB" w:rsidRDefault="00BF19BB" w:rsidP="00A37153">
      <w:pPr>
        <w:pStyle w:val="ad"/>
        <w:ind w:firstLine="709"/>
        <w:jc w:val="both"/>
        <w:rPr>
          <w:szCs w:val="28"/>
        </w:rPr>
      </w:pP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7777777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3.1.3.2.1. </w:t>
      </w:r>
      <w:proofErr w:type="gramStart"/>
      <w:r w:rsidRPr="001B6445">
        <w:rPr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  <w:proofErr w:type="gramEnd"/>
    </w:p>
    <w:p w14:paraId="762D40EC" w14:textId="28D00C2C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</w:t>
      </w:r>
      <w:proofErr w:type="gramStart"/>
      <w:r w:rsidRPr="001B6445">
        <w:rPr>
          <w:sz w:val="28"/>
          <w:szCs w:val="28"/>
        </w:rPr>
        <w:t>с даты окончания</w:t>
      </w:r>
      <w:proofErr w:type="gramEnd"/>
      <w:r w:rsidRPr="001B6445">
        <w:rPr>
          <w:sz w:val="28"/>
          <w:szCs w:val="28"/>
        </w:rPr>
        <w:t xml:space="preserve">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14:paraId="4CB3BA2C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3.1.4.1. Основание для начала административной процедуры: представление должностным лицом, ответственным за формирование проекта решения, проекта </w:t>
      </w:r>
      <w:r w:rsidRPr="007C20EF">
        <w:rPr>
          <w:sz w:val="28"/>
          <w:szCs w:val="28"/>
        </w:rPr>
        <w:lastRenderedPageBreak/>
        <w:t>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</w:t>
      </w:r>
      <w:proofErr w:type="gramStart"/>
      <w:r w:rsidRPr="007C20EF">
        <w:rPr>
          <w:sz w:val="28"/>
          <w:szCs w:val="28"/>
        </w:rPr>
        <w:t>и(</w:t>
      </w:r>
      <w:proofErr w:type="gramEnd"/>
      <w:r w:rsidRPr="007C20EF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71AB06BB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77777777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 xml:space="preserve">3.1.4.6. Содержание административного действия, продолжительность </w:t>
      </w:r>
      <w:proofErr w:type="gramStart"/>
      <w:r w:rsidRPr="00F56706">
        <w:rPr>
          <w:sz w:val="28"/>
          <w:szCs w:val="28"/>
        </w:rPr>
        <w:t>и(</w:t>
      </w:r>
      <w:proofErr w:type="gramEnd"/>
      <w:r w:rsidRPr="00F56706">
        <w:rPr>
          <w:sz w:val="28"/>
          <w:szCs w:val="28"/>
        </w:rPr>
        <w:t>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01E90BA1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>внесение сведений о принятом решении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</w:t>
      </w:r>
      <w:r>
        <w:rPr>
          <w:sz w:val="28"/>
          <w:szCs w:val="28"/>
        </w:rPr>
        <w:t xml:space="preserve"> и </w:t>
      </w:r>
      <w:r w:rsidRPr="00A903EF">
        <w:rPr>
          <w:sz w:val="28"/>
          <w:szCs w:val="28"/>
        </w:rPr>
        <w:t xml:space="preserve">направление заявителю 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14:paraId="087C4099" w14:textId="77777777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>
        <w:rPr>
          <w:sz w:val="28"/>
          <w:szCs w:val="28"/>
        </w:rPr>
        <w:t xml:space="preserve">ПГУ ЛО либо через ЕПГУ </w:t>
      </w:r>
      <w:r w:rsidRPr="00F56706">
        <w:rPr>
          <w:sz w:val="28"/>
          <w:szCs w:val="28"/>
        </w:rPr>
        <w:t>без личной явки на прием в администрацию.</w:t>
      </w:r>
    </w:p>
    <w:p w14:paraId="21C6E987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в личном кабинете на ЕПГУ или на ПГУ ЛО заполнить в электронной форме заявление на оказание муниципальной услуги;</w:t>
      </w:r>
    </w:p>
    <w:p w14:paraId="06EFBFCF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 или ПГУ ЛО.</w:t>
      </w:r>
    </w:p>
    <w:p w14:paraId="369E25A4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proofErr w:type="gramStart"/>
      <w:r w:rsidRPr="00A72F4F">
        <w:rPr>
          <w:sz w:val="28"/>
          <w:szCs w:val="28"/>
        </w:rPr>
        <w:t>и(</w:t>
      </w:r>
      <w:proofErr w:type="gramEnd"/>
      <w:r w:rsidRPr="00A72F4F">
        <w:rPr>
          <w:sz w:val="28"/>
          <w:szCs w:val="28"/>
        </w:rPr>
        <w:t>или) ЕПГУ.</w:t>
      </w:r>
    </w:p>
    <w:p w14:paraId="6C16DC5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3.2.6. При предоставлении муниципальной услуги через ПГУ ЛО либ</w:t>
      </w:r>
      <w:r>
        <w:rPr>
          <w:sz w:val="28"/>
          <w:szCs w:val="28"/>
        </w:rPr>
        <w:t>о через ЕПГУ,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0F1F991A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14:paraId="4A4125C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14:paraId="405236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14:paraId="2D01C117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14:paraId="37595B1C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77777777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lastRenderedPageBreak/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Должностные лица, уполномоченные на выполнение административных действий, предусмотренных настоящим административным регламентом, несут </w:t>
      </w:r>
      <w:r w:rsidRPr="007A5EC2">
        <w:rPr>
          <w:szCs w:val="28"/>
        </w:rPr>
        <w:lastRenderedPageBreak/>
        <w:t>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14:paraId="348FA30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14:paraId="1F8B652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14:paraId="41B4DBB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</w:t>
      </w:r>
      <w:r w:rsidRPr="007A5EC2">
        <w:rPr>
          <w:sz w:val="28"/>
          <w:szCs w:val="28"/>
        </w:rPr>
        <w:lastRenderedPageBreak/>
        <w:t xml:space="preserve">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3466ECB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14:paraId="6B92EFB4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 xml:space="preserve">в соответствии с ними иными нормативными правовыми актами Российской </w:t>
      </w:r>
      <w:r w:rsidRPr="007A5EC2">
        <w:rPr>
          <w:sz w:val="28"/>
          <w:szCs w:val="28"/>
        </w:rPr>
        <w:lastRenderedPageBreak/>
        <w:t xml:space="preserve">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14:paraId="58682362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</w:t>
      </w:r>
      <w:r w:rsidRPr="007A5EC2">
        <w:rPr>
          <w:sz w:val="28"/>
          <w:szCs w:val="28"/>
        </w:rPr>
        <w:lastRenderedPageBreak/>
        <w:t xml:space="preserve">многофункционального центра, ЕПГУ либо ПГУ ЛО,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0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</w:p>
    <w:p w14:paraId="605B21E8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14:paraId="2330BD4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1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Pr="007A5EC2">
        <w:rPr>
          <w:sz w:val="28"/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актами;</w:t>
      </w:r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A5EC2">
        <w:rPr>
          <w:sz w:val="28"/>
          <w:szCs w:val="28"/>
        </w:rPr>
        <w:t>неудобства</w:t>
      </w:r>
      <w:proofErr w:type="gramEnd"/>
      <w:r w:rsidRPr="007A5EC2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e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7A5EC2">
        <w:rPr>
          <w:rFonts w:ascii="Times New Roman" w:hAnsi="Times New Roman"/>
          <w:sz w:val="28"/>
          <w:szCs w:val="28"/>
        </w:rPr>
        <w:t>жалобы</w:t>
      </w:r>
      <w:proofErr w:type="gramEnd"/>
      <w:r w:rsidRPr="007A5EC2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lastRenderedPageBreak/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7A5EC2">
        <w:rPr>
          <w:sz w:val="28"/>
          <w:szCs w:val="28"/>
        </w:rPr>
        <w:t>ГБУ ЛО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7A5EC2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14:paraId="2FE09300" w14:textId="77777777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0F012A0A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14:paraId="0A9585C2" w14:textId="5AEEF980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</w:r>
      <w:r w:rsidRPr="000F6F6F">
        <w:rPr>
          <w:sz w:val="28"/>
          <w:szCs w:val="28"/>
        </w:rPr>
        <w:lastRenderedPageBreak/>
        <w:t>смс-информирования), а также о возможности получения документов в ГБУ ЛО «МФЦ».</w:t>
      </w:r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64BEC9DC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763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594719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594719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594719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594719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594719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594719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594719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59471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594719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763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594719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случае, предусмотренном частью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14DB8270" w14:textId="77777777" w:rsidTr="00594719">
        <w:trPr>
          <w:trHeight w:val="750"/>
        </w:trPr>
        <w:tc>
          <w:tcPr>
            <w:tcW w:w="1043" w:type="dxa"/>
          </w:tcPr>
          <w:p w14:paraId="082AA7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14:paraId="6768778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</w:tc>
        <w:tc>
          <w:tcPr>
            <w:tcW w:w="4763" w:type="dxa"/>
          </w:tcPr>
          <w:p w14:paraId="2DBF097B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4481B3E8" w14:textId="77777777" w:rsidTr="00594719">
        <w:trPr>
          <w:trHeight w:val="750"/>
        </w:trPr>
        <w:tc>
          <w:tcPr>
            <w:tcW w:w="1043" w:type="dxa"/>
          </w:tcPr>
          <w:p w14:paraId="4427B27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14:paraId="41F7614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  <w:p w14:paraId="4A5B5135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в случае, предусмотренном частью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57.3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2C47407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7777777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заявителя, в случае обращения за получением 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32F825A0" w14:textId="77777777" w:rsidR="00594719" w:rsidRPr="001A5695" w:rsidRDefault="00594719" w:rsidP="00594719">
            <w:pPr>
              <w:widowControl w:val="0"/>
              <w:rPr>
                <w:rFonts w:eastAsia="Tahoma" w:cs="Tahoma"/>
                <w:bCs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 xml:space="preserve"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  <w:p w14:paraId="74C83B4C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77777777" w:rsidR="00594719" w:rsidRPr="001A5695" w:rsidRDefault="00594719" w:rsidP="001A5695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      </w:r>
            <w:r w:rsidR="001A5695" w:rsidRPr="001A5695">
              <w:t xml:space="preserve">1.1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7CE79976" w14:textId="77777777" w:rsidR="00594719" w:rsidRPr="001A5695" w:rsidRDefault="00594719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</w:t>
            </w:r>
            <w:proofErr w:type="gramStart"/>
            <w:r w:rsidRPr="001A5695">
              <w:rPr>
                <w:rFonts w:eastAsia="Tahoma" w:cs="Tahoma"/>
                <w:lang w:bidi="ru-RU"/>
              </w:rPr>
              <w:t xml:space="preserve"> (-</w:t>
            </w:r>
            <w:proofErr w:type="spellStart"/>
            <w:proofErr w:type="gramEnd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661D8EC5" w14:textId="77777777" w:rsidR="00594719" w:rsidRPr="001A5695" w:rsidRDefault="00594719" w:rsidP="00594719">
      <w:pPr>
        <w:tabs>
          <w:tab w:val="left" w:pos="6600"/>
        </w:tabs>
        <w:rPr>
          <w:rFonts w:eastAsia="Calibri"/>
          <w:sz w:val="22"/>
          <w:szCs w:val="22"/>
          <w:lang w:eastAsia="en-US"/>
        </w:rPr>
      </w:pPr>
    </w:p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 муниципальной услуги</w:t>
      </w:r>
    </w:p>
    <w:p w14:paraId="12E4BFF4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lastRenderedPageBreak/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3" w:name="P708"/>
            <w:bookmarkEnd w:id="13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proofErr w:type="gramStart"/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  <w:proofErr w:type="gramEnd"/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proofErr w:type="gramStart"/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  <w:proofErr w:type="gram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2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17E52" w14:textId="77777777" w:rsidR="00AA5323" w:rsidRDefault="00AA5323">
      <w:r>
        <w:separator/>
      </w:r>
    </w:p>
  </w:endnote>
  <w:endnote w:type="continuationSeparator" w:id="0">
    <w:p w14:paraId="21DE7A31" w14:textId="77777777" w:rsidR="00AA5323" w:rsidRDefault="00AA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00554" w14:textId="77777777" w:rsidR="00AA5323" w:rsidRDefault="00AA5323">
      <w:r>
        <w:separator/>
      </w:r>
    </w:p>
  </w:footnote>
  <w:footnote w:type="continuationSeparator" w:id="0">
    <w:p w14:paraId="5179A4ED" w14:textId="77777777" w:rsidR="00AA5323" w:rsidRDefault="00AA5323">
      <w:r>
        <w:continuationSeparator/>
      </w:r>
    </w:p>
  </w:footnote>
  <w:footnote w:id="1">
    <w:p w14:paraId="4952ECCD" w14:textId="77777777" w:rsidR="002B21A3" w:rsidRPr="0092542A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2B21A3" w:rsidRPr="0092542A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2B21A3" w:rsidRPr="0092542A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2B21A3" w:rsidRPr="0092542A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2B21A3" w:rsidRPr="00772A9D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2B21A3" w:rsidRPr="0092542A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2B21A3" w:rsidRPr="00772A9D" w:rsidRDefault="002B21A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BEA27" w14:textId="77777777" w:rsidR="002B21A3" w:rsidRDefault="002B21A3">
    <w:pPr>
      <w:pStyle w:val="a7"/>
      <w:jc w:val="center"/>
    </w:pPr>
  </w:p>
  <w:p w14:paraId="53729B48" w14:textId="77777777" w:rsidR="002B21A3" w:rsidRDefault="002B21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51E5"/>
    <w:rsid w:val="000A2DEF"/>
    <w:rsid w:val="000A2FC7"/>
    <w:rsid w:val="000A4552"/>
    <w:rsid w:val="000B6122"/>
    <w:rsid w:val="000C155D"/>
    <w:rsid w:val="000C53AF"/>
    <w:rsid w:val="000C6A55"/>
    <w:rsid w:val="000C6B65"/>
    <w:rsid w:val="000C713F"/>
    <w:rsid w:val="000F6F6F"/>
    <w:rsid w:val="00107930"/>
    <w:rsid w:val="00111A7E"/>
    <w:rsid w:val="00125DA1"/>
    <w:rsid w:val="001333DF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979"/>
    <w:rsid w:val="00215AE4"/>
    <w:rsid w:val="00220C9B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E05BA"/>
    <w:rsid w:val="002E494F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415ED"/>
    <w:rsid w:val="003462B3"/>
    <w:rsid w:val="00350679"/>
    <w:rsid w:val="0035448B"/>
    <w:rsid w:val="003712C5"/>
    <w:rsid w:val="003777F0"/>
    <w:rsid w:val="00381F0B"/>
    <w:rsid w:val="00395160"/>
    <w:rsid w:val="00397FE2"/>
    <w:rsid w:val="003A34CB"/>
    <w:rsid w:val="003A642E"/>
    <w:rsid w:val="003B47C5"/>
    <w:rsid w:val="003B5FEF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7AB"/>
    <w:rsid w:val="004B7664"/>
    <w:rsid w:val="004C383E"/>
    <w:rsid w:val="004C38D4"/>
    <w:rsid w:val="004F1C23"/>
    <w:rsid w:val="005028D8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B231D"/>
    <w:rsid w:val="005B2C1F"/>
    <w:rsid w:val="005B70E2"/>
    <w:rsid w:val="005D008E"/>
    <w:rsid w:val="005D2064"/>
    <w:rsid w:val="005D41D3"/>
    <w:rsid w:val="005E332D"/>
    <w:rsid w:val="005F1A51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9614D"/>
    <w:rsid w:val="00696682"/>
    <w:rsid w:val="006A577D"/>
    <w:rsid w:val="006A7427"/>
    <w:rsid w:val="006B1A79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2031"/>
    <w:rsid w:val="006F6120"/>
    <w:rsid w:val="00710FB2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F133D"/>
    <w:rsid w:val="00801327"/>
    <w:rsid w:val="00802F4F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48E2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6A8D"/>
    <w:rsid w:val="00A55096"/>
    <w:rsid w:val="00A7070B"/>
    <w:rsid w:val="00A73C8B"/>
    <w:rsid w:val="00A76C46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FC2"/>
    <w:rsid w:val="00B92758"/>
    <w:rsid w:val="00BA09A9"/>
    <w:rsid w:val="00BB398B"/>
    <w:rsid w:val="00BB5317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32449"/>
    <w:rsid w:val="00C34A6B"/>
    <w:rsid w:val="00C43493"/>
    <w:rsid w:val="00C43E9C"/>
    <w:rsid w:val="00C533BD"/>
    <w:rsid w:val="00C62B5C"/>
    <w:rsid w:val="00C752A9"/>
    <w:rsid w:val="00C778B3"/>
    <w:rsid w:val="00C83BAE"/>
    <w:rsid w:val="00C950BE"/>
    <w:rsid w:val="00C97F65"/>
    <w:rsid w:val="00CA0357"/>
    <w:rsid w:val="00CB56A6"/>
    <w:rsid w:val="00CB6532"/>
    <w:rsid w:val="00CC12CD"/>
    <w:rsid w:val="00CD1B51"/>
    <w:rsid w:val="00D03C4A"/>
    <w:rsid w:val="00D04F36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4153D"/>
    <w:rsid w:val="00E41DFC"/>
    <w:rsid w:val="00E444C0"/>
    <w:rsid w:val="00E46819"/>
    <w:rsid w:val="00E52D70"/>
    <w:rsid w:val="00E56230"/>
    <w:rsid w:val="00E62E55"/>
    <w:rsid w:val="00E653CC"/>
    <w:rsid w:val="00E735A6"/>
    <w:rsid w:val="00E7791D"/>
    <w:rsid w:val="00E80E5D"/>
    <w:rsid w:val="00E9243B"/>
    <w:rsid w:val="00E93B15"/>
    <w:rsid w:val="00EA25E4"/>
    <w:rsid w:val="00EB2DA0"/>
    <w:rsid w:val="00EB7F0C"/>
    <w:rsid w:val="00EC4AC4"/>
    <w:rsid w:val="00EC5F25"/>
    <w:rsid w:val="00EC779D"/>
    <w:rsid w:val="00EE0ACF"/>
    <w:rsid w:val="00EE6D67"/>
    <w:rsid w:val="00F23EB7"/>
    <w:rsid w:val="00F26724"/>
    <w:rsid w:val="00F27460"/>
    <w:rsid w:val="00F4152F"/>
    <w:rsid w:val="00F527CB"/>
    <w:rsid w:val="00F53A5F"/>
    <w:rsid w:val="00F56706"/>
    <w:rsid w:val="00F62E49"/>
    <w:rsid w:val="00F73B3E"/>
    <w:rsid w:val="00FC3B89"/>
    <w:rsid w:val="00FC46D5"/>
    <w:rsid w:val="00FE101E"/>
    <w:rsid w:val="00FE337E"/>
    <w:rsid w:val="00FE6412"/>
    <w:rsid w:val="00FE731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89AAB0FD1A9BBB11134009C3227FCE53C937EAAAAF9618AB29B9236EFDAC595A33BB26n8E7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E89AAB0FD1A9BBB11134009C3227FCE53C937EAAAAF9618AB29B9236EFDAC595A33BB2E8E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4ED0-64BC-4B84-A273-B09F8321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9662</Words>
  <Characters>75568</Characters>
  <Application>Microsoft Office Word</Application>
  <DocSecurity>0</DocSecurity>
  <Lines>629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85060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Николай Николаевич Андреев</cp:lastModifiedBy>
  <cp:revision>3</cp:revision>
  <cp:lastPrinted>2017-04-24T14:01:00Z</cp:lastPrinted>
  <dcterms:created xsi:type="dcterms:W3CDTF">2022-09-13T14:49:00Z</dcterms:created>
  <dcterms:modified xsi:type="dcterms:W3CDTF">2022-09-14T06:53:00Z</dcterms:modified>
</cp:coreProperties>
</file>