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4585"/>
        <w:gridCol w:w="430"/>
        <w:gridCol w:w="4155"/>
        <w:gridCol w:w="2149"/>
        <w:gridCol w:w="2149"/>
        <w:gridCol w:w="2135"/>
        <w:gridCol w:w="15"/>
      </w:tblGrid>
      <w:tr>
        <w:trPr>
          <w:trHeight w:hRule="exact" w:val="57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7"/>
          </w:tcPr>
          <w:p/>
        </w:tc>
      </w:tr>
      <w:tr>
        <w:trPr>
          <w:trHeight w:hRule="exact" w:val="387"/>
        </w:trPr>
        <w:tc>
          <w:tcPr>
            <w:tcW w:w="15618" w:type="dxa"/>
            <w:gridSpan w:val="7"/>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7"/>
          </w:tcPr>
          <w:p/>
        </w:tc>
      </w:tr>
      <w:tr>
        <w:trPr>
          <w:trHeight w:hRule="exact" w:val="573"/>
        </w:trPr>
        <w:tc>
          <w:tcPr>
            <w:tcW w:w="15618" w:type="dxa"/>
            <w:gridSpan w:val="7"/>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Цифровая образовательная среда (Ленинградская область)</w:t>
            </w:r>
          </w:p>
        </w:tc>
      </w:tr>
      <w:tr>
        <w:trPr>
          <w:trHeight w:hRule="exact" w:val="716"/>
        </w:trPr>
        <w:tc>
          <w:tcPr>
            <w:tcW w:w="15618" w:type="dxa"/>
            <w:gridSpan w:val="7"/>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регионального проекта</w:t>
            </w:r>
          </w:p>
        </w:tc>
        <w:tc>
          <w:tcPr>
            <w:tcW w:w="11033" w:type="dxa"/>
            <w:gridSpan w:val="6"/>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r>
      <w:tr>
        <w:trPr>
          <w:trHeight w:hRule="exact" w:val="717"/>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реализации проекта</w:t>
            </w:r>
          </w:p>
        </w:tc>
        <w:tc>
          <w:tcPr>
            <w:tcW w:w="2149" w:type="dxa"/>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01.11.2018</w:t>
            </w:r>
          </w:p>
        </w:tc>
        <w:tc>
          <w:tcPr>
            <w:tcW w:w="2150"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30.12.2024</w:t>
            </w:r>
          </w:p>
        </w:tc>
      </w:tr>
      <w:tr>
        <w:trPr>
          <w:trHeight w:hRule="exact" w:val="716"/>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Н.П.</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r>
      <w:tr>
        <w:trPr>
          <w:trHeight w:hRule="exact" w:val="573"/>
        </w:trPr>
        <w:tc>
          <w:tcPr>
            <w:tcW w:w="4585" w:type="dxa"/>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4585" w:type="dxa"/>
            <w:gridSpan w:val="2"/>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Е.И.</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r>
      <w:tr>
        <w:trPr>
          <w:trHeight w:hRule="exact" w:val="717"/>
        </w:trPr>
        <w:tc>
          <w:tcPr>
            <w:tcW w:w="4585" w:type="dxa"/>
            <w:vMerge w:val="restart"/>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(комплексными программами) Российской</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Федерации (далее - государственные</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программы)</w:t>
            </w: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"Современное образование Ленинградской области"</w:t>
            </w:r>
          </w:p>
        </w:tc>
      </w:tr>
      <w:tr>
        <w:trPr>
          <w:trHeight w:hRule="exact" w:val="573"/>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716"/>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w:t>
            </w:r>
          </w:p>
        </w:tc>
        <w:tc>
          <w:tcPr>
            <w:tcW w:w="6448"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Ленинградской области "Современное образование Ленинградской области"</w:t>
            </w:r>
          </w:p>
        </w:tc>
      </w:tr>
      <w:tr>
        <w:trPr>
          <w:trHeight w:hRule="exact" w:val="717"/>
        </w:trPr>
        <w:tc>
          <w:tcPr>
            <w:tcW w:w="4585"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3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15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Направление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(подпрограмма)</w:t>
            </w:r>
          </w:p>
        </w:tc>
        <w:tc>
          <w:tcPr>
            <w:tcW w:w="6448" w:type="dxa"/>
            <w:gridSpan w:val="4"/>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Федеральные проекты, входящие в состав национальных проектов</w:t>
            </w:r>
          </w:p>
        </w:tc>
      </w:tr>
    </w:tbl>
    <w:p>
      <w:pPr>
        <w:sectPr>
          <w:pgSz w:w="16834" w:h="13349" w:orient="landscape"/>
          <w:pgMar w:top="1134" w:right="576" w:bottom="526" w:left="576" w:header="1134" w:footer="526" w:gutter="0"/>
        </w:sectPr>
      </w:pPr>
    </w:p>
    <w:tbl>
      <w:tblPr>
        <w:tblStyle w:val="a1"/>
        <w:tblW w:w="0" w:type="dxa"/>
        <w:tblLayout w:type="fixed"/>
        <w:tblCellMar>
          <w:top w:w="0" w:type="dxa"/>
          <w:left w:w="0" w:type="dxa"/>
          <w:bottom w:w="0" w:type="dxa"/>
          <w:right w:w="0" w:type="dxa"/>
        </w:tblCellMar>
        <w:tblLook w:val="04A0"/>
      </w:tblPr>
      <w:tblGrid>
        <w:gridCol w:w="287"/>
        <w:gridCol w:w="286"/>
        <w:gridCol w:w="143"/>
        <w:gridCol w:w="144"/>
        <w:gridCol w:w="143"/>
        <w:gridCol w:w="1289"/>
        <w:gridCol w:w="717"/>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trPr>
          <w:trHeight w:hRule="exact" w:val="430"/>
        </w:trPr>
        <w:tc>
          <w:tcPr>
            <w:tcW w:w="15618" w:type="dxa"/>
            <w:gridSpan w:val="54"/>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73" w:type="dxa"/>
            <w:gridSpan w:val="2"/>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Показатели регионального проекта</w:t>
            </w: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1247"/>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общеобразовательных организаций, оснащенных в целях внедрения цифровой образовательной среды</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16,0700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2020</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24,3800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34,6300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50,4100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57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1547"/>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763"/>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2.2.</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530"/>
        </w:trPr>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2.3.</w:t>
            </w:r>
          </w:p>
        </w:tc>
        <w:tc>
          <w:tcPr>
            <w:tcW w:w="315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w:t>
            </w:r>
          </w:p>
        </w:tc>
        <w:tc>
          <w:tcPr>
            <w:tcW w:w="100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0,0000</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2021</w:t>
            </w:r>
          </w:p>
        </w:tc>
        <w:tc>
          <w:tcPr>
            <w:tcW w:w="717"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0,0000</w:t>
            </w:r>
          </w:p>
        </w:tc>
        <w:tc>
          <w:tcPr>
            <w:tcW w:w="71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10,000</w:t>
            </w:r>
          </w:p>
        </w:tc>
        <w:tc>
          <w:tcPr>
            <w:tcW w:w="71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33,000</w:t>
            </w:r>
          </w:p>
        </w:tc>
        <w:tc>
          <w:tcPr>
            <w:tcW w:w="717"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w:t>
            </w:r>
          </w:p>
        </w:tc>
        <w:tc>
          <w:tcPr>
            <w:tcW w:w="157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87" w:type="dxa"/>
            <w:tcBorders>
              <w:left w:val="single" w:sz="5" w:space="0" w:color="000000"/>
            </w:tcBorders>
          </w:tcPr>
          <w:p/>
        </w:tc>
      </w:tr>
      <w:tr>
        <w:trPr>
          <w:trHeight w:hRule="exact" w:val="429"/>
        </w:trPr>
        <w:tc>
          <w:tcPr>
            <w:tcW w:w="15618" w:type="dxa"/>
            <w:gridSpan w:val="54"/>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86" w:type="dxa"/>
            <w:tcBorders>
              <w:top w:val="single" w:sz="5" w:space="0" w:color="000000"/>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15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00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14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448" w:type="dxa"/>
            <w:gridSpan w:val="3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157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c>
          <w:tcPr>
            <w:tcW w:w="287" w:type="dxa"/>
            <w:tcBorders>
              <w:left w:val="single" w:sz="5" w:space="0" w:color="000000"/>
            </w:tcBorders>
          </w:tcPr>
          <w:p/>
        </w:tc>
      </w:tr>
      <w:tr>
        <w:trPr>
          <w:trHeight w:hRule="exact" w:val="100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717"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71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71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717"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2025</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71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2030</w:t>
            </w:r>
          </w:p>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(Справочно)</w:t>
            </w:r>
          </w:p>
        </w:tc>
        <w:tc>
          <w:tcPr>
            <w:tcW w:w="157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548"/>
        </w:trPr>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152"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717"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7"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w:t>
            </w:r>
          </w:p>
        </w:tc>
        <w:tc>
          <w:tcPr>
            <w:tcW w:w="717"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716"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7" w:type="dxa"/>
            <w:tcBorders>
              <w:left w:val="single" w:sz="5" w:space="0" w:color="000000"/>
            </w:tcBorders>
          </w:tcPr>
          <w:p/>
        </w:tc>
      </w:tr>
      <w:tr>
        <w:trPr>
          <w:trHeight w:hRule="exact" w:val="1533"/>
        </w:trPr>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3152"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717"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71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 w:type="dxa"/>
            <w:tcBorders>
              <w:top w:val="single" w:sz="5" w:space="0" w:color="000000"/>
            </w:tcBorders>
          </w:tcPr>
          <w:p/>
        </w:tc>
        <w:tc>
          <w:tcPr>
            <w:tcW w:w="287" w:type="dxa"/>
          </w:tcPr>
          <w:p/>
        </w:tc>
      </w:tr>
      <w:tr>
        <w:trPr>
          <w:trHeight w:hRule="exact" w:val="573"/>
        </w:trPr>
        <w:tc>
          <w:tcPr>
            <w:tcW w:w="15904" w:type="dxa"/>
            <w:gridSpan w:val="55"/>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Помесячный план достижения показателей регионального проекта в 2024 году</w:t>
            </w: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872" w:type="dxa"/>
            <w:gridSpan w:val="10"/>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Показатели регионального проекта</w:t>
            </w:r>
          </w:p>
        </w:tc>
        <w:tc>
          <w:tcPr>
            <w:tcW w:w="1289"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показателя</w:t>
            </w:r>
          </w:p>
        </w:tc>
        <w:tc>
          <w:tcPr>
            <w:tcW w:w="1290"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6304" w:type="dxa"/>
            <w:gridSpan w:val="3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Плановые значения по месяцам</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872" w:type="dxa"/>
            <w:gridSpan w:val="10"/>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974"/>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общеобразовательных организаций, оснащенных в целях внедрения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40,1700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50,4100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50,4100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50,4100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50,4100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50,4100</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44,0000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47,0000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50,0000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50,0000</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педагогических работников, использующих сервисы федеральной информационно-сервисной платформы цифровой образовательной среды</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81,0000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81,0000</w:t>
            </w:r>
          </w:p>
        </w:tc>
        <w:tc>
          <w:tcPr>
            <w:tcW w:w="287" w:type="dxa"/>
            <w:tcBorders>
              <w:left w:val="single" w:sz="5" w:space="0" w:color="000000"/>
            </w:tcBorders>
          </w:tcPr>
          <w:p/>
        </w:tc>
      </w:tr>
      <w:tr>
        <w:trPr>
          <w:trHeight w:hRule="exact" w:val="2035"/>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4872"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основных общеобразовательных программ начального общего, основного общего и среднего общего образования</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ФП</w:t>
            </w:r>
          </w:p>
        </w:tc>
        <w:tc>
          <w:tcPr>
            <w:tcW w:w="129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20,0000</w:t>
            </w:r>
          </w:p>
        </w:tc>
        <w:tc>
          <w:tcPr>
            <w:tcW w:w="57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4"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25,0000</w:t>
            </w:r>
          </w:p>
        </w:tc>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33,0000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33,0000</w:t>
            </w:r>
          </w:p>
        </w:tc>
        <w:tc>
          <w:tcPr>
            <w:tcW w:w="287" w:type="dxa"/>
            <w:tcBorders>
              <w:left w:val="single" w:sz="5" w:space="0" w:color="000000"/>
            </w:tcBorders>
          </w:tcPr>
          <w:p/>
        </w:tc>
      </w:tr>
      <w:tr>
        <w:trPr>
          <w:trHeight w:hRule="exact" w:val="430"/>
        </w:trPr>
        <w:tc>
          <w:tcPr>
            <w:tcW w:w="15618" w:type="dxa"/>
            <w:gridSpan w:val="54"/>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 w:type="dxa"/>
            <w:tcBorders>
              <w:top w:val="single" w:sz="5" w:space="0" w:color="000000"/>
            </w:tcBorders>
          </w:tcPr>
          <w:p/>
        </w:tc>
        <w:tc>
          <w:tcPr>
            <w:tcW w:w="287" w:type="dxa"/>
          </w:tcPr>
          <w:p/>
        </w:tc>
      </w:tr>
      <w:tr>
        <w:trPr>
          <w:trHeight w:hRule="exact" w:val="573"/>
        </w:trPr>
        <w:tc>
          <w:tcPr>
            <w:tcW w:w="16191" w:type="dxa"/>
            <w:gridSpan w:val="56"/>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4. Результаты регионального проекта</w:t>
            </w: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4"/>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2018</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93,0000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150,0000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189,0000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Приобретение товаров, работ, услуг</w:t>
            </w:r>
          </w:p>
          <w:p/>
        </w:tc>
        <w:tc>
          <w:tcPr>
            <w:tcW w:w="287" w:type="dxa"/>
            <w:tcBorders>
              <w:left w:val="single" w:sz="5" w:space="0" w:color="000000"/>
            </w:tcBorders>
          </w:tcPr>
          <w:p/>
        </w:tc>
      </w:tr>
      <w:tr>
        <w:trPr>
          <w:trHeight w:hRule="exact" w:val="18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863"/>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том числе  функционированием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Поддержка из федерального бюджета предоставляется субъектам Российской Федерации на модернизацию к концу 2024 года материально-технической базы в не менее чем 31,5 тыс. общеобразовательных и профессиональных образовательных организаций в целях обеспечения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условий для внедрения и развития цифровой образовательной среды в указанных организациях.Значение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974"/>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обеспечение соответствующих мероприятий.</w:t>
            </w: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45"/>
        </w:trPr>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5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w:t>
            </w: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 Нарастающий итог</w:t>
            </w: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1,0000</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2,0000</w:t>
            </w: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3,0000</w:t>
            </w: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4,0000</w:t>
            </w: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w:t>
            </w: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(реорганизация) организации (структурного подразделения)</w:t>
            </w:r>
          </w:p>
          <w:p/>
        </w:tc>
        <w:tc>
          <w:tcPr>
            <w:tcW w:w="287" w:type="dxa"/>
            <w:tcBorders>
              <w:left w:val="single" w:sz="5" w:space="0" w:color="000000"/>
            </w:tcBorders>
          </w:tcPr>
          <w:p/>
        </w:tc>
      </w:tr>
      <w:tr>
        <w:trPr>
          <w:trHeight w:hRule="exact" w:val="1677"/>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662"/>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90"/>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5"/>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Создание центров цифрового образования может осуществлять также за счет региональных средств.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w:t>
            </w: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4"/>
        </w:trPr>
        <w:tc>
          <w:tcPr>
            <w:tcW w:w="15904" w:type="dxa"/>
            <w:gridSpan w:val="55"/>
            <w:tcBorders>
              <w:top w:val="single" w:sz="5" w:space="0" w:color="000000"/>
            </w:tcBorders>
          </w:tcPr>
          <w:p/>
        </w:tc>
        <w:tc>
          <w:tcPr>
            <w:tcW w:w="287" w:type="dxa"/>
          </w:tcPr>
          <w:p/>
        </w:tc>
      </w:tr>
      <w:tr>
        <w:trPr>
          <w:trHeight w:hRule="exact" w:val="286"/>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66"/>
        </w:trPr>
        <w:tc>
          <w:tcPr>
            <w:tcW w:w="573" w:type="dxa"/>
            <w:gridSpan w:val="2"/>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Число детей, охваченных деятельностью центров цифрового образования "IT-куб" составит: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2019 г. - 8 тыс. человек;</w:t>
            </w:r>
          </w:p>
          <w:p>
            <w:pPr>
              <w:rPr>
                <w:rFonts w:ascii="Times New Roman" w:hAnsi="Times New Roman" w:eastAsia="Times New Roman" w:cs="Times New Roman"/>
                <w:color w:val="000000"/>
                <w:sz w:val="24"/>
                <w:spacing w:val="-2"/>
              </w:rPr>
              <w:spacing w:line="230"/>
              <w:jc w:val="center"/>
            </w:pPr>
          </w:p>
          <w:p/>
        </w:tc>
        <w:tc>
          <w:tcPr>
            <w:tcW w:w="1146"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8"/>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37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143"/>
        </w:trPr>
        <w:tc>
          <w:tcPr>
            <w:tcW w:w="15904" w:type="dxa"/>
            <w:gridSpan w:val="55"/>
            <w:tcBorders>
              <w:top w:val="single" w:sz="5" w:space="0" w:color="000000"/>
            </w:tcBorders>
          </w:tcPr>
          <w:p/>
        </w:tc>
        <w:tc>
          <w:tcPr>
            <w:tcW w:w="287" w:type="dxa"/>
          </w:tcPr>
          <w:p/>
        </w:tc>
      </w:tr>
      <w:tr>
        <w:trPr>
          <w:trHeight w:hRule="exact" w:val="287"/>
        </w:trPr>
        <w:tc>
          <w:tcPr>
            <w:tcW w:w="16191" w:type="dxa"/>
            <w:gridSpan w:val="56"/>
          </w:tcPr>
          <w:p/>
        </w:tc>
      </w:tr>
      <w:tr>
        <w:trPr>
          <w:trHeight w:hRule="exact" w:val="430"/>
        </w:trPr>
        <w:tc>
          <w:tcPr>
            <w:tcW w:w="15618" w:type="dxa"/>
            <w:gridSpan w:val="54"/>
            <w:tcBorders>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286" w:type="dxa"/>
            <w:tcBorders>
              <w:bottom w:val="single" w:sz="5" w:space="0" w:color="000000"/>
            </w:tcBorders>
          </w:tcPr>
          <w:p/>
        </w:tc>
        <w:tc>
          <w:tcPr>
            <w:tcW w:w="287" w:type="dxa"/>
          </w:tcPr>
          <w:p/>
        </w:tc>
      </w:tr>
      <w:tr>
        <w:trPr>
          <w:trHeight w:hRule="exact" w:val="1003"/>
        </w:trPr>
        <w:tc>
          <w:tcPr>
            <w:tcW w:w="573"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п/п</w:t>
            </w:r>
          </w:p>
          <w:p/>
        </w:tc>
        <w:tc>
          <w:tcPr>
            <w:tcW w:w="2436"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157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Региональный проект</w:t>
            </w:r>
          </w:p>
        </w:tc>
        <w:tc>
          <w:tcPr>
            <w:tcW w:w="860"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Единица измерения </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ОКЕИ)</w:t>
            </w:r>
          </w:p>
        </w:tc>
        <w:tc>
          <w:tcPr>
            <w:tcW w:w="2006"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5158"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c>
          <w:tcPr>
            <w:tcW w:w="2149" w:type="dxa"/>
            <w:gridSpan w:val="9"/>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c>
          <w:tcPr>
            <w:tcW w:w="1146"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результата</w:t>
            </w:r>
          </w:p>
        </w:tc>
        <w:tc>
          <w:tcPr>
            <w:tcW w:w="287" w:type="dxa"/>
            <w:tcBorders>
              <w:left w:val="single" w:sz="5" w:space="0" w:color="000000"/>
            </w:tcBorders>
          </w:tcPr>
          <w:p/>
        </w:tc>
      </w:tr>
      <w:tr>
        <w:trPr>
          <w:trHeight w:hRule="exact" w:val="1289"/>
        </w:trPr>
        <w:tc>
          <w:tcPr>
            <w:tcW w:w="573"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60"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Год</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2018</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57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574"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2025 (Справочно)</w:t>
            </w:r>
          </w:p>
        </w:tc>
        <w:tc>
          <w:tcPr>
            <w:tcW w:w="573"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2030 (Справочно)</w:t>
            </w:r>
          </w:p>
        </w:tc>
        <w:tc>
          <w:tcPr>
            <w:tcW w:w="2149" w:type="dxa"/>
            <w:gridSpan w:val="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823"/>
        </w:trPr>
        <w:tc>
          <w:tcPr>
            <w:tcW w:w="573" w:type="dxa"/>
            <w:gridSpan w:val="2"/>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243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57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4"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573"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149"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2020 г. - 28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2021 г. - 50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2022 г. - 76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2023 г. - 104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2024 г. - 136 тыс. человек.</w:t>
            </w:r>
          </w:p>
          <w:p>
            <w:pPr>
              <w:rPr>
                <w:rFonts w:ascii="Times New Roman" w:hAnsi="Times New Roman" w:eastAsia="Times New Roman" w:cs="Times New Roman"/>
                <w:color w:val="000000"/>
                <w:sz w:val="24"/>
                <w:spacing w:val="-2"/>
              </w:rPr>
              <w:spacing w:line="230"/>
              <w:jc w:val="center"/>
            </w:pPr>
          </w:p>
          <w:p/>
        </w:tc>
        <w:tc>
          <w:tcPr>
            <w:tcW w:w="1146"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2407"/>
        </w:trPr>
        <w:tc>
          <w:tcPr>
            <w:tcW w:w="15904" w:type="dxa"/>
            <w:gridSpan w:val="55"/>
            <w:tcBorders>
              <w:top w:val="single" w:sz="5" w:space="0" w:color="000000"/>
            </w:tcBorders>
          </w:tcPr>
          <w:p/>
        </w:tc>
        <w:tc>
          <w:tcPr>
            <w:tcW w:w="287" w:type="dxa"/>
          </w:tcPr>
          <w:p/>
        </w:tc>
      </w:tr>
      <w:tr>
        <w:trPr>
          <w:trHeight w:hRule="exact" w:val="2393"/>
        </w:trPr>
        <w:tc>
          <w:tcPr>
            <w:tcW w:w="16191" w:type="dxa"/>
            <w:gridSpan w:val="56"/>
          </w:tcPr>
          <w:p/>
        </w:tc>
      </w:tr>
      <w:tr>
        <w:trPr>
          <w:trHeight w:hRule="exact" w:val="143"/>
        </w:trPr>
        <w:tc>
          <w:tcPr>
            <w:tcW w:w="16191" w:type="dxa"/>
            <w:gridSpan w:val="56"/>
          </w:tcPr>
          <w:p/>
        </w:tc>
      </w:tr>
      <w:tr>
        <w:trPr>
          <w:trHeight w:hRule="exact" w:val="286"/>
        </w:trPr>
        <w:tc>
          <w:tcPr>
            <w:tcW w:w="16191" w:type="dxa"/>
            <w:gridSpan w:val="56"/>
          </w:tcPr>
          <w:p/>
        </w:tc>
      </w:tr>
      <w:tr>
        <w:trPr>
          <w:trHeight w:hRule="exact" w:val="430"/>
        </w:trPr>
        <w:tc>
          <w:tcPr>
            <w:tcW w:w="15904" w:type="dxa"/>
            <w:gridSpan w:val="55"/>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287" w:type="dxa"/>
          </w:tcPr>
          <w:p/>
        </w:tc>
      </w:tr>
      <w:tr>
        <w:trPr>
          <w:trHeight w:hRule="exact" w:val="144"/>
        </w:trPr>
        <w:tc>
          <w:tcPr>
            <w:tcW w:w="860" w:type="dxa"/>
            <w:gridSpan w:val="4"/>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044" w:type="dxa"/>
            <w:gridSpan w:val="51"/>
            <w:vAlign w:val="center"/>
            <w:shd w:val="clear" w:color="auto" w:fill="auto"/>
          </w:tcPr>
          <w:p/>
        </w:tc>
        <w:tc>
          <w:tcPr>
            <w:tcW w:w="287" w:type="dxa"/>
          </w:tcPr>
          <w:p/>
        </w:tc>
      </w:tr>
      <w:tr>
        <w:trPr>
          <w:trHeight w:hRule="exact" w:val="429"/>
        </w:trPr>
        <w:tc>
          <w:tcPr>
            <w:tcW w:w="15904" w:type="dxa"/>
            <w:gridSpan w:val="55"/>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Финансовое обеспечение реализации регионального проекта</w:t>
            </w:r>
          </w:p>
          <w:p/>
        </w:tc>
        <w:tc>
          <w:tcPr>
            <w:tcW w:w="287" w:type="dxa"/>
          </w:tcPr>
          <w:p/>
        </w:tc>
      </w:tr>
      <w:tr>
        <w:trPr>
          <w:trHeight w:hRule="exact" w:val="144"/>
        </w:trPr>
        <w:tc>
          <w:tcPr>
            <w:tcW w:w="15904" w:type="dxa"/>
            <w:gridSpan w:val="55"/>
            <w:tcBorders>
              <w:bottom w:val="single" w:sz="5" w:space="0" w:color="000000"/>
            </w:tcBorders>
          </w:tcPr>
          <w:p/>
        </w:tc>
        <w:tc>
          <w:tcPr>
            <w:tcW w:w="287" w:type="dxa"/>
          </w:tcPr>
          <w:p/>
        </w:tc>
      </w:tr>
      <w:tr>
        <w:trPr>
          <w:trHeight w:hRule="exact" w:val="429"/>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7"/>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430"/>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Создана и внедрена в общеобразовательных организациях цифровая образовательная среда</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124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151 602,98</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509 184,58</w:t>
            </w: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151 602,98</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509 184,58</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142 327,90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135 665,24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453 737,18</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том числе: межбюджетные трансферты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131 032,10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135 665,24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442 441,38</w:t>
            </w: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1.1.1.1.1.4.</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131 032,10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54 688,26</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58 347,90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62 707,88</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135 665,24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442 441,38</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147 255,61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70 776,39</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151 602,98</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497 888,78</w:t>
            </w:r>
          </w:p>
        </w:tc>
        <w:tc>
          <w:tcPr>
            <w:tcW w:w="287" w:type="dxa"/>
            <w:tcBorders>
              <w:left w:val="single" w:sz="5" w:space="0" w:color="000000"/>
            </w:tcBorders>
          </w:tcPr>
          <w:p/>
        </w:tc>
      </w:tr>
      <w:tr>
        <w:trPr>
          <w:trHeight w:hRule="exact" w:val="97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29"/>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w:t>
            </w:r>
          </w:p>
          <w:p/>
        </w:tc>
        <w:tc>
          <w:tcPr>
            <w:tcW w:w="14901" w:type="dxa"/>
            <w:gridSpan w:val="5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Обеспечение реализации цифровой трансформации системы образования</w:t>
            </w:r>
            <w:r>
              <w:rPr>
                <w:color w:val="FFFFFF"/>
                <w:sz w:val="7.5"/>
                <w:szCs w:val="7.5"/>
                <w:rFonts w:ascii="Times New Roman" w:hAnsi="Times New Roman" w:eastAsia="Times New Roman" w:cs="Times New Roman"/>
                <w:spacing w:val="-2"/>
              </w:rPr>
              <w:t xml:space="preserve">0</w:t>
            </w:r>
          </w:p>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22 985,74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43 411,85</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Консолидированный бюджет субъекта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22 985,74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43 411,85</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 субъекта</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20 687,17</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38 866,41</w:t>
            </w:r>
          </w:p>
        </w:tc>
        <w:tc>
          <w:tcPr>
            <w:tcW w:w="287" w:type="dxa"/>
            <w:tcBorders>
              <w:left w:val="single" w:sz="5" w:space="0" w:color="000000"/>
            </w:tcBorders>
          </w:tcPr>
          <w:p/>
        </w:tc>
      </w:tr>
      <w:tr>
        <w:trPr>
          <w:trHeight w:hRule="exact" w:val="201"/>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p>
        </w:tc>
        <w:tc>
          <w:tcPr>
            <w:tcW w:w="287" w:type="dxa"/>
            <w:tcBorders>
              <w:left w:val="single" w:sz="5" w:space="0" w:color="000000"/>
            </w:tcBorders>
          </w:tcPr>
          <w:p/>
        </w:tc>
      </w:tr>
      <w:tr>
        <w:trPr>
          <w:trHeight w:hRule="exact" w:val="430"/>
        </w:trPr>
        <w:tc>
          <w:tcPr>
            <w:tcW w:w="15904" w:type="dxa"/>
            <w:gridSpan w:val="55"/>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287" w:type="dxa"/>
          </w:tcPr>
          <w:p/>
        </w:tc>
      </w:tr>
      <w:tr>
        <w:trPr>
          <w:trHeight w:hRule="exact" w:val="430"/>
        </w:trPr>
        <w:tc>
          <w:tcPr>
            <w:tcW w:w="100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7"/>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3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(тыс. рублей)</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(тыс. рублей)</w:t>
            </w:r>
          </w:p>
        </w:tc>
        <w:tc>
          <w:tcPr>
            <w:tcW w:w="287" w:type="dxa"/>
            <w:tcBorders>
              <w:left w:val="single" w:sz="5" w:space="0" w:color="000000"/>
            </w:tcBorders>
          </w:tcPr>
          <w:p/>
        </w:tc>
      </w:tr>
      <w:tr>
        <w:trPr>
          <w:trHeight w:hRule="exact" w:val="286"/>
        </w:trPr>
        <w:tc>
          <w:tcPr>
            <w:tcW w:w="100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7"/>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717"/>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2.1.1.1.1.</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 том числе: межбюджетные трансферты</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20 687,17</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38 866,41</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2.1.1.1.1.4.</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местным бюджетам</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18 179,24</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20 687,17</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38 866,41</w:t>
            </w:r>
          </w:p>
        </w:tc>
        <w:tc>
          <w:tcPr>
            <w:tcW w:w="287" w:type="dxa"/>
            <w:tcBorders>
              <w:left w:val="single" w:sz="5" w:space="0" w:color="000000"/>
            </w:tcBorders>
          </w:tcPr>
          <w:p/>
        </w:tc>
      </w:tr>
      <w:tr>
        <w:trPr>
          <w:trHeight w:hRule="exact" w:val="716"/>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Свод бюджетов Муниципальных образований</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20 426,11</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22 985,74</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43 411,85</w:t>
            </w:r>
          </w:p>
        </w:tc>
        <w:tc>
          <w:tcPr>
            <w:tcW w:w="287" w:type="dxa"/>
            <w:tcBorders>
              <w:left w:val="single" w:sz="5" w:space="0" w:color="000000"/>
            </w:tcBorders>
          </w:tcPr>
          <w:p/>
        </w:tc>
      </w:tr>
      <w:tr>
        <w:trPr>
          <w:trHeight w:hRule="exact" w:val="975"/>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2.1.2.</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444"/>
        </w:trPr>
        <w:tc>
          <w:tcPr>
            <w:tcW w:w="100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2.1.3.</w:t>
            </w:r>
          </w:p>
        </w:tc>
        <w:tc>
          <w:tcPr>
            <w:tcW w:w="4442"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i/>
                <w:color w:val="000000"/>
                <w:sz w:val="24"/>
                <w:spacing w:val="-2"/>
              </w:rPr>
            </w:pPr>
            <w:r>
              <w:rPr>
                <w:rFonts w:ascii="Times New Roman" w:hAnsi="Times New Roman" w:eastAsia="Times New Roman" w:cs="Times New Roman"/>
                <w:i/>
                <w:color w:val="000000"/>
                <w:sz w:val="24"/>
                <w:spacing w:val="-2"/>
              </w:rPr>
              <w:t xml:space="preserve">Внебюджетные источники,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2"/>
                <w:spacing w:val="-2"/>
              </w:rPr>
            </w:pPr>
            <w:r>
              <w:rPr>
                <w:rFonts w:ascii="Times New Roman" w:hAnsi="Times New Roman" w:eastAsia="Times New Roman" w:cs="Times New Roman"/>
                <w:color w:val="000000"/>
                <w:sz w:val="22"/>
                <w:spacing w:val="-2"/>
              </w:rPr>
              <w:t xml:space="preserve">0,00</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right"/>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 ПО РЕГИОНАЛЬНОМУ ПРОЕКТУ:</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91 202,50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174 588,72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552 596,43</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из них:</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158 551,41</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63 090,13</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65 163,67</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91 202,50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174 588,72</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552 596,43</w:t>
            </w:r>
          </w:p>
        </w:tc>
        <w:tc>
          <w:tcPr>
            <w:tcW w:w="287" w:type="dxa"/>
            <w:tcBorders>
              <w:left w:val="single" w:sz="5" w:space="0" w:color="000000"/>
            </w:tcBorders>
          </w:tcPr>
          <w:p/>
        </w:tc>
      </w:tr>
      <w:tr>
        <w:trPr>
          <w:trHeight w:hRule="exact" w:val="716"/>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территориальных государственных внебюджетных фондов (бюджеты ТФОМС)</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717"/>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573"/>
        </w:trPr>
        <w:tc>
          <w:tcPr>
            <w:tcW w:w="5445"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Внебюджетные источники , всего</w:t>
            </w:r>
          </w:p>
        </w:tc>
        <w:tc>
          <w:tcPr>
            <w:tcW w:w="143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43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287" w:type="dxa"/>
            <w:tcBorders>
              <w:left w:val="single" w:sz="5" w:space="0" w:color="000000"/>
            </w:tcBorders>
          </w:tcPr>
          <w:p/>
        </w:tc>
      </w:tr>
      <w:tr>
        <w:trPr>
          <w:trHeight w:hRule="exact" w:val="430"/>
        </w:trPr>
        <w:tc>
          <w:tcPr>
            <w:tcW w:w="15904" w:type="dxa"/>
            <w:gridSpan w:val="55"/>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287" w:type="dxa"/>
          </w:tcPr>
          <w:p/>
        </w:tc>
      </w:tr>
      <w:tr>
        <w:trPr>
          <w:trHeight w:hRule="exact" w:val="573"/>
        </w:trPr>
        <w:tc>
          <w:tcPr>
            <w:tcW w:w="15618" w:type="dxa"/>
            <w:gridSpan w:val="54"/>
            <w:vAlign w:val="center"/>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6. Помесячный план исполнения бюджета Ленинградская область в части бюджетных ассигнований, предусмотренных на финансовое обеспечение реализации регионального проекта в 2024 году</w:t>
            </w:r>
          </w:p>
          <w:p/>
        </w:tc>
        <w:tc>
          <w:tcPr>
            <w:tcW w:w="573" w:type="dxa"/>
            <w:gridSpan w:val="2"/>
          </w:tcPr>
          <w:p/>
        </w:tc>
      </w:tr>
      <w:tr>
        <w:trPr>
          <w:trHeight w:hRule="exact" w:val="143"/>
        </w:trPr>
        <w:tc>
          <w:tcPr>
            <w:tcW w:w="15904" w:type="dxa"/>
            <w:gridSpan w:val="55"/>
            <w:tcBorders>
              <w:bottom w:val="single" w:sz="5" w:space="0" w:color="000000"/>
            </w:tcBorders>
          </w:tcPr>
          <w:p/>
        </w:tc>
        <w:tc>
          <w:tcPr>
            <w:tcW w:w="287" w:type="dxa"/>
          </w:tcPr>
          <w:p/>
        </w:tc>
      </w:tr>
      <w:tr>
        <w:trPr>
          <w:trHeight w:hRule="exact" w:val="430"/>
        </w:trPr>
        <w:tc>
          <w:tcPr>
            <w:tcW w:w="71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299"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w:t>
            </w:r>
          </w:p>
        </w:tc>
        <w:tc>
          <w:tcPr>
            <w:tcW w:w="9456" w:type="dxa"/>
            <w:gridSpan w:val="41"/>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 исполнения нарастающим итогом (тыс. рублей)</w:t>
            </w:r>
          </w:p>
        </w:tc>
        <w:tc>
          <w:tcPr>
            <w:tcW w:w="143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конец 2024 года (тыс. рублей)</w:t>
            </w:r>
          </w:p>
        </w:tc>
        <w:tc>
          <w:tcPr>
            <w:tcW w:w="287" w:type="dxa"/>
            <w:tcBorders>
              <w:left w:val="single" w:sz="5" w:space="0" w:color="000000"/>
            </w:tcBorders>
          </w:tcPr>
          <w:p/>
        </w:tc>
      </w:tr>
      <w:tr>
        <w:trPr>
          <w:trHeight w:hRule="exact" w:val="430"/>
        </w:trPr>
        <w:tc>
          <w:tcPr>
            <w:tcW w:w="71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299"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85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янв.</w:t>
            </w:r>
          </w:p>
        </w:tc>
        <w:tc>
          <w:tcPr>
            <w:tcW w:w="86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фев.</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апр.</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май</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июнь</w:t>
            </w:r>
          </w:p>
        </w:tc>
        <w:tc>
          <w:tcPr>
            <w:tcW w:w="860"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июль</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авг.</w:t>
            </w:r>
          </w:p>
        </w:tc>
        <w:tc>
          <w:tcPr>
            <w:tcW w:w="86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сен.</w:t>
            </w:r>
          </w:p>
        </w:tc>
        <w:tc>
          <w:tcPr>
            <w:tcW w:w="86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окт.</w:t>
            </w:r>
          </w:p>
        </w:tc>
        <w:tc>
          <w:tcPr>
            <w:tcW w:w="85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ноя.</w:t>
            </w:r>
          </w:p>
        </w:tc>
        <w:tc>
          <w:tcPr>
            <w:tcW w:w="143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c>
          <w:tcPr>
            <w:tcW w:w="287" w:type="dxa"/>
            <w:tcBorders>
              <w:left w:val="single" w:sz="5" w:space="0" w:color="000000"/>
            </w:tcBorders>
          </w:tcPr>
          <w:p/>
        </w:tc>
      </w:tr>
      <w:tr>
        <w:trPr>
          <w:trHeight w:hRule="exact" w:val="1246"/>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Образовательные организации обеспечены материально-технической базой для внедрения цифровой образовательной среды</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135 665,23</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135 665,23</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135 665,23</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135 665,23</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135 665,23</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135 665,24</w:t>
            </w:r>
          </w:p>
        </w:tc>
        <w:tc>
          <w:tcPr>
            <w:tcW w:w="287" w:type="dxa"/>
            <w:tcBorders>
              <w:left w:val="single" w:sz="5" w:space="0" w:color="000000"/>
            </w:tcBorders>
          </w:tcPr>
          <w:p/>
        </w:tc>
      </w:tr>
      <w:tr>
        <w:trPr>
          <w:trHeight w:hRule="exact" w:val="573"/>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188" w:type="dxa"/>
            <w:gridSpan w:val="5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c>
          <w:tcPr>
            <w:tcW w:w="287" w:type="dxa"/>
            <w:tcBorders>
              <w:left w:val="single" w:sz="5" w:space="0" w:color="000000"/>
            </w:tcBorders>
          </w:tcPr>
          <w:p/>
        </w:tc>
      </w:tr>
      <w:tr>
        <w:trPr>
          <w:trHeight w:hRule="exact" w:val="717"/>
        </w:trPr>
        <w:tc>
          <w:tcPr>
            <w:tcW w:w="71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4299"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Созданы центры цифрового образования детей "IT-куб"</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20 687,17</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20 687,17</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20 687,17</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20 687,17</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20 687,17</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20 687,17</w:t>
            </w:r>
          </w:p>
        </w:tc>
        <w:tc>
          <w:tcPr>
            <w:tcW w:w="287" w:type="dxa"/>
            <w:tcBorders>
              <w:left w:val="single" w:sz="5" w:space="0" w:color="000000"/>
            </w:tcBorders>
          </w:tcPr>
          <w:p/>
        </w:tc>
      </w:tr>
      <w:tr>
        <w:trPr>
          <w:trHeight w:hRule="exact" w:val="616"/>
        </w:trPr>
        <w:tc>
          <w:tcPr>
            <w:tcW w:w="5015" w:type="dxa"/>
            <w:gridSpan w:val="11"/>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ИТОГО:</w:t>
            </w:r>
          </w:p>
        </w:tc>
        <w:tc>
          <w:tcPr>
            <w:tcW w:w="859"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2"/>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0,00</w:t>
            </w:r>
          </w:p>
        </w:tc>
        <w:tc>
          <w:tcPr>
            <w:tcW w:w="860" w:type="dxa"/>
            <w:gridSpan w:val="5"/>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156 352,40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156 352,40</w:t>
            </w:r>
          </w:p>
        </w:tc>
        <w:tc>
          <w:tcPr>
            <w:tcW w:w="860"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156 352,40</w:t>
            </w:r>
          </w:p>
        </w:tc>
        <w:tc>
          <w:tcPr>
            <w:tcW w:w="860"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156 352,40</w:t>
            </w:r>
          </w:p>
        </w:tc>
        <w:tc>
          <w:tcPr>
            <w:tcW w:w="85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0"/>
                <w:spacing w:val="-2"/>
              </w:rPr>
            </w:pPr>
            <w:r>
              <w:rPr>
                <w:rFonts w:ascii="Times New Roman" w:hAnsi="Times New Roman" w:eastAsia="Times New Roman" w:cs="Times New Roman"/>
                <w:color w:val="000000"/>
                <w:sz w:val="20"/>
                <w:spacing w:val="-2"/>
              </w:rPr>
              <w:t xml:space="preserve">156 352,40</w:t>
            </w:r>
          </w:p>
        </w:tc>
        <w:tc>
          <w:tcPr>
            <w:tcW w:w="143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156 352,40</w:t>
            </w:r>
          </w:p>
        </w:tc>
        <w:tc>
          <w:tcPr>
            <w:tcW w:w="287" w:type="dxa"/>
            <w:tcBorders>
              <w:left w:val="single" w:sz="5" w:space="0" w:color="000000"/>
            </w:tcBorders>
          </w:tcPr>
          <w:p/>
        </w:tc>
      </w:tr>
    </w:tbl>
    <w:p>
      <w:pPr>
        <w:sectPr>
          <w:pgSz w:w="16848" w:h="11952" w:orient="landscape"/>
          <w:pgMar w:top="562" w:right="432" w:bottom="512" w:left="432" w:header="562" w:footer="512" w:gutter="0"/>
        </w:sectPr>
      </w:pPr>
    </w:p>
    <w:tbl>
      <w:tblPr>
        <w:tblStyle w:val="a1"/>
        <w:tblW w:w="0" w:type="dxa"/>
        <w:tblLayout w:type="fixed"/>
        <w:tblCellMar>
          <w:top w:w="0" w:type="dxa"/>
          <w:left w:w="0" w:type="dxa"/>
          <w:bottom w:w="0" w:type="dxa"/>
          <w:right w:w="0" w:type="dxa"/>
        </w:tblCellMar>
        <w:tblLook w:val="04A0"/>
      </w:tblPr>
      <w:tblGrid>
        <w:gridCol w:w="860"/>
        <w:gridCol w:w="3582"/>
        <w:gridCol w:w="1146"/>
        <w:gridCol w:w="1146"/>
        <w:gridCol w:w="1003"/>
        <w:gridCol w:w="1003"/>
        <w:gridCol w:w="1719"/>
        <w:gridCol w:w="717"/>
        <w:gridCol w:w="2292"/>
        <w:gridCol w:w="1147"/>
        <w:gridCol w:w="1289"/>
        <w:gridCol w:w="272"/>
        <w:gridCol w:w="15"/>
      </w:tblGrid>
      <w:tr>
        <w:trPr>
          <w:trHeight w:hRule="exact" w:val="430"/>
        </w:trPr>
        <w:tc>
          <w:tcPr>
            <w:tcW w:w="15904" w:type="dxa"/>
            <w:gridSpan w:val="11"/>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c>
          <w:tcPr>
            <w:tcW w:w="287" w:type="dxa"/>
            <w:gridSpan w:val="2"/>
          </w:tcPr>
          <w:p/>
        </w:tc>
      </w:tr>
      <w:tr>
        <w:trPr>
          <w:trHeight w:hRule="exact" w:val="573"/>
        </w:trPr>
        <w:tc>
          <w:tcPr>
            <w:tcW w:w="11176" w:type="dxa"/>
            <w:gridSpan w:val="8"/>
          </w:tcPr>
          <w:p/>
        </w:tc>
        <w:tc>
          <w:tcPr>
            <w:tcW w:w="4728" w:type="dxa"/>
            <w:gridSpan w:val="3"/>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Цифровая образовательная среда (Ленинградская область)</w:t>
            </w:r>
          </w:p>
        </w:tc>
        <w:tc>
          <w:tcPr>
            <w:tcW w:w="287" w:type="dxa"/>
            <w:gridSpan w:val="2"/>
          </w:tcPr>
          <w:p/>
        </w:tc>
      </w:tr>
      <w:tr>
        <w:trPr>
          <w:trHeight w:hRule="exact" w:val="143"/>
        </w:trPr>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5331" w:type="dxa"/>
            <w:gridSpan w:val="1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30"/>
        </w:trPr>
        <w:tc>
          <w:tcPr>
            <w:tcW w:w="16191" w:type="dxa"/>
            <w:gridSpan w:val="13"/>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реализации регионального проекта</w:t>
            </w: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Создана и внедрена в общеобразовательных организациях цифровая образовательная среда</w:t>
            </w:r>
          </w:p>
        </w:tc>
      </w:tr>
      <w:tr>
        <w:trPr>
          <w:trHeight w:hRule="exact" w:val="28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1.1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"Образовательные организации обеспечены материально-технической базой для внедрения цифровой образовательной среды"</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Внедрение к концу 2024 года целевой модели ЦОС во всех субъектах Российской Федерации позволит создать условия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Поддержка из федерального бюджета предоставляется субъектам Российской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7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Федерации на модернизацию к концу 2024 года материально-технической базы в не менее чем 31,5 тыс. общеобразовательных и профессиональных образовательных организаций в целях обеспечения условий для внедрения и развития цифровой образовательной среды в указанных организациях.Значение динамики субъектов Российской Федерации, внедривших целевую модель цифровой образовательной среды,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6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"Предоставлен отчет о выполнении соглашения о предоставлении субсидии юридическому (физическому) лицу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4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0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"Разработаны, согласованы и утверждены документы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80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цифровой образовательной среды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1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цифровой образовательной среды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04</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субъектов Российской Федерации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7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оборудования для внедрения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рекомендациями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5"/>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рекомендациями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рекомендациями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05</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Реестр документов, подтверждающих приемку материальных ценностей и услуг в рамках реализации мероприятия: по оснащению материально-</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технической базы общеобразовательных организаций и профессиональных образовательных организаций в целях внедрения цифровой образовательной среды федерального проекта «Цифровая образовательная среда» национального проекта «Образование»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7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536"/>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рекомендациями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464"/>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результатах мониторинга хода реализации мероприятий по приобретению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соответствии с методическими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46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рекомендациями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мониторинга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муниципальными образованиями заключены соглашения о предоставлении бюджетам муниципальных образований межбюджетных трансфертов"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План-график закупок товаров, работ, услуг</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оборудования для внедрения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извещений о проведении закупок в рамках реализации мероприятия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использования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"Оборудование приобретено"</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31.08.2023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документов, подтверждающих поставку</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30.11.2023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материально-технической базы ЦОС</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По форме, определяемой Минпросвещения России или Центром проектного сопровождения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оборудования для внедрения ЦОС"</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извещений о проведении закупок в рамках реализации мероприятия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28.03.2024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По форме, определяемой Минпросвещения России или Центром проектного сопровождения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4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29.03.2024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По форме, определяемой Минпросвещения России или Центром проектного сопровождения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28.06.2024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По форме, определяемой Минпросвещения России или Центром проектного сопровождения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30.08.2024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Прочий тип документа. Реестр документов, подтверждающих приемку материальных ценностей и услуг в рамках объявленных закупок (товарные накладные, реестр актов приемки работ)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об использовании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5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использования материально-технической базы ЦОС"</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использования материально-технической базы ЦОС</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хода реализации мероприятий по внедрению ЦОС в соответствии с методическими рекомендациями"</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По форме, определяемой Минпросвещения России или Центром проектного сопровождения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1.1.43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периодический мониторинг использования материально-технической базы ЦОС"</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По форме, определяемой Минпросвещения России или Центром проектного сопровождения</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w:t>
            </w:r>
          </w:p>
        </w:tc>
        <w:tc>
          <w:tcPr>
            <w:tcW w:w="15331" w:type="dxa"/>
            <w:gridSpan w:val="1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реализации цифровой трансформации системы образования</w:t>
            </w: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3"/>
                <w:spacing w:val="-2"/>
              </w:rPr>
              <w:spacing w:line="230"/>
              <w:jc w:val="center"/>
            </w:pPr>
            <w:r>
              <w:rPr>
                <w:sz w:val="23"/>
                <w:szCs w:val="23"/>
                <w:rFonts w:ascii="Times New Roman" w:hAnsi="Times New Roman" w:eastAsia="Times New Roman" w:cs="Times New Roman"/>
                <w:spacing w:val="-2"/>
              </w:rPr>
              <w:t xml:space="preserve">2.1</w:t>
            </w:r>
          </w:p>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 "Созданы центры цифрового образования детей "IT-куб""</w:t>
            </w:r>
          </w:p>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01.01.2020</w:t>
            </w:r>
          </w:p>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Создание к концу 2024 года за счет федеральной поддержки не менее 340 центров цифрового образования "IT-куб", позволит обеспечить на инфраструктурно-содержательном уровне продвижение компетенций в области цифровизации (современные информационные технологии, искусственный интеллект, большие данные, облачные пространства, программирование и администрирование цифровых операций) среди подрастающего поколения, а также стать эффективным механизмом ранней профориентации при осуществлении обучающимися выбора будущей профессии и построения траектории собственного развития. Создание центров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Нет</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36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34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Mar>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цифрового образования может осуществлять также за счет региональных средств. </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Значение количества центров цифрового образования "IT-куб" подлежит ежегодному уточнению по итогам проведения отборов на предоставление субсидии из федерального бюджета бюджетам субъектов Российской Федерации на финансовое обеспечение соответствующих мероприятий.</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Число детей, охваченных деятельностью центров цифрового образования "IT-куб" составит:</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2019 г. - 8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2020 г. - 28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2021 г. - 50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2022 г. - 76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2023 г. - 104 тыс. человек;</w:t>
            </w:r>
          </w:p>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2024 г. - 136 тыс. человек.</w:t>
            </w:r>
          </w:p>
          <w:p>
            <w:pPr>
              <w:rPr>
                <w:rFonts w:ascii="Times New Roman" w:hAnsi="Times New Roman" w:eastAsia="Times New Roman" w:cs="Times New Roman"/>
                <w:color w:val="000000"/>
                <w:sz w:val="24"/>
                <w:spacing w:val="-2"/>
              </w:rPr>
              <w:spacing w:line="230"/>
              <w:jc w:val="center"/>
            </w:pP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0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1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предоставлении субсидии юридическому (физическому) лицу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37</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8"/>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120"/>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31.12.2020</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38</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"Разработаны, согласованы и утверждены документы по созданию и функционированию центра цифрового образования «IT- куб»"</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Распоряжения об утверждении ответственного за создание, концепции, инфраструктурного лита</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31.03.2021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2.1.9</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промежуточный мониторинг мероприятий по созданию и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функционированию центра цифрового образования «IT- куб»"</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30.06.2021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"Закуплено, доставлено и налажено оборудование и средства обучения "</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2.1.12</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работы по приведению площадки центра цифрового образования «IT- куб»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40</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5"/>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 соответствие с методическими рекомендациями Минпросвещения РФ"</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"Ежеквартальный мониторинг выполнения показателей создания и функционирования центра цифрового образования «IT- куб»-2021"</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17</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20</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30.09.2021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2.1.15</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"Осуществлена государственная регистрация организации",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организация деятельности организации (структурного подразделения) (структура управления и кадры)",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"Обеспечена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организация деятельности организации (структурного подразделения) (имущество, финансы)",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2.1.19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2.1.20</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 выполнении соглашения о предоставлении субсидии юридическому (физическому) лицу ",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43</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"Заключено соглашение о предоставлении субсидии юридическому (физическому) лицу (соглашение о предоставлении субсидии юридическому (физическому) лицу включено в реестр соглашений)",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"Утверждены правила распределения и предоставления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1"/>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2.1.23</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"Утверждено распределение межбюджетных трансфертов по субъектам Российской Федерации (муниципальным образованиям)",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Постановление Постановление</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44</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2.1.24</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"С субъектами Российской Федерации заключены соглашения о предоставлении бюджетам субъектов Российской Федерации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Соглашение Соглашение</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"Предоставлен отчет об использовании межбюджетных трансфертов",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2.1.26</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06</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45</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"Ежеквартальный мониторинг выполнения показателей создания и функционирования центра цифрового образования «IT- куб»-2021",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ежеквартальный мониторинг выполнения показателей создания и функционирования центра цифрового образования «IT – куб» - 2020",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31.12.2021</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53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15.02.2022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07</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46</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1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2.1.29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09</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2.1.31</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01.07.2022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47</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76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 значение: 0.0000</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выполнении показателей и функционирования центров цифрового образования «IT-Куб»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1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31.12.2022</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02</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48</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2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решение о создании (реорганизации) организации (структурного подразделения)", значение: 1.0000, Штука</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связь с иными 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09"/>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 значение: 0.0000, Метр</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1. Письмо РОИВ федеральному оператору о согласовании инфраструктурного листа 2. Письмо федерального оператора о согласовании инфраструктурного листа 3. Распорядительный акт РОИВ об утверждении согласованного инфраструктурного листа 4. Письмо РОИВ федеральному оператору о согласовании типового дизайн-проекта и зонирования помещений 5. Письмо федерального оператора о согласовании типового дизайн-проекта и зонирования помещений 6.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80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24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Распорядительный акт РОИВ об утверждении типового дизайн-проекта и зонирования помещений </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План-график закупок товаров, работ, услуг</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2.1.37</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"Объявлены закупки товаров, работ, услуг для создания Центра"</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28.02.2023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Реестр извещений (по форме федерального оператора)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03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2.1.38</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31.05.2023</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значений показателей</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50</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2"/>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результатами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2.1.39</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25.08.2023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лицензия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2.1.40</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29.12.2023</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Федеральному оператору по итогам мониторинга показателей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6"/>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2.1.41</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"Принято решение о создании (реорганизации)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Распоряжение Прочий тип документа. 1. Распорядительный акт регионального органа исполнительной власти, осуществляющего государственное управление в сфере образования об утверждении: - Комплекса мер (дорожная карта) по созданию и функционированию Центров "IT-куб"; - Должностного лица в составе регионального ведомственного проектного офиса, ответственное за создание и функционирование Центра; - Концепции по созданию и функционированию на территории субъекта Российской Федерации центра цифрового образования "IT-куб". 2. Распорядительный акт РОИВ об утверждении дизайн-проекта и зонирования помещений.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262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608"/>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86"/>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52</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2.1.42</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"Закупка включена в план закупок"</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29.02.2024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Прочий тип документа. Реестр извещений (по форме, определяемой Центром проектного сопровождения)</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2.1.43</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01.04.2024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значений показателей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79"/>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2.1.44</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03.06.2024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значений показателей</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29"/>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53</w:t>
            </w:r>
          </w:p>
        </w:tc>
        <w:tc>
          <w:tcPr>
            <w:tcW w:w="287" w:type="dxa"/>
            <w:gridSpan w:val="2"/>
            <w:tcBorders>
              <w:top w:val="single" w:sz="5" w:space="0" w:color="000000"/>
              <w:bottom w:val="single" w:sz="5" w:space="0" w:color="000000"/>
            </w:tcBorders>
          </w:tcPr>
          <w:p/>
        </w:tc>
      </w:tr>
      <w:tr>
        <w:trPr>
          <w:trHeight w:hRule="exact" w:val="1147"/>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6"/>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2.1.45</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"Получены лицензии, соответствующие видам деятельности организации (структурного подразделения)"</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26.08.2024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 Прочий тип документа. Лицензия на реализацию образовательных программ дополнительного образования детей и взрослых </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7"/>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2.1.46</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01.10.2024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значений показателей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30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2.1.47</w:t>
            </w: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мониторинг использования оборудования, поставляемого Центрам "IT-куб""</w:t>
            </w:r>
          </w:p>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29.11.2024</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Отчёт о проведённом мониторинге по форме Федерального оператора</w:t>
            </w:r>
          </w:p>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430"/>
        </w:trPr>
        <w:tc>
          <w:tcPr>
            <w:tcW w:w="15904" w:type="dxa"/>
            <w:gridSpan w:val="11"/>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w:t>
            </w:r>
          </w:p>
        </w:tc>
        <w:tc>
          <w:tcPr>
            <w:tcW w:w="287" w:type="dxa"/>
            <w:gridSpan w:val="2"/>
            <w:tcBorders>
              <w:top w:val="single" w:sz="5" w:space="0" w:color="000000"/>
              <w:bottom w:val="single" w:sz="5" w:space="0" w:color="000000"/>
            </w:tcBorders>
          </w:tcPr>
          <w:p/>
        </w:tc>
      </w:tr>
      <w:tr>
        <w:trPr>
          <w:trHeight w:hRule="exact" w:val="1146"/>
        </w:trPr>
        <w:tc>
          <w:tcPr>
            <w:tcW w:w="860"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582"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контрольной точки</w:t>
            </w:r>
          </w:p>
        </w:tc>
        <w:tc>
          <w:tcPr>
            <w:tcW w:w="2292"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006"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Взаимосвязь</w:t>
            </w:r>
          </w:p>
        </w:tc>
        <w:tc>
          <w:tcPr>
            <w:tcW w:w="1719"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3009" w:type="dxa"/>
            <w:gridSpan w:val="2"/>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 результата</w:t>
            </w:r>
          </w:p>
        </w:tc>
        <w:tc>
          <w:tcPr>
            <w:tcW w:w="1147" w:type="dxa"/>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Реализуется муниципальными образованиями (да/нет)</w:t>
            </w:r>
          </w:p>
        </w:tc>
        <w:tc>
          <w:tcPr>
            <w:tcW w:w="1576"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Информационная система (источник данных)</w:t>
            </w:r>
          </w:p>
        </w:tc>
      </w:tr>
      <w:tr>
        <w:trPr>
          <w:trHeight w:hRule="exact" w:val="717"/>
        </w:trPr>
        <w:tc>
          <w:tcPr>
            <w:tcW w:w="860"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14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предшественники</w:t>
            </w:r>
          </w:p>
        </w:tc>
        <w:tc>
          <w:tcPr>
            <w:tcW w:w="100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последователи</w:t>
            </w:r>
          </w:p>
        </w:tc>
        <w:tc>
          <w:tcPr>
            <w:tcW w:w="1719"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34"/>
        </w:trPr>
        <w:tc>
          <w:tcPr>
            <w:tcW w:w="860"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p>
        </w:tc>
        <w:tc>
          <w:tcPr>
            <w:tcW w:w="3582"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14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00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атами и контрольными точками отсутствует</w:t>
            </w:r>
          </w:p>
          <w:p/>
        </w:tc>
        <w:tc>
          <w:tcPr>
            <w:tcW w:w="171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147"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48"/>
        </w:trPr>
        <w:tc>
          <w:tcPr>
            <w:tcW w:w="860"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3"/>
                <w:spacing w:val="-2"/>
              </w:rPr>
            </w:pPr>
            <w:r>
              <w:rPr>
                <w:rFonts w:ascii="Times New Roman" w:hAnsi="Times New Roman" w:eastAsia="Times New Roman" w:cs="Times New Roman"/>
                <w:color w:val="000000"/>
                <w:sz w:val="23"/>
                <w:spacing w:val="-2"/>
              </w:rPr>
              <w:t xml:space="preserve">2.1.48</w:t>
            </w:r>
          </w:p>
        </w:tc>
        <w:tc>
          <w:tcPr>
            <w:tcW w:w="3582"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Контрольная точка "Проведен текущий мониторинг показателей функционирования центров"</w:t>
            </w:r>
          </w:p>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146"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2"/>
                <w:spacing w:val="-2"/>
              </w:rPr>
              <w:spacing w:line="230"/>
              <w:jc w:val="center"/>
            </w:pPr>
            <w:r>
              <w:rPr>
                <w:sz w:val="22"/>
                <w:szCs w:val="22"/>
                <w:rFonts w:ascii="Times New Roman" w:hAnsi="Times New Roman" w:eastAsia="Times New Roman" w:cs="Times New Roman"/>
                <w:spacing w:val="-2"/>
              </w:rPr>
              <w:t xml:space="preserve">27.12.2024</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003"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Взаимосвязь с иными результатами и контрольными точками отсутствует</w:t>
            </w:r>
          </w:p>
          <w:p/>
        </w:tc>
        <w:tc>
          <w:tcPr>
            <w:tcW w:w="1719"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Глевицкая Е.И.</w:t>
            </w:r>
          </w:p>
          <w:p/>
        </w:tc>
        <w:tc>
          <w:tcPr>
            <w:tcW w:w="3009"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Описание основных мероприятий, определение значений показателей</w:t>
            </w:r>
          </w:p>
          <w:p/>
        </w:tc>
        <w:tc>
          <w:tcPr>
            <w:tcW w:w="1147" w:type="dxa"/>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c>
          <w:tcPr>
            <w:tcW w:w="1576"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w:t>
            </w:r>
          </w:p>
          <w:p/>
        </w:tc>
      </w:tr>
      <w:tr>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r>
    </w:tbl>
    <w:p>
      <w:pPr>
        <w:sectPr>
          <w:pgSz w:w="16834" w:h="11909" w:orient="landscape"/>
          <w:pgMar w:top="562" w:right="288" w:bottom="512" w:left="288" w:header="562" w:footer="512" w:gutter="0"/>
        </w:sectPr>
      </w:pPr>
    </w:p>
    <w:tbl>
      <w:tblPr>
        <w:tblStyle w:val="a1"/>
        <w:tblW w:w="0" w:type="dxa"/>
        <w:tblLayout w:type="fixed"/>
        <w:tblCellMar>
          <w:top w:w="0" w:type="dxa"/>
          <w:left w:w="0" w:type="dxa"/>
          <w:bottom w:w="0" w:type="dxa"/>
          <w:right w:w="0" w:type="dxa"/>
        </w:tblCellMar>
        <w:tblLook w:val="04A0"/>
      </w:tblPr>
      <w:tblGrid>
        <w:gridCol w:w="716"/>
        <w:gridCol w:w="144"/>
        <w:gridCol w:w="3295"/>
        <w:gridCol w:w="3009"/>
        <w:gridCol w:w="3295"/>
        <w:gridCol w:w="2866"/>
        <w:gridCol w:w="2293"/>
        <w:gridCol w:w="14"/>
      </w:tblGrid>
      <w:tr>
        <w:trPr>
          <w:trHeight w:hRule="exact" w:val="287"/>
        </w:trPr>
        <w:tc>
          <w:tcPr>
            <w:tcW w:w="15618" w:type="dxa"/>
            <w:gridSpan w:val="7"/>
            <w:vMerge w:val="restart"/>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w:t>
            </w:r>
          </w:p>
        </w:tc>
        <w:tc>
          <w:tcPr>
            <w:tcW w:w="14" w:type="dxa"/>
          </w:tcPr>
          <w:p/>
        </w:tc>
      </w:tr>
      <w:tr>
        <w:trPr>
          <w:trHeight w:hRule="exact" w:val="143"/>
        </w:trPr>
        <w:tc>
          <w:tcPr>
            <w:tcW w:w="15618" w:type="dxa"/>
            <w:gridSpan w:val="7"/>
            <w:vMerge/>
            <w:shd w:val="clear" w:color="auto" w:fill="auto"/>
          </w:tcPr>
          <w:p/>
        </w:tc>
        <w:tc>
          <w:tcPr>
            <w:tcW w:w="14" w:type="dxa"/>
          </w:tcPr>
          <w:p/>
        </w:tc>
      </w:tr>
      <w:tr>
        <w:trPr>
          <w:trHeight w:hRule="exact" w:val="430"/>
        </w:trPr>
        <w:tc>
          <w:tcPr>
            <w:tcW w:w="15618" w:type="dxa"/>
            <w:gridSpan w:val="7"/>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Участники регионального проекта</w:t>
            </w:r>
          </w:p>
          <w:p/>
        </w:tc>
        <w:tc>
          <w:tcPr>
            <w:tcW w:w="14" w:type="dxa"/>
          </w:tcPr>
          <w:p/>
        </w:tc>
      </w:tr>
      <w:tr>
        <w:trPr>
          <w:trHeight w:hRule="exact" w:val="573"/>
        </w:trPr>
        <w:tc>
          <w:tcPr>
            <w:tcW w:w="71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86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429"/>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Образовательные организации обеспечены материально-технической базой для внедрения цифровой образовательной среды</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планово-экономического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124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 П.</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30"/>
        </w:trPr>
        <w:tc>
          <w:tcPr>
            <w:tcW w:w="15618" w:type="dxa"/>
            <w:gridSpan w:val="7"/>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Созданы центры цифрового образования детей "IT-куб"</w:t>
            </w:r>
          </w:p>
          <w:p/>
        </w:tc>
        <w:tc>
          <w:tcPr>
            <w:tcW w:w="14" w:type="dxa"/>
            <w:tcBorders>
              <w:left w:val="single" w:sz="5" w:space="0" w:color="000000"/>
            </w:tcBorders>
          </w:tcPr>
          <w:p/>
        </w:tc>
      </w:tr>
      <w:tr>
        <w:trPr>
          <w:trHeight w:hRule="exact" w:val="975"/>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974"/>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комитета - начальник планово-экономического отдела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430"/>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4" w:type="dxa"/>
            <w:tcBorders>
              <w:left w:val="single" w:sz="5" w:space="0" w:color="000000"/>
            </w:tcBorders>
          </w:tcPr>
          <w:p/>
        </w:tc>
      </w:tr>
      <w:tr>
        <w:trPr>
          <w:trHeight w:hRule="exact" w:val="124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Емельянов Н. П.</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Председателя Правительства Ленинградской области по социальным вопросам</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 w:type="dxa"/>
            <w:tcBorders>
              <w:left w:val="single" w:sz="5" w:space="0" w:color="000000"/>
            </w:tcBorders>
          </w:tcPr>
          <w:p/>
        </w:tc>
      </w:tr>
      <w:tr>
        <w:trPr>
          <w:trHeight w:hRule="exact" w:val="717"/>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Глевицкая Е.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Начальник сектора</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60</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Громова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Главный специалист</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Бойцова Е. В.</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r>
        <w:trPr>
          <w:trHeight w:hRule="exact" w:val="716"/>
        </w:trPr>
        <w:tc>
          <w:tcPr>
            <w:tcW w:w="71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3439"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Реброва В. И.</w:t>
            </w:r>
          </w:p>
        </w:tc>
        <w:tc>
          <w:tcPr>
            <w:tcW w:w="3295"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Председатель</w:t>
            </w:r>
          </w:p>
        </w:tc>
        <w:tc>
          <w:tcPr>
            <w:tcW w:w="2866"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293" w:type="dxa"/>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 w:type="dxa"/>
            <w:tcBorders>
              <w:left w:val="single" w:sz="5" w:space="0" w:color="000000"/>
            </w:tcBorders>
          </w:tcPr>
          <w:p/>
        </w:tc>
      </w:tr>
    </w:tbl>
    <w:sectPr>
      <w:pgSz w:w="16834" w:h="11909" w:orient="landscape"/>
      <w:pgMar w:top="562" w:right="562" w:bottom="512" w:left="562" w:header="562" w:footer="512" w:gutter="0"/>
    </w:sectPr>
  </w:body>
</w:document>
</file>

<file path=word/fontTable.xml><?xml version="1.0" encoding="utf-8"?>
<w:fonts xmlns:r="http://schemas.openxmlformats.org/officeDocument/2006/relationships" xmlns:w="http://schemas.openxmlformats.org/wordprocessingml/2006/main">
  <w:font w:name="Times New Roman"/>
  <w:font w:name="Calibri"/>
  <w:font w:name="Arial"/>
  <w:font w:name="Cambria"/>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RP_Cifrovaya_obrazovatel'naya_sreda_(Leningradskaya_oblast')</dc:title>
  <dc:subject>RP_Cifrovaya_obrazovatel'naya_sreda_(Leningradskaya_oblast')</dc:subject>
  <dc:creator/>
  <cp:keywords/>
  <dc:description/>
  <cp:lastModifiedBy>Stimulsoft Reports 2019.3.4 from 5 August 2019</cp:lastModifiedBy>
  <cp:revision>1</cp:revision>
  <dcterms:created xsi:type="dcterms:W3CDTF">2024-02-09T11:25:41Z</dcterms:created>
  <dcterms:modified xsi:type="dcterms:W3CDTF">2024-02-09T11:25:41Z</dcterms:modified>
</cp:coreProperties>
</file>