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theme/themeOverride22.xml" ContentType="application/vnd.openxmlformats-officedocument.themeOverride+xml"/>
  <Override PartName="/word/charts/chart25.xml" ContentType="application/vnd.openxmlformats-officedocument.drawingml.chart+xml"/>
  <Override PartName="/word/theme/themeOverride23.xml" ContentType="application/vnd.openxmlformats-officedocument.themeOverride+xml"/>
  <Override PartName="/word/charts/chart26.xml" ContentType="application/vnd.openxmlformats-officedocument.drawingml.chart+xml"/>
  <Override PartName="/word/theme/themeOverride24.xml" ContentType="application/vnd.openxmlformats-officedocument.themeOverride+xml"/>
  <Override PartName="/word/charts/chart27.xml" ContentType="application/vnd.openxmlformats-officedocument.drawingml.chart+xml"/>
  <Override PartName="/word/theme/themeOverride25.xml" ContentType="application/vnd.openxmlformats-officedocument.themeOverride+xml"/>
  <Override PartName="/word/charts/chart28.xml" ContentType="application/vnd.openxmlformats-officedocument.drawingml.chart+xml"/>
  <Override PartName="/word/theme/themeOverride26.xml" ContentType="application/vnd.openxmlformats-officedocument.themeOverride+xml"/>
  <Override PartName="/word/charts/chart29.xml" ContentType="application/vnd.openxmlformats-officedocument.drawingml.chart+xml"/>
  <Override PartName="/word/theme/themeOverride27.xml" ContentType="application/vnd.openxmlformats-officedocument.themeOverride+xml"/>
  <Override PartName="/word/charts/chart30.xml" ContentType="application/vnd.openxmlformats-officedocument.drawingml.chart+xml"/>
  <Override PartName="/word/theme/themeOverride28.xml" ContentType="application/vnd.openxmlformats-officedocument.themeOverride+xml"/>
  <Override PartName="/word/charts/chart31.xml" ContentType="application/vnd.openxmlformats-officedocument.drawingml.chart+xml"/>
  <Override PartName="/word/theme/themeOverride29.xml" ContentType="application/vnd.openxmlformats-officedocument.themeOverride+xml"/>
  <Override PartName="/word/charts/chart32.xml" ContentType="application/vnd.openxmlformats-officedocument.drawingml.chart+xml"/>
  <Override PartName="/word/theme/themeOverride30.xml" ContentType="application/vnd.openxmlformats-officedocument.themeOverride+xml"/>
  <Override PartName="/word/charts/chart33.xml" ContentType="application/vnd.openxmlformats-officedocument.drawingml.chart+xml"/>
  <Override PartName="/word/theme/themeOverride31.xml" ContentType="application/vnd.openxmlformats-officedocument.themeOverride+xml"/>
  <Override PartName="/word/charts/chart34.xml" ContentType="application/vnd.openxmlformats-officedocument.drawingml.chart+xml"/>
  <Override PartName="/word/theme/themeOverride32.xml" ContentType="application/vnd.openxmlformats-officedocument.themeOverride+xml"/>
  <Override PartName="/word/charts/chart35.xml" ContentType="application/vnd.openxmlformats-officedocument.drawingml.chart+xml"/>
  <Override PartName="/word/theme/themeOverride33.xml" ContentType="application/vnd.openxmlformats-officedocument.themeOverride+xml"/>
  <Override PartName="/word/charts/chart36.xml" ContentType="application/vnd.openxmlformats-officedocument.drawingml.chart+xml"/>
  <Override PartName="/word/theme/themeOverride34.xml" ContentType="application/vnd.openxmlformats-officedocument.themeOverride+xml"/>
  <Override PartName="/word/charts/chart37.xml" ContentType="application/vnd.openxmlformats-officedocument.drawingml.chart+xml"/>
  <Override PartName="/word/theme/themeOverride35.xml" ContentType="application/vnd.openxmlformats-officedocument.themeOverride+xml"/>
  <Override PartName="/word/charts/chart38.xml" ContentType="application/vnd.openxmlformats-officedocument.drawingml.chart+xml"/>
  <Override PartName="/word/theme/themeOverride36.xml" ContentType="application/vnd.openxmlformats-officedocument.themeOverride+xml"/>
  <Override PartName="/word/charts/chart39.xml" ContentType="application/vnd.openxmlformats-officedocument.drawingml.chart+xml"/>
  <Override PartName="/word/theme/themeOverride37.xml" ContentType="application/vnd.openxmlformats-officedocument.themeOverride+xml"/>
  <Override PartName="/word/charts/chart40.xml" ContentType="application/vnd.openxmlformats-officedocument.drawingml.chart+xml"/>
  <Override PartName="/word/theme/themeOverride38.xml" ContentType="application/vnd.openxmlformats-officedocument.themeOverride+xml"/>
  <Override PartName="/word/charts/chart41.xml" ContentType="application/vnd.openxmlformats-officedocument.drawingml.chart+xml"/>
  <Override PartName="/word/theme/themeOverride39.xml" ContentType="application/vnd.openxmlformats-officedocument.themeOverride+xml"/>
  <Override PartName="/word/charts/chart42.xml" ContentType="application/vnd.openxmlformats-officedocument.drawingml.chart+xml"/>
  <Override PartName="/word/theme/themeOverride40.xml" ContentType="application/vnd.openxmlformats-officedocument.themeOverride+xml"/>
  <Override PartName="/word/charts/chart43.xml" ContentType="application/vnd.openxmlformats-officedocument.drawingml.chart+xml"/>
  <Override PartName="/word/theme/themeOverride41.xml" ContentType="application/vnd.openxmlformats-officedocument.themeOverride+xml"/>
  <Override PartName="/word/charts/chart44.xml" ContentType="application/vnd.openxmlformats-officedocument.drawingml.chart+xml"/>
  <Override PartName="/word/theme/themeOverride42.xml" ContentType="application/vnd.openxmlformats-officedocument.themeOverride+xml"/>
  <Override PartName="/word/charts/chart45.xml" ContentType="application/vnd.openxmlformats-officedocument.drawingml.chart+xml"/>
  <Override PartName="/word/theme/themeOverride43.xml" ContentType="application/vnd.openxmlformats-officedocument.themeOverride+xml"/>
  <Override PartName="/word/charts/chart46.xml" ContentType="application/vnd.openxmlformats-officedocument.drawingml.chart+xml"/>
  <Override PartName="/word/theme/themeOverride44.xml" ContentType="application/vnd.openxmlformats-officedocument.themeOverride+xml"/>
  <Override PartName="/word/charts/chart47.xml" ContentType="application/vnd.openxmlformats-officedocument.drawingml.chart+xml"/>
  <Override PartName="/word/theme/themeOverride45.xml" ContentType="application/vnd.openxmlformats-officedocument.themeOverride+xml"/>
  <Override PartName="/word/charts/chart48.xml" ContentType="application/vnd.openxmlformats-officedocument.drawingml.chart+xml"/>
  <Override PartName="/word/theme/themeOverride46.xml" ContentType="application/vnd.openxmlformats-officedocument.themeOverride+xml"/>
  <Override PartName="/word/charts/chart49.xml" ContentType="application/vnd.openxmlformats-officedocument.drawingml.chart+xml"/>
  <Override PartName="/word/theme/themeOverride47.xml" ContentType="application/vnd.openxmlformats-officedocument.themeOverride+xml"/>
  <Override PartName="/word/charts/chart50.xml" ContentType="application/vnd.openxmlformats-officedocument.drawingml.chart+xml"/>
  <Override PartName="/word/theme/themeOverride48.xml" ContentType="application/vnd.openxmlformats-officedocument.themeOverride+xml"/>
  <Override PartName="/word/charts/chart51.xml" ContentType="application/vnd.openxmlformats-officedocument.drawingml.chart+xml"/>
  <Override PartName="/word/theme/themeOverride49.xml" ContentType="application/vnd.openxmlformats-officedocument.themeOverride+xml"/>
  <Override PartName="/word/charts/chart52.xml" ContentType="application/vnd.openxmlformats-officedocument.drawingml.chart+xml"/>
  <Override PartName="/word/theme/themeOverride50.xml" ContentType="application/vnd.openxmlformats-officedocument.themeOverride+xml"/>
  <Override PartName="/word/charts/chart53.xml" ContentType="application/vnd.openxmlformats-officedocument.drawingml.chart+xml"/>
  <Override PartName="/word/theme/themeOverride51.xml" ContentType="application/vnd.openxmlformats-officedocument.themeOverride+xml"/>
  <Override PartName="/word/charts/chart54.xml" ContentType="application/vnd.openxmlformats-officedocument.drawingml.chart+xml"/>
  <Override PartName="/word/theme/themeOverride52.xml" ContentType="application/vnd.openxmlformats-officedocument.themeOverride+xml"/>
  <Override PartName="/word/charts/chart55.xml" ContentType="application/vnd.openxmlformats-officedocument.drawingml.chart+xml"/>
  <Override PartName="/word/theme/themeOverride53.xml" ContentType="application/vnd.openxmlformats-officedocument.themeOverride+xml"/>
  <Override PartName="/word/charts/chart56.xml" ContentType="application/vnd.openxmlformats-officedocument.drawingml.chart+xml"/>
  <Override PartName="/word/theme/themeOverride54.xml" ContentType="application/vnd.openxmlformats-officedocument.themeOverride+xml"/>
  <Override PartName="/word/charts/chart57.xml" ContentType="application/vnd.openxmlformats-officedocument.drawingml.chart+xml"/>
  <Override PartName="/word/theme/themeOverride55.xml" ContentType="application/vnd.openxmlformats-officedocument.themeOverride+xml"/>
  <Override PartName="/word/charts/chart58.xml" ContentType="application/vnd.openxmlformats-officedocument.drawingml.chart+xml"/>
  <Override PartName="/word/theme/themeOverride56.xml" ContentType="application/vnd.openxmlformats-officedocument.themeOverride+xml"/>
  <Override PartName="/word/charts/chart59.xml" ContentType="application/vnd.openxmlformats-officedocument.drawingml.chart+xml"/>
  <Override PartName="/word/theme/themeOverride57.xml" ContentType="application/vnd.openxmlformats-officedocument.themeOverride+xml"/>
  <Override PartName="/word/charts/chart60.xml" ContentType="application/vnd.openxmlformats-officedocument.drawingml.chart+xml"/>
  <Override PartName="/word/theme/themeOverride58.xml" ContentType="application/vnd.openxmlformats-officedocument.themeOverride+xml"/>
  <Override PartName="/word/charts/chart61.xml" ContentType="application/vnd.openxmlformats-officedocument.drawingml.chart+xml"/>
  <Override PartName="/word/theme/themeOverride59.xml" ContentType="application/vnd.openxmlformats-officedocument.themeOverride+xml"/>
  <Override PartName="/word/charts/chart62.xml" ContentType="application/vnd.openxmlformats-officedocument.drawingml.chart+xml"/>
  <Override PartName="/word/theme/themeOverride60.xml" ContentType="application/vnd.openxmlformats-officedocument.themeOverride+xml"/>
  <Override PartName="/word/charts/chart63.xml" ContentType="application/vnd.openxmlformats-officedocument.drawingml.chart+xml"/>
  <Override PartName="/word/theme/themeOverride61.xml" ContentType="application/vnd.openxmlformats-officedocument.themeOverride+xml"/>
  <Override PartName="/word/charts/chart64.xml" ContentType="application/vnd.openxmlformats-officedocument.drawingml.chart+xml"/>
  <Override PartName="/word/theme/themeOverride62.xml" ContentType="application/vnd.openxmlformats-officedocument.themeOverride+xml"/>
  <Override PartName="/word/charts/chart65.xml" ContentType="application/vnd.openxmlformats-officedocument.drawingml.chart+xml"/>
  <Override PartName="/word/theme/themeOverride63.xml" ContentType="application/vnd.openxmlformats-officedocument.themeOverride+xml"/>
  <Override PartName="/word/charts/chart66.xml" ContentType="application/vnd.openxmlformats-officedocument.drawingml.chart+xml"/>
  <Override PartName="/word/theme/themeOverride64.xml" ContentType="application/vnd.openxmlformats-officedocument.themeOverride+xml"/>
  <Override PartName="/word/charts/chart67.xml" ContentType="application/vnd.openxmlformats-officedocument.drawingml.chart+xml"/>
  <Override PartName="/word/theme/themeOverride65.xml" ContentType="application/vnd.openxmlformats-officedocument.themeOverride+xml"/>
  <Override PartName="/word/charts/chart68.xml" ContentType="application/vnd.openxmlformats-officedocument.drawingml.chart+xml"/>
  <Override PartName="/word/theme/themeOverride66.xml" ContentType="application/vnd.openxmlformats-officedocument.themeOverride+xml"/>
  <Override PartName="/word/charts/chart69.xml" ContentType="application/vnd.openxmlformats-officedocument.drawingml.chart+xml"/>
  <Override PartName="/word/theme/themeOverride67.xml" ContentType="application/vnd.openxmlformats-officedocument.themeOverride+xml"/>
  <Override PartName="/word/charts/chart70.xml" ContentType="application/vnd.openxmlformats-officedocument.drawingml.chart+xml"/>
  <Override PartName="/word/theme/themeOverride68.xml" ContentType="application/vnd.openxmlformats-officedocument.themeOverride+xml"/>
  <Override PartName="/word/charts/chart71.xml" ContentType="application/vnd.openxmlformats-officedocument.drawingml.chart+xml"/>
  <Override PartName="/word/theme/themeOverride69.xml" ContentType="application/vnd.openxmlformats-officedocument.themeOverride+xml"/>
  <Override PartName="/word/charts/chart72.xml" ContentType="application/vnd.openxmlformats-officedocument.drawingml.chart+xml"/>
  <Override PartName="/word/theme/themeOverride70.xml" ContentType="application/vnd.openxmlformats-officedocument.themeOverride+xml"/>
  <Override PartName="/word/charts/chart73.xml" ContentType="application/vnd.openxmlformats-officedocument.drawingml.chart+xml"/>
  <Override PartName="/word/theme/themeOverride71.xml" ContentType="application/vnd.openxmlformats-officedocument.themeOverride+xml"/>
  <Override PartName="/word/charts/chart74.xml" ContentType="application/vnd.openxmlformats-officedocument.drawingml.chart+xml"/>
  <Override PartName="/word/theme/themeOverride72.xml" ContentType="application/vnd.openxmlformats-officedocument.themeOverride+xml"/>
  <Override PartName="/word/charts/chart75.xml" ContentType="application/vnd.openxmlformats-officedocument.drawingml.chart+xml"/>
  <Override PartName="/word/theme/themeOverride73.xml" ContentType="application/vnd.openxmlformats-officedocument.themeOverride+xml"/>
  <Override PartName="/word/charts/chart76.xml" ContentType="application/vnd.openxmlformats-officedocument.drawingml.chart+xml"/>
  <Override PartName="/word/theme/themeOverride74.xml" ContentType="application/vnd.openxmlformats-officedocument.themeOverride+xml"/>
  <Override PartName="/word/charts/chart77.xml" ContentType="application/vnd.openxmlformats-officedocument.drawingml.chart+xml"/>
  <Override PartName="/word/theme/themeOverride75.xml" ContentType="application/vnd.openxmlformats-officedocument.themeOverride+xml"/>
  <Override PartName="/word/charts/chart78.xml" ContentType="application/vnd.openxmlformats-officedocument.drawingml.chart+xml"/>
  <Override PartName="/word/theme/themeOverride76.xml" ContentType="application/vnd.openxmlformats-officedocument.themeOverride+xml"/>
  <Override PartName="/word/charts/chart79.xml" ContentType="application/vnd.openxmlformats-officedocument.drawingml.chart+xml"/>
  <Override PartName="/word/theme/themeOverride77.xml" ContentType="application/vnd.openxmlformats-officedocument.themeOverride+xml"/>
  <Override PartName="/word/charts/chart80.xml" ContentType="application/vnd.openxmlformats-officedocument.drawingml.chart+xml"/>
  <Override PartName="/word/theme/themeOverride78.xml" ContentType="application/vnd.openxmlformats-officedocument.themeOverride+xml"/>
  <Override PartName="/word/charts/chart81.xml" ContentType="application/vnd.openxmlformats-officedocument.drawingml.chart+xml"/>
  <Override PartName="/word/theme/themeOverride79.xml" ContentType="application/vnd.openxmlformats-officedocument.themeOverride+xml"/>
  <Override PartName="/word/charts/chart82.xml" ContentType="application/vnd.openxmlformats-officedocument.drawingml.chart+xml"/>
  <Override PartName="/word/theme/themeOverride80.xml" ContentType="application/vnd.openxmlformats-officedocument.themeOverride+xml"/>
  <Override PartName="/word/charts/chart83.xml" ContentType="application/vnd.openxmlformats-officedocument.drawingml.chart+xml"/>
  <Override PartName="/word/theme/themeOverride81.xml" ContentType="application/vnd.openxmlformats-officedocument.themeOverride+xml"/>
  <Override PartName="/word/charts/chart84.xml" ContentType="application/vnd.openxmlformats-officedocument.drawingml.chart+xml"/>
  <Override PartName="/word/theme/themeOverride82.xml" ContentType="application/vnd.openxmlformats-officedocument.themeOverride+xml"/>
  <Override PartName="/word/charts/chart8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45C5" w:rsidRDefault="00C045C5" w:rsidP="000111A0">
      <w:pPr>
        <w:spacing w:after="0" w:line="360" w:lineRule="auto"/>
        <w:ind w:left="5664"/>
        <w:jc w:val="both"/>
        <w:rPr>
          <w:rFonts w:ascii="Times New Roman" w:hAnsi="Times New Roman" w:cs="Times New Roman"/>
          <w:sz w:val="24"/>
          <w:szCs w:val="24"/>
        </w:rPr>
      </w:pPr>
      <w:bookmarkStart w:id="0" w:name="_GoBack"/>
      <w:bookmarkEnd w:id="0"/>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Приложение № 5</w:t>
      </w:r>
    </w:p>
    <w:p w:rsidR="00C045C5" w:rsidRDefault="00C045C5" w:rsidP="000111A0">
      <w:pPr>
        <w:spacing w:after="0" w:line="360" w:lineRule="auto"/>
        <w:ind w:left="5664"/>
        <w:jc w:val="both"/>
        <w:rPr>
          <w:rFonts w:ascii="Times New Roman" w:hAnsi="Times New Roman" w:cs="Times New Roman"/>
          <w:sz w:val="24"/>
          <w:szCs w:val="24"/>
        </w:rPr>
      </w:pPr>
    </w:p>
    <w:p w:rsidR="000824A7" w:rsidRPr="00091BC4" w:rsidRDefault="000824A7" w:rsidP="000111A0">
      <w:pPr>
        <w:spacing w:after="0" w:line="360" w:lineRule="auto"/>
        <w:ind w:left="5664"/>
        <w:jc w:val="both"/>
        <w:rPr>
          <w:rFonts w:ascii="Times New Roman" w:hAnsi="Times New Roman" w:cs="Times New Roman"/>
          <w:sz w:val="24"/>
          <w:szCs w:val="24"/>
        </w:rPr>
      </w:pPr>
      <w:r w:rsidRPr="00091BC4">
        <w:rPr>
          <w:rFonts w:ascii="Times New Roman" w:hAnsi="Times New Roman" w:cs="Times New Roman"/>
          <w:sz w:val="24"/>
          <w:szCs w:val="24"/>
        </w:rPr>
        <w:t>Утвержден протоколом заседания рабочей группы по вопросам развития конкуренции на территории Ленинг</w:t>
      </w:r>
      <w:r w:rsidR="00091BC4">
        <w:rPr>
          <w:rFonts w:ascii="Times New Roman" w:hAnsi="Times New Roman" w:cs="Times New Roman"/>
          <w:sz w:val="24"/>
          <w:szCs w:val="24"/>
        </w:rPr>
        <w:t>радской области в рамках Совета</w:t>
      </w:r>
      <w:r w:rsidRPr="00091BC4">
        <w:rPr>
          <w:rFonts w:ascii="Times New Roman" w:hAnsi="Times New Roman" w:cs="Times New Roman"/>
          <w:sz w:val="24"/>
          <w:szCs w:val="24"/>
        </w:rPr>
        <w:t xml:space="preserve"> по улу</w:t>
      </w:r>
      <w:r w:rsidR="004149E7">
        <w:rPr>
          <w:rFonts w:ascii="Times New Roman" w:hAnsi="Times New Roman" w:cs="Times New Roman"/>
          <w:sz w:val="24"/>
          <w:szCs w:val="24"/>
        </w:rPr>
        <w:t xml:space="preserve">чшению инвестиционного климата </w:t>
      </w:r>
      <w:r w:rsidRPr="00091BC4">
        <w:rPr>
          <w:rFonts w:ascii="Times New Roman" w:hAnsi="Times New Roman" w:cs="Times New Roman"/>
          <w:sz w:val="24"/>
          <w:szCs w:val="24"/>
        </w:rPr>
        <w:t>в Ленинградской области</w:t>
      </w:r>
    </w:p>
    <w:p w:rsidR="000824A7" w:rsidRPr="004149E7" w:rsidRDefault="001E1145" w:rsidP="000111A0">
      <w:pPr>
        <w:spacing w:after="0" w:line="360" w:lineRule="auto"/>
        <w:ind w:left="5664"/>
        <w:rPr>
          <w:rFonts w:ascii="Times New Roman" w:hAnsi="Times New Roman" w:cs="Times New Roman"/>
          <w:sz w:val="24"/>
          <w:szCs w:val="24"/>
        </w:rPr>
      </w:pPr>
      <w:r>
        <w:rPr>
          <w:rFonts w:ascii="Times New Roman" w:hAnsi="Times New Roman" w:cs="Times New Roman"/>
          <w:sz w:val="24"/>
          <w:szCs w:val="24"/>
        </w:rPr>
        <w:t>от 3</w:t>
      </w:r>
      <w:r w:rsidR="000824A7" w:rsidRPr="004149E7">
        <w:rPr>
          <w:rFonts w:ascii="Times New Roman" w:hAnsi="Times New Roman" w:cs="Times New Roman"/>
          <w:sz w:val="24"/>
          <w:szCs w:val="24"/>
        </w:rPr>
        <w:t>.03.202</w:t>
      </w:r>
      <w:r>
        <w:rPr>
          <w:rFonts w:ascii="Times New Roman" w:hAnsi="Times New Roman" w:cs="Times New Roman"/>
          <w:sz w:val="24"/>
          <w:szCs w:val="24"/>
        </w:rPr>
        <w:t>3</w:t>
      </w:r>
      <w:r w:rsidR="000824A7" w:rsidRPr="004149E7">
        <w:rPr>
          <w:rFonts w:ascii="Times New Roman" w:hAnsi="Times New Roman" w:cs="Times New Roman"/>
          <w:sz w:val="24"/>
          <w:szCs w:val="24"/>
        </w:rPr>
        <w:t xml:space="preserve"> года № </w:t>
      </w:r>
      <w:r w:rsidR="004149E7" w:rsidRPr="004149E7">
        <w:rPr>
          <w:rFonts w:ascii="Times New Roman" w:hAnsi="Times New Roman" w:cs="Times New Roman"/>
          <w:sz w:val="24"/>
          <w:szCs w:val="24"/>
        </w:rPr>
        <w:t>2</w:t>
      </w:r>
    </w:p>
    <w:p w:rsidR="008916C4" w:rsidRDefault="008916C4" w:rsidP="008916C4">
      <w:pPr>
        <w:spacing w:after="0" w:line="360" w:lineRule="auto"/>
        <w:ind w:firstLine="709"/>
        <w:jc w:val="center"/>
        <w:rPr>
          <w:rFonts w:ascii="Times New Roman" w:hAnsi="Times New Roman" w:cs="Times New Roman"/>
          <w:sz w:val="24"/>
          <w:szCs w:val="24"/>
        </w:rPr>
      </w:pPr>
    </w:p>
    <w:p w:rsidR="000824A7" w:rsidRPr="000111A0" w:rsidRDefault="000824A7" w:rsidP="000111A0">
      <w:pPr>
        <w:spacing w:after="0" w:line="360" w:lineRule="auto"/>
        <w:ind w:firstLine="709"/>
        <w:jc w:val="center"/>
        <w:rPr>
          <w:rFonts w:ascii="Times New Roman" w:hAnsi="Times New Roman" w:cs="Times New Roman"/>
          <w:b/>
          <w:sz w:val="24"/>
          <w:szCs w:val="24"/>
        </w:rPr>
      </w:pPr>
      <w:r w:rsidRPr="000111A0">
        <w:rPr>
          <w:rFonts w:ascii="Times New Roman" w:hAnsi="Times New Roman" w:cs="Times New Roman"/>
          <w:b/>
          <w:sz w:val="24"/>
          <w:szCs w:val="24"/>
        </w:rPr>
        <w:t xml:space="preserve">Доклад «Состояние и развитие конкурентной среды на рынках </w:t>
      </w:r>
    </w:p>
    <w:p w:rsidR="000824A7" w:rsidRPr="000111A0" w:rsidRDefault="000824A7" w:rsidP="000111A0">
      <w:pPr>
        <w:spacing w:after="0" w:line="360" w:lineRule="auto"/>
        <w:ind w:firstLine="709"/>
        <w:jc w:val="center"/>
        <w:rPr>
          <w:rFonts w:ascii="Times New Roman" w:hAnsi="Times New Roman" w:cs="Times New Roman"/>
          <w:b/>
          <w:sz w:val="24"/>
          <w:szCs w:val="24"/>
        </w:rPr>
      </w:pPr>
      <w:r w:rsidRPr="000111A0">
        <w:rPr>
          <w:rFonts w:ascii="Times New Roman" w:hAnsi="Times New Roman" w:cs="Times New Roman"/>
          <w:b/>
          <w:sz w:val="24"/>
          <w:szCs w:val="24"/>
        </w:rPr>
        <w:t xml:space="preserve">товаров, работ, услуг Ленинградской области» </w:t>
      </w:r>
    </w:p>
    <w:p w:rsidR="000824A7" w:rsidRPr="000111A0" w:rsidRDefault="004149E7" w:rsidP="000111A0">
      <w:pPr>
        <w:spacing w:after="0" w:line="360" w:lineRule="auto"/>
        <w:ind w:firstLine="709"/>
        <w:jc w:val="center"/>
        <w:rPr>
          <w:rFonts w:ascii="Times New Roman" w:hAnsi="Times New Roman" w:cs="Times New Roman"/>
          <w:b/>
          <w:sz w:val="24"/>
          <w:szCs w:val="24"/>
        </w:rPr>
      </w:pPr>
      <w:r w:rsidRPr="000111A0">
        <w:rPr>
          <w:rFonts w:ascii="Times New Roman" w:hAnsi="Times New Roman" w:cs="Times New Roman"/>
          <w:b/>
          <w:sz w:val="24"/>
          <w:szCs w:val="24"/>
        </w:rPr>
        <w:t>за 202</w:t>
      </w:r>
      <w:r w:rsidR="001E1145">
        <w:rPr>
          <w:rFonts w:ascii="Times New Roman" w:hAnsi="Times New Roman" w:cs="Times New Roman"/>
          <w:b/>
          <w:sz w:val="24"/>
          <w:szCs w:val="24"/>
        </w:rPr>
        <w:t>2</w:t>
      </w:r>
      <w:r w:rsidRPr="000111A0">
        <w:rPr>
          <w:rFonts w:ascii="Times New Roman" w:hAnsi="Times New Roman" w:cs="Times New Roman"/>
          <w:b/>
          <w:sz w:val="24"/>
          <w:szCs w:val="24"/>
        </w:rPr>
        <w:t xml:space="preserve"> год</w:t>
      </w:r>
    </w:p>
    <w:p w:rsidR="004149E7" w:rsidRPr="000111A0" w:rsidRDefault="004149E7" w:rsidP="000111A0">
      <w:pPr>
        <w:spacing w:after="0" w:line="360" w:lineRule="auto"/>
        <w:ind w:firstLine="709"/>
        <w:jc w:val="center"/>
        <w:rPr>
          <w:rFonts w:ascii="Times New Roman" w:hAnsi="Times New Roman" w:cs="Times New Roman"/>
          <w:b/>
          <w:sz w:val="24"/>
          <w:szCs w:val="24"/>
        </w:rPr>
      </w:pPr>
    </w:p>
    <w:p w:rsidR="000824A7" w:rsidRPr="000111A0" w:rsidRDefault="000824A7" w:rsidP="000111A0">
      <w:pPr>
        <w:spacing w:after="0" w:line="360" w:lineRule="auto"/>
        <w:ind w:firstLine="709"/>
        <w:jc w:val="both"/>
        <w:rPr>
          <w:rFonts w:ascii="Times New Roman" w:hAnsi="Times New Roman" w:cs="Times New Roman"/>
          <w:b/>
          <w:sz w:val="24"/>
          <w:szCs w:val="24"/>
        </w:rPr>
      </w:pPr>
      <w:r w:rsidRPr="000111A0">
        <w:rPr>
          <w:rFonts w:ascii="Times New Roman" w:hAnsi="Times New Roman" w:cs="Times New Roman"/>
          <w:b/>
          <w:sz w:val="24"/>
          <w:szCs w:val="24"/>
        </w:rPr>
        <w:t>Раздел 1. Сведения о внедрении стандарта развития конкуренции в субъектах Российской Федерации.</w:t>
      </w:r>
    </w:p>
    <w:p w:rsidR="000824A7" w:rsidRPr="000111A0" w:rsidRDefault="000824A7" w:rsidP="000111A0">
      <w:pPr>
        <w:numPr>
          <w:ilvl w:val="1"/>
          <w:numId w:val="2"/>
        </w:numPr>
        <w:spacing w:after="0" w:line="360" w:lineRule="auto"/>
        <w:ind w:left="0" w:firstLine="709"/>
        <w:contextualSpacing/>
        <w:jc w:val="both"/>
        <w:rPr>
          <w:rFonts w:ascii="Times New Roman" w:hAnsi="Times New Roman" w:cs="Times New Roman"/>
          <w:b/>
          <w:sz w:val="24"/>
          <w:szCs w:val="24"/>
        </w:rPr>
      </w:pPr>
      <w:r w:rsidRPr="000111A0">
        <w:rPr>
          <w:rFonts w:ascii="Times New Roman" w:hAnsi="Times New Roman" w:cs="Times New Roman"/>
          <w:b/>
          <w:sz w:val="24"/>
          <w:szCs w:val="24"/>
        </w:rPr>
        <w:t>Решение высшего должностного лица субъекта Российской Федерации о внедрении стандарта развития конкуренции в субъектах Российской Федерации (далее – Стандарт).</w:t>
      </w:r>
    </w:p>
    <w:p w:rsidR="000824A7" w:rsidRPr="000111A0" w:rsidRDefault="000824A7" w:rsidP="000111A0">
      <w:pPr>
        <w:spacing w:after="0" w:line="360" w:lineRule="auto"/>
        <w:ind w:firstLine="709"/>
        <w:jc w:val="both"/>
        <w:rPr>
          <w:rFonts w:ascii="Times New Roman" w:hAnsi="Times New Roman" w:cs="Times New Roman"/>
          <w:sz w:val="24"/>
          <w:szCs w:val="24"/>
        </w:rPr>
      </w:pPr>
      <w:r w:rsidRPr="000111A0">
        <w:rPr>
          <w:rFonts w:ascii="Times New Roman" w:hAnsi="Times New Roman" w:cs="Times New Roman"/>
          <w:sz w:val="24"/>
          <w:szCs w:val="24"/>
        </w:rPr>
        <w:t xml:space="preserve">Внедрение Стандарта развития конкуренции в субъектах Российской Федерации (далее – Стандарт) на территории Ленинградской области осуществляется в соответствии с Распоряжением  Губернатора Ленинградской области от 15 февраля 2016 года №76-рг «О внедрении на территории Ленинградской области стандарта развития конкуренции в субъектах Российской Федерации». </w:t>
      </w:r>
    </w:p>
    <w:p w:rsidR="000824A7" w:rsidRDefault="000824A7" w:rsidP="000111A0">
      <w:pPr>
        <w:spacing w:after="0" w:line="360" w:lineRule="auto"/>
        <w:ind w:firstLine="709"/>
        <w:jc w:val="both"/>
        <w:rPr>
          <w:rFonts w:ascii="Times New Roman" w:hAnsi="Times New Roman" w:cs="Times New Roman"/>
          <w:sz w:val="24"/>
          <w:szCs w:val="24"/>
        </w:rPr>
      </w:pPr>
      <w:r w:rsidRPr="000111A0">
        <w:rPr>
          <w:rFonts w:ascii="Times New Roman" w:hAnsi="Times New Roman" w:cs="Times New Roman"/>
          <w:sz w:val="24"/>
          <w:szCs w:val="24"/>
        </w:rPr>
        <w:t xml:space="preserve">Ссылка на документ в сети Интернет: </w:t>
      </w:r>
    </w:p>
    <w:p w:rsidR="00B710BA" w:rsidRDefault="008C32C6" w:rsidP="006F6D1F">
      <w:pPr>
        <w:spacing w:after="0" w:line="360" w:lineRule="auto"/>
        <w:ind w:firstLine="709"/>
        <w:jc w:val="both"/>
        <w:rPr>
          <w:rFonts w:ascii="Times New Roman" w:hAnsi="Times New Roman" w:cs="Times New Roman"/>
          <w:sz w:val="24"/>
          <w:szCs w:val="24"/>
        </w:rPr>
      </w:pPr>
      <w:hyperlink r:id="rId9" w:history="1">
        <w:r w:rsidR="001E1145" w:rsidRPr="0077268B">
          <w:rPr>
            <w:rStyle w:val="a6"/>
            <w:rFonts w:ascii="Times New Roman" w:hAnsi="Times New Roman" w:cs="Times New Roman"/>
            <w:sz w:val="24"/>
            <w:szCs w:val="24"/>
          </w:rPr>
          <w:t>https://econ.lenobl.ru/ru/budget/competition/standard/monitoringa-sostoyaniya-i-razvitiya-konkurentnoj-sredy-na-rynkah-tovar/</w:t>
        </w:r>
      </w:hyperlink>
    </w:p>
    <w:p w:rsidR="008502AE" w:rsidRPr="008502AE" w:rsidRDefault="008502AE" w:rsidP="008502AE">
      <w:pPr>
        <w:numPr>
          <w:ilvl w:val="1"/>
          <w:numId w:val="2"/>
        </w:numPr>
        <w:spacing w:after="0" w:line="360" w:lineRule="auto"/>
        <w:jc w:val="both"/>
        <w:rPr>
          <w:rFonts w:ascii="Times New Roman" w:hAnsi="Times New Roman" w:cs="Times New Roman"/>
          <w:sz w:val="24"/>
          <w:szCs w:val="24"/>
        </w:rPr>
      </w:pPr>
      <w:r w:rsidRPr="008502AE">
        <w:rPr>
          <w:rFonts w:ascii="Times New Roman" w:hAnsi="Times New Roman" w:cs="Times New Roman"/>
          <w:b/>
          <w:sz w:val="24"/>
          <w:szCs w:val="24"/>
        </w:rPr>
        <w:t>Информация о реализации проектного подхода при внедрении Стандарта.</w:t>
      </w:r>
    </w:p>
    <w:p w:rsidR="008502AE" w:rsidRPr="008502AE" w:rsidRDefault="008502AE" w:rsidP="008502AE">
      <w:pPr>
        <w:spacing w:after="0" w:line="360" w:lineRule="auto"/>
        <w:ind w:firstLine="709"/>
        <w:jc w:val="both"/>
        <w:rPr>
          <w:rFonts w:ascii="Times New Roman" w:hAnsi="Times New Roman" w:cs="Times New Roman"/>
          <w:sz w:val="24"/>
          <w:szCs w:val="24"/>
        </w:rPr>
      </w:pPr>
      <w:r w:rsidRPr="008502AE">
        <w:rPr>
          <w:rFonts w:ascii="Times New Roman" w:hAnsi="Times New Roman" w:cs="Times New Roman"/>
          <w:sz w:val="24"/>
          <w:szCs w:val="24"/>
        </w:rPr>
        <w:t>Для создания благоприятных условий ведения предпринимательской деятельности и снижения административных барьеров в Ленинградской области в 2017 году Правительством области создан центральный проектный офис.</w:t>
      </w:r>
    </w:p>
    <w:p w:rsidR="008502AE" w:rsidRPr="008502AE" w:rsidRDefault="008502AE" w:rsidP="008502AE">
      <w:pPr>
        <w:spacing w:after="0" w:line="360" w:lineRule="auto"/>
        <w:ind w:firstLine="709"/>
        <w:jc w:val="both"/>
        <w:rPr>
          <w:rFonts w:ascii="Times New Roman" w:hAnsi="Times New Roman" w:cs="Times New Roman"/>
          <w:sz w:val="24"/>
          <w:szCs w:val="24"/>
        </w:rPr>
      </w:pPr>
      <w:r w:rsidRPr="008502AE">
        <w:rPr>
          <w:rFonts w:ascii="Times New Roman" w:hAnsi="Times New Roman" w:cs="Times New Roman"/>
          <w:sz w:val="24"/>
          <w:szCs w:val="24"/>
        </w:rPr>
        <w:t xml:space="preserve">Ссылка на Постановление Правительства Ленинградской области от 16 мая 2017 г. № 164 «Об организации проектной деятельности в органах исполнительной власти Ленинградской области» размещена </w:t>
      </w:r>
      <w:hyperlink r:id="rId10" w:history="1">
        <w:r w:rsidRPr="008502AE">
          <w:rPr>
            <w:rStyle w:val="a6"/>
            <w:rFonts w:ascii="Times New Roman" w:hAnsi="Times New Roman" w:cs="Times New Roman"/>
            <w:sz w:val="24"/>
            <w:szCs w:val="24"/>
          </w:rPr>
          <w:t>https://econ.lenobl.ru/ru/budget/projects/</w:t>
        </w:r>
      </w:hyperlink>
      <w:r w:rsidRPr="008502AE">
        <w:rPr>
          <w:rFonts w:ascii="Times New Roman" w:hAnsi="Times New Roman" w:cs="Times New Roman"/>
          <w:sz w:val="24"/>
          <w:szCs w:val="24"/>
        </w:rPr>
        <w:t>.</w:t>
      </w:r>
    </w:p>
    <w:p w:rsidR="008502AE" w:rsidRPr="008502AE" w:rsidRDefault="008502AE" w:rsidP="008502AE">
      <w:pPr>
        <w:spacing w:after="0" w:line="360" w:lineRule="auto"/>
        <w:ind w:firstLine="709"/>
        <w:jc w:val="both"/>
        <w:rPr>
          <w:rFonts w:ascii="Times New Roman" w:hAnsi="Times New Roman" w:cs="Times New Roman"/>
          <w:sz w:val="24"/>
          <w:szCs w:val="24"/>
        </w:rPr>
      </w:pPr>
      <w:r w:rsidRPr="008502AE">
        <w:rPr>
          <w:rFonts w:ascii="Times New Roman" w:hAnsi="Times New Roman" w:cs="Times New Roman"/>
          <w:sz w:val="24"/>
          <w:szCs w:val="24"/>
        </w:rPr>
        <w:t xml:space="preserve">Центральный проектный офис занимается решением задач по повышению эффективности управления социально-экономическим развитием области путем адаптации системы управления </w:t>
      </w:r>
      <w:r w:rsidRPr="008502AE">
        <w:rPr>
          <w:rFonts w:ascii="Times New Roman" w:hAnsi="Times New Roman" w:cs="Times New Roman"/>
          <w:sz w:val="24"/>
          <w:szCs w:val="24"/>
        </w:rPr>
        <w:lastRenderedPageBreak/>
        <w:t>к работе в рамках проектного подхода и улучшения инвестиционного климата за счет применения инструментов проектного управления.</w:t>
      </w:r>
    </w:p>
    <w:p w:rsidR="008502AE" w:rsidRPr="008502AE" w:rsidRDefault="008502AE" w:rsidP="008502AE">
      <w:pPr>
        <w:spacing w:after="0" w:line="360" w:lineRule="auto"/>
        <w:ind w:firstLine="709"/>
        <w:jc w:val="both"/>
        <w:rPr>
          <w:rFonts w:ascii="Times New Roman" w:hAnsi="Times New Roman" w:cs="Times New Roman"/>
          <w:sz w:val="24"/>
          <w:szCs w:val="24"/>
        </w:rPr>
      </w:pPr>
      <w:r w:rsidRPr="008502AE">
        <w:rPr>
          <w:rFonts w:ascii="Times New Roman" w:hAnsi="Times New Roman" w:cs="Times New Roman"/>
          <w:sz w:val="24"/>
          <w:szCs w:val="24"/>
        </w:rPr>
        <w:t>На сегодняшний день в Ленинградской области реализуются:</w:t>
      </w:r>
    </w:p>
    <w:p w:rsidR="008502AE" w:rsidRPr="008502AE" w:rsidRDefault="008502AE" w:rsidP="008502AE">
      <w:pPr>
        <w:spacing w:after="0" w:line="360" w:lineRule="auto"/>
        <w:ind w:firstLine="709"/>
        <w:jc w:val="both"/>
        <w:rPr>
          <w:rFonts w:ascii="Times New Roman" w:hAnsi="Times New Roman" w:cs="Times New Roman"/>
          <w:sz w:val="24"/>
          <w:szCs w:val="24"/>
        </w:rPr>
      </w:pPr>
      <w:r w:rsidRPr="008502AE">
        <w:rPr>
          <w:rFonts w:ascii="Times New Roman" w:hAnsi="Times New Roman" w:cs="Times New Roman"/>
          <w:sz w:val="24"/>
          <w:szCs w:val="24"/>
        </w:rPr>
        <w:t xml:space="preserve">- </w:t>
      </w:r>
      <w:r w:rsidR="00C44BFF">
        <w:rPr>
          <w:rFonts w:ascii="Times New Roman" w:hAnsi="Times New Roman" w:cs="Times New Roman"/>
          <w:sz w:val="24"/>
          <w:szCs w:val="24"/>
        </w:rPr>
        <w:t>3</w:t>
      </w:r>
      <w:r w:rsidRPr="008502AE">
        <w:rPr>
          <w:rFonts w:ascii="Times New Roman" w:hAnsi="Times New Roman" w:cs="Times New Roman"/>
          <w:sz w:val="24"/>
          <w:szCs w:val="24"/>
        </w:rPr>
        <w:t xml:space="preserve"> приоритетные программы проектов;</w:t>
      </w:r>
    </w:p>
    <w:p w:rsidR="008502AE" w:rsidRPr="008502AE" w:rsidRDefault="008502AE" w:rsidP="008502AE">
      <w:pPr>
        <w:spacing w:after="0" w:line="360" w:lineRule="auto"/>
        <w:ind w:firstLine="709"/>
        <w:jc w:val="both"/>
        <w:rPr>
          <w:rFonts w:ascii="Times New Roman" w:hAnsi="Times New Roman" w:cs="Times New Roman"/>
          <w:sz w:val="24"/>
          <w:szCs w:val="24"/>
        </w:rPr>
      </w:pPr>
      <w:r w:rsidRPr="008502AE">
        <w:rPr>
          <w:rFonts w:ascii="Times New Roman" w:hAnsi="Times New Roman" w:cs="Times New Roman"/>
          <w:sz w:val="24"/>
          <w:szCs w:val="24"/>
        </w:rPr>
        <w:t xml:space="preserve">- </w:t>
      </w:r>
      <w:r w:rsidRPr="00B147FB">
        <w:rPr>
          <w:rFonts w:ascii="Times New Roman" w:hAnsi="Times New Roman" w:cs="Times New Roman"/>
          <w:sz w:val="24"/>
          <w:szCs w:val="24"/>
        </w:rPr>
        <w:t>16 приоритетных проектов;</w:t>
      </w:r>
    </w:p>
    <w:p w:rsidR="008502AE" w:rsidRPr="008502AE" w:rsidRDefault="008502AE" w:rsidP="008502AE">
      <w:pPr>
        <w:spacing w:after="0" w:line="360" w:lineRule="auto"/>
        <w:ind w:firstLine="709"/>
        <w:jc w:val="both"/>
        <w:rPr>
          <w:rFonts w:ascii="Times New Roman" w:hAnsi="Times New Roman" w:cs="Times New Roman"/>
          <w:sz w:val="24"/>
          <w:szCs w:val="24"/>
        </w:rPr>
      </w:pPr>
      <w:r w:rsidRPr="008502AE">
        <w:rPr>
          <w:rFonts w:ascii="Times New Roman" w:hAnsi="Times New Roman" w:cs="Times New Roman"/>
          <w:sz w:val="24"/>
          <w:szCs w:val="24"/>
        </w:rPr>
        <w:t>- 4</w:t>
      </w:r>
      <w:r w:rsidR="00C44BFF">
        <w:rPr>
          <w:rFonts w:ascii="Times New Roman" w:hAnsi="Times New Roman" w:cs="Times New Roman"/>
          <w:sz w:val="24"/>
          <w:szCs w:val="24"/>
        </w:rPr>
        <w:t>7</w:t>
      </w:r>
      <w:r w:rsidRPr="008502AE">
        <w:rPr>
          <w:rFonts w:ascii="Times New Roman" w:hAnsi="Times New Roman" w:cs="Times New Roman"/>
          <w:sz w:val="24"/>
          <w:szCs w:val="24"/>
        </w:rPr>
        <w:t xml:space="preserve"> региональных проектов.</w:t>
      </w:r>
    </w:p>
    <w:p w:rsidR="008502AE" w:rsidRDefault="008502AE" w:rsidP="008502AE">
      <w:pPr>
        <w:spacing w:after="0" w:line="360" w:lineRule="auto"/>
        <w:ind w:firstLine="709"/>
        <w:jc w:val="both"/>
        <w:rPr>
          <w:rFonts w:ascii="Times New Roman" w:hAnsi="Times New Roman" w:cs="Times New Roman"/>
          <w:sz w:val="24"/>
          <w:szCs w:val="24"/>
        </w:rPr>
      </w:pPr>
      <w:r w:rsidRPr="008502AE">
        <w:rPr>
          <w:rFonts w:ascii="Times New Roman" w:hAnsi="Times New Roman" w:cs="Times New Roman"/>
          <w:sz w:val="24"/>
          <w:szCs w:val="24"/>
        </w:rPr>
        <w:t>С проектом</w:t>
      </w:r>
      <w:r>
        <w:rPr>
          <w:rFonts w:ascii="Times New Roman" w:hAnsi="Times New Roman" w:cs="Times New Roman"/>
          <w:sz w:val="24"/>
          <w:szCs w:val="24"/>
        </w:rPr>
        <w:t xml:space="preserve"> «</w:t>
      </w:r>
      <w:r w:rsidRPr="008502AE">
        <w:rPr>
          <w:rFonts w:ascii="Times New Roman" w:hAnsi="Times New Roman" w:cs="Times New Roman"/>
          <w:sz w:val="24"/>
          <w:szCs w:val="24"/>
        </w:rPr>
        <w:t xml:space="preserve">Содействие развитию конкуренции на рынках товаров, работ </w:t>
      </w:r>
      <w:r>
        <w:rPr>
          <w:rFonts w:ascii="Times New Roman" w:hAnsi="Times New Roman" w:cs="Times New Roman"/>
          <w:sz w:val="24"/>
          <w:szCs w:val="24"/>
        </w:rPr>
        <w:t>и услуг Ленинградской области»</w:t>
      </w:r>
      <w:r w:rsidRPr="008502AE">
        <w:rPr>
          <w:rFonts w:ascii="Times New Roman" w:hAnsi="Times New Roman" w:cs="Times New Roman"/>
          <w:sz w:val="24"/>
          <w:szCs w:val="24"/>
        </w:rPr>
        <w:t xml:space="preserve"> можно </w:t>
      </w:r>
      <w:r>
        <w:rPr>
          <w:rFonts w:ascii="Times New Roman" w:hAnsi="Times New Roman" w:cs="Times New Roman"/>
          <w:sz w:val="24"/>
          <w:szCs w:val="24"/>
        </w:rPr>
        <w:t>ознакомиться</w:t>
      </w:r>
    </w:p>
    <w:p w:rsidR="008502AE" w:rsidRDefault="008C32C6" w:rsidP="008502AE">
      <w:pPr>
        <w:spacing w:after="0" w:line="360" w:lineRule="auto"/>
        <w:ind w:firstLine="709"/>
        <w:jc w:val="both"/>
        <w:rPr>
          <w:rFonts w:ascii="Times New Roman" w:hAnsi="Times New Roman" w:cs="Times New Roman"/>
          <w:sz w:val="24"/>
          <w:szCs w:val="24"/>
        </w:rPr>
      </w:pPr>
      <w:hyperlink r:id="rId11" w:history="1">
        <w:r w:rsidR="008502AE" w:rsidRPr="008502AE">
          <w:rPr>
            <w:rStyle w:val="a6"/>
            <w:rFonts w:ascii="Times New Roman" w:hAnsi="Times New Roman" w:cs="Times New Roman"/>
            <w:sz w:val="24"/>
            <w:szCs w:val="24"/>
          </w:rPr>
          <w:t>https://econ.lenobl.ru/ru/budget/competition/standard/pasport-proekta-sodejstvie-razvitiyu-konkurencii-na-rynkah-tovarov-rab/</w:t>
        </w:r>
      </w:hyperlink>
      <w:r w:rsidR="008502AE" w:rsidRPr="008502AE">
        <w:rPr>
          <w:rFonts w:ascii="Times New Roman" w:hAnsi="Times New Roman" w:cs="Times New Roman"/>
          <w:sz w:val="24"/>
          <w:szCs w:val="24"/>
        </w:rPr>
        <w:t>.</w:t>
      </w:r>
    </w:p>
    <w:p w:rsidR="008502AE" w:rsidRPr="008502AE" w:rsidRDefault="008502AE" w:rsidP="008502AE">
      <w:pPr>
        <w:spacing w:after="0" w:line="360" w:lineRule="auto"/>
        <w:ind w:firstLine="709"/>
        <w:jc w:val="both"/>
        <w:rPr>
          <w:rFonts w:ascii="Times New Roman" w:hAnsi="Times New Roman" w:cs="Times New Roman"/>
          <w:sz w:val="24"/>
          <w:szCs w:val="24"/>
        </w:rPr>
      </w:pPr>
      <w:r w:rsidRPr="008502AE">
        <w:rPr>
          <w:rFonts w:ascii="Times New Roman" w:hAnsi="Times New Roman" w:cs="Times New Roman"/>
          <w:sz w:val="24"/>
          <w:szCs w:val="24"/>
        </w:rPr>
        <w:t>Целевые показатели реализации</w:t>
      </w:r>
      <w:r>
        <w:rPr>
          <w:rFonts w:ascii="Times New Roman" w:hAnsi="Times New Roman" w:cs="Times New Roman"/>
          <w:sz w:val="24"/>
          <w:szCs w:val="24"/>
        </w:rPr>
        <w:t xml:space="preserve"> указанного проекта к 25 декабря 2022 года</w:t>
      </w:r>
      <w:r w:rsidRPr="008502AE">
        <w:rPr>
          <w:rFonts w:ascii="Times New Roman" w:hAnsi="Times New Roman" w:cs="Times New Roman"/>
          <w:sz w:val="24"/>
          <w:szCs w:val="24"/>
        </w:rPr>
        <w:t>:</w:t>
      </w:r>
    </w:p>
    <w:p w:rsidR="008502AE" w:rsidRPr="008502AE" w:rsidRDefault="008502AE" w:rsidP="008502A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д</w:t>
      </w:r>
      <w:r w:rsidRPr="008502AE">
        <w:rPr>
          <w:rFonts w:ascii="Times New Roman" w:hAnsi="Times New Roman" w:cs="Times New Roman"/>
          <w:sz w:val="24"/>
          <w:szCs w:val="24"/>
        </w:rPr>
        <w:t>оля достигнутых целевых значений контрольных показателей, установленных в плане мероприятий – 100%</w:t>
      </w:r>
      <w:r>
        <w:rPr>
          <w:rFonts w:ascii="Times New Roman" w:hAnsi="Times New Roman" w:cs="Times New Roman"/>
          <w:sz w:val="24"/>
          <w:szCs w:val="24"/>
        </w:rPr>
        <w:t>;</w:t>
      </w:r>
    </w:p>
    <w:p w:rsidR="008502AE" w:rsidRPr="008502AE" w:rsidRDefault="008502AE" w:rsidP="008502A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w:t>
      </w:r>
      <w:r w:rsidRPr="008502AE">
        <w:rPr>
          <w:rFonts w:ascii="Times New Roman" w:hAnsi="Times New Roman" w:cs="Times New Roman"/>
          <w:sz w:val="24"/>
          <w:szCs w:val="24"/>
        </w:rPr>
        <w:t>беспечение на 33 товарных рынков Ленинградской области не менее одного ч</w:t>
      </w:r>
      <w:r>
        <w:rPr>
          <w:rFonts w:ascii="Times New Roman" w:hAnsi="Times New Roman" w:cs="Times New Roman"/>
          <w:sz w:val="24"/>
          <w:szCs w:val="24"/>
        </w:rPr>
        <w:t>астного хозяйствующего субъекта;</w:t>
      </w:r>
    </w:p>
    <w:p w:rsidR="008502AE" w:rsidRPr="008502AE" w:rsidRDefault="008502AE" w:rsidP="008502A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у</w:t>
      </w:r>
      <w:r w:rsidRPr="008502AE">
        <w:rPr>
          <w:rFonts w:ascii="Times New Roman" w:hAnsi="Times New Roman" w:cs="Times New Roman"/>
          <w:sz w:val="24"/>
          <w:szCs w:val="24"/>
        </w:rPr>
        <w:t>величение к 2020 г. доли закупок, участниками которых являются только субъекты малого предпринимательства и социально ориентированные некоммерческие организации, в сфере государственного и муниц</w:t>
      </w:r>
      <w:r>
        <w:rPr>
          <w:rFonts w:ascii="Times New Roman" w:hAnsi="Times New Roman" w:cs="Times New Roman"/>
          <w:sz w:val="24"/>
          <w:szCs w:val="24"/>
        </w:rPr>
        <w:t>ипального заказа – не менее 35%;</w:t>
      </w:r>
    </w:p>
    <w:p w:rsidR="008502AE" w:rsidRPr="008502AE" w:rsidRDefault="008502AE" w:rsidP="008502A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w:t>
      </w:r>
      <w:r w:rsidRPr="008502AE">
        <w:rPr>
          <w:rFonts w:ascii="Times New Roman" w:hAnsi="Times New Roman" w:cs="Times New Roman"/>
          <w:sz w:val="24"/>
          <w:szCs w:val="24"/>
        </w:rPr>
        <w:t>рганизация системы внутреннего обеспечения соответствия требованиям антимонопольного законодательства деятельности органов местного самоуправления Ленинградск</w:t>
      </w:r>
      <w:r>
        <w:rPr>
          <w:rFonts w:ascii="Times New Roman" w:hAnsi="Times New Roman" w:cs="Times New Roman"/>
          <w:sz w:val="24"/>
          <w:szCs w:val="24"/>
        </w:rPr>
        <w:t>ой области – 18 муниципалитетов;</w:t>
      </w:r>
    </w:p>
    <w:p w:rsidR="008502AE" w:rsidRPr="000111A0" w:rsidRDefault="008502AE" w:rsidP="008502A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с</w:t>
      </w:r>
      <w:r w:rsidRPr="008502AE">
        <w:rPr>
          <w:rFonts w:ascii="Times New Roman" w:hAnsi="Times New Roman" w:cs="Times New Roman"/>
          <w:sz w:val="24"/>
          <w:szCs w:val="24"/>
        </w:rPr>
        <w:t xml:space="preserve">окращение практики заключения договоров с </w:t>
      </w:r>
      <w:r w:rsidR="00182FF1">
        <w:rPr>
          <w:rFonts w:ascii="Times New Roman" w:hAnsi="Times New Roman" w:cs="Times New Roman"/>
          <w:sz w:val="24"/>
          <w:szCs w:val="24"/>
        </w:rPr>
        <w:t>«</w:t>
      </w:r>
      <w:r w:rsidRPr="008502AE">
        <w:rPr>
          <w:rFonts w:ascii="Times New Roman" w:hAnsi="Times New Roman" w:cs="Times New Roman"/>
          <w:sz w:val="24"/>
          <w:szCs w:val="24"/>
        </w:rPr>
        <w:t>единственным поставщиком</w:t>
      </w:r>
      <w:r w:rsidR="00182FF1">
        <w:rPr>
          <w:rFonts w:ascii="Times New Roman" w:hAnsi="Times New Roman" w:cs="Times New Roman"/>
          <w:sz w:val="24"/>
          <w:szCs w:val="24"/>
        </w:rPr>
        <w:t>»</w:t>
      </w:r>
      <w:r w:rsidRPr="008502AE">
        <w:rPr>
          <w:rFonts w:ascii="Times New Roman" w:hAnsi="Times New Roman" w:cs="Times New Roman"/>
          <w:sz w:val="24"/>
          <w:szCs w:val="24"/>
        </w:rPr>
        <w:t xml:space="preserve"> в закупочной деятельности – не более 38% договоров.</w:t>
      </w:r>
    </w:p>
    <w:p w:rsidR="000824A7" w:rsidRPr="000111A0" w:rsidRDefault="000824A7" w:rsidP="000111A0">
      <w:pPr>
        <w:numPr>
          <w:ilvl w:val="1"/>
          <w:numId w:val="2"/>
        </w:numPr>
        <w:spacing w:after="0" w:line="360" w:lineRule="auto"/>
        <w:ind w:left="0" w:firstLine="709"/>
        <w:contextualSpacing/>
        <w:jc w:val="both"/>
        <w:rPr>
          <w:rFonts w:ascii="Times New Roman" w:hAnsi="Times New Roman" w:cs="Times New Roman"/>
          <w:b/>
          <w:sz w:val="24"/>
          <w:szCs w:val="24"/>
        </w:rPr>
      </w:pPr>
      <w:r w:rsidRPr="000111A0">
        <w:rPr>
          <w:rFonts w:ascii="Times New Roman" w:hAnsi="Times New Roman" w:cs="Times New Roman"/>
          <w:b/>
          <w:sz w:val="24"/>
          <w:szCs w:val="24"/>
        </w:rPr>
        <w:t>Сведения об источниках финансовых средств, используемых для достижения целей Стандарта.</w:t>
      </w:r>
    </w:p>
    <w:p w:rsidR="000824A7" w:rsidRPr="000111A0" w:rsidRDefault="000824A7" w:rsidP="000111A0">
      <w:pPr>
        <w:spacing w:after="0" w:line="360" w:lineRule="auto"/>
        <w:ind w:firstLine="709"/>
        <w:contextualSpacing/>
        <w:jc w:val="both"/>
        <w:rPr>
          <w:rFonts w:ascii="Times New Roman" w:hAnsi="Times New Roman" w:cs="Times New Roman"/>
          <w:sz w:val="24"/>
          <w:szCs w:val="24"/>
        </w:rPr>
      </w:pPr>
      <w:r w:rsidRPr="000111A0">
        <w:rPr>
          <w:rFonts w:ascii="Times New Roman" w:hAnsi="Times New Roman" w:cs="Times New Roman"/>
          <w:sz w:val="24"/>
          <w:szCs w:val="24"/>
        </w:rPr>
        <w:t>Мероприятия по содействию развитию конкуренции реализуются в соответствии с государственной программой «Стимулирование экономической активности Ленинградской области», утвержденной Постановлением Правительства Ленин</w:t>
      </w:r>
      <w:r w:rsidR="001C06DC">
        <w:rPr>
          <w:rFonts w:ascii="Times New Roman" w:hAnsi="Times New Roman" w:cs="Times New Roman"/>
          <w:sz w:val="24"/>
          <w:szCs w:val="24"/>
        </w:rPr>
        <w:t>градской области от 14.11.2013 №</w:t>
      </w:r>
      <w:r w:rsidR="00266091">
        <w:rPr>
          <w:rFonts w:ascii="Times New Roman" w:hAnsi="Times New Roman" w:cs="Times New Roman"/>
          <w:sz w:val="24"/>
          <w:szCs w:val="24"/>
        </w:rPr>
        <w:t xml:space="preserve"> 394</w:t>
      </w:r>
      <w:r w:rsidRPr="000111A0">
        <w:rPr>
          <w:rFonts w:ascii="Times New Roman" w:hAnsi="Times New Roman" w:cs="Times New Roman"/>
          <w:sz w:val="24"/>
          <w:szCs w:val="24"/>
        </w:rPr>
        <w:t>.</w:t>
      </w:r>
    </w:p>
    <w:p w:rsidR="000824A7" w:rsidRPr="000111A0" w:rsidRDefault="002F6152" w:rsidP="002F6152">
      <w:pPr>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На 2022 -</w:t>
      </w:r>
      <w:r w:rsidR="0001633E">
        <w:rPr>
          <w:rFonts w:ascii="Times New Roman" w:hAnsi="Times New Roman" w:cs="Times New Roman"/>
          <w:sz w:val="24"/>
          <w:szCs w:val="24"/>
        </w:rPr>
        <w:t xml:space="preserve"> </w:t>
      </w:r>
      <w:r>
        <w:rPr>
          <w:rFonts w:ascii="Times New Roman" w:hAnsi="Times New Roman" w:cs="Times New Roman"/>
          <w:sz w:val="24"/>
          <w:szCs w:val="24"/>
        </w:rPr>
        <w:t>2025 годы о</w:t>
      </w:r>
      <w:r w:rsidR="000824A7" w:rsidRPr="00FE101B">
        <w:rPr>
          <w:rFonts w:ascii="Times New Roman" w:hAnsi="Times New Roman" w:cs="Times New Roman"/>
          <w:sz w:val="24"/>
          <w:szCs w:val="24"/>
        </w:rPr>
        <w:t xml:space="preserve">бщий объем финансирования на реализацию мероприятий по содействию развитию конкуренции в рамках </w:t>
      </w:r>
      <w:r w:rsidR="006F6D1F" w:rsidRPr="006F6D1F">
        <w:rPr>
          <w:rFonts w:ascii="Times New Roman" w:hAnsi="Times New Roman" w:cs="Times New Roman"/>
          <w:sz w:val="24"/>
          <w:szCs w:val="24"/>
        </w:rPr>
        <w:t>подпрограммы</w:t>
      </w:r>
      <w:r w:rsidR="006F6D1F">
        <w:rPr>
          <w:rFonts w:ascii="Times New Roman" w:hAnsi="Times New Roman" w:cs="Times New Roman"/>
          <w:sz w:val="24"/>
          <w:szCs w:val="24"/>
        </w:rPr>
        <w:t xml:space="preserve"> «</w:t>
      </w:r>
      <w:r w:rsidR="006F6D1F" w:rsidRPr="006F6D1F">
        <w:rPr>
          <w:rFonts w:ascii="Times New Roman" w:hAnsi="Times New Roman" w:cs="Times New Roman"/>
          <w:sz w:val="24"/>
          <w:szCs w:val="24"/>
        </w:rPr>
        <w:t>Создание условий для и</w:t>
      </w:r>
      <w:r w:rsidR="006F6D1F">
        <w:rPr>
          <w:rFonts w:ascii="Times New Roman" w:hAnsi="Times New Roman" w:cs="Times New Roman"/>
          <w:sz w:val="24"/>
          <w:szCs w:val="24"/>
        </w:rPr>
        <w:t>нвестиционной привлекательности региона»</w:t>
      </w:r>
      <w:r w:rsidR="006F6D1F" w:rsidRPr="006F6D1F">
        <w:rPr>
          <w:rFonts w:ascii="Times New Roman" w:hAnsi="Times New Roman" w:cs="Times New Roman"/>
          <w:sz w:val="24"/>
          <w:szCs w:val="24"/>
        </w:rPr>
        <w:t xml:space="preserve"> </w:t>
      </w:r>
      <w:r w:rsidR="000824A7" w:rsidRPr="00FE101B">
        <w:rPr>
          <w:rFonts w:ascii="Times New Roman" w:hAnsi="Times New Roman" w:cs="Times New Roman"/>
          <w:sz w:val="24"/>
          <w:szCs w:val="24"/>
        </w:rPr>
        <w:t xml:space="preserve">составляет </w:t>
      </w:r>
      <w:r>
        <w:rPr>
          <w:rFonts w:ascii="Times New Roman" w:hAnsi="Times New Roman" w:cs="Times New Roman"/>
          <w:sz w:val="24"/>
          <w:szCs w:val="24"/>
        </w:rPr>
        <w:t>10</w:t>
      </w:r>
      <w:r w:rsidR="0001633E">
        <w:rPr>
          <w:rFonts w:ascii="Times New Roman" w:hAnsi="Times New Roman" w:cs="Times New Roman"/>
          <w:sz w:val="24"/>
          <w:szCs w:val="24"/>
        </w:rPr>
        <w:t xml:space="preserve"> </w:t>
      </w:r>
      <w:r>
        <w:rPr>
          <w:rFonts w:ascii="Times New Roman" w:hAnsi="Times New Roman" w:cs="Times New Roman"/>
          <w:sz w:val="24"/>
          <w:szCs w:val="24"/>
        </w:rPr>
        <w:t>040,00</w:t>
      </w:r>
      <w:r w:rsidR="000824A7" w:rsidRPr="00FE101B">
        <w:rPr>
          <w:rFonts w:ascii="Times New Roman" w:hAnsi="Times New Roman" w:cs="Times New Roman"/>
          <w:sz w:val="24"/>
          <w:szCs w:val="24"/>
        </w:rPr>
        <w:t xml:space="preserve"> тыс.руб.</w:t>
      </w:r>
      <w:r>
        <w:rPr>
          <w:rFonts w:ascii="Times New Roman" w:hAnsi="Times New Roman" w:cs="Times New Roman"/>
          <w:sz w:val="24"/>
          <w:szCs w:val="24"/>
        </w:rPr>
        <w:t xml:space="preserve"> </w:t>
      </w:r>
    </w:p>
    <w:p w:rsidR="000824A7" w:rsidRPr="000111A0" w:rsidRDefault="000824A7" w:rsidP="000111A0">
      <w:pPr>
        <w:numPr>
          <w:ilvl w:val="1"/>
          <w:numId w:val="2"/>
        </w:numPr>
        <w:spacing w:after="0" w:line="360" w:lineRule="auto"/>
        <w:ind w:left="0" w:firstLine="709"/>
        <w:contextualSpacing/>
        <w:jc w:val="both"/>
        <w:rPr>
          <w:rFonts w:ascii="Times New Roman" w:hAnsi="Times New Roman" w:cs="Times New Roman"/>
          <w:b/>
          <w:sz w:val="24"/>
          <w:szCs w:val="24"/>
          <w:lang w:bidi="ru-RU"/>
        </w:rPr>
      </w:pPr>
      <w:r w:rsidRPr="000111A0">
        <w:rPr>
          <w:rFonts w:ascii="Times New Roman" w:hAnsi="Times New Roman" w:cs="Times New Roman"/>
          <w:b/>
          <w:sz w:val="24"/>
          <w:szCs w:val="24"/>
          <w:lang w:bidi="ru-RU"/>
        </w:rPr>
        <w:t xml:space="preserve">Информация об определенных в органах исполнительной власти субъекта Российской Федерации должностных лиц с правом принятия управленческих решений, занимающих должности не ниже заместителя руководителя, ответственных за </w:t>
      </w:r>
      <w:r w:rsidRPr="000111A0">
        <w:rPr>
          <w:rFonts w:ascii="Times New Roman" w:hAnsi="Times New Roman" w:cs="Times New Roman"/>
          <w:b/>
          <w:sz w:val="24"/>
          <w:szCs w:val="24"/>
          <w:lang w:bidi="ru-RU"/>
        </w:rPr>
        <w:lastRenderedPageBreak/>
        <w:t>координацию вопросов содействия развитию конкуренции, а также структурных подразделений, ответственных за разработку и реализацию планов мероприятий (</w:t>
      </w:r>
      <w:r w:rsidR="00182FF1">
        <w:rPr>
          <w:rFonts w:ascii="Times New Roman" w:hAnsi="Times New Roman" w:cs="Times New Roman"/>
          <w:b/>
          <w:sz w:val="24"/>
          <w:szCs w:val="24"/>
          <w:lang w:bidi="ru-RU"/>
        </w:rPr>
        <w:t>«</w:t>
      </w:r>
      <w:r w:rsidRPr="000111A0">
        <w:rPr>
          <w:rFonts w:ascii="Times New Roman" w:hAnsi="Times New Roman" w:cs="Times New Roman"/>
          <w:b/>
          <w:sz w:val="24"/>
          <w:szCs w:val="24"/>
          <w:lang w:bidi="ru-RU"/>
        </w:rPr>
        <w:t>дорожных карт</w:t>
      </w:r>
      <w:r w:rsidR="00182FF1">
        <w:rPr>
          <w:rFonts w:ascii="Times New Roman" w:hAnsi="Times New Roman" w:cs="Times New Roman"/>
          <w:b/>
          <w:sz w:val="24"/>
          <w:szCs w:val="24"/>
          <w:lang w:bidi="ru-RU"/>
        </w:rPr>
        <w:t>»</w:t>
      </w:r>
      <w:r w:rsidRPr="000111A0">
        <w:rPr>
          <w:rFonts w:ascii="Times New Roman" w:hAnsi="Times New Roman" w:cs="Times New Roman"/>
          <w:b/>
          <w:sz w:val="24"/>
          <w:szCs w:val="24"/>
          <w:lang w:bidi="ru-RU"/>
        </w:rPr>
        <w:t>) по содействию развитию конкуренции в подведомственной сфере деятельности с внесением соответствующих обязанностей в должностные регламенты и положения о структурных подразделениях.</w:t>
      </w:r>
    </w:p>
    <w:p w:rsidR="000478BE" w:rsidRPr="000111A0" w:rsidRDefault="00C4009E" w:rsidP="000111A0">
      <w:pPr>
        <w:spacing w:after="0" w:line="360" w:lineRule="auto"/>
        <w:ind w:firstLine="709"/>
        <w:contextualSpacing/>
        <w:jc w:val="both"/>
        <w:rPr>
          <w:rFonts w:ascii="Times New Roman" w:eastAsia="Times New Roman" w:hAnsi="Times New Roman" w:cs="Times New Roman"/>
          <w:sz w:val="24"/>
          <w:szCs w:val="24"/>
        </w:rPr>
      </w:pPr>
      <w:r w:rsidRPr="000111A0">
        <w:rPr>
          <w:rFonts w:ascii="Times New Roman" w:eastAsia="Times New Roman" w:hAnsi="Times New Roman" w:cs="Times New Roman"/>
          <w:sz w:val="24"/>
          <w:szCs w:val="24"/>
        </w:rPr>
        <w:t>Всеми органами исполнительной власти Ленинградской области</w:t>
      </w:r>
      <w:r w:rsidR="004A55B6" w:rsidRPr="000111A0">
        <w:rPr>
          <w:rFonts w:ascii="Times New Roman" w:eastAsia="Times New Roman" w:hAnsi="Times New Roman" w:cs="Times New Roman"/>
          <w:sz w:val="24"/>
          <w:szCs w:val="24"/>
        </w:rPr>
        <w:t>, участвующими в реализации плана мероприятий («дорожной карты»)</w:t>
      </w:r>
      <w:r w:rsidRPr="000111A0">
        <w:rPr>
          <w:rFonts w:ascii="Times New Roman" w:eastAsia="Times New Roman" w:hAnsi="Times New Roman" w:cs="Times New Roman"/>
          <w:sz w:val="24"/>
          <w:szCs w:val="24"/>
        </w:rPr>
        <w:t xml:space="preserve"> </w:t>
      </w:r>
      <w:r w:rsidR="004A55B6" w:rsidRPr="000111A0">
        <w:rPr>
          <w:rFonts w:ascii="Times New Roman" w:eastAsia="Times New Roman" w:hAnsi="Times New Roman" w:cs="Times New Roman"/>
          <w:sz w:val="24"/>
          <w:szCs w:val="24"/>
        </w:rPr>
        <w:t>по содействию развитию конкуренции на рынках товаров, работ и усл</w:t>
      </w:r>
      <w:r w:rsidR="002F6152">
        <w:rPr>
          <w:rFonts w:ascii="Times New Roman" w:eastAsia="Times New Roman" w:hAnsi="Times New Roman" w:cs="Times New Roman"/>
          <w:sz w:val="24"/>
          <w:szCs w:val="24"/>
        </w:rPr>
        <w:t>уг Ленинградской области на 2022</w:t>
      </w:r>
      <w:r w:rsidR="004A55B6" w:rsidRPr="000111A0">
        <w:rPr>
          <w:rFonts w:ascii="Times New Roman" w:eastAsia="Times New Roman" w:hAnsi="Times New Roman" w:cs="Times New Roman"/>
          <w:sz w:val="24"/>
          <w:szCs w:val="24"/>
        </w:rPr>
        <w:t>-202</w:t>
      </w:r>
      <w:r w:rsidR="002F6152">
        <w:rPr>
          <w:rFonts w:ascii="Times New Roman" w:eastAsia="Times New Roman" w:hAnsi="Times New Roman" w:cs="Times New Roman"/>
          <w:sz w:val="24"/>
          <w:szCs w:val="24"/>
        </w:rPr>
        <w:t>5</w:t>
      </w:r>
      <w:r w:rsidR="004A55B6" w:rsidRPr="000111A0">
        <w:rPr>
          <w:rFonts w:ascii="Times New Roman" w:eastAsia="Times New Roman" w:hAnsi="Times New Roman" w:cs="Times New Roman"/>
          <w:sz w:val="24"/>
          <w:szCs w:val="24"/>
        </w:rPr>
        <w:t xml:space="preserve"> годы, утвержденного распоряжением Губернатора от </w:t>
      </w:r>
      <w:r w:rsidR="002F6152">
        <w:rPr>
          <w:rFonts w:ascii="Times New Roman" w:eastAsia="Times New Roman" w:hAnsi="Times New Roman" w:cs="Times New Roman"/>
          <w:sz w:val="24"/>
          <w:szCs w:val="24"/>
        </w:rPr>
        <w:t>29.12.2021 года № 1298</w:t>
      </w:r>
      <w:r w:rsidR="004A55B6" w:rsidRPr="000111A0">
        <w:rPr>
          <w:rFonts w:ascii="Times New Roman" w:eastAsia="Times New Roman" w:hAnsi="Times New Roman" w:cs="Times New Roman"/>
          <w:sz w:val="24"/>
          <w:szCs w:val="24"/>
        </w:rPr>
        <w:t xml:space="preserve">-рг, </w:t>
      </w:r>
      <w:r w:rsidRPr="000111A0">
        <w:rPr>
          <w:rFonts w:ascii="Times New Roman" w:eastAsia="Times New Roman" w:hAnsi="Times New Roman" w:cs="Times New Roman"/>
          <w:sz w:val="24"/>
          <w:szCs w:val="24"/>
        </w:rPr>
        <w:t>правовыми актами были определены ответственные должностные лица и структурные подразделения с закреплением обязанностей в соответствующих должностных регламентах и положениях.</w:t>
      </w:r>
    </w:p>
    <w:tbl>
      <w:tblPr>
        <w:tblStyle w:val="31"/>
        <w:tblW w:w="5000" w:type="pct"/>
        <w:tblLook w:val="04A0" w:firstRow="1" w:lastRow="0" w:firstColumn="1" w:lastColumn="0" w:noHBand="0" w:noVBand="1"/>
      </w:tblPr>
      <w:tblGrid>
        <w:gridCol w:w="560"/>
        <w:gridCol w:w="2970"/>
        <w:gridCol w:w="3087"/>
        <w:gridCol w:w="3662"/>
      </w:tblGrid>
      <w:tr w:rsidR="003B5BF2" w:rsidRPr="003F5D3B" w:rsidTr="003F5D3B">
        <w:tc>
          <w:tcPr>
            <w:tcW w:w="257" w:type="pct"/>
            <w:vAlign w:val="center"/>
          </w:tcPr>
          <w:p w:rsidR="00C92CCC" w:rsidRPr="003F5D3B" w:rsidRDefault="003B5BF2" w:rsidP="003F5D3B">
            <w:pPr>
              <w:jc w:val="center"/>
              <w:rPr>
                <w:rFonts w:ascii="Times Roman" w:hAnsi="Times Roman" w:cs="Times New Roman"/>
                <w:b/>
                <w:sz w:val="24"/>
                <w:szCs w:val="24"/>
              </w:rPr>
            </w:pPr>
            <w:r w:rsidRPr="003F5D3B">
              <w:rPr>
                <w:rFonts w:ascii="Times New Roman" w:hAnsi="Times New Roman" w:cs="Times New Roman"/>
                <w:b/>
                <w:sz w:val="24"/>
                <w:szCs w:val="24"/>
              </w:rPr>
              <w:t>№</w:t>
            </w:r>
            <w:r w:rsidRPr="003F5D3B">
              <w:rPr>
                <w:rFonts w:ascii="Times Roman" w:hAnsi="Times Roman" w:cs="Times New Roman"/>
                <w:b/>
                <w:sz w:val="24"/>
                <w:szCs w:val="24"/>
              </w:rPr>
              <w:t>,</w:t>
            </w:r>
          </w:p>
          <w:p w:rsidR="003B5BF2" w:rsidRPr="003F5D3B" w:rsidRDefault="003B5BF2" w:rsidP="003F5D3B">
            <w:pPr>
              <w:jc w:val="center"/>
              <w:rPr>
                <w:rFonts w:ascii="Times Roman" w:hAnsi="Times Roman" w:cs="Times New Roman"/>
                <w:b/>
                <w:sz w:val="24"/>
                <w:szCs w:val="24"/>
              </w:rPr>
            </w:pPr>
            <w:r w:rsidRPr="003F5D3B">
              <w:rPr>
                <w:rFonts w:ascii="Times New Roman" w:hAnsi="Times New Roman" w:cs="Times New Roman"/>
                <w:b/>
                <w:sz w:val="24"/>
                <w:szCs w:val="24"/>
              </w:rPr>
              <w:t>п</w:t>
            </w:r>
            <w:r w:rsidRPr="003F5D3B">
              <w:rPr>
                <w:rFonts w:ascii="Times Roman" w:hAnsi="Times Roman" w:cs="Times New Roman"/>
                <w:b/>
                <w:sz w:val="24"/>
                <w:szCs w:val="24"/>
                <w:lang w:val="en-US"/>
              </w:rPr>
              <w:t>/</w:t>
            </w:r>
            <w:r w:rsidRPr="003F5D3B">
              <w:rPr>
                <w:rFonts w:ascii="Times New Roman" w:hAnsi="Times New Roman" w:cs="Times New Roman"/>
                <w:b/>
                <w:sz w:val="24"/>
                <w:szCs w:val="24"/>
              </w:rPr>
              <w:t>п</w:t>
            </w:r>
          </w:p>
        </w:tc>
        <w:tc>
          <w:tcPr>
            <w:tcW w:w="1450" w:type="pct"/>
            <w:vAlign w:val="center"/>
          </w:tcPr>
          <w:p w:rsidR="003B5BF2" w:rsidRPr="003F5D3B" w:rsidRDefault="003B5BF2" w:rsidP="003F5D3B">
            <w:pPr>
              <w:jc w:val="center"/>
              <w:rPr>
                <w:rFonts w:ascii="Times Roman" w:hAnsi="Times Roman" w:cs="Times New Roman"/>
                <w:b/>
                <w:sz w:val="24"/>
                <w:szCs w:val="24"/>
              </w:rPr>
            </w:pPr>
            <w:r w:rsidRPr="003F5D3B">
              <w:rPr>
                <w:rFonts w:ascii="Times New Roman" w:hAnsi="Times New Roman" w:cs="Times New Roman"/>
                <w:b/>
                <w:sz w:val="24"/>
                <w:szCs w:val="24"/>
              </w:rPr>
              <w:t>Комитет</w:t>
            </w:r>
          </w:p>
        </w:tc>
        <w:tc>
          <w:tcPr>
            <w:tcW w:w="1507" w:type="pct"/>
            <w:vAlign w:val="center"/>
          </w:tcPr>
          <w:p w:rsidR="003B5BF2" w:rsidRPr="003F5D3B" w:rsidRDefault="003B5BF2" w:rsidP="003F5D3B">
            <w:pPr>
              <w:jc w:val="center"/>
              <w:rPr>
                <w:rFonts w:ascii="Times Roman" w:hAnsi="Times Roman" w:cs="Times New Roman"/>
                <w:b/>
                <w:sz w:val="24"/>
                <w:szCs w:val="24"/>
              </w:rPr>
            </w:pPr>
            <w:r w:rsidRPr="003F5D3B">
              <w:rPr>
                <w:rFonts w:ascii="Times New Roman" w:hAnsi="Times New Roman" w:cs="Times New Roman"/>
                <w:b/>
                <w:sz w:val="24"/>
                <w:szCs w:val="24"/>
              </w:rPr>
              <w:t>Должностное</w:t>
            </w:r>
            <w:r w:rsidRPr="003F5D3B">
              <w:rPr>
                <w:rFonts w:ascii="Times Roman" w:hAnsi="Times Roman" w:cs="Times New Roman"/>
                <w:b/>
                <w:sz w:val="24"/>
                <w:szCs w:val="24"/>
              </w:rPr>
              <w:t xml:space="preserve"> </w:t>
            </w:r>
            <w:r w:rsidRPr="003F5D3B">
              <w:rPr>
                <w:rFonts w:ascii="Times New Roman" w:hAnsi="Times New Roman" w:cs="Times New Roman"/>
                <w:b/>
                <w:sz w:val="24"/>
                <w:szCs w:val="24"/>
              </w:rPr>
              <w:t>лицо</w:t>
            </w:r>
          </w:p>
        </w:tc>
        <w:tc>
          <w:tcPr>
            <w:tcW w:w="1786" w:type="pct"/>
            <w:vAlign w:val="center"/>
          </w:tcPr>
          <w:p w:rsidR="003B5BF2" w:rsidRPr="003F5D3B" w:rsidRDefault="003B5BF2" w:rsidP="003F5D3B">
            <w:pPr>
              <w:rPr>
                <w:rFonts w:ascii="Times Roman" w:hAnsi="Times Roman" w:cs="Times New Roman"/>
                <w:b/>
                <w:sz w:val="24"/>
                <w:szCs w:val="24"/>
              </w:rPr>
            </w:pPr>
            <w:r w:rsidRPr="003F5D3B">
              <w:rPr>
                <w:rFonts w:ascii="Times New Roman" w:hAnsi="Times New Roman" w:cs="Times New Roman"/>
                <w:b/>
                <w:sz w:val="24"/>
                <w:szCs w:val="24"/>
              </w:rPr>
              <w:t>Структурное</w:t>
            </w:r>
            <w:r w:rsidRPr="003F5D3B">
              <w:rPr>
                <w:rFonts w:ascii="Times Roman" w:hAnsi="Times Roman" w:cs="Times New Roman"/>
                <w:b/>
                <w:sz w:val="24"/>
                <w:szCs w:val="24"/>
              </w:rPr>
              <w:t xml:space="preserve"> </w:t>
            </w:r>
            <w:r w:rsidRPr="003F5D3B">
              <w:rPr>
                <w:rFonts w:ascii="Times New Roman" w:hAnsi="Times New Roman" w:cs="Times New Roman"/>
                <w:b/>
                <w:sz w:val="24"/>
                <w:szCs w:val="24"/>
              </w:rPr>
              <w:t>подразделение</w:t>
            </w:r>
          </w:p>
        </w:tc>
      </w:tr>
      <w:tr w:rsidR="003B5BF2" w:rsidRPr="003F5D3B" w:rsidTr="003F5D3B">
        <w:tc>
          <w:tcPr>
            <w:tcW w:w="257" w:type="pct"/>
            <w:vAlign w:val="center"/>
          </w:tcPr>
          <w:p w:rsidR="003B5BF2" w:rsidRPr="003F5D3B" w:rsidRDefault="003B5BF2" w:rsidP="003F5D3B">
            <w:pPr>
              <w:numPr>
                <w:ilvl w:val="0"/>
                <w:numId w:val="4"/>
              </w:numPr>
              <w:ind w:left="0" w:firstLine="142"/>
              <w:rPr>
                <w:rFonts w:ascii="Times Roman" w:hAnsi="Times Roman" w:cs="Times New Roman"/>
                <w:sz w:val="24"/>
                <w:szCs w:val="24"/>
              </w:rPr>
            </w:pPr>
          </w:p>
        </w:tc>
        <w:tc>
          <w:tcPr>
            <w:tcW w:w="1450" w:type="pct"/>
            <w:vAlign w:val="center"/>
          </w:tcPr>
          <w:p w:rsidR="003B5BF2" w:rsidRPr="003F5D3B" w:rsidRDefault="003B5BF2" w:rsidP="003F5D3B">
            <w:pPr>
              <w:rPr>
                <w:rFonts w:ascii="Times Roman" w:hAnsi="Times Roman" w:cs="Times New Roman"/>
                <w:sz w:val="24"/>
                <w:szCs w:val="24"/>
              </w:rPr>
            </w:pPr>
            <w:r w:rsidRPr="003F5D3B">
              <w:rPr>
                <w:rFonts w:ascii="Times New Roman" w:hAnsi="Times New Roman" w:cs="Times New Roman"/>
                <w:sz w:val="24"/>
                <w:szCs w:val="24"/>
              </w:rPr>
              <w:t>Комитет</w:t>
            </w:r>
            <w:r w:rsidRPr="003F5D3B">
              <w:rPr>
                <w:rFonts w:ascii="Times Roman" w:hAnsi="Times Roman" w:cs="Times New Roman"/>
                <w:sz w:val="24"/>
                <w:szCs w:val="24"/>
              </w:rPr>
              <w:t xml:space="preserve"> </w:t>
            </w:r>
            <w:r w:rsidRPr="003F5D3B">
              <w:rPr>
                <w:rFonts w:ascii="Times New Roman" w:hAnsi="Times New Roman" w:cs="Times New Roman"/>
                <w:sz w:val="24"/>
                <w:szCs w:val="24"/>
              </w:rPr>
              <w:t>экономического</w:t>
            </w:r>
            <w:r w:rsidRPr="003F5D3B">
              <w:rPr>
                <w:rFonts w:ascii="Times Roman" w:hAnsi="Times Roman" w:cs="Times New Roman"/>
                <w:sz w:val="24"/>
                <w:szCs w:val="24"/>
              </w:rPr>
              <w:t xml:space="preserve"> </w:t>
            </w:r>
            <w:r w:rsidRPr="003F5D3B">
              <w:rPr>
                <w:rFonts w:ascii="Times New Roman" w:hAnsi="Times New Roman" w:cs="Times New Roman"/>
                <w:sz w:val="24"/>
                <w:szCs w:val="24"/>
              </w:rPr>
              <w:t>развития</w:t>
            </w:r>
            <w:r w:rsidRPr="003F5D3B">
              <w:rPr>
                <w:rFonts w:ascii="Times Roman" w:hAnsi="Times Roman" w:cs="Times New Roman"/>
                <w:sz w:val="24"/>
                <w:szCs w:val="24"/>
              </w:rPr>
              <w:t xml:space="preserve"> </w:t>
            </w:r>
            <w:r w:rsidRPr="003F5D3B">
              <w:rPr>
                <w:rFonts w:ascii="Times New Roman" w:hAnsi="Times New Roman" w:cs="Times New Roman"/>
                <w:sz w:val="24"/>
                <w:szCs w:val="24"/>
              </w:rPr>
              <w:t>и</w:t>
            </w:r>
            <w:r w:rsidRPr="003F5D3B">
              <w:rPr>
                <w:rFonts w:ascii="Times Roman" w:hAnsi="Times Roman" w:cs="Times New Roman"/>
                <w:sz w:val="24"/>
                <w:szCs w:val="24"/>
              </w:rPr>
              <w:t xml:space="preserve"> </w:t>
            </w:r>
            <w:r w:rsidRPr="003F5D3B">
              <w:rPr>
                <w:rFonts w:ascii="Times New Roman" w:hAnsi="Times New Roman" w:cs="Times New Roman"/>
                <w:sz w:val="24"/>
                <w:szCs w:val="24"/>
              </w:rPr>
              <w:t>инвестиционной</w:t>
            </w:r>
            <w:r w:rsidRPr="003F5D3B">
              <w:rPr>
                <w:rFonts w:ascii="Times Roman" w:hAnsi="Times Roman" w:cs="Times New Roman"/>
                <w:sz w:val="24"/>
                <w:szCs w:val="24"/>
              </w:rPr>
              <w:t xml:space="preserve"> </w:t>
            </w:r>
            <w:r w:rsidRPr="003F5D3B">
              <w:rPr>
                <w:rFonts w:ascii="Times New Roman" w:hAnsi="Times New Roman" w:cs="Times New Roman"/>
                <w:sz w:val="24"/>
                <w:szCs w:val="24"/>
              </w:rPr>
              <w:t>деятельности</w:t>
            </w:r>
            <w:r w:rsidRPr="003F5D3B">
              <w:rPr>
                <w:rFonts w:ascii="Times Roman" w:hAnsi="Times Roman" w:cs="Times New Roman"/>
                <w:sz w:val="24"/>
                <w:szCs w:val="24"/>
              </w:rPr>
              <w:t xml:space="preserve"> </w:t>
            </w:r>
            <w:r w:rsidRPr="003F5D3B">
              <w:rPr>
                <w:rFonts w:ascii="Times New Roman" w:hAnsi="Times New Roman" w:cs="Times New Roman"/>
                <w:sz w:val="24"/>
                <w:szCs w:val="24"/>
              </w:rPr>
              <w:t>Ленинградской</w:t>
            </w:r>
            <w:r w:rsidRPr="003F5D3B">
              <w:rPr>
                <w:rFonts w:ascii="Times Roman" w:hAnsi="Times Roman" w:cs="Times New Roman"/>
                <w:sz w:val="24"/>
                <w:szCs w:val="24"/>
              </w:rPr>
              <w:t xml:space="preserve"> </w:t>
            </w:r>
            <w:r w:rsidRPr="003F5D3B">
              <w:rPr>
                <w:rFonts w:ascii="Times New Roman" w:hAnsi="Times New Roman" w:cs="Times New Roman"/>
                <w:sz w:val="24"/>
                <w:szCs w:val="24"/>
              </w:rPr>
              <w:t>области</w:t>
            </w:r>
          </w:p>
        </w:tc>
        <w:tc>
          <w:tcPr>
            <w:tcW w:w="1507" w:type="pct"/>
            <w:vAlign w:val="center"/>
          </w:tcPr>
          <w:p w:rsidR="003B5BF2" w:rsidRPr="003F5D3B" w:rsidRDefault="00E15F14" w:rsidP="003F5D3B">
            <w:pPr>
              <w:rPr>
                <w:rFonts w:ascii="Times Roman" w:hAnsi="Times Roman" w:cs="Times New Roman"/>
                <w:sz w:val="24"/>
                <w:szCs w:val="24"/>
              </w:rPr>
            </w:pPr>
            <w:r w:rsidRPr="003F5D3B">
              <w:rPr>
                <w:rFonts w:ascii="Times New Roman" w:hAnsi="Times New Roman" w:cs="Times New Roman"/>
                <w:sz w:val="24"/>
                <w:szCs w:val="24"/>
                <w:lang w:bidi="ru-RU"/>
              </w:rPr>
              <w:t>Мищеряков</w:t>
            </w:r>
            <w:r w:rsidRPr="003F5D3B">
              <w:rPr>
                <w:rFonts w:ascii="Times Roman" w:hAnsi="Times Roman" w:cs="Times New Roman"/>
                <w:sz w:val="24"/>
                <w:szCs w:val="24"/>
                <w:lang w:bidi="ru-RU"/>
              </w:rPr>
              <w:t xml:space="preserve"> </w:t>
            </w:r>
            <w:r w:rsidRPr="003F5D3B">
              <w:rPr>
                <w:rFonts w:ascii="Times New Roman" w:hAnsi="Times New Roman" w:cs="Times New Roman"/>
                <w:sz w:val="24"/>
                <w:szCs w:val="24"/>
                <w:lang w:bidi="ru-RU"/>
              </w:rPr>
              <w:t>Егор</w:t>
            </w:r>
            <w:r w:rsidRPr="003F5D3B">
              <w:rPr>
                <w:rFonts w:ascii="Times Roman" w:hAnsi="Times Roman" w:cs="Times New Roman"/>
                <w:sz w:val="24"/>
                <w:szCs w:val="24"/>
                <w:lang w:bidi="ru-RU"/>
              </w:rPr>
              <w:t xml:space="preserve"> </w:t>
            </w:r>
            <w:r w:rsidRPr="003F5D3B">
              <w:rPr>
                <w:rFonts w:ascii="Times New Roman" w:hAnsi="Times New Roman" w:cs="Times New Roman"/>
                <w:sz w:val="24"/>
                <w:szCs w:val="24"/>
                <w:lang w:bidi="ru-RU"/>
              </w:rPr>
              <w:t>Сергеевич</w:t>
            </w:r>
            <w:r w:rsidRPr="003F5D3B">
              <w:rPr>
                <w:rFonts w:ascii="Times Roman" w:hAnsi="Times Roman" w:cs="Times New Roman"/>
                <w:sz w:val="24"/>
                <w:szCs w:val="24"/>
                <w:lang w:bidi="ru-RU"/>
              </w:rPr>
              <w:t xml:space="preserve"> - </w:t>
            </w:r>
            <w:r w:rsidR="003B5BF2" w:rsidRPr="003F5D3B">
              <w:rPr>
                <w:rFonts w:ascii="Times New Roman" w:hAnsi="Times New Roman" w:cs="Times New Roman"/>
                <w:sz w:val="24"/>
                <w:szCs w:val="24"/>
                <w:lang w:bidi="ru-RU"/>
              </w:rPr>
              <w:t>первый</w:t>
            </w:r>
            <w:r w:rsidR="003B5BF2" w:rsidRPr="003F5D3B">
              <w:rPr>
                <w:rFonts w:ascii="Times Roman" w:hAnsi="Times Roman" w:cs="Times New Roman"/>
                <w:sz w:val="24"/>
                <w:szCs w:val="24"/>
                <w:lang w:bidi="ru-RU"/>
              </w:rPr>
              <w:t xml:space="preserve"> </w:t>
            </w:r>
            <w:r w:rsidR="003B5BF2" w:rsidRPr="003F5D3B">
              <w:rPr>
                <w:rFonts w:ascii="Times New Roman" w:hAnsi="Times New Roman" w:cs="Times New Roman"/>
                <w:sz w:val="24"/>
                <w:szCs w:val="24"/>
                <w:lang w:bidi="ru-RU"/>
              </w:rPr>
              <w:t>заместитель</w:t>
            </w:r>
            <w:r w:rsidR="003B5BF2" w:rsidRPr="003F5D3B">
              <w:rPr>
                <w:rFonts w:ascii="Times Roman" w:hAnsi="Times Roman" w:cs="Times New Roman"/>
                <w:sz w:val="24"/>
                <w:szCs w:val="24"/>
                <w:lang w:bidi="ru-RU"/>
              </w:rPr>
              <w:t xml:space="preserve"> </w:t>
            </w:r>
            <w:r w:rsidR="003B5BF2" w:rsidRPr="003F5D3B">
              <w:rPr>
                <w:rFonts w:ascii="Times New Roman" w:hAnsi="Times New Roman" w:cs="Times New Roman"/>
                <w:sz w:val="24"/>
                <w:szCs w:val="24"/>
                <w:lang w:bidi="ru-RU"/>
              </w:rPr>
              <w:t>председателя</w:t>
            </w:r>
            <w:r w:rsidR="003B5BF2" w:rsidRPr="003F5D3B">
              <w:rPr>
                <w:rFonts w:ascii="Times Roman" w:hAnsi="Times Roman" w:cs="Times New Roman"/>
                <w:sz w:val="24"/>
                <w:szCs w:val="24"/>
                <w:lang w:bidi="ru-RU"/>
              </w:rPr>
              <w:t xml:space="preserve"> </w:t>
            </w:r>
            <w:r w:rsidR="003B5BF2" w:rsidRPr="003F5D3B">
              <w:rPr>
                <w:rFonts w:ascii="Times New Roman" w:hAnsi="Times New Roman" w:cs="Times New Roman"/>
                <w:sz w:val="24"/>
                <w:szCs w:val="24"/>
                <w:lang w:bidi="ru-RU"/>
              </w:rPr>
              <w:t>комитета</w:t>
            </w:r>
          </w:p>
        </w:tc>
        <w:tc>
          <w:tcPr>
            <w:tcW w:w="1786" w:type="pct"/>
            <w:vAlign w:val="center"/>
          </w:tcPr>
          <w:p w:rsidR="003B5BF2" w:rsidRPr="003F5D3B" w:rsidRDefault="003B5BF2" w:rsidP="003F5D3B">
            <w:pPr>
              <w:rPr>
                <w:rFonts w:ascii="Times Roman" w:hAnsi="Times Roman" w:cs="Times New Roman"/>
                <w:sz w:val="24"/>
                <w:szCs w:val="24"/>
              </w:rPr>
            </w:pPr>
            <w:r w:rsidRPr="003F5D3B">
              <w:rPr>
                <w:rFonts w:ascii="Times New Roman" w:hAnsi="Times New Roman" w:cs="Times New Roman"/>
                <w:sz w:val="24"/>
                <w:szCs w:val="24"/>
                <w:lang w:bidi="ru-RU"/>
              </w:rPr>
              <w:t>сектор</w:t>
            </w:r>
            <w:r w:rsidRPr="003F5D3B">
              <w:rPr>
                <w:rFonts w:ascii="Times Roman" w:hAnsi="Times Roman" w:cs="Times New Roman"/>
                <w:sz w:val="24"/>
                <w:szCs w:val="24"/>
                <w:lang w:bidi="ru-RU"/>
              </w:rPr>
              <w:t xml:space="preserve"> </w:t>
            </w:r>
            <w:r w:rsidRPr="003F5D3B">
              <w:rPr>
                <w:rFonts w:ascii="Times New Roman" w:hAnsi="Times New Roman" w:cs="Times New Roman"/>
                <w:sz w:val="24"/>
                <w:szCs w:val="24"/>
                <w:lang w:bidi="ru-RU"/>
              </w:rPr>
              <w:t>оценки</w:t>
            </w:r>
            <w:r w:rsidRPr="003F5D3B">
              <w:rPr>
                <w:rFonts w:ascii="Times Roman" w:hAnsi="Times Roman" w:cs="Times New Roman"/>
                <w:sz w:val="24"/>
                <w:szCs w:val="24"/>
                <w:lang w:bidi="ru-RU"/>
              </w:rPr>
              <w:t xml:space="preserve"> </w:t>
            </w:r>
            <w:r w:rsidRPr="003F5D3B">
              <w:rPr>
                <w:rFonts w:ascii="Times New Roman" w:hAnsi="Times New Roman" w:cs="Times New Roman"/>
                <w:sz w:val="24"/>
                <w:szCs w:val="24"/>
                <w:lang w:bidi="ru-RU"/>
              </w:rPr>
              <w:t>регулирующего</w:t>
            </w:r>
            <w:r w:rsidRPr="003F5D3B">
              <w:rPr>
                <w:rFonts w:ascii="Times Roman" w:hAnsi="Times Roman" w:cs="Times New Roman"/>
                <w:sz w:val="24"/>
                <w:szCs w:val="24"/>
                <w:lang w:bidi="ru-RU"/>
              </w:rPr>
              <w:t xml:space="preserve"> </w:t>
            </w:r>
            <w:r w:rsidRPr="003F5D3B">
              <w:rPr>
                <w:rFonts w:ascii="Times New Roman" w:hAnsi="Times New Roman" w:cs="Times New Roman"/>
                <w:sz w:val="24"/>
                <w:szCs w:val="24"/>
                <w:lang w:bidi="ru-RU"/>
              </w:rPr>
              <w:t>воздействия</w:t>
            </w:r>
            <w:r w:rsidRPr="003F5D3B">
              <w:rPr>
                <w:rFonts w:ascii="Times Roman" w:hAnsi="Times Roman" w:cs="Times New Roman"/>
                <w:sz w:val="24"/>
                <w:szCs w:val="24"/>
                <w:lang w:bidi="ru-RU"/>
              </w:rPr>
              <w:t xml:space="preserve"> </w:t>
            </w:r>
            <w:r w:rsidRPr="003F5D3B">
              <w:rPr>
                <w:rFonts w:ascii="Times New Roman" w:hAnsi="Times New Roman" w:cs="Times New Roman"/>
                <w:sz w:val="24"/>
                <w:szCs w:val="24"/>
                <w:lang w:bidi="ru-RU"/>
              </w:rPr>
              <w:t>отдела</w:t>
            </w:r>
            <w:r w:rsidRPr="003F5D3B">
              <w:rPr>
                <w:rFonts w:ascii="Times Roman" w:hAnsi="Times Roman" w:cs="Times New Roman"/>
                <w:sz w:val="24"/>
                <w:szCs w:val="24"/>
                <w:lang w:bidi="ru-RU"/>
              </w:rPr>
              <w:t xml:space="preserve"> </w:t>
            </w:r>
            <w:r w:rsidRPr="003F5D3B">
              <w:rPr>
                <w:rFonts w:ascii="Times New Roman" w:hAnsi="Times New Roman" w:cs="Times New Roman"/>
                <w:sz w:val="24"/>
                <w:szCs w:val="24"/>
                <w:lang w:bidi="ru-RU"/>
              </w:rPr>
              <w:t>формирования</w:t>
            </w:r>
            <w:r w:rsidRPr="003F5D3B">
              <w:rPr>
                <w:rFonts w:ascii="Times Roman" w:hAnsi="Times Roman" w:cs="Times New Roman"/>
                <w:sz w:val="24"/>
                <w:szCs w:val="24"/>
                <w:lang w:bidi="ru-RU"/>
              </w:rPr>
              <w:t xml:space="preserve"> </w:t>
            </w:r>
            <w:r w:rsidRPr="003F5D3B">
              <w:rPr>
                <w:rFonts w:ascii="Times New Roman" w:hAnsi="Times New Roman" w:cs="Times New Roman"/>
                <w:sz w:val="24"/>
                <w:szCs w:val="24"/>
                <w:lang w:bidi="ru-RU"/>
              </w:rPr>
              <w:t>инвестиционной</w:t>
            </w:r>
            <w:r w:rsidRPr="003F5D3B">
              <w:rPr>
                <w:rFonts w:ascii="Times Roman" w:hAnsi="Times Roman" w:cs="Times New Roman"/>
                <w:sz w:val="24"/>
                <w:szCs w:val="24"/>
                <w:lang w:bidi="ru-RU"/>
              </w:rPr>
              <w:t xml:space="preserve"> </w:t>
            </w:r>
            <w:r w:rsidRPr="003F5D3B">
              <w:rPr>
                <w:rFonts w:ascii="Times New Roman" w:hAnsi="Times New Roman" w:cs="Times New Roman"/>
                <w:sz w:val="24"/>
                <w:szCs w:val="24"/>
                <w:lang w:bidi="ru-RU"/>
              </w:rPr>
              <w:t>политики</w:t>
            </w:r>
            <w:r w:rsidRPr="003F5D3B">
              <w:rPr>
                <w:rFonts w:ascii="Times Roman" w:hAnsi="Times Roman" w:cs="Times New Roman"/>
                <w:sz w:val="24"/>
                <w:szCs w:val="24"/>
                <w:lang w:bidi="ru-RU"/>
              </w:rPr>
              <w:t xml:space="preserve"> </w:t>
            </w:r>
            <w:r w:rsidRPr="003F5D3B">
              <w:rPr>
                <w:rFonts w:ascii="Times New Roman" w:hAnsi="Times New Roman" w:cs="Times New Roman"/>
                <w:sz w:val="24"/>
                <w:szCs w:val="24"/>
                <w:lang w:bidi="ru-RU"/>
              </w:rPr>
              <w:t>департамента</w:t>
            </w:r>
            <w:r w:rsidRPr="003F5D3B">
              <w:rPr>
                <w:rFonts w:ascii="Times Roman" w:hAnsi="Times Roman" w:cs="Times New Roman"/>
                <w:sz w:val="24"/>
                <w:szCs w:val="24"/>
                <w:lang w:bidi="ru-RU"/>
              </w:rPr>
              <w:t xml:space="preserve"> </w:t>
            </w:r>
            <w:r w:rsidRPr="003F5D3B">
              <w:rPr>
                <w:rFonts w:ascii="Times New Roman" w:hAnsi="Times New Roman" w:cs="Times New Roman"/>
                <w:sz w:val="24"/>
                <w:szCs w:val="24"/>
                <w:lang w:bidi="ru-RU"/>
              </w:rPr>
              <w:t>инвестиционной</w:t>
            </w:r>
            <w:r w:rsidRPr="003F5D3B">
              <w:rPr>
                <w:rFonts w:ascii="Times Roman" w:hAnsi="Times Roman" w:cs="Times New Roman"/>
                <w:sz w:val="24"/>
                <w:szCs w:val="24"/>
                <w:lang w:bidi="ru-RU"/>
              </w:rPr>
              <w:t xml:space="preserve"> </w:t>
            </w:r>
            <w:r w:rsidRPr="003F5D3B">
              <w:rPr>
                <w:rFonts w:ascii="Times New Roman" w:hAnsi="Times New Roman" w:cs="Times New Roman"/>
                <w:sz w:val="24"/>
                <w:szCs w:val="24"/>
                <w:lang w:bidi="ru-RU"/>
              </w:rPr>
              <w:t>политики</w:t>
            </w:r>
          </w:p>
        </w:tc>
      </w:tr>
      <w:tr w:rsidR="003B5BF2" w:rsidRPr="003F5D3B" w:rsidTr="003F5D3B">
        <w:tc>
          <w:tcPr>
            <w:tcW w:w="257" w:type="pct"/>
            <w:vAlign w:val="center"/>
          </w:tcPr>
          <w:p w:rsidR="003B5BF2" w:rsidRPr="003F5D3B" w:rsidRDefault="003B5BF2" w:rsidP="003F5D3B">
            <w:pPr>
              <w:numPr>
                <w:ilvl w:val="0"/>
                <w:numId w:val="4"/>
              </w:numPr>
              <w:ind w:left="0" w:firstLine="142"/>
              <w:rPr>
                <w:rFonts w:ascii="Times Roman" w:hAnsi="Times Roman" w:cs="Times New Roman"/>
                <w:sz w:val="24"/>
                <w:szCs w:val="24"/>
              </w:rPr>
            </w:pPr>
          </w:p>
        </w:tc>
        <w:tc>
          <w:tcPr>
            <w:tcW w:w="1450" w:type="pct"/>
            <w:vAlign w:val="center"/>
          </w:tcPr>
          <w:p w:rsidR="003B5BF2" w:rsidRPr="003F5D3B" w:rsidRDefault="003B5BF2" w:rsidP="003F5D3B">
            <w:pPr>
              <w:rPr>
                <w:rFonts w:ascii="Times Roman" w:hAnsi="Times Roman" w:cs="Times New Roman"/>
                <w:sz w:val="24"/>
                <w:szCs w:val="24"/>
              </w:rPr>
            </w:pPr>
            <w:r w:rsidRPr="003F5D3B">
              <w:rPr>
                <w:rFonts w:ascii="Times New Roman" w:hAnsi="Times New Roman" w:cs="Times New Roman"/>
                <w:sz w:val="24"/>
                <w:szCs w:val="24"/>
              </w:rPr>
              <w:t>Комитет</w:t>
            </w:r>
            <w:r w:rsidRPr="003F5D3B">
              <w:rPr>
                <w:rFonts w:ascii="Times Roman" w:hAnsi="Times Roman" w:cs="Times New Roman"/>
                <w:sz w:val="24"/>
                <w:szCs w:val="24"/>
              </w:rPr>
              <w:t xml:space="preserve"> </w:t>
            </w:r>
            <w:r w:rsidRPr="003F5D3B">
              <w:rPr>
                <w:rFonts w:ascii="Times New Roman" w:hAnsi="Times New Roman" w:cs="Times New Roman"/>
                <w:sz w:val="24"/>
                <w:szCs w:val="24"/>
              </w:rPr>
              <w:t>по</w:t>
            </w:r>
            <w:r w:rsidRPr="003F5D3B">
              <w:rPr>
                <w:rFonts w:ascii="Times Roman" w:hAnsi="Times Roman" w:cs="Times New Roman"/>
                <w:sz w:val="24"/>
                <w:szCs w:val="24"/>
              </w:rPr>
              <w:t xml:space="preserve"> </w:t>
            </w:r>
            <w:r w:rsidRPr="003F5D3B">
              <w:rPr>
                <w:rFonts w:ascii="Times New Roman" w:hAnsi="Times New Roman" w:cs="Times New Roman"/>
                <w:sz w:val="24"/>
                <w:szCs w:val="24"/>
              </w:rPr>
              <w:t>топливно</w:t>
            </w:r>
            <w:r w:rsidRPr="003F5D3B">
              <w:rPr>
                <w:rFonts w:ascii="Times Roman" w:hAnsi="Times Roman" w:cs="Times New Roman"/>
                <w:sz w:val="24"/>
                <w:szCs w:val="24"/>
              </w:rPr>
              <w:t>-</w:t>
            </w:r>
            <w:r w:rsidRPr="003F5D3B">
              <w:rPr>
                <w:rFonts w:ascii="Times New Roman" w:hAnsi="Times New Roman" w:cs="Times New Roman"/>
                <w:sz w:val="24"/>
                <w:szCs w:val="24"/>
              </w:rPr>
              <w:t>энергетическому</w:t>
            </w:r>
            <w:r w:rsidRPr="003F5D3B">
              <w:rPr>
                <w:rFonts w:ascii="Times Roman" w:hAnsi="Times Roman" w:cs="Times New Roman"/>
                <w:sz w:val="24"/>
                <w:szCs w:val="24"/>
              </w:rPr>
              <w:t xml:space="preserve"> </w:t>
            </w:r>
            <w:r w:rsidRPr="003F5D3B">
              <w:rPr>
                <w:rFonts w:ascii="Times New Roman" w:hAnsi="Times New Roman" w:cs="Times New Roman"/>
                <w:sz w:val="24"/>
                <w:szCs w:val="24"/>
              </w:rPr>
              <w:t>комплексу</w:t>
            </w:r>
            <w:r w:rsidRPr="003F5D3B">
              <w:rPr>
                <w:rFonts w:ascii="Times Roman" w:hAnsi="Times Roman" w:cs="Times New Roman"/>
                <w:sz w:val="24"/>
                <w:szCs w:val="24"/>
              </w:rPr>
              <w:t xml:space="preserve"> </w:t>
            </w:r>
            <w:r w:rsidRPr="003F5D3B">
              <w:rPr>
                <w:rFonts w:ascii="Times New Roman" w:hAnsi="Times New Roman" w:cs="Times New Roman"/>
                <w:sz w:val="24"/>
                <w:szCs w:val="24"/>
              </w:rPr>
              <w:t>Ленинградской</w:t>
            </w:r>
            <w:r w:rsidRPr="003F5D3B">
              <w:rPr>
                <w:rFonts w:ascii="Times Roman" w:hAnsi="Times Roman" w:cs="Times New Roman"/>
                <w:sz w:val="24"/>
                <w:szCs w:val="24"/>
              </w:rPr>
              <w:t xml:space="preserve"> </w:t>
            </w:r>
            <w:r w:rsidRPr="003F5D3B">
              <w:rPr>
                <w:rFonts w:ascii="Times New Roman" w:hAnsi="Times New Roman" w:cs="Times New Roman"/>
                <w:sz w:val="24"/>
                <w:szCs w:val="24"/>
              </w:rPr>
              <w:t>области</w:t>
            </w:r>
          </w:p>
        </w:tc>
        <w:tc>
          <w:tcPr>
            <w:tcW w:w="1507" w:type="pct"/>
            <w:vAlign w:val="center"/>
          </w:tcPr>
          <w:p w:rsidR="003B5BF2" w:rsidRPr="003F5D3B" w:rsidRDefault="00E15F14" w:rsidP="003F5D3B">
            <w:pPr>
              <w:rPr>
                <w:rFonts w:ascii="Times Roman" w:hAnsi="Times Roman" w:cs="Times New Roman"/>
                <w:sz w:val="24"/>
                <w:szCs w:val="24"/>
              </w:rPr>
            </w:pPr>
            <w:r w:rsidRPr="003F5D3B">
              <w:rPr>
                <w:rFonts w:ascii="Times New Roman" w:hAnsi="Times New Roman" w:cs="Times New Roman"/>
                <w:sz w:val="24"/>
                <w:szCs w:val="24"/>
              </w:rPr>
              <w:t>Клецко</w:t>
            </w:r>
            <w:r w:rsidRPr="003F5D3B">
              <w:rPr>
                <w:rFonts w:ascii="Times Roman" w:hAnsi="Times Roman" w:cs="Times New Roman"/>
                <w:sz w:val="24"/>
                <w:szCs w:val="24"/>
              </w:rPr>
              <w:t xml:space="preserve"> </w:t>
            </w:r>
            <w:r w:rsidRPr="003F5D3B">
              <w:rPr>
                <w:rFonts w:ascii="Times New Roman" w:hAnsi="Times New Roman" w:cs="Times New Roman"/>
                <w:sz w:val="24"/>
                <w:szCs w:val="24"/>
              </w:rPr>
              <w:t>Александр</w:t>
            </w:r>
            <w:r w:rsidRPr="003F5D3B">
              <w:rPr>
                <w:rFonts w:ascii="Times Roman" w:hAnsi="Times Roman" w:cs="Times New Roman"/>
                <w:sz w:val="24"/>
                <w:szCs w:val="24"/>
              </w:rPr>
              <w:t xml:space="preserve"> </w:t>
            </w:r>
            <w:r w:rsidRPr="003F5D3B">
              <w:rPr>
                <w:rFonts w:ascii="Times New Roman" w:hAnsi="Times New Roman" w:cs="Times New Roman"/>
                <w:sz w:val="24"/>
                <w:szCs w:val="24"/>
              </w:rPr>
              <w:t>Владимирович</w:t>
            </w:r>
            <w:r w:rsidRPr="003F5D3B">
              <w:rPr>
                <w:rFonts w:ascii="Times Roman" w:hAnsi="Times Roman" w:cs="Times New Roman"/>
                <w:sz w:val="24"/>
                <w:szCs w:val="24"/>
              </w:rPr>
              <w:t xml:space="preserve"> - </w:t>
            </w:r>
            <w:r w:rsidR="003B5BF2" w:rsidRPr="003F5D3B">
              <w:rPr>
                <w:rFonts w:ascii="Times New Roman" w:hAnsi="Times New Roman" w:cs="Times New Roman"/>
                <w:sz w:val="24"/>
                <w:szCs w:val="24"/>
              </w:rPr>
              <w:t>заместитель</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председателя</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комитета</w:t>
            </w:r>
          </w:p>
        </w:tc>
        <w:tc>
          <w:tcPr>
            <w:tcW w:w="1786" w:type="pct"/>
            <w:vAlign w:val="center"/>
          </w:tcPr>
          <w:p w:rsidR="003B5BF2" w:rsidRPr="003F5D3B" w:rsidRDefault="003B5BF2" w:rsidP="003F5D3B">
            <w:pPr>
              <w:rPr>
                <w:rFonts w:ascii="Times Roman" w:hAnsi="Times Roman" w:cs="Times New Roman"/>
                <w:sz w:val="24"/>
                <w:szCs w:val="24"/>
              </w:rPr>
            </w:pPr>
            <w:r w:rsidRPr="003F5D3B">
              <w:rPr>
                <w:rFonts w:ascii="Times New Roman" w:hAnsi="Times New Roman" w:cs="Times New Roman"/>
                <w:sz w:val="24"/>
                <w:szCs w:val="24"/>
              </w:rPr>
              <w:t>отдел</w:t>
            </w:r>
            <w:r w:rsidRPr="003F5D3B">
              <w:rPr>
                <w:rFonts w:ascii="Times Roman" w:hAnsi="Times Roman" w:cs="Times New Roman"/>
                <w:sz w:val="24"/>
                <w:szCs w:val="24"/>
              </w:rPr>
              <w:t xml:space="preserve"> </w:t>
            </w:r>
            <w:r w:rsidRPr="003F5D3B">
              <w:rPr>
                <w:rFonts w:ascii="Times New Roman" w:hAnsi="Times New Roman" w:cs="Times New Roman"/>
                <w:sz w:val="24"/>
                <w:szCs w:val="24"/>
              </w:rPr>
              <w:t>теплоэнергетики</w:t>
            </w:r>
            <w:r w:rsidRPr="003F5D3B">
              <w:rPr>
                <w:rFonts w:ascii="Times Roman" w:hAnsi="Times Roman" w:cs="Times New Roman"/>
                <w:sz w:val="24"/>
                <w:szCs w:val="24"/>
              </w:rPr>
              <w:t xml:space="preserve"> </w:t>
            </w:r>
            <w:r w:rsidRPr="003F5D3B">
              <w:rPr>
                <w:rFonts w:ascii="Times New Roman" w:hAnsi="Times New Roman" w:cs="Times New Roman"/>
                <w:sz w:val="24"/>
                <w:szCs w:val="24"/>
              </w:rPr>
              <w:t>комитета</w:t>
            </w:r>
          </w:p>
        </w:tc>
      </w:tr>
      <w:tr w:rsidR="003B5BF2" w:rsidRPr="003F5D3B" w:rsidTr="003F5D3B">
        <w:tc>
          <w:tcPr>
            <w:tcW w:w="257" w:type="pct"/>
            <w:vAlign w:val="center"/>
          </w:tcPr>
          <w:p w:rsidR="003B5BF2" w:rsidRPr="003F5D3B" w:rsidRDefault="003B5BF2" w:rsidP="003F5D3B">
            <w:pPr>
              <w:numPr>
                <w:ilvl w:val="0"/>
                <w:numId w:val="4"/>
              </w:numPr>
              <w:ind w:left="0" w:firstLine="142"/>
              <w:rPr>
                <w:rFonts w:ascii="Times Roman" w:hAnsi="Times Roman" w:cs="Times New Roman"/>
                <w:sz w:val="24"/>
                <w:szCs w:val="24"/>
              </w:rPr>
            </w:pPr>
          </w:p>
        </w:tc>
        <w:tc>
          <w:tcPr>
            <w:tcW w:w="1450" w:type="pct"/>
            <w:vAlign w:val="center"/>
          </w:tcPr>
          <w:p w:rsidR="003B5BF2" w:rsidRPr="003F5D3B" w:rsidRDefault="003B5BF2" w:rsidP="003F5D3B">
            <w:pPr>
              <w:rPr>
                <w:rFonts w:ascii="Times Roman" w:hAnsi="Times Roman" w:cs="Times New Roman"/>
                <w:sz w:val="24"/>
                <w:szCs w:val="24"/>
              </w:rPr>
            </w:pPr>
            <w:r w:rsidRPr="003F5D3B">
              <w:rPr>
                <w:rFonts w:ascii="Times New Roman" w:hAnsi="Times New Roman" w:cs="Times New Roman"/>
                <w:sz w:val="24"/>
                <w:szCs w:val="24"/>
              </w:rPr>
              <w:t>Комитет</w:t>
            </w:r>
            <w:r w:rsidRPr="003F5D3B">
              <w:rPr>
                <w:rFonts w:ascii="Times Roman" w:hAnsi="Times Roman" w:cs="Times New Roman"/>
                <w:sz w:val="24"/>
                <w:szCs w:val="24"/>
              </w:rPr>
              <w:t xml:space="preserve"> </w:t>
            </w:r>
            <w:r w:rsidRPr="003F5D3B">
              <w:rPr>
                <w:rFonts w:ascii="Times New Roman" w:hAnsi="Times New Roman" w:cs="Times New Roman"/>
                <w:sz w:val="24"/>
                <w:szCs w:val="24"/>
              </w:rPr>
              <w:t>по</w:t>
            </w:r>
            <w:r w:rsidRPr="003F5D3B">
              <w:rPr>
                <w:rFonts w:ascii="Times Roman" w:hAnsi="Times Roman" w:cs="Times New Roman"/>
                <w:sz w:val="24"/>
                <w:szCs w:val="24"/>
              </w:rPr>
              <w:t xml:space="preserve"> </w:t>
            </w:r>
            <w:r w:rsidRPr="003F5D3B">
              <w:rPr>
                <w:rFonts w:ascii="Times New Roman" w:hAnsi="Times New Roman" w:cs="Times New Roman"/>
                <w:sz w:val="24"/>
                <w:szCs w:val="24"/>
              </w:rPr>
              <w:t>агропромышленному</w:t>
            </w:r>
            <w:r w:rsidRPr="003F5D3B">
              <w:rPr>
                <w:rFonts w:ascii="Times Roman" w:hAnsi="Times Roman" w:cs="Times New Roman"/>
                <w:sz w:val="24"/>
                <w:szCs w:val="24"/>
              </w:rPr>
              <w:t xml:space="preserve"> </w:t>
            </w:r>
            <w:r w:rsidRPr="003F5D3B">
              <w:rPr>
                <w:rFonts w:ascii="Times New Roman" w:hAnsi="Times New Roman" w:cs="Times New Roman"/>
                <w:sz w:val="24"/>
                <w:szCs w:val="24"/>
              </w:rPr>
              <w:t>и</w:t>
            </w:r>
            <w:r w:rsidRPr="003F5D3B">
              <w:rPr>
                <w:rFonts w:ascii="Times Roman" w:hAnsi="Times Roman" w:cs="Times New Roman"/>
                <w:sz w:val="24"/>
                <w:szCs w:val="24"/>
              </w:rPr>
              <w:t xml:space="preserve"> </w:t>
            </w:r>
            <w:r w:rsidRPr="003F5D3B">
              <w:rPr>
                <w:rFonts w:ascii="Times New Roman" w:hAnsi="Times New Roman" w:cs="Times New Roman"/>
                <w:sz w:val="24"/>
                <w:szCs w:val="24"/>
              </w:rPr>
              <w:t>рыбохозяйственному</w:t>
            </w:r>
            <w:r w:rsidRPr="003F5D3B">
              <w:rPr>
                <w:rFonts w:ascii="Times Roman" w:hAnsi="Times Roman" w:cs="Times New Roman"/>
                <w:sz w:val="24"/>
                <w:szCs w:val="24"/>
              </w:rPr>
              <w:t xml:space="preserve"> </w:t>
            </w:r>
            <w:r w:rsidRPr="003F5D3B">
              <w:rPr>
                <w:rFonts w:ascii="Times New Roman" w:hAnsi="Times New Roman" w:cs="Times New Roman"/>
                <w:sz w:val="24"/>
                <w:szCs w:val="24"/>
              </w:rPr>
              <w:t>комплексу</w:t>
            </w:r>
            <w:r w:rsidRPr="003F5D3B">
              <w:rPr>
                <w:rFonts w:ascii="Times Roman" w:hAnsi="Times Roman" w:cs="Times New Roman"/>
                <w:sz w:val="24"/>
                <w:szCs w:val="24"/>
              </w:rPr>
              <w:t xml:space="preserve"> </w:t>
            </w:r>
            <w:r w:rsidRPr="003F5D3B">
              <w:rPr>
                <w:rFonts w:ascii="Times New Roman" w:hAnsi="Times New Roman" w:cs="Times New Roman"/>
                <w:sz w:val="24"/>
                <w:szCs w:val="24"/>
              </w:rPr>
              <w:t>Ленинградской</w:t>
            </w:r>
            <w:r w:rsidRPr="003F5D3B">
              <w:rPr>
                <w:rFonts w:ascii="Times Roman" w:hAnsi="Times Roman" w:cs="Times New Roman"/>
                <w:sz w:val="24"/>
                <w:szCs w:val="24"/>
              </w:rPr>
              <w:t xml:space="preserve"> </w:t>
            </w:r>
            <w:r w:rsidRPr="003F5D3B">
              <w:rPr>
                <w:rFonts w:ascii="Times New Roman" w:hAnsi="Times New Roman" w:cs="Times New Roman"/>
                <w:sz w:val="24"/>
                <w:szCs w:val="24"/>
              </w:rPr>
              <w:t>области</w:t>
            </w:r>
          </w:p>
        </w:tc>
        <w:tc>
          <w:tcPr>
            <w:tcW w:w="1507" w:type="pct"/>
            <w:vAlign w:val="center"/>
          </w:tcPr>
          <w:p w:rsidR="003B5BF2" w:rsidRPr="003F5D3B" w:rsidRDefault="00B34AA0" w:rsidP="003F5D3B">
            <w:pPr>
              <w:rPr>
                <w:rFonts w:ascii="Times Roman" w:hAnsi="Times Roman" w:cs="Times New Roman"/>
                <w:sz w:val="24"/>
                <w:szCs w:val="24"/>
              </w:rPr>
            </w:pPr>
            <w:r w:rsidRPr="003F5D3B">
              <w:rPr>
                <w:rFonts w:ascii="Times New Roman" w:hAnsi="Times New Roman" w:cs="Times New Roman"/>
                <w:sz w:val="24"/>
                <w:szCs w:val="24"/>
              </w:rPr>
              <w:t>Решетов</w:t>
            </w:r>
            <w:r w:rsidRPr="003F5D3B">
              <w:rPr>
                <w:rFonts w:ascii="Times Roman" w:hAnsi="Times Roman" w:cs="Times New Roman"/>
                <w:sz w:val="24"/>
                <w:szCs w:val="24"/>
              </w:rPr>
              <w:t xml:space="preserve"> </w:t>
            </w:r>
            <w:r w:rsidRPr="003F5D3B">
              <w:rPr>
                <w:rFonts w:ascii="Times New Roman" w:hAnsi="Times New Roman" w:cs="Times New Roman"/>
                <w:sz w:val="24"/>
                <w:szCs w:val="24"/>
              </w:rPr>
              <w:t>Андрей</w:t>
            </w:r>
            <w:r w:rsidRPr="003F5D3B">
              <w:rPr>
                <w:rFonts w:ascii="Times Roman" w:hAnsi="Times Roman" w:cs="Times New Roman"/>
                <w:sz w:val="24"/>
                <w:szCs w:val="24"/>
              </w:rPr>
              <w:t xml:space="preserve"> </w:t>
            </w:r>
            <w:r w:rsidRPr="003F5D3B">
              <w:rPr>
                <w:rFonts w:ascii="Times New Roman" w:hAnsi="Times New Roman" w:cs="Times New Roman"/>
                <w:sz w:val="24"/>
                <w:szCs w:val="24"/>
              </w:rPr>
              <w:t>Эдуардович</w:t>
            </w:r>
            <w:r w:rsidRPr="003F5D3B">
              <w:rPr>
                <w:rFonts w:ascii="Times Roman" w:hAnsi="Times Roman" w:cs="Times New Roman"/>
                <w:sz w:val="24"/>
                <w:szCs w:val="24"/>
              </w:rPr>
              <w:t xml:space="preserve"> - </w:t>
            </w:r>
            <w:r w:rsidR="003B5BF2" w:rsidRPr="003F5D3B">
              <w:rPr>
                <w:rFonts w:ascii="Times New Roman" w:hAnsi="Times New Roman" w:cs="Times New Roman"/>
                <w:sz w:val="24"/>
                <w:szCs w:val="24"/>
              </w:rPr>
              <w:t>заместитель</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председателя</w:t>
            </w:r>
            <w:r w:rsidR="003B5BF2" w:rsidRPr="003F5D3B">
              <w:rPr>
                <w:rFonts w:ascii="Times Roman" w:hAnsi="Times Roman" w:cs="Times New Roman"/>
                <w:sz w:val="24"/>
                <w:szCs w:val="24"/>
              </w:rPr>
              <w:t xml:space="preserve"> - </w:t>
            </w:r>
            <w:r w:rsidR="003B5BF2" w:rsidRPr="003F5D3B">
              <w:rPr>
                <w:rFonts w:ascii="Times New Roman" w:hAnsi="Times New Roman" w:cs="Times New Roman"/>
                <w:sz w:val="24"/>
                <w:szCs w:val="24"/>
              </w:rPr>
              <w:t>комитета</w:t>
            </w:r>
            <w:r w:rsidR="003B5BF2" w:rsidRPr="003F5D3B">
              <w:rPr>
                <w:rFonts w:ascii="Times Roman" w:hAnsi="Times Roman" w:cs="Times New Roman"/>
                <w:sz w:val="24"/>
                <w:szCs w:val="24"/>
              </w:rPr>
              <w:t xml:space="preserve"> - </w:t>
            </w:r>
            <w:r w:rsidR="003B5BF2" w:rsidRPr="003F5D3B">
              <w:rPr>
                <w:rFonts w:ascii="Times New Roman" w:hAnsi="Times New Roman" w:cs="Times New Roman"/>
                <w:sz w:val="24"/>
                <w:szCs w:val="24"/>
              </w:rPr>
              <w:t>начальник</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департамента</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по</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развитию</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сельского</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хозяйства</w:t>
            </w:r>
          </w:p>
          <w:p w:rsidR="003B5BF2" w:rsidRPr="003F5D3B" w:rsidRDefault="00E15F14" w:rsidP="003F5D3B">
            <w:pPr>
              <w:rPr>
                <w:rFonts w:ascii="Times Roman" w:hAnsi="Times Roman" w:cs="Times New Roman"/>
                <w:sz w:val="24"/>
                <w:szCs w:val="24"/>
              </w:rPr>
            </w:pPr>
            <w:r w:rsidRPr="003F5D3B">
              <w:rPr>
                <w:rFonts w:ascii="Times New Roman" w:hAnsi="Times New Roman" w:cs="Times New Roman"/>
                <w:sz w:val="24"/>
                <w:szCs w:val="24"/>
              </w:rPr>
              <w:t>Варенов</w:t>
            </w:r>
            <w:r w:rsidRPr="003F5D3B">
              <w:rPr>
                <w:rFonts w:ascii="Times Roman" w:hAnsi="Times Roman" w:cs="Times New Roman"/>
                <w:sz w:val="24"/>
                <w:szCs w:val="24"/>
              </w:rPr>
              <w:t xml:space="preserve"> </w:t>
            </w:r>
            <w:r w:rsidRPr="003F5D3B">
              <w:rPr>
                <w:rFonts w:ascii="Times New Roman" w:hAnsi="Times New Roman" w:cs="Times New Roman"/>
                <w:sz w:val="24"/>
                <w:szCs w:val="24"/>
              </w:rPr>
              <w:t>Александр</w:t>
            </w:r>
            <w:r w:rsidRPr="003F5D3B">
              <w:rPr>
                <w:rFonts w:ascii="Times Roman" w:hAnsi="Times Roman" w:cs="Times New Roman"/>
                <w:sz w:val="24"/>
                <w:szCs w:val="24"/>
              </w:rPr>
              <w:t xml:space="preserve"> </w:t>
            </w:r>
            <w:r w:rsidRPr="003F5D3B">
              <w:rPr>
                <w:rFonts w:ascii="Times New Roman" w:hAnsi="Times New Roman" w:cs="Times New Roman"/>
                <w:sz w:val="24"/>
                <w:szCs w:val="24"/>
              </w:rPr>
              <w:t>Валерьевич</w:t>
            </w:r>
            <w:r w:rsidRPr="003F5D3B">
              <w:rPr>
                <w:rFonts w:ascii="Times Roman" w:hAnsi="Times Roman" w:cs="Times New Roman"/>
                <w:sz w:val="24"/>
                <w:szCs w:val="24"/>
              </w:rPr>
              <w:t xml:space="preserve"> - </w:t>
            </w:r>
            <w:r w:rsidR="003B5BF2" w:rsidRPr="003F5D3B">
              <w:rPr>
                <w:rFonts w:ascii="Times New Roman" w:hAnsi="Times New Roman" w:cs="Times New Roman"/>
                <w:sz w:val="24"/>
                <w:szCs w:val="24"/>
              </w:rPr>
              <w:t>заместитель</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председателя</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комитета</w:t>
            </w:r>
            <w:r w:rsidRPr="003F5D3B">
              <w:rPr>
                <w:rFonts w:ascii="Times Roman" w:hAnsi="Times Roman" w:cs="Times New Roman"/>
                <w:sz w:val="24"/>
                <w:szCs w:val="24"/>
              </w:rPr>
              <w:t xml:space="preserve"> </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начальник</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департамента</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координации</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целевых</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программ</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пищевой</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перерабатывающей</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промышленности</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и</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рыночной</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инфраструктуры</w:t>
            </w:r>
          </w:p>
        </w:tc>
        <w:tc>
          <w:tcPr>
            <w:tcW w:w="1786" w:type="pct"/>
            <w:vAlign w:val="center"/>
          </w:tcPr>
          <w:p w:rsidR="003B5BF2" w:rsidRPr="003F5D3B" w:rsidRDefault="003B5BF2" w:rsidP="003F5D3B">
            <w:pPr>
              <w:rPr>
                <w:rFonts w:ascii="Times Roman" w:hAnsi="Times Roman" w:cs="Times New Roman"/>
                <w:sz w:val="24"/>
                <w:szCs w:val="24"/>
              </w:rPr>
            </w:pPr>
            <w:r w:rsidRPr="003F5D3B">
              <w:rPr>
                <w:rFonts w:ascii="Times New Roman" w:hAnsi="Times New Roman" w:cs="Times New Roman"/>
                <w:sz w:val="24"/>
                <w:szCs w:val="24"/>
              </w:rPr>
              <w:t>департамент</w:t>
            </w:r>
            <w:r w:rsidRPr="003F5D3B">
              <w:rPr>
                <w:rFonts w:ascii="Times Roman" w:hAnsi="Times Roman" w:cs="Times New Roman"/>
                <w:sz w:val="24"/>
                <w:szCs w:val="24"/>
              </w:rPr>
              <w:t xml:space="preserve"> </w:t>
            </w:r>
            <w:r w:rsidRPr="003F5D3B">
              <w:rPr>
                <w:rFonts w:ascii="Times New Roman" w:hAnsi="Times New Roman" w:cs="Times New Roman"/>
                <w:sz w:val="24"/>
                <w:szCs w:val="24"/>
              </w:rPr>
              <w:t>координации</w:t>
            </w:r>
            <w:r w:rsidRPr="003F5D3B">
              <w:rPr>
                <w:rFonts w:ascii="Times Roman" w:hAnsi="Times Roman" w:cs="Times New Roman"/>
                <w:sz w:val="24"/>
                <w:szCs w:val="24"/>
              </w:rPr>
              <w:t xml:space="preserve"> </w:t>
            </w:r>
            <w:r w:rsidRPr="003F5D3B">
              <w:rPr>
                <w:rFonts w:ascii="Times New Roman" w:hAnsi="Times New Roman" w:cs="Times New Roman"/>
                <w:sz w:val="24"/>
                <w:szCs w:val="24"/>
              </w:rPr>
              <w:t>целевых</w:t>
            </w:r>
            <w:r w:rsidRPr="003F5D3B">
              <w:rPr>
                <w:rFonts w:ascii="Times Roman" w:hAnsi="Times Roman" w:cs="Times New Roman"/>
                <w:sz w:val="24"/>
                <w:szCs w:val="24"/>
              </w:rPr>
              <w:t xml:space="preserve"> </w:t>
            </w:r>
            <w:r w:rsidRPr="003F5D3B">
              <w:rPr>
                <w:rFonts w:ascii="Times New Roman" w:hAnsi="Times New Roman" w:cs="Times New Roman"/>
                <w:sz w:val="24"/>
                <w:szCs w:val="24"/>
              </w:rPr>
              <w:t>программ</w:t>
            </w:r>
            <w:r w:rsidRPr="003F5D3B">
              <w:rPr>
                <w:rFonts w:ascii="Times Roman" w:hAnsi="Times Roman" w:cs="Times New Roman"/>
                <w:sz w:val="24"/>
                <w:szCs w:val="24"/>
              </w:rPr>
              <w:t xml:space="preserve">, </w:t>
            </w:r>
            <w:r w:rsidRPr="003F5D3B">
              <w:rPr>
                <w:rFonts w:ascii="Times New Roman" w:hAnsi="Times New Roman" w:cs="Times New Roman"/>
                <w:sz w:val="24"/>
                <w:szCs w:val="24"/>
              </w:rPr>
              <w:t>пищевой</w:t>
            </w:r>
            <w:r w:rsidRPr="003F5D3B">
              <w:rPr>
                <w:rFonts w:ascii="Times Roman" w:hAnsi="Times Roman" w:cs="Times New Roman"/>
                <w:sz w:val="24"/>
                <w:szCs w:val="24"/>
              </w:rPr>
              <w:t xml:space="preserve">, </w:t>
            </w:r>
            <w:r w:rsidRPr="003F5D3B">
              <w:rPr>
                <w:rFonts w:ascii="Times New Roman" w:hAnsi="Times New Roman" w:cs="Times New Roman"/>
                <w:sz w:val="24"/>
                <w:szCs w:val="24"/>
              </w:rPr>
              <w:t>перерабатывающей</w:t>
            </w:r>
            <w:r w:rsidRPr="003F5D3B">
              <w:rPr>
                <w:rFonts w:ascii="Times Roman" w:hAnsi="Times Roman" w:cs="Times New Roman"/>
                <w:sz w:val="24"/>
                <w:szCs w:val="24"/>
              </w:rPr>
              <w:t xml:space="preserve"> </w:t>
            </w:r>
            <w:r w:rsidRPr="003F5D3B">
              <w:rPr>
                <w:rFonts w:ascii="Times New Roman" w:hAnsi="Times New Roman" w:cs="Times New Roman"/>
                <w:sz w:val="24"/>
                <w:szCs w:val="24"/>
              </w:rPr>
              <w:t>промышленности</w:t>
            </w:r>
            <w:r w:rsidRPr="003F5D3B">
              <w:rPr>
                <w:rFonts w:ascii="Times Roman" w:hAnsi="Times Roman" w:cs="Times New Roman"/>
                <w:sz w:val="24"/>
                <w:szCs w:val="24"/>
              </w:rPr>
              <w:t xml:space="preserve"> </w:t>
            </w:r>
            <w:r w:rsidRPr="003F5D3B">
              <w:rPr>
                <w:rFonts w:ascii="Times New Roman" w:hAnsi="Times New Roman" w:cs="Times New Roman"/>
                <w:sz w:val="24"/>
                <w:szCs w:val="24"/>
              </w:rPr>
              <w:t>и</w:t>
            </w:r>
            <w:r w:rsidRPr="003F5D3B">
              <w:rPr>
                <w:rFonts w:ascii="Times Roman" w:hAnsi="Times Roman" w:cs="Times New Roman"/>
                <w:sz w:val="24"/>
                <w:szCs w:val="24"/>
              </w:rPr>
              <w:t xml:space="preserve"> </w:t>
            </w:r>
            <w:r w:rsidRPr="003F5D3B">
              <w:rPr>
                <w:rFonts w:ascii="Times New Roman" w:hAnsi="Times New Roman" w:cs="Times New Roman"/>
                <w:sz w:val="24"/>
                <w:szCs w:val="24"/>
              </w:rPr>
              <w:t>рыночной</w:t>
            </w:r>
            <w:r w:rsidRPr="003F5D3B">
              <w:rPr>
                <w:rFonts w:ascii="Times Roman" w:hAnsi="Times Roman" w:cs="Times New Roman"/>
                <w:sz w:val="24"/>
                <w:szCs w:val="24"/>
              </w:rPr>
              <w:t xml:space="preserve"> </w:t>
            </w:r>
            <w:r w:rsidRPr="003F5D3B">
              <w:rPr>
                <w:rFonts w:ascii="Times New Roman" w:hAnsi="Times New Roman" w:cs="Times New Roman"/>
                <w:sz w:val="24"/>
                <w:szCs w:val="24"/>
              </w:rPr>
              <w:t>инфраструктуры</w:t>
            </w:r>
            <w:r w:rsidRPr="003F5D3B">
              <w:rPr>
                <w:rFonts w:ascii="Times Roman" w:hAnsi="Times Roman" w:cs="Times New Roman"/>
                <w:sz w:val="24"/>
                <w:szCs w:val="24"/>
              </w:rPr>
              <w:t xml:space="preserve">; </w:t>
            </w:r>
          </w:p>
          <w:p w:rsidR="003B5BF2" w:rsidRPr="003F5D3B" w:rsidRDefault="003B5BF2" w:rsidP="003F5D3B">
            <w:pPr>
              <w:rPr>
                <w:rFonts w:ascii="Times Roman" w:hAnsi="Times Roman" w:cs="Times New Roman"/>
                <w:sz w:val="24"/>
                <w:szCs w:val="24"/>
              </w:rPr>
            </w:pPr>
            <w:r w:rsidRPr="003F5D3B">
              <w:rPr>
                <w:rFonts w:ascii="Times New Roman" w:hAnsi="Times New Roman" w:cs="Times New Roman"/>
                <w:sz w:val="24"/>
                <w:szCs w:val="24"/>
              </w:rPr>
              <w:t>департамент</w:t>
            </w:r>
            <w:r w:rsidRPr="003F5D3B">
              <w:rPr>
                <w:rFonts w:ascii="Times Roman" w:hAnsi="Times Roman" w:cs="Times New Roman"/>
                <w:sz w:val="24"/>
                <w:szCs w:val="24"/>
              </w:rPr>
              <w:t xml:space="preserve"> </w:t>
            </w:r>
            <w:r w:rsidRPr="003F5D3B">
              <w:rPr>
                <w:rFonts w:ascii="Times New Roman" w:hAnsi="Times New Roman" w:cs="Times New Roman"/>
                <w:sz w:val="24"/>
                <w:szCs w:val="24"/>
              </w:rPr>
              <w:t>по</w:t>
            </w:r>
            <w:r w:rsidRPr="003F5D3B">
              <w:rPr>
                <w:rFonts w:ascii="Times Roman" w:hAnsi="Times Roman" w:cs="Times New Roman"/>
                <w:sz w:val="24"/>
                <w:szCs w:val="24"/>
              </w:rPr>
              <w:t xml:space="preserve"> </w:t>
            </w:r>
            <w:r w:rsidRPr="003F5D3B">
              <w:rPr>
                <w:rFonts w:ascii="Times New Roman" w:hAnsi="Times New Roman" w:cs="Times New Roman"/>
                <w:sz w:val="24"/>
                <w:szCs w:val="24"/>
              </w:rPr>
              <w:t>развитию</w:t>
            </w:r>
            <w:r w:rsidRPr="003F5D3B">
              <w:rPr>
                <w:rFonts w:ascii="Times Roman" w:hAnsi="Times Roman" w:cs="Times New Roman"/>
                <w:sz w:val="24"/>
                <w:szCs w:val="24"/>
              </w:rPr>
              <w:t xml:space="preserve"> </w:t>
            </w:r>
            <w:r w:rsidRPr="003F5D3B">
              <w:rPr>
                <w:rFonts w:ascii="Times New Roman" w:hAnsi="Times New Roman" w:cs="Times New Roman"/>
                <w:sz w:val="24"/>
                <w:szCs w:val="24"/>
              </w:rPr>
              <w:t>сельского</w:t>
            </w:r>
            <w:r w:rsidRPr="003F5D3B">
              <w:rPr>
                <w:rFonts w:ascii="Times Roman" w:hAnsi="Times Roman" w:cs="Times New Roman"/>
                <w:sz w:val="24"/>
                <w:szCs w:val="24"/>
              </w:rPr>
              <w:t xml:space="preserve"> </w:t>
            </w:r>
            <w:r w:rsidRPr="003F5D3B">
              <w:rPr>
                <w:rFonts w:ascii="Times New Roman" w:hAnsi="Times New Roman" w:cs="Times New Roman"/>
                <w:sz w:val="24"/>
                <w:szCs w:val="24"/>
              </w:rPr>
              <w:t>хозяйства</w:t>
            </w:r>
            <w:r w:rsidRPr="003F5D3B">
              <w:rPr>
                <w:rFonts w:ascii="Times Roman" w:hAnsi="Times Roman" w:cs="Times New Roman"/>
                <w:sz w:val="24"/>
                <w:szCs w:val="24"/>
              </w:rPr>
              <w:t xml:space="preserve">, </w:t>
            </w:r>
            <w:r w:rsidRPr="003F5D3B">
              <w:rPr>
                <w:rFonts w:ascii="Times New Roman" w:hAnsi="Times New Roman" w:cs="Times New Roman"/>
                <w:sz w:val="24"/>
                <w:szCs w:val="24"/>
              </w:rPr>
              <w:t>отдел</w:t>
            </w:r>
            <w:r w:rsidRPr="003F5D3B">
              <w:rPr>
                <w:rFonts w:ascii="Times Roman" w:hAnsi="Times Roman" w:cs="Times New Roman"/>
                <w:sz w:val="24"/>
                <w:szCs w:val="24"/>
              </w:rPr>
              <w:t xml:space="preserve"> </w:t>
            </w:r>
            <w:r w:rsidRPr="003F5D3B">
              <w:rPr>
                <w:rFonts w:ascii="Times New Roman" w:hAnsi="Times New Roman" w:cs="Times New Roman"/>
                <w:sz w:val="24"/>
                <w:szCs w:val="24"/>
              </w:rPr>
              <w:t>развития</w:t>
            </w:r>
            <w:r w:rsidRPr="003F5D3B">
              <w:rPr>
                <w:rFonts w:ascii="Times Roman" w:hAnsi="Times Roman" w:cs="Times New Roman"/>
                <w:sz w:val="24"/>
                <w:szCs w:val="24"/>
              </w:rPr>
              <w:t xml:space="preserve"> </w:t>
            </w:r>
            <w:r w:rsidRPr="003F5D3B">
              <w:rPr>
                <w:rFonts w:ascii="Times New Roman" w:hAnsi="Times New Roman" w:cs="Times New Roman"/>
                <w:sz w:val="24"/>
                <w:szCs w:val="24"/>
              </w:rPr>
              <w:t>рыбохозяйственного</w:t>
            </w:r>
            <w:r w:rsidRPr="003F5D3B">
              <w:rPr>
                <w:rFonts w:ascii="Times Roman" w:hAnsi="Times Roman" w:cs="Times New Roman"/>
                <w:sz w:val="24"/>
                <w:szCs w:val="24"/>
              </w:rPr>
              <w:t xml:space="preserve"> </w:t>
            </w:r>
            <w:r w:rsidRPr="003F5D3B">
              <w:rPr>
                <w:rFonts w:ascii="Times New Roman" w:hAnsi="Times New Roman" w:cs="Times New Roman"/>
                <w:sz w:val="24"/>
                <w:szCs w:val="24"/>
              </w:rPr>
              <w:t>комплекса</w:t>
            </w:r>
            <w:r w:rsidRPr="003F5D3B">
              <w:rPr>
                <w:rFonts w:ascii="Times Roman" w:hAnsi="Times Roman" w:cs="Times New Roman"/>
                <w:sz w:val="24"/>
                <w:szCs w:val="24"/>
              </w:rPr>
              <w:t xml:space="preserve">, </w:t>
            </w:r>
            <w:r w:rsidRPr="003F5D3B">
              <w:rPr>
                <w:rFonts w:ascii="Times New Roman" w:hAnsi="Times New Roman" w:cs="Times New Roman"/>
                <w:sz w:val="24"/>
                <w:szCs w:val="24"/>
              </w:rPr>
              <w:t>отдел</w:t>
            </w:r>
            <w:r w:rsidRPr="003F5D3B">
              <w:rPr>
                <w:rFonts w:ascii="Times Roman" w:hAnsi="Times Roman" w:cs="Times New Roman"/>
                <w:sz w:val="24"/>
                <w:szCs w:val="24"/>
              </w:rPr>
              <w:t xml:space="preserve"> </w:t>
            </w:r>
            <w:r w:rsidRPr="003F5D3B">
              <w:rPr>
                <w:rFonts w:ascii="Times New Roman" w:hAnsi="Times New Roman" w:cs="Times New Roman"/>
                <w:sz w:val="24"/>
                <w:szCs w:val="24"/>
              </w:rPr>
              <w:t>развития</w:t>
            </w:r>
            <w:r w:rsidRPr="003F5D3B">
              <w:rPr>
                <w:rFonts w:ascii="Times Roman" w:hAnsi="Times Roman" w:cs="Times New Roman"/>
                <w:sz w:val="24"/>
                <w:szCs w:val="24"/>
              </w:rPr>
              <w:t xml:space="preserve"> </w:t>
            </w:r>
            <w:r w:rsidRPr="003F5D3B">
              <w:rPr>
                <w:rFonts w:ascii="Times New Roman" w:hAnsi="Times New Roman" w:cs="Times New Roman"/>
                <w:sz w:val="24"/>
                <w:szCs w:val="24"/>
              </w:rPr>
              <w:t>животноводства</w:t>
            </w:r>
            <w:r w:rsidRPr="003F5D3B">
              <w:rPr>
                <w:rFonts w:ascii="Times Roman" w:hAnsi="Times Roman" w:cs="Times New Roman"/>
                <w:sz w:val="24"/>
                <w:szCs w:val="24"/>
              </w:rPr>
              <w:t xml:space="preserve">, </w:t>
            </w:r>
            <w:r w:rsidRPr="003F5D3B">
              <w:rPr>
                <w:rFonts w:ascii="Times New Roman" w:hAnsi="Times New Roman" w:cs="Times New Roman"/>
                <w:sz w:val="24"/>
                <w:szCs w:val="24"/>
              </w:rPr>
              <w:t>звероводства</w:t>
            </w:r>
            <w:r w:rsidRPr="003F5D3B">
              <w:rPr>
                <w:rFonts w:ascii="Times Roman" w:hAnsi="Times Roman" w:cs="Times New Roman"/>
                <w:sz w:val="24"/>
                <w:szCs w:val="24"/>
              </w:rPr>
              <w:t xml:space="preserve"> </w:t>
            </w:r>
            <w:r w:rsidRPr="003F5D3B">
              <w:rPr>
                <w:rFonts w:ascii="Times New Roman" w:hAnsi="Times New Roman" w:cs="Times New Roman"/>
                <w:sz w:val="24"/>
                <w:szCs w:val="24"/>
              </w:rPr>
              <w:t>и</w:t>
            </w:r>
            <w:r w:rsidRPr="003F5D3B">
              <w:rPr>
                <w:rFonts w:ascii="Times Roman" w:hAnsi="Times Roman" w:cs="Times New Roman"/>
                <w:sz w:val="24"/>
                <w:szCs w:val="24"/>
              </w:rPr>
              <w:t xml:space="preserve"> </w:t>
            </w:r>
            <w:r w:rsidRPr="003F5D3B">
              <w:rPr>
                <w:rFonts w:ascii="Times New Roman" w:hAnsi="Times New Roman" w:cs="Times New Roman"/>
                <w:sz w:val="24"/>
                <w:szCs w:val="24"/>
              </w:rPr>
              <w:t>птицеводства</w:t>
            </w:r>
            <w:r w:rsidRPr="003F5D3B">
              <w:rPr>
                <w:rFonts w:ascii="Times Roman" w:hAnsi="Times Roman" w:cs="Times New Roman"/>
                <w:sz w:val="24"/>
                <w:szCs w:val="24"/>
              </w:rPr>
              <w:t xml:space="preserve">, </w:t>
            </w:r>
            <w:r w:rsidRPr="003F5D3B">
              <w:rPr>
                <w:rFonts w:ascii="Times New Roman" w:hAnsi="Times New Roman" w:cs="Times New Roman"/>
                <w:sz w:val="24"/>
                <w:szCs w:val="24"/>
              </w:rPr>
              <w:t>сектор</w:t>
            </w:r>
            <w:r w:rsidRPr="003F5D3B">
              <w:rPr>
                <w:rFonts w:ascii="Times Roman" w:hAnsi="Times Roman" w:cs="Times New Roman"/>
                <w:sz w:val="24"/>
                <w:szCs w:val="24"/>
              </w:rPr>
              <w:t xml:space="preserve"> </w:t>
            </w:r>
            <w:r w:rsidRPr="003F5D3B">
              <w:rPr>
                <w:rFonts w:ascii="Times New Roman" w:hAnsi="Times New Roman" w:cs="Times New Roman"/>
                <w:sz w:val="24"/>
                <w:szCs w:val="24"/>
              </w:rPr>
              <w:t>развития</w:t>
            </w:r>
            <w:r w:rsidRPr="003F5D3B">
              <w:rPr>
                <w:rFonts w:ascii="Times Roman" w:hAnsi="Times Roman" w:cs="Times New Roman"/>
                <w:sz w:val="24"/>
                <w:szCs w:val="24"/>
              </w:rPr>
              <w:t xml:space="preserve"> </w:t>
            </w:r>
            <w:r w:rsidRPr="003F5D3B">
              <w:rPr>
                <w:rFonts w:ascii="Times New Roman" w:hAnsi="Times New Roman" w:cs="Times New Roman"/>
                <w:sz w:val="24"/>
                <w:szCs w:val="24"/>
              </w:rPr>
              <w:t>растениеводства</w:t>
            </w:r>
            <w:r w:rsidRPr="003F5D3B">
              <w:rPr>
                <w:rFonts w:ascii="Times Roman" w:hAnsi="Times Roman" w:cs="Times New Roman"/>
                <w:sz w:val="24"/>
                <w:szCs w:val="24"/>
              </w:rPr>
              <w:t xml:space="preserve"> </w:t>
            </w:r>
            <w:r w:rsidRPr="003F5D3B">
              <w:rPr>
                <w:rFonts w:ascii="Times New Roman" w:hAnsi="Times New Roman" w:cs="Times New Roman"/>
                <w:sz w:val="24"/>
                <w:szCs w:val="24"/>
              </w:rPr>
              <w:t>и</w:t>
            </w:r>
            <w:r w:rsidRPr="003F5D3B">
              <w:rPr>
                <w:rFonts w:ascii="Times Roman" w:hAnsi="Times Roman" w:cs="Times New Roman"/>
                <w:sz w:val="24"/>
                <w:szCs w:val="24"/>
              </w:rPr>
              <w:t xml:space="preserve"> </w:t>
            </w:r>
            <w:r w:rsidRPr="003F5D3B">
              <w:rPr>
                <w:rFonts w:ascii="Times New Roman" w:hAnsi="Times New Roman" w:cs="Times New Roman"/>
                <w:sz w:val="24"/>
                <w:szCs w:val="24"/>
              </w:rPr>
              <w:t>земледелия</w:t>
            </w:r>
          </w:p>
        </w:tc>
      </w:tr>
      <w:tr w:rsidR="003B5BF2" w:rsidRPr="003F5D3B" w:rsidTr="003F5D3B">
        <w:tc>
          <w:tcPr>
            <w:tcW w:w="257" w:type="pct"/>
            <w:vAlign w:val="center"/>
          </w:tcPr>
          <w:p w:rsidR="003B5BF2" w:rsidRPr="003F5D3B" w:rsidRDefault="003B5BF2" w:rsidP="003F5D3B">
            <w:pPr>
              <w:numPr>
                <w:ilvl w:val="0"/>
                <w:numId w:val="4"/>
              </w:numPr>
              <w:ind w:left="0" w:firstLine="142"/>
              <w:rPr>
                <w:rFonts w:ascii="Times Roman" w:hAnsi="Times Roman" w:cs="Times New Roman"/>
                <w:sz w:val="24"/>
                <w:szCs w:val="24"/>
              </w:rPr>
            </w:pPr>
          </w:p>
        </w:tc>
        <w:tc>
          <w:tcPr>
            <w:tcW w:w="1450" w:type="pct"/>
            <w:vAlign w:val="center"/>
          </w:tcPr>
          <w:p w:rsidR="003B5BF2" w:rsidRPr="003F5D3B" w:rsidRDefault="003B5BF2" w:rsidP="003F5D3B">
            <w:pPr>
              <w:rPr>
                <w:rFonts w:ascii="Times Roman" w:hAnsi="Times Roman" w:cs="Times New Roman"/>
                <w:sz w:val="24"/>
                <w:szCs w:val="24"/>
              </w:rPr>
            </w:pPr>
            <w:r w:rsidRPr="003F5D3B">
              <w:rPr>
                <w:rFonts w:ascii="Times New Roman" w:hAnsi="Times New Roman" w:cs="Times New Roman"/>
                <w:sz w:val="24"/>
                <w:szCs w:val="24"/>
              </w:rPr>
              <w:t>Комитет</w:t>
            </w:r>
            <w:r w:rsidRPr="003F5D3B">
              <w:rPr>
                <w:rFonts w:ascii="Times Roman" w:hAnsi="Times Roman" w:cs="Times New Roman"/>
                <w:sz w:val="24"/>
                <w:szCs w:val="24"/>
              </w:rPr>
              <w:t xml:space="preserve"> </w:t>
            </w:r>
            <w:r w:rsidRPr="003F5D3B">
              <w:rPr>
                <w:rFonts w:ascii="Times New Roman" w:hAnsi="Times New Roman" w:cs="Times New Roman"/>
                <w:sz w:val="24"/>
                <w:szCs w:val="24"/>
              </w:rPr>
              <w:t>по</w:t>
            </w:r>
            <w:r w:rsidRPr="003F5D3B">
              <w:rPr>
                <w:rFonts w:ascii="Times Roman" w:hAnsi="Times Roman" w:cs="Times New Roman"/>
                <w:sz w:val="24"/>
                <w:szCs w:val="24"/>
              </w:rPr>
              <w:t xml:space="preserve"> </w:t>
            </w:r>
            <w:r w:rsidRPr="003F5D3B">
              <w:rPr>
                <w:rFonts w:ascii="Times New Roman" w:hAnsi="Times New Roman" w:cs="Times New Roman"/>
                <w:sz w:val="24"/>
                <w:szCs w:val="24"/>
              </w:rPr>
              <w:t>развитию</w:t>
            </w:r>
            <w:r w:rsidRPr="003F5D3B">
              <w:rPr>
                <w:rFonts w:ascii="Times Roman" w:hAnsi="Times Roman" w:cs="Times New Roman"/>
                <w:sz w:val="24"/>
                <w:szCs w:val="24"/>
              </w:rPr>
              <w:t xml:space="preserve"> </w:t>
            </w:r>
            <w:r w:rsidRPr="003F5D3B">
              <w:rPr>
                <w:rFonts w:ascii="Times New Roman" w:hAnsi="Times New Roman" w:cs="Times New Roman"/>
                <w:sz w:val="24"/>
                <w:szCs w:val="24"/>
              </w:rPr>
              <w:t>малого</w:t>
            </w:r>
            <w:r w:rsidRPr="003F5D3B">
              <w:rPr>
                <w:rFonts w:ascii="Times Roman" w:hAnsi="Times Roman" w:cs="Times New Roman"/>
                <w:sz w:val="24"/>
                <w:szCs w:val="24"/>
              </w:rPr>
              <w:t xml:space="preserve">, </w:t>
            </w:r>
            <w:r w:rsidRPr="003F5D3B">
              <w:rPr>
                <w:rFonts w:ascii="Times New Roman" w:hAnsi="Times New Roman" w:cs="Times New Roman"/>
                <w:sz w:val="24"/>
                <w:szCs w:val="24"/>
              </w:rPr>
              <w:t>среднего</w:t>
            </w:r>
            <w:r w:rsidRPr="003F5D3B">
              <w:rPr>
                <w:rFonts w:ascii="Times Roman" w:hAnsi="Times Roman" w:cs="Times New Roman"/>
                <w:sz w:val="24"/>
                <w:szCs w:val="24"/>
              </w:rPr>
              <w:t xml:space="preserve"> </w:t>
            </w:r>
            <w:r w:rsidRPr="003F5D3B">
              <w:rPr>
                <w:rFonts w:ascii="Times New Roman" w:hAnsi="Times New Roman" w:cs="Times New Roman"/>
                <w:sz w:val="24"/>
                <w:szCs w:val="24"/>
              </w:rPr>
              <w:t>бизнеса</w:t>
            </w:r>
            <w:r w:rsidRPr="003F5D3B">
              <w:rPr>
                <w:rFonts w:ascii="Times Roman" w:hAnsi="Times Roman" w:cs="Times New Roman"/>
                <w:sz w:val="24"/>
                <w:szCs w:val="24"/>
              </w:rPr>
              <w:t xml:space="preserve"> </w:t>
            </w:r>
            <w:r w:rsidRPr="003F5D3B">
              <w:rPr>
                <w:rFonts w:ascii="Times New Roman" w:hAnsi="Times New Roman" w:cs="Times New Roman"/>
                <w:sz w:val="24"/>
                <w:szCs w:val="24"/>
              </w:rPr>
              <w:t>и</w:t>
            </w:r>
            <w:r w:rsidRPr="003F5D3B">
              <w:rPr>
                <w:rFonts w:ascii="Times Roman" w:hAnsi="Times Roman" w:cs="Times New Roman"/>
                <w:sz w:val="24"/>
                <w:szCs w:val="24"/>
              </w:rPr>
              <w:t xml:space="preserve"> </w:t>
            </w:r>
            <w:r w:rsidRPr="003F5D3B">
              <w:rPr>
                <w:rFonts w:ascii="Times New Roman" w:hAnsi="Times New Roman" w:cs="Times New Roman"/>
                <w:sz w:val="24"/>
                <w:szCs w:val="24"/>
              </w:rPr>
              <w:t>потребительского</w:t>
            </w:r>
            <w:r w:rsidRPr="003F5D3B">
              <w:rPr>
                <w:rFonts w:ascii="Times Roman" w:hAnsi="Times Roman" w:cs="Times New Roman"/>
                <w:sz w:val="24"/>
                <w:szCs w:val="24"/>
              </w:rPr>
              <w:t xml:space="preserve"> </w:t>
            </w:r>
            <w:r w:rsidRPr="003F5D3B">
              <w:rPr>
                <w:rFonts w:ascii="Times New Roman" w:hAnsi="Times New Roman" w:cs="Times New Roman"/>
                <w:sz w:val="24"/>
                <w:szCs w:val="24"/>
              </w:rPr>
              <w:t>рынка</w:t>
            </w:r>
          </w:p>
        </w:tc>
        <w:tc>
          <w:tcPr>
            <w:tcW w:w="1507" w:type="pct"/>
            <w:vAlign w:val="center"/>
          </w:tcPr>
          <w:p w:rsidR="003B5BF2" w:rsidRPr="003F5D3B" w:rsidRDefault="002F56EB" w:rsidP="003F5D3B">
            <w:pPr>
              <w:rPr>
                <w:rFonts w:ascii="Times Roman" w:hAnsi="Times Roman" w:cs="Times New Roman"/>
                <w:sz w:val="24"/>
                <w:szCs w:val="24"/>
              </w:rPr>
            </w:pPr>
            <w:r w:rsidRPr="003F5D3B">
              <w:rPr>
                <w:rFonts w:ascii="Times New Roman" w:hAnsi="Times New Roman" w:cs="Times New Roman"/>
                <w:sz w:val="24"/>
                <w:szCs w:val="24"/>
              </w:rPr>
              <w:t>Федоров</w:t>
            </w:r>
            <w:r w:rsidRPr="003F5D3B">
              <w:rPr>
                <w:rFonts w:ascii="Times Roman" w:hAnsi="Times Roman" w:cs="Times New Roman"/>
                <w:sz w:val="24"/>
                <w:szCs w:val="24"/>
              </w:rPr>
              <w:t xml:space="preserve"> </w:t>
            </w:r>
            <w:r w:rsidRPr="003F5D3B">
              <w:rPr>
                <w:rFonts w:ascii="Times New Roman" w:hAnsi="Times New Roman" w:cs="Times New Roman"/>
                <w:sz w:val="24"/>
                <w:szCs w:val="24"/>
              </w:rPr>
              <w:t>Максим</w:t>
            </w:r>
            <w:r w:rsidR="00E15F14" w:rsidRPr="003F5D3B">
              <w:rPr>
                <w:rFonts w:ascii="Times Roman" w:hAnsi="Times Roman" w:cs="Times New Roman"/>
                <w:sz w:val="24"/>
                <w:szCs w:val="24"/>
              </w:rPr>
              <w:t xml:space="preserve"> </w:t>
            </w:r>
            <w:r w:rsidR="00E15F14" w:rsidRPr="003F5D3B">
              <w:rPr>
                <w:rFonts w:ascii="Times New Roman" w:hAnsi="Times New Roman" w:cs="Times New Roman"/>
                <w:sz w:val="24"/>
                <w:szCs w:val="24"/>
              </w:rPr>
              <w:t>Владимирович</w:t>
            </w:r>
            <w:r w:rsidR="00E15F14" w:rsidRPr="003F5D3B">
              <w:rPr>
                <w:rFonts w:ascii="Times Roman" w:hAnsi="Times Roman" w:cs="Times New Roman"/>
                <w:sz w:val="24"/>
                <w:szCs w:val="24"/>
              </w:rPr>
              <w:t xml:space="preserve"> - </w:t>
            </w:r>
            <w:r w:rsidR="003B5BF2" w:rsidRPr="003F5D3B">
              <w:rPr>
                <w:rFonts w:ascii="Times New Roman" w:hAnsi="Times New Roman" w:cs="Times New Roman"/>
                <w:sz w:val="24"/>
                <w:szCs w:val="24"/>
              </w:rPr>
              <w:t>заместитель</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председателя</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комитета</w:t>
            </w:r>
          </w:p>
        </w:tc>
        <w:tc>
          <w:tcPr>
            <w:tcW w:w="1786" w:type="pct"/>
            <w:vAlign w:val="center"/>
          </w:tcPr>
          <w:p w:rsidR="003B5BF2" w:rsidRPr="003F5D3B" w:rsidRDefault="003B5BF2" w:rsidP="003F5D3B">
            <w:pPr>
              <w:rPr>
                <w:rFonts w:ascii="Times Roman" w:hAnsi="Times Roman" w:cs="Times New Roman"/>
                <w:sz w:val="24"/>
                <w:szCs w:val="24"/>
              </w:rPr>
            </w:pPr>
            <w:r w:rsidRPr="003F5D3B">
              <w:rPr>
                <w:rFonts w:ascii="Times New Roman" w:hAnsi="Times New Roman" w:cs="Times New Roman"/>
                <w:sz w:val="24"/>
                <w:szCs w:val="24"/>
              </w:rPr>
              <w:t>отдел</w:t>
            </w:r>
            <w:r w:rsidRPr="003F5D3B">
              <w:rPr>
                <w:rFonts w:ascii="Times Roman" w:hAnsi="Times Roman" w:cs="Times New Roman"/>
                <w:sz w:val="24"/>
                <w:szCs w:val="24"/>
              </w:rPr>
              <w:t xml:space="preserve"> </w:t>
            </w:r>
            <w:r w:rsidRPr="003F5D3B">
              <w:rPr>
                <w:rFonts w:ascii="Times New Roman" w:hAnsi="Times New Roman" w:cs="Times New Roman"/>
                <w:sz w:val="24"/>
                <w:szCs w:val="24"/>
              </w:rPr>
              <w:t>развития</w:t>
            </w:r>
            <w:r w:rsidRPr="003F5D3B">
              <w:rPr>
                <w:rFonts w:ascii="Times Roman" w:hAnsi="Times Roman" w:cs="Times New Roman"/>
                <w:sz w:val="24"/>
                <w:szCs w:val="24"/>
              </w:rPr>
              <w:t xml:space="preserve"> </w:t>
            </w:r>
            <w:r w:rsidRPr="003F5D3B">
              <w:rPr>
                <w:rFonts w:ascii="Times New Roman" w:hAnsi="Times New Roman" w:cs="Times New Roman"/>
                <w:sz w:val="24"/>
                <w:szCs w:val="24"/>
              </w:rPr>
              <w:t>малого</w:t>
            </w:r>
            <w:r w:rsidRPr="003F5D3B">
              <w:rPr>
                <w:rFonts w:ascii="Times Roman" w:hAnsi="Times Roman" w:cs="Times New Roman"/>
                <w:sz w:val="24"/>
                <w:szCs w:val="24"/>
              </w:rPr>
              <w:t xml:space="preserve"> </w:t>
            </w:r>
            <w:r w:rsidRPr="003F5D3B">
              <w:rPr>
                <w:rFonts w:ascii="Times New Roman" w:hAnsi="Times New Roman" w:cs="Times New Roman"/>
                <w:sz w:val="24"/>
                <w:szCs w:val="24"/>
              </w:rPr>
              <w:t>и</w:t>
            </w:r>
            <w:r w:rsidRPr="003F5D3B">
              <w:rPr>
                <w:rFonts w:ascii="Times Roman" w:hAnsi="Times Roman" w:cs="Times New Roman"/>
                <w:sz w:val="24"/>
                <w:szCs w:val="24"/>
              </w:rPr>
              <w:t xml:space="preserve"> </w:t>
            </w:r>
            <w:r w:rsidRPr="003F5D3B">
              <w:rPr>
                <w:rFonts w:ascii="Times New Roman" w:hAnsi="Times New Roman" w:cs="Times New Roman"/>
                <w:sz w:val="24"/>
                <w:szCs w:val="24"/>
              </w:rPr>
              <w:t>среднего</w:t>
            </w:r>
            <w:r w:rsidRPr="003F5D3B">
              <w:rPr>
                <w:rFonts w:ascii="Times Roman" w:hAnsi="Times Roman" w:cs="Times New Roman"/>
                <w:sz w:val="24"/>
                <w:szCs w:val="24"/>
              </w:rPr>
              <w:t xml:space="preserve"> </w:t>
            </w:r>
            <w:r w:rsidRPr="003F5D3B">
              <w:rPr>
                <w:rFonts w:ascii="Times New Roman" w:hAnsi="Times New Roman" w:cs="Times New Roman"/>
                <w:sz w:val="24"/>
                <w:szCs w:val="24"/>
              </w:rPr>
              <w:t>бизнеса</w:t>
            </w:r>
            <w:r w:rsidRPr="003F5D3B">
              <w:rPr>
                <w:rFonts w:ascii="Times Roman" w:hAnsi="Times Roman" w:cs="Times New Roman"/>
                <w:sz w:val="24"/>
                <w:szCs w:val="24"/>
              </w:rPr>
              <w:t xml:space="preserve">, </w:t>
            </w:r>
            <w:r w:rsidRPr="003F5D3B">
              <w:rPr>
                <w:rFonts w:ascii="Times New Roman" w:hAnsi="Times New Roman" w:cs="Times New Roman"/>
                <w:sz w:val="24"/>
                <w:szCs w:val="24"/>
              </w:rPr>
              <w:t>отдел</w:t>
            </w:r>
            <w:r w:rsidRPr="003F5D3B">
              <w:rPr>
                <w:rFonts w:ascii="Times Roman" w:hAnsi="Times Roman" w:cs="Times New Roman"/>
                <w:sz w:val="24"/>
                <w:szCs w:val="24"/>
              </w:rPr>
              <w:t xml:space="preserve"> </w:t>
            </w:r>
            <w:r w:rsidRPr="003F5D3B">
              <w:rPr>
                <w:rFonts w:ascii="Times New Roman" w:hAnsi="Times New Roman" w:cs="Times New Roman"/>
                <w:sz w:val="24"/>
                <w:szCs w:val="24"/>
              </w:rPr>
              <w:t>ресурсной</w:t>
            </w:r>
            <w:r w:rsidRPr="003F5D3B">
              <w:rPr>
                <w:rFonts w:ascii="Times Roman" w:hAnsi="Times Roman" w:cs="Times New Roman"/>
                <w:sz w:val="24"/>
                <w:szCs w:val="24"/>
              </w:rPr>
              <w:t xml:space="preserve"> </w:t>
            </w:r>
            <w:r w:rsidRPr="003F5D3B">
              <w:rPr>
                <w:rFonts w:ascii="Times New Roman" w:hAnsi="Times New Roman" w:cs="Times New Roman"/>
                <w:sz w:val="24"/>
                <w:szCs w:val="24"/>
              </w:rPr>
              <w:t>поддержки</w:t>
            </w:r>
            <w:r w:rsidRPr="003F5D3B">
              <w:rPr>
                <w:rFonts w:ascii="Times Roman" w:hAnsi="Times Roman" w:cs="Times New Roman"/>
                <w:sz w:val="24"/>
                <w:szCs w:val="24"/>
              </w:rPr>
              <w:t xml:space="preserve">, </w:t>
            </w:r>
            <w:r w:rsidRPr="003F5D3B">
              <w:rPr>
                <w:rFonts w:ascii="Times New Roman" w:hAnsi="Times New Roman" w:cs="Times New Roman"/>
                <w:sz w:val="24"/>
                <w:szCs w:val="24"/>
              </w:rPr>
              <w:t>отдел</w:t>
            </w:r>
            <w:r w:rsidRPr="003F5D3B">
              <w:rPr>
                <w:rFonts w:ascii="Times Roman" w:hAnsi="Times Roman" w:cs="Times New Roman"/>
                <w:sz w:val="24"/>
                <w:szCs w:val="24"/>
              </w:rPr>
              <w:t xml:space="preserve"> </w:t>
            </w:r>
            <w:r w:rsidRPr="003F5D3B">
              <w:rPr>
                <w:rFonts w:ascii="Times New Roman" w:hAnsi="Times New Roman" w:cs="Times New Roman"/>
                <w:sz w:val="24"/>
                <w:szCs w:val="24"/>
              </w:rPr>
              <w:t>развития</w:t>
            </w:r>
            <w:r w:rsidRPr="003F5D3B">
              <w:rPr>
                <w:rFonts w:ascii="Times Roman" w:hAnsi="Times Roman" w:cs="Times New Roman"/>
                <w:sz w:val="24"/>
                <w:szCs w:val="24"/>
              </w:rPr>
              <w:t xml:space="preserve"> </w:t>
            </w:r>
            <w:r w:rsidRPr="003F5D3B">
              <w:rPr>
                <w:rFonts w:ascii="Times New Roman" w:hAnsi="Times New Roman" w:cs="Times New Roman"/>
                <w:sz w:val="24"/>
                <w:szCs w:val="24"/>
              </w:rPr>
              <w:t>потребительского</w:t>
            </w:r>
            <w:r w:rsidRPr="003F5D3B">
              <w:rPr>
                <w:rFonts w:ascii="Times Roman" w:hAnsi="Times Roman" w:cs="Times New Roman"/>
                <w:sz w:val="24"/>
                <w:szCs w:val="24"/>
              </w:rPr>
              <w:t xml:space="preserve"> </w:t>
            </w:r>
            <w:r w:rsidRPr="003F5D3B">
              <w:rPr>
                <w:rFonts w:ascii="Times New Roman" w:hAnsi="Times New Roman" w:cs="Times New Roman"/>
                <w:sz w:val="24"/>
                <w:szCs w:val="24"/>
              </w:rPr>
              <w:t>рынка</w:t>
            </w:r>
          </w:p>
        </w:tc>
      </w:tr>
      <w:tr w:rsidR="003B5BF2" w:rsidRPr="003F5D3B" w:rsidTr="003F5D3B">
        <w:tc>
          <w:tcPr>
            <w:tcW w:w="257" w:type="pct"/>
            <w:vAlign w:val="center"/>
          </w:tcPr>
          <w:p w:rsidR="003B5BF2" w:rsidRPr="003F5D3B" w:rsidRDefault="003B5BF2" w:rsidP="003F5D3B">
            <w:pPr>
              <w:numPr>
                <w:ilvl w:val="0"/>
                <w:numId w:val="4"/>
              </w:numPr>
              <w:ind w:left="0" w:firstLine="142"/>
              <w:rPr>
                <w:rFonts w:ascii="Times Roman" w:hAnsi="Times Roman" w:cs="Times New Roman"/>
                <w:sz w:val="24"/>
                <w:szCs w:val="24"/>
              </w:rPr>
            </w:pPr>
          </w:p>
        </w:tc>
        <w:tc>
          <w:tcPr>
            <w:tcW w:w="1450" w:type="pct"/>
            <w:vAlign w:val="center"/>
          </w:tcPr>
          <w:p w:rsidR="003B5BF2" w:rsidRPr="003F5D3B" w:rsidRDefault="003B5BF2" w:rsidP="003F5D3B">
            <w:pPr>
              <w:rPr>
                <w:rFonts w:ascii="Times Roman" w:hAnsi="Times Roman" w:cs="Times New Roman"/>
                <w:sz w:val="24"/>
                <w:szCs w:val="24"/>
              </w:rPr>
            </w:pPr>
            <w:r w:rsidRPr="003F5D3B">
              <w:rPr>
                <w:rFonts w:ascii="Times New Roman" w:hAnsi="Times New Roman" w:cs="Times New Roman"/>
                <w:sz w:val="24"/>
                <w:szCs w:val="24"/>
              </w:rPr>
              <w:t>Комитет</w:t>
            </w:r>
            <w:r w:rsidRPr="003F5D3B">
              <w:rPr>
                <w:rFonts w:ascii="Times Roman" w:hAnsi="Times Roman" w:cs="Times New Roman"/>
                <w:sz w:val="24"/>
                <w:szCs w:val="24"/>
              </w:rPr>
              <w:t xml:space="preserve"> </w:t>
            </w:r>
            <w:r w:rsidRPr="003F5D3B">
              <w:rPr>
                <w:rFonts w:ascii="Times New Roman" w:hAnsi="Times New Roman" w:cs="Times New Roman"/>
                <w:sz w:val="24"/>
                <w:szCs w:val="24"/>
              </w:rPr>
              <w:t>по</w:t>
            </w:r>
            <w:r w:rsidRPr="003F5D3B">
              <w:rPr>
                <w:rFonts w:ascii="Times Roman" w:hAnsi="Times Roman" w:cs="Times New Roman"/>
                <w:sz w:val="24"/>
                <w:szCs w:val="24"/>
              </w:rPr>
              <w:t xml:space="preserve"> </w:t>
            </w:r>
            <w:r w:rsidRPr="003F5D3B">
              <w:rPr>
                <w:rFonts w:ascii="Times New Roman" w:hAnsi="Times New Roman" w:cs="Times New Roman"/>
                <w:sz w:val="24"/>
                <w:szCs w:val="24"/>
              </w:rPr>
              <w:t>природным</w:t>
            </w:r>
            <w:r w:rsidRPr="003F5D3B">
              <w:rPr>
                <w:rFonts w:ascii="Times Roman" w:hAnsi="Times Roman" w:cs="Times New Roman"/>
                <w:sz w:val="24"/>
                <w:szCs w:val="24"/>
              </w:rPr>
              <w:t xml:space="preserve"> </w:t>
            </w:r>
            <w:r w:rsidRPr="003F5D3B">
              <w:rPr>
                <w:rFonts w:ascii="Times New Roman" w:hAnsi="Times New Roman" w:cs="Times New Roman"/>
                <w:sz w:val="24"/>
                <w:szCs w:val="24"/>
              </w:rPr>
              <w:t>ресурсам</w:t>
            </w:r>
            <w:r w:rsidRPr="003F5D3B">
              <w:rPr>
                <w:rFonts w:ascii="Times Roman" w:hAnsi="Times Roman" w:cs="Times New Roman"/>
                <w:sz w:val="24"/>
                <w:szCs w:val="24"/>
              </w:rPr>
              <w:t xml:space="preserve"> </w:t>
            </w:r>
            <w:r w:rsidRPr="003F5D3B">
              <w:rPr>
                <w:rFonts w:ascii="Times New Roman" w:hAnsi="Times New Roman" w:cs="Times New Roman"/>
                <w:sz w:val="24"/>
                <w:szCs w:val="24"/>
              </w:rPr>
              <w:t>Ленинградской</w:t>
            </w:r>
            <w:r w:rsidRPr="003F5D3B">
              <w:rPr>
                <w:rFonts w:ascii="Times Roman" w:hAnsi="Times Roman" w:cs="Times New Roman"/>
                <w:sz w:val="24"/>
                <w:szCs w:val="24"/>
              </w:rPr>
              <w:t xml:space="preserve"> </w:t>
            </w:r>
            <w:r w:rsidRPr="003F5D3B">
              <w:rPr>
                <w:rFonts w:ascii="Times New Roman" w:hAnsi="Times New Roman" w:cs="Times New Roman"/>
                <w:sz w:val="24"/>
                <w:szCs w:val="24"/>
              </w:rPr>
              <w:t>области</w:t>
            </w:r>
          </w:p>
        </w:tc>
        <w:tc>
          <w:tcPr>
            <w:tcW w:w="1507" w:type="pct"/>
            <w:vAlign w:val="center"/>
          </w:tcPr>
          <w:p w:rsidR="003B5BF2" w:rsidRPr="003F5D3B" w:rsidRDefault="00E15F14" w:rsidP="003F5D3B">
            <w:pPr>
              <w:rPr>
                <w:rFonts w:ascii="Times Roman" w:hAnsi="Times Roman" w:cs="Times New Roman"/>
                <w:sz w:val="24"/>
                <w:szCs w:val="24"/>
              </w:rPr>
            </w:pPr>
            <w:r w:rsidRPr="003F5D3B">
              <w:rPr>
                <w:rFonts w:ascii="Times New Roman" w:hAnsi="Times New Roman" w:cs="Times New Roman"/>
                <w:sz w:val="24"/>
                <w:szCs w:val="24"/>
              </w:rPr>
              <w:t>Батищев</w:t>
            </w:r>
            <w:r w:rsidRPr="003F5D3B">
              <w:rPr>
                <w:rFonts w:ascii="Times Roman" w:hAnsi="Times Roman" w:cs="Times New Roman"/>
                <w:sz w:val="24"/>
                <w:szCs w:val="24"/>
              </w:rPr>
              <w:t xml:space="preserve"> </w:t>
            </w:r>
            <w:r w:rsidRPr="003F5D3B">
              <w:rPr>
                <w:rFonts w:ascii="Times New Roman" w:hAnsi="Times New Roman" w:cs="Times New Roman"/>
                <w:sz w:val="24"/>
                <w:szCs w:val="24"/>
              </w:rPr>
              <w:t>Олег</w:t>
            </w:r>
            <w:r w:rsidRPr="003F5D3B">
              <w:rPr>
                <w:rFonts w:ascii="Times Roman" w:hAnsi="Times Roman" w:cs="Times New Roman"/>
                <w:sz w:val="24"/>
                <w:szCs w:val="24"/>
              </w:rPr>
              <w:t xml:space="preserve"> </w:t>
            </w:r>
            <w:r w:rsidRPr="003F5D3B">
              <w:rPr>
                <w:rFonts w:ascii="Times New Roman" w:hAnsi="Times New Roman" w:cs="Times New Roman"/>
                <w:sz w:val="24"/>
                <w:szCs w:val="24"/>
              </w:rPr>
              <w:t>Иванович</w:t>
            </w:r>
            <w:r w:rsidRPr="003F5D3B">
              <w:rPr>
                <w:rFonts w:ascii="Times Roman" w:hAnsi="Times Roman" w:cs="Times New Roman"/>
                <w:sz w:val="24"/>
                <w:szCs w:val="24"/>
              </w:rPr>
              <w:t xml:space="preserve"> </w:t>
            </w:r>
            <w:r w:rsidRPr="003F5D3B">
              <w:rPr>
                <w:rFonts w:ascii="Times Roman" w:hAnsi="Times Roman" w:cs="Times Roman"/>
                <w:sz w:val="24"/>
                <w:szCs w:val="24"/>
              </w:rPr>
              <w:t>–</w:t>
            </w:r>
            <w:r w:rsidRPr="003F5D3B">
              <w:rPr>
                <w:rFonts w:ascii="Times Roman" w:hAnsi="Times Roman" w:cs="Times New Roman"/>
                <w:sz w:val="24"/>
                <w:szCs w:val="24"/>
              </w:rPr>
              <w:t xml:space="preserve"> </w:t>
            </w:r>
            <w:r w:rsidRPr="003F5D3B">
              <w:rPr>
                <w:rFonts w:ascii="Times New Roman" w:hAnsi="Times New Roman" w:cs="Times New Roman"/>
                <w:sz w:val="24"/>
                <w:szCs w:val="24"/>
              </w:rPr>
              <w:t>заместитель</w:t>
            </w:r>
            <w:r w:rsidRPr="003F5D3B">
              <w:rPr>
                <w:rFonts w:ascii="Times Roman" w:hAnsi="Times Roman" w:cs="Times New Roman"/>
                <w:sz w:val="24"/>
                <w:szCs w:val="24"/>
              </w:rPr>
              <w:t xml:space="preserve"> </w:t>
            </w:r>
            <w:r w:rsidRPr="003F5D3B">
              <w:rPr>
                <w:rFonts w:ascii="Times New Roman" w:hAnsi="Times New Roman" w:cs="Times New Roman"/>
                <w:sz w:val="24"/>
                <w:szCs w:val="24"/>
              </w:rPr>
              <w:t>председателя</w:t>
            </w:r>
            <w:r w:rsidRPr="003F5D3B">
              <w:rPr>
                <w:rFonts w:ascii="Times Roman" w:hAnsi="Times Roman" w:cs="Times New Roman"/>
                <w:sz w:val="24"/>
                <w:szCs w:val="24"/>
              </w:rPr>
              <w:t xml:space="preserve"> </w:t>
            </w:r>
            <w:r w:rsidRPr="003F5D3B">
              <w:rPr>
                <w:rFonts w:ascii="Times New Roman" w:hAnsi="Times New Roman" w:cs="Times New Roman"/>
                <w:sz w:val="24"/>
                <w:szCs w:val="24"/>
              </w:rPr>
              <w:t>комитета</w:t>
            </w:r>
          </w:p>
        </w:tc>
        <w:tc>
          <w:tcPr>
            <w:tcW w:w="1786" w:type="pct"/>
            <w:vAlign w:val="center"/>
          </w:tcPr>
          <w:p w:rsidR="003B5BF2" w:rsidRPr="003F5D3B" w:rsidRDefault="003B5BF2" w:rsidP="003F5D3B">
            <w:pPr>
              <w:rPr>
                <w:rFonts w:ascii="Times Roman" w:hAnsi="Times Roman" w:cs="Times New Roman"/>
                <w:sz w:val="24"/>
                <w:szCs w:val="24"/>
              </w:rPr>
            </w:pPr>
            <w:r w:rsidRPr="003F5D3B">
              <w:rPr>
                <w:rFonts w:ascii="Times New Roman" w:hAnsi="Times New Roman" w:cs="Times New Roman"/>
                <w:sz w:val="24"/>
                <w:szCs w:val="24"/>
              </w:rPr>
              <w:t>отдел</w:t>
            </w:r>
            <w:r w:rsidRPr="003F5D3B">
              <w:rPr>
                <w:rFonts w:ascii="Times Roman" w:hAnsi="Times Roman" w:cs="Times New Roman"/>
                <w:sz w:val="24"/>
                <w:szCs w:val="24"/>
              </w:rPr>
              <w:t xml:space="preserve"> </w:t>
            </w:r>
            <w:r w:rsidRPr="003F5D3B">
              <w:rPr>
                <w:rFonts w:ascii="Times New Roman" w:hAnsi="Times New Roman" w:cs="Times New Roman"/>
                <w:sz w:val="24"/>
                <w:szCs w:val="24"/>
              </w:rPr>
              <w:t>по</w:t>
            </w:r>
            <w:r w:rsidRPr="003F5D3B">
              <w:rPr>
                <w:rFonts w:ascii="Times Roman" w:hAnsi="Times Roman" w:cs="Times New Roman"/>
                <w:sz w:val="24"/>
                <w:szCs w:val="24"/>
              </w:rPr>
              <w:t xml:space="preserve"> </w:t>
            </w:r>
            <w:r w:rsidRPr="003F5D3B">
              <w:rPr>
                <w:rFonts w:ascii="Times New Roman" w:hAnsi="Times New Roman" w:cs="Times New Roman"/>
                <w:sz w:val="24"/>
                <w:szCs w:val="24"/>
              </w:rPr>
              <w:t>использованию</w:t>
            </w:r>
            <w:r w:rsidRPr="003F5D3B">
              <w:rPr>
                <w:rFonts w:ascii="Times Roman" w:hAnsi="Times Roman" w:cs="Times New Roman"/>
                <w:sz w:val="24"/>
                <w:szCs w:val="24"/>
              </w:rPr>
              <w:t xml:space="preserve"> </w:t>
            </w:r>
            <w:r w:rsidRPr="003F5D3B">
              <w:rPr>
                <w:rFonts w:ascii="Times New Roman" w:hAnsi="Times New Roman" w:cs="Times New Roman"/>
                <w:sz w:val="24"/>
                <w:szCs w:val="24"/>
              </w:rPr>
              <w:t>и</w:t>
            </w:r>
            <w:r w:rsidRPr="003F5D3B">
              <w:rPr>
                <w:rFonts w:ascii="Times Roman" w:hAnsi="Times Roman" w:cs="Times New Roman"/>
                <w:sz w:val="24"/>
                <w:szCs w:val="24"/>
              </w:rPr>
              <w:t xml:space="preserve"> </w:t>
            </w:r>
            <w:r w:rsidRPr="003F5D3B">
              <w:rPr>
                <w:rFonts w:ascii="Times New Roman" w:hAnsi="Times New Roman" w:cs="Times New Roman"/>
                <w:sz w:val="24"/>
                <w:szCs w:val="24"/>
              </w:rPr>
              <w:t>изучению</w:t>
            </w:r>
            <w:r w:rsidRPr="003F5D3B">
              <w:rPr>
                <w:rFonts w:ascii="Times Roman" w:hAnsi="Times Roman" w:cs="Times New Roman"/>
                <w:sz w:val="24"/>
                <w:szCs w:val="24"/>
              </w:rPr>
              <w:t xml:space="preserve"> </w:t>
            </w:r>
            <w:r w:rsidRPr="003F5D3B">
              <w:rPr>
                <w:rFonts w:ascii="Times New Roman" w:hAnsi="Times New Roman" w:cs="Times New Roman"/>
                <w:sz w:val="24"/>
                <w:szCs w:val="24"/>
              </w:rPr>
              <w:t>недр</w:t>
            </w:r>
            <w:r w:rsidRPr="003F5D3B">
              <w:rPr>
                <w:rFonts w:ascii="Times Roman" w:hAnsi="Times Roman" w:cs="Times New Roman"/>
                <w:sz w:val="24"/>
                <w:szCs w:val="24"/>
              </w:rPr>
              <w:t xml:space="preserve"> </w:t>
            </w:r>
            <w:r w:rsidRPr="003F5D3B">
              <w:rPr>
                <w:rFonts w:ascii="Times New Roman" w:hAnsi="Times New Roman" w:cs="Times New Roman"/>
                <w:sz w:val="24"/>
                <w:szCs w:val="24"/>
              </w:rPr>
              <w:t>департамента</w:t>
            </w:r>
            <w:r w:rsidRPr="003F5D3B">
              <w:rPr>
                <w:rFonts w:ascii="Times Roman" w:hAnsi="Times Roman" w:cs="Times New Roman"/>
                <w:sz w:val="24"/>
                <w:szCs w:val="24"/>
              </w:rPr>
              <w:t xml:space="preserve"> </w:t>
            </w:r>
            <w:r w:rsidRPr="003F5D3B">
              <w:rPr>
                <w:rFonts w:ascii="Times New Roman" w:hAnsi="Times New Roman" w:cs="Times New Roman"/>
                <w:sz w:val="24"/>
                <w:szCs w:val="24"/>
              </w:rPr>
              <w:t>природных</w:t>
            </w:r>
            <w:r w:rsidRPr="003F5D3B">
              <w:rPr>
                <w:rFonts w:ascii="Times Roman" w:hAnsi="Times Roman" w:cs="Times New Roman"/>
                <w:sz w:val="24"/>
                <w:szCs w:val="24"/>
              </w:rPr>
              <w:t xml:space="preserve"> </w:t>
            </w:r>
            <w:r w:rsidRPr="003F5D3B">
              <w:rPr>
                <w:rFonts w:ascii="Times New Roman" w:hAnsi="Times New Roman" w:cs="Times New Roman"/>
                <w:sz w:val="24"/>
                <w:szCs w:val="24"/>
              </w:rPr>
              <w:t>ресурсов</w:t>
            </w:r>
            <w:r w:rsidRPr="003F5D3B">
              <w:rPr>
                <w:rFonts w:ascii="Times Roman" w:hAnsi="Times Roman" w:cs="Times New Roman"/>
                <w:sz w:val="24"/>
                <w:szCs w:val="24"/>
              </w:rPr>
              <w:t xml:space="preserve">, </w:t>
            </w:r>
            <w:r w:rsidRPr="003F5D3B">
              <w:rPr>
                <w:rFonts w:ascii="Times New Roman" w:hAnsi="Times New Roman" w:cs="Times New Roman"/>
                <w:sz w:val="24"/>
                <w:szCs w:val="24"/>
              </w:rPr>
              <w:t>отдел</w:t>
            </w:r>
            <w:r w:rsidRPr="003F5D3B">
              <w:rPr>
                <w:rFonts w:ascii="Times Roman" w:hAnsi="Times Roman" w:cs="Times New Roman"/>
                <w:sz w:val="24"/>
                <w:szCs w:val="24"/>
              </w:rPr>
              <w:t xml:space="preserve"> </w:t>
            </w:r>
            <w:r w:rsidRPr="003F5D3B">
              <w:rPr>
                <w:rFonts w:ascii="Times New Roman" w:hAnsi="Times New Roman" w:cs="Times New Roman"/>
                <w:sz w:val="24"/>
                <w:szCs w:val="24"/>
              </w:rPr>
              <w:t>организации</w:t>
            </w:r>
            <w:r w:rsidRPr="003F5D3B">
              <w:rPr>
                <w:rFonts w:ascii="Times Roman" w:hAnsi="Times Roman" w:cs="Times New Roman"/>
                <w:sz w:val="24"/>
                <w:szCs w:val="24"/>
              </w:rPr>
              <w:t xml:space="preserve"> </w:t>
            </w:r>
            <w:r w:rsidRPr="003F5D3B">
              <w:rPr>
                <w:rFonts w:ascii="Times New Roman" w:hAnsi="Times New Roman" w:cs="Times New Roman"/>
                <w:sz w:val="24"/>
                <w:szCs w:val="24"/>
              </w:rPr>
              <w:t>использования</w:t>
            </w:r>
            <w:r w:rsidRPr="003F5D3B">
              <w:rPr>
                <w:rFonts w:ascii="Times Roman" w:hAnsi="Times Roman" w:cs="Times New Roman"/>
                <w:sz w:val="24"/>
                <w:szCs w:val="24"/>
              </w:rPr>
              <w:t xml:space="preserve"> </w:t>
            </w:r>
            <w:r w:rsidRPr="003F5D3B">
              <w:rPr>
                <w:rFonts w:ascii="Times New Roman" w:hAnsi="Times New Roman" w:cs="Times New Roman"/>
                <w:sz w:val="24"/>
                <w:szCs w:val="24"/>
              </w:rPr>
              <w:lastRenderedPageBreak/>
              <w:t>лесов</w:t>
            </w:r>
            <w:r w:rsidRPr="003F5D3B">
              <w:rPr>
                <w:rFonts w:ascii="Times Roman" w:hAnsi="Times Roman" w:cs="Times New Roman"/>
                <w:sz w:val="24"/>
                <w:szCs w:val="24"/>
              </w:rPr>
              <w:t xml:space="preserve"> </w:t>
            </w:r>
            <w:r w:rsidRPr="003F5D3B">
              <w:rPr>
                <w:rFonts w:ascii="Times New Roman" w:hAnsi="Times New Roman" w:cs="Times New Roman"/>
                <w:sz w:val="24"/>
                <w:szCs w:val="24"/>
              </w:rPr>
              <w:t>и</w:t>
            </w:r>
            <w:r w:rsidRPr="003F5D3B">
              <w:rPr>
                <w:rFonts w:ascii="Times Roman" w:hAnsi="Times Roman" w:cs="Times New Roman"/>
                <w:sz w:val="24"/>
                <w:szCs w:val="24"/>
              </w:rPr>
              <w:t xml:space="preserve"> </w:t>
            </w:r>
            <w:r w:rsidRPr="003F5D3B">
              <w:rPr>
                <w:rFonts w:ascii="Times New Roman" w:hAnsi="Times New Roman" w:cs="Times New Roman"/>
                <w:sz w:val="24"/>
                <w:szCs w:val="24"/>
              </w:rPr>
              <w:t>переработки</w:t>
            </w:r>
            <w:r w:rsidRPr="003F5D3B">
              <w:rPr>
                <w:rFonts w:ascii="Times Roman" w:hAnsi="Times Roman" w:cs="Times New Roman"/>
                <w:sz w:val="24"/>
                <w:szCs w:val="24"/>
              </w:rPr>
              <w:t xml:space="preserve"> </w:t>
            </w:r>
            <w:r w:rsidRPr="003F5D3B">
              <w:rPr>
                <w:rFonts w:ascii="Times New Roman" w:hAnsi="Times New Roman" w:cs="Times New Roman"/>
                <w:sz w:val="24"/>
                <w:szCs w:val="24"/>
              </w:rPr>
              <w:t>лесных</w:t>
            </w:r>
            <w:r w:rsidRPr="003F5D3B">
              <w:rPr>
                <w:rFonts w:ascii="Times Roman" w:hAnsi="Times Roman" w:cs="Times New Roman"/>
                <w:sz w:val="24"/>
                <w:szCs w:val="24"/>
              </w:rPr>
              <w:t xml:space="preserve"> </w:t>
            </w:r>
            <w:r w:rsidRPr="003F5D3B">
              <w:rPr>
                <w:rFonts w:ascii="Times New Roman" w:hAnsi="Times New Roman" w:cs="Times New Roman"/>
                <w:sz w:val="24"/>
                <w:szCs w:val="24"/>
              </w:rPr>
              <w:t>ресурсов</w:t>
            </w:r>
            <w:r w:rsidRPr="003F5D3B">
              <w:rPr>
                <w:rFonts w:ascii="Times Roman" w:hAnsi="Times Roman" w:cs="Times New Roman"/>
                <w:sz w:val="24"/>
                <w:szCs w:val="24"/>
              </w:rPr>
              <w:t xml:space="preserve"> </w:t>
            </w:r>
            <w:r w:rsidRPr="003F5D3B">
              <w:rPr>
                <w:rFonts w:ascii="Times New Roman" w:hAnsi="Times New Roman" w:cs="Times New Roman"/>
                <w:sz w:val="24"/>
                <w:szCs w:val="24"/>
              </w:rPr>
              <w:t>департамента</w:t>
            </w:r>
            <w:r w:rsidRPr="003F5D3B">
              <w:rPr>
                <w:rFonts w:ascii="Times Roman" w:hAnsi="Times Roman" w:cs="Times New Roman"/>
                <w:sz w:val="24"/>
                <w:szCs w:val="24"/>
              </w:rPr>
              <w:t xml:space="preserve"> </w:t>
            </w:r>
            <w:r w:rsidRPr="003F5D3B">
              <w:rPr>
                <w:rFonts w:ascii="Times New Roman" w:hAnsi="Times New Roman" w:cs="Times New Roman"/>
                <w:sz w:val="24"/>
                <w:szCs w:val="24"/>
              </w:rPr>
              <w:t>лесного</w:t>
            </w:r>
            <w:r w:rsidRPr="003F5D3B">
              <w:rPr>
                <w:rFonts w:ascii="Times Roman" w:hAnsi="Times Roman" w:cs="Times New Roman"/>
                <w:sz w:val="24"/>
                <w:szCs w:val="24"/>
              </w:rPr>
              <w:t xml:space="preserve"> </w:t>
            </w:r>
            <w:r w:rsidRPr="003F5D3B">
              <w:rPr>
                <w:rFonts w:ascii="Times New Roman" w:hAnsi="Times New Roman" w:cs="Times New Roman"/>
                <w:sz w:val="24"/>
                <w:szCs w:val="24"/>
              </w:rPr>
              <w:t>комплекса</w:t>
            </w:r>
          </w:p>
        </w:tc>
      </w:tr>
      <w:tr w:rsidR="003B5BF2" w:rsidRPr="003F5D3B" w:rsidTr="003F5D3B">
        <w:tc>
          <w:tcPr>
            <w:tcW w:w="257" w:type="pct"/>
            <w:vAlign w:val="center"/>
          </w:tcPr>
          <w:p w:rsidR="003B5BF2" w:rsidRPr="003F5D3B" w:rsidRDefault="003B5BF2" w:rsidP="003F5D3B">
            <w:pPr>
              <w:numPr>
                <w:ilvl w:val="0"/>
                <w:numId w:val="4"/>
              </w:numPr>
              <w:ind w:left="0" w:firstLine="142"/>
              <w:rPr>
                <w:rFonts w:ascii="Times Roman" w:hAnsi="Times Roman" w:cs="Times New Roman"/>
                <w:sz w:val="24"/>
                <w:szCs w:val="24"/>
              </w:rPr>
            </w:pPr>
          </w:p>
        </w:tc>
        <w:tc>
          <w:tcPr>
            <w:tcW w:w="1450" w:type="pct"/>
            <w:vAlign w:val="center"/>
          </w:tcPr>
          <w:p w:rsidR="003B5BF2" w:rsidRPr="003F5D3B" w:rsidRDefault="003B5BF2" w:rsidP="003F5D3B">
            <w:pPr>
              <w:rPr>
                <w:rFonts w:ascii="Times Roman" w:hAnsi="Times Roman" w:cs="Times New Roman"/>
                <w:sz w:val="24"/>
                <w:szCs w:val="24"/>
              </w:rPr>
            </w:pPr>
            <w:r w:rsidRPr="003F5D3B">
              <w:rPr>
                <w:rFonts w:ascii="Times New Roman" w:hAnsi="Times New Roman" w:cs="Times New Roman"/>
                <w:sz w:val="24"/>
                <w:szCs w:val="24"/>
              </w:rPr>
              <w:t>Комитет</w:t>
            </w:r>
            <w:r w:rsidRPr="003F5D3B">
              <w:rPr>
                <w:rFonts w:ascii="Times Roman" w:hAnsi="Times Roman" w:cs="Times New Roman"/>
                <w:sz w:val="24"/>
                <w:szCs w:val="24"/>
              </w:rPr>
              <w:t xml:space="preserve"> </w:t>
            </w:r>
            <w:r w:rsidRPr="003F5D3B">
              <w:rPr>
                <w:rFonts w:ascii="Times New Roman" w:hAnsi="Times New Roman" w:cs="Times New Roman"/>
                <w:sz w:val="24"/>
                <w:szCs w:val="24"/>
              </w:rPr>
              <w:t>по</w:t>
            </w:r>
            <w:r w:rsidRPr="003F5D3B">
              <w:rPr>
                <w:rFonts w:ascii="Times Roman" w:hAnsi="Times Roman" w:cs="Times New Roman"/>
                <w:sz w:val="24"/>
                <w:szCs w:val="24"/>
              </w:rPr>
              <w:t xml:space="preserve"> </w:t>
            </w:r>
            <w:r w:rsidRPr="003F5D3B">
              <w:rPr>
                <w:rFonts w:ascii="Times New Roman" w:hAnsi="Times New Roman" w:cs="Times New Roman"/>
                <w:sz w:val="24"/>
                <w:szCs w:val="24"/>
              </w:rPr>
              <w:t>труду</w:t>
            </w:r>
            <w:r w:rsidRPr="003F5D3B">
              <w:rPr>
                <w:rFonts w:ascii="Times Roman" w:hAnsi="Times Roman" w:cs="Times New Roman"/>
                <w:sz w:val="24"/>
                <w:szCs w:val="24"/>
              </w:rPr>
              <w:t xml:space="preserve"> </w:t>
            </w:r>
            <w:r w:rsidRPr="003F5D3B">
              <w:rPr>
                <w:rFonts w:ascii="Times New Roman" w:hAnsi="Times New Roman" w:cs="Times New Roman"/>
                <w:sz w:val="24"/>
                <w:szCs w:val="24"/>
              </w:rPr>
              <w:t>и</w:t>
            </w:r>
            <w:r w:rsidRPr="003F5D3B">
              <w:rPr>
                <w:rFonts w:ascii="Times Roman" w:hAnsi="Times Roman" w:cs="Times New Roman"/>
                <w:sz w:val="24"/>
                <w:szCs w:val="24"/>
              </w:rPr>
              <w:t xml:space="preserve"> </w:t>
            </w:r>
            <w:r w:rsidRPr="003F5D3B">
              <w:rPr>
                <w:rFonts w:ascii="Times New Roman" w:hAnsi="Times New Roman" w:cs="Times New Roman"/>
                <w:sz w:val="24"/>
                <w:szCs w:val="24"/>
              </w:rPr>
              <w:t>занятости</w:t>
            </w:r>
            <w:r w:rsidRPr="003F5D3B">
              <w:rPr>
                <w:rFonts w:ascii="Times Roman" w:hAnsi="Times Roman" w:cs="Times New Roman"/>
                <w:sz w:val="24"/>
                <w:szCs w:val="24"/>
              </w:rPr>
              <w:t xml:space="preserve"> </w:t>
            </w:r>
            <w:r w:rsidRPr="003F5D3B">
              <w:rPr>
                <w:rFonts w:ascii="Times New Roman" w:hAnsi="Times New Roman" w:cs="Times New Roman"/>
                <w:sz w:val="24"/>
                <w:szCs w:val="24"/>
              </w:rPr>
              <w:t>населения</w:t>
            </w:r>
            <w:r w:rsidRPr="003F5D3B">
              <w:rPr>
                <w:rFonts w:ascii="Times Roman" w:hAnsi="Times Roman" w:cs="Times New Roman"/>
                <w:sz w:val="24"/>
                <w:szCs w:val="24"/>
              </w:rPr>
              <w:t xml:space="preserve"> </w:t>
            </w:r>
            <w:r w:rsidRPr="003F5D3B">
              <w:rPr>
                <w:rFonts w:ascii="Times New Roman" w:hAnsi="Times New Roman" w:cs="Times New Roman"/>
                <w:sz w:val="24"/>
                <w:szCs w:val="24"/>
              </w:rPr>
              <w:t>Ленинградской</w:t>
            </w:r>
            <w:r w:rsidRPr="003F5D3B">
              <w:rPr>
                <w:rFonts w:ascii="Times Roman" w:hAnsi="Times Roman" w:cs="Times New Roman"/>
                <w:sz w:val="24"/>
                <w:szCs w:val="24"/>
              </w:rPr>
              <w:t xml:space="preserve"> </w:t>
            </w:r>
            <w:r w:rsidRPr="003F5D3B">
              <w:rPr>
                <w:rFonts w:ascii="Times New Roman" w:hAnsi="Times New Roman" w:cs="Times New Roman"/>
                <w:sz w:val="24"/>
                <w:szCs w:val="24"/>
              </w:rPr>
              <w:t>области</w:t>
            </w:r>
          </w:p>
        </w:tc>
        <w:tc>
          <w:tcPr>
            <w:tcW w:w="1507" w:type="pct"/>
            <w:vAlign w:val="center"/>
          </w:tcPr>
          <w:p w:rsidR="003B5BF2" w:rsidRPr="003F5D3B" w:rsidRDefault="002503E3" w:rsidP="003F5D3B">
            <w:pPr>
              <w:rPr>
                <w:rFonts w:ascii="Times Roman" w:hAnsi="Times Roman" w:cs="Times New Roman"/>
                <w:sz w:val="24"/>
                <w:szCs w:val="24"/>
              </w:rPr>
            </w:pPr>
            <w:r w:rsidRPr="003F5D3B">
              <w:rPr>
                <w:rFonts w:ascii="Times New Roman" w:hAnsi="Times New Roman" w:cs="Times New Roman"/>
                <w:sz w:val="24"/>
                <w:szCs w:val="24"/>
              </w:rPr>
              <w:t>Котов</w:t>
            </w:r>
            <w:r w:rsidRPr="003F5D3B">
              <w:rPr>
                <w:rFonts w:ascii="Times Roman" w:hAnsi="Times Roman" w:cs="Times New Roman"/>
                <w:sz w:val="24"/>
                <w:szCs w:val="24"/>
              </w:rPr>
              <w:t xml:space="preserve"> </w:t>
            </w:r>
            <w:r w:rsidRPr="003F5D3B">
              <w:rPr>
                <w:rFonts w:ascii="Times New Roman" w:hAnsi="Times New Roman" w:cs="Times New Roman"/>
                <w:sz w:val="24"/>
                <w:szCs w:val="24"/>
              </w:rPr>
              <w:t>Тимофей</w:t>
            </w:r>
            <w:r w:rsidRPr="003F5D3B">
              <w:rPr>
                <w:rFonts w:ascii="Times Roman" w:hAnsi="Times Roman" w:cs="Times New Roman"/>
                <w:sz w:val="24"/>
                <w:szCs w:val="24"/>
              </w:rPr>
              <w:t xml:space="preserve"> </w:t>
            </w:r>
            <w:r w:rsidRPr="003F5D3B">
              <w:rPr>
                <w:rFonts w:ascii="Times New Roman" w:hAnsi="Times New Roman" w:cs="Times New Roman"/>
                <w:sz w:val="24"/>
                <w:szCs w:val="24"/>
              </w:rPr>
              <w:t>Михайлович</w:t>
            </w:r>
            <w:r w:rsidRPr="003F5D3B">
              <w:rPr>
                <w:rFonts w:ascii="Times Roman" w:hAnsi="Times Roman" w:cs="Times New Roman"/>
                <w:sz w:val="24"/>
                <w:szCs w:val="24"/>
              </w:rPr>
              <w:t xml:space="preserve"> - </w:t>
            </w:r>
            <w:r w:rsidR="003B5BF2" w:rsidRPr="003F5D3B">
              <w:rPr>
                <w:rFonts w:ascii="Times New Roman" w:hAnsi="Times New Roman" w:cs="Times New Roman"/>
                <w:sz w:val="24"/>
                <w:szCs w:val="24"/>
              </w:rPr>
              <w:t>первый</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заместитель</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председателя</w:t>
            </w:r>
            <w:r w:rsidRPr="003F5D3B">
              <w:rPr>
                <w:rFonts w:ascii="Times Roman" w:hAnsi="Times Roman" w:cs="Times New Roman"/>
                <w:sz w:val="24"/>
                <w:szCs w:val="24"/>
              </w:rPr>
              <w:t xml:space="preserve"> </w:t>
            </w:r>
            <w:r w:rsidRPr="003F5D3B">
              <w:rPr>
                <w:rFonts w:ascii="Times New Roman" w:hAnsi="Times New Roman" w:cs="Times New Roman"/>
                <w:sz w:val="24"/>
                <w:szCs w:val="24"/>
              </w:rPr>
              <w:t>комитета</w:t>
            </w:r>
          </w:p>
        </w:tc>
        <w:tc>
          <w:tcPr>
            <w:tcW w:w="1786" w:type="pct"/>
            <w:vAlign w:val="center"/>
          </w:tcPr>
          <w:p w:rsidR="003B5BF2" w:rsidRPr="003F5D3B" w:rsidRDefault="003B5BF2" w:rsidP="003F5D3B">
            <w:pPr>
              <w:rPr>
                <w:rFonts w:ascii="Times Roman" w:hAnsi="Times Roman" w:cs="Times New Roman"/>
                <w:sz w:val="24"/>
                <w:szCs w:val="24"/>
              </w:rPr>
            </w:pPr>
            <w:r w:rsidRPr="003F5D3B">
              <w:rPr>
                <w:rFonts w:ascii="Times New Roman" w:hAnsi="Times New Roman" w:cs="Times New Roman"/>
                <w:sz w:val="24"/>
                <w:szCs w:val="24"/>
              </w:rPr>
              <w:t>сектор</w:t>
            </w:r>
            <w:r w:rsidRPr="003F5D3B">
              <w:rPr>
                <w:rFonts w:ascii="Times Roman" w:hAnsi="Times Roman" w:cs="Times New Roman"/>
                <w:sz w:val="24"/>
                <w:szCs w:val="24"/>
              </w:rPr>
              <w:t xml:space="preserve"> </w:t>
            </w:r>
            <w:r w:rsidRPr="003F5D3B">
              <w:rPr>
                <w:rFonts w:ascii="Times New Roman" w:hAnsi="Times New Roman" w:cs="Times New Roman"/>
                <w:sz w:val="24"/>
                <w:szCs w:val="24"/>
              </w:rPr>
              <w:t>профессионального</w:t>
            </w:r>
            <w:r w:rsidRPr="003F5D3B">
              <w:rPr>
                <w:rFonts w:ascii="Times Roman" w:hAnsi="Times Roman" w:cs="Times New Roman"/>
                <w:sz w:val="24"/>
                <w:szCs w:val="24"/>
              </w:rPr>
              <w:t xml:space="preserve"> </w:t>
            </w:r>
            <w:r w:rsidRPr="003F5D3B">
              <w:rPr>
                <w:rFonts w:ascii="Times New Roman" w:hAnsi="Times New Roman" w:cs="Times New Roman"/>
                <w:sz w:val="24"/>
                <w:szCs w:val="24"/>
              </w:rPr>
              <w:t>обучения</w:t>
            </w:r>
            <w:r w:rsidRPr="003F5D3B">
              <w:rPr>
                <w:rFonts w:ascii="Times Roman" w:hAnsi="Times Roman" w:cs="Times New Roman"/>
                <w:sz w:val="24"/>
                <w:szCs w:val="24"/>
              </w:rPr>
              <w:t xml:space="preserve"> </w:t>
            </w:r>
            <w:r w:rsidRPr="003F5D3B">
              <w:rPr>
                <w:rFonts w:ascii="Times New Roman" w:hAnsi="Times New Roman" w:cs="Times New Roman"/>
                <w:sz w:val="24"/>
                <w:szCs w:val="24"/>
              </w:rPr>
              <w:t>и</w:t>
            </w:r>
            <w:r w:rsidRPr="003F5D3B">
              <w:rPr>
                <w:rFonts w:ascii="Times Roman" w:hAnsi="Times Roman" w:cs="Times New Roman"/>
                <w:sz w:val="24"/>
                <w:szCs w:val="24"/>
              </w:rPr>
              <w:t xml:space="preserve"> </w:t>
            </w:r>
            <w:r w:rsidRPr="003F5D3B">
              <w:rPr>
                <w:rFonts w:ascii="Times New Roman" w:hAnsi="Times New Roman" w:cs="Times New Roman"/>
                <w:sz w:val="24"/>
                <w:szCs w:val="24"/>
              </w:rPr>
              <w:t>профессиональной</w:t>
            </w:r>
            <w:r w:rsidRPr="003F5D3B">
              <w:rPr>
                <w:rFonts w:ascii="Times Roman" w:hAnsi="Times Roman" w:cs="Times New Roman"/>
                <w:sz w:val="24"/>
                <w:szCs w:val="24"/>
              </w:rPr>
              <w:t xml:space="preserve"> </w:t>
            </w:r>
            <w:r w:rsidRPr="003F5D3B">
              <w:rPr>
                <w:rFonts w:ascii="Times New Roman" w:hAnsi="Times New Roman" w:cs="Times New Roman"/>
                <w:sz w:val="24"/>
                <w:szCs w:val="24"/>
              </w:rPr>
              <w:t>ориентации</w:t>
            </w:r>
            <w:r w:rsidRPr="003F5D3B">
              <w:rPr>
                <w:rFonts w:ascii="Times Roman" w:hAnsi="Times Roman" w:cs="Times New Roman"/>
                <w:sz w:val="24"/>
                <w:szCs w:val="24"/>
              </w:rPr>
              <w:t xml:space="preserve">, </w:t>
            </w:r>
            <w:r w:rsidRPr="003F5D3B">
              <w:rPr>
                <w:rFonts w:ascii="Times New Roman" w:hAnsi="Times New Roman" w:cs="Times New Roman"/>
                <w:sz w:val="24"/>
                <w:szCs w:val="24"/>
              </w:rPr>
              <w:t>отдел</w:t>
            </w:r>
            <w:r w:rsidRPr="003F5D3B">
              <w:rPr>
                <w:rFonts w:ascii="Times Roman" w:hAnsi="Times Roman" w:cs="Times New Roman"/>
                <w:sz w:val="24"/>
                <w:szCs w:val="24"/>
              </w:rPr>
              <w:t xml:space="preserve"> </w:t>
            </w:r>
            <w:r w:rsidRPr="003F5D3B">
              <w:rPr>
                <w:rFonts w:ascii="Times New Roman" w:hAnsi="Times New Roman" w:cs="Times New Roman"/>
                <w:sz w:val="24"/>
                <w:szCs w:val="24"/>
              </w:rPr>
              <w:t>специальных</w:t>
            </w:r>
            <w:r w:rsidRPr="003F5D3B">
              <w:rPr>
                <w:rFonts w:ascii="Times Roman" w:hAnsi="Times Roman" w:cs="Times New Roman"/>
                <w:sz w:val="24"/>
                <w:szCs w:val="24"/>
              </w:rPr>
              <w:t xml:space="preserve"> </w:t>
            </w:r>
            <w:r w:rsidRPr="003F5D3B">
              <w:rPr>
                <w:rFonts w:ascii="Times New Roman" w:hAnsi="Times New Roman" w:cs="Times New Roman"/>
                <w:sz w:val="24"/>
                <w:szCs w:val="24"/>
              </w:rPr>
              <w:t>программ</w:t>
            </w:r>
            <w:r w:rsidRPr="003F5D3B">
              <w:rPr>
                <w:rFonts w:ascii="Times Roman" w:hAnsi="Times Roman" w:cs="Times New Roman"/>
                <w:sz w:val="24"/>
                <w:szCs w:val="24"/>
              </w:rPr>
              <w:t xml:space="preserve"> </w:t>
            </w:r>
            <w:r w:rsidRPr="003F5D3B">
              <w:rPr>
                <w:rFonts w:ascii="Times New Roman" w:hAnsi="Times New Roman" w:cs="Times New Roman"/>
                <w:sz w:val="24"/>
                <w:szCs w:val="24"/>
              </w:rPr>
              <w:t>и</w:t>
            </w:r>
            <w:r w:rsidRPr="003F5D3B">
              <w:rPr>
                <w:rFonts w:ascii="Times Roman" w:hAnsi="Times Roman" w:cs="Times New Roman"/>
                <w:sz w:val="24"/>
                <w:szCs w:val="24"/>
              </w:rPr>
              <w:t xml:space="preserve"> </w:t>
            </w:r>
            <w:r w:rsidRPr="003F5D3B">
              <w:rPr>
                <w:rFonts w:ascii="Times New Roman" w:hAnsi="Times New Roman" w:cs="Times New Roman"/>
                <w:sz w:val="24"/>
                <w:szCs w:val="24"/>
              </w:rPr>
              <w:t>трудоустройства</w:t>
            </w:r>
            <w:r w:rsidRPr="003F5D3B">
              <w:rPr>
                <w:rFonts w:ascii="Times Roman" w:hAnsi="Times Roman" w:cs="Times New Roman"/>
                <w:sz w:val="24"/>
                <w:szCs w:val="24"/>
              </w:rPr>
              <w:t xml:space="preserve">, </w:t>
            </w:r>
            <w:r w:rsidRPr="003F5D3B">
              <w:rPr>
                <w:rFonts w:ascii="Times New Roman" w:hAnsi="Times New Roman" w:cs="Times New Roman"/>
                <w:sz w:val="24"/>
                <w:szCs w:val="24"/>
              </w:rPr>
              <w:t>отдел</w:t>
            </w:r>
            <w:r w:rsidRPr="003F5D3B">
              <w:rPr>
                <w:rFonts w:ascii="Times Roman" w:hAnsi="Times Roman" w:cs="Times New Roman"/>
                <w:sz w:val="24"/>
                <w:szCs w:val="24"/>
              </w:rPr>
              <w:t xml:space="preserve"> </w:t>
            </w:r>
            <w:r w:rsidRPr="003F5D3B">
              <w:rPr>
                <w:rFonts w:ascii="Times New Roman" w:hAnsi="Times New Roman" w:cs="Times New Roman"/>
                <w:sz w:val="24"/>
                <w:szCs w:val="24"/>
              </w:rPr>
              <w:t>анализа</w:t>
            </w:r>
            <w:r w:rsidRPr="003F5D3B">
              <w:rPr>
                <w:rFonts w:ascii="Times Roman" w:hAnsi="Times Roman" w:cs="Times New Roman"/>
                <w:sz w:val="24"/>
                <w:szCs w:val="24"/>
              </w:rPr>
              <w:t xml:space="preserve"> </w:t>
            </w:r>
            <w:r w:rsidRPr="003F5D3B">
              <w:rPr>
                <w:rFonts w:ascii="Times New Roman" w:hAnsi="Times New Roman" w:cs="Times New Roman"/>
                <w:sz w:val="24"/>
                <w:szCs w:val="24"/>
              </w:rPr>
              <w:t>рынка</w:t>
            </w:r>
            <w:r w:rsidRPr="003F5D3B">
              <w:rPr>
                <w:rFonts w:ascii="Times Roman" w:hAnsi="Times Roman" w:cs="Times New Roman"/>
                <w:sz w:val="24"/>
                <w:szCs w:val="24"/>
              </w:rPr>
              <w:t xml:space="preserve"> </w:t>
            </w:r>
            <w:r w:rsidRPr="003F5D3B">
              <w:rPr>
                <w:rFonts w:ascii="Times New Roman" w:hAnsi="Times New Roman" w:cs="Times New Roman"/>
                <w:sz w:val="24"/>
                <w:szCs w:val="24"/>
              </w:rPr>
              <w:t>труда</w:t>
            </w:r>
            <w:r w:rsidRPr="003F5D3B">
              <w:rPr>
                <w:rFonts w:ascii="Times Roman" w:hAnsi="Times Roman" w:cs="Times New Roman"/>
                <w:sz w:val="24"/>
                <w:szCs w:val="24"/>
              </w:rPr>
              <w:t xml:space="preserve">, </w:t>
            </w:r>
            <w:r w:rsidRPr="003F5D3B">
              <w:rPr>
                <w:rFonts w:ascii="Times New Roman" w:hAnsi="Times New Roman" w:cs="Times New Roman"/>
                <w:sz w:val="24"/>
                <w:szCs w:val="24"/>
              </w:rPr>
              <w:t>информации</w:t>
            </w:r>
            <w:r w:rsidRPr="003F5D3B">
              <w:rPr>
                <w:rFonts w:ascii="Times Roman" w:hAnsi="Times Roman" w:cs="Times New Roman"/>
                <w:sz w:val="24"/>
                <w:szCs w:val="24"/>
              </w:rPr>
              <w:t xml:space="preserve"> </w:t>
            </w:r>
            <w:r w:rsidRPr="003F5D3B">
              <w:rPr>
                <w:rFonts w:ascii="Times New Roman" w:hAnsi="Times New Roman" w:cs="Times New Roman"/>
                <w:sz w:val="24"/>
                <w:szCs w:val="24"/>
              </w:rPr>
              <w:t>и</w:t>
            </w:r>
            <w:r w:rsidRPr="003F5D3B">
              <w:rPr>
                <w:rFonts w:ascii="Times Roman" w:hAnsi="Times Roman" w:cs="Times New Roman"/>
                <w:sz w:val="24"/>
                <w:szCs w:val="24"/>
              </w:rPr>
              <w:t xml:space="preserve"> </w:t>
            </w:r>
            <w:r w:rsidRPr="003F5D3B">
              <w:rPr>
                <w:rFonts w:ascii="Times New Roman" w:hAnsi="Times New Roman" w:cs="Times New Roman"/>
                <w:sz w:val="24"/>
                <w:szCs w:val="24"/>
              </w:rPr>
              <w:t>программ</w:t>
            </w:r>
            <w:r w:rsidRPr="003F5D3B">
              <w:rPr>
                <w:rFonts w:ascii="Times Roman" w:hAnsi="Times Roman" w:cs="Times New Roman"/>
                <w:sz w:val="24"/>
                <w:szCs w:val="24"/>
              </w:rPr>
              <w:t xml:space="preserve"> </w:t>
            </w:r>
            <w:r w:rsidRPr="003F5D3B">
              <w:rPr>
                <w:rFonts w:ascii="Times New Roman" w:hAnsi="Times New Roman" w:cs="Times New Roman"/>
                <w:sz w:val="24"/>
                <w:szCs w:val="24"/>
              </w:rPr>
              <w:t>занятости</w:t>
            </w:r>
          </w:p>
        </w:tc>
      </w:tr>
      <w:tr w:rsidR="003B5BF2" w:rsidRPr="003F5D3B" w:rsidTr="003F5D3B">
        <w:tc>
          <w:tcPr>
            <w:tcW w:w="257" w:type="pct"/>
            <w:vAlign w:val="center"/>
          </w:tcPr>
          <w:p w:rsidR="003B5BF2" w:rsidRPr="003F5D3B" w:rsidRDefault="003B5BF2" w:rsidP="003F5D3B">
            <w:pPr>
              <w:numPr>
                <w:ilvl w:val="0"/>
                <w:numId w:val="4"/>
              </w:numPr>
              <w:ind w:left="0" w:firstLine="142"/>
              <w:rPr>
                <w:rFonts w:ascii="Times Roman" w:hAnsi="Times Roman" w:cs="Times New Roman"/>
                <w:sz w:val="24"/>
                <w:szCs w:val="24"/>
              </w:rPr>
            </w:pPr>
          </w:p>
        </w:tc>
        <w:tc>
          <w:tcPr>
            <w:tcW w:w="1450" w:type="pct"/>
            <w:vAlign w:val="center"/>
          </w:tcPr>
          <w:p w:rsidR="003B5BF2" w:rsidRPr="003F5D3B" w:rsidRDefault="003B5BF2" w:rsidP="003F5D3B">
            <w:pPr>
              <w:rPr>
                <w:rFonts w:ascii="Times Roman" w:hAnsi="Times Roman" w:cs="Times New Roman"/>
                <w:sz w:val="24"/>
                <w:szCs w:val="24"/>
              </w:rPr>
            </w:pPr>
            <w:r w:rsidRPr="003F5D3B">
              <w:rPr>
                <w:rFonts w:ascii="Times New Roman" w:hAnsi="Times New Roman" w:cs="Times New Roman"/>
                <w:sz w:val="24"/>
                <w:szCs w:val="24"/>
              </w:rPr>
              <w:t>Комитет</w:t>
            </w:r>
            <w:r w:rsidRPr="003F5D3B">
              <w:rPr>
                <w:rFonts w:ascii="Times Roman" w:hAnsi="Times Roman" w:cs="Times New Roman"/>
                <w:sz w:val="24"/>
                <w:szCs w:val="24"/>
              </w:rPr>
              <w:t xml:space="preserve"> </w:t>
            </w:r>
            <w:r w:rsidRPr="003F5D3B">
              <w:rPr>
                <w:rFonts w:ascii="Times New Roman" w:hAnsi="Times New Roman" w:cs="Times New Roman"/>
                <w:sz w:val="24"/>
                <w:szCs w:val="24"/>
              </w:rPr>
              <w:t>по</w:t>
            </w:r>
            <w:r w:rsidRPr="003F5D3B">
              <w:rPr>
                <w:rFonts w:ascii="Times Roman" w:hAnsi="Times Roman" w:cs="Times New Roman"/>
                <w:sz w:val="24"/>
                <w:szCs w:val="24"/>
              </w:rPr>
              <w:t xml:space="preserve"> </w:t>
            </w:r>
            <w:r w:rsidRPr="003F5D3B">
              <w:rPr>
                <w:rFonts w:ascii="Times New Roman" w:hAnsi="Times New Roman" w:cs="Times New Roman"/>
                <w:sz w:val="24"/>
                <w:szCs w:val="24"/>
              </w:rPr>
              <w:t>охране</w:t>
            </w:r>
            <w:r w:rsidRPr="003F5D3B">
              <w:rPr>
                <w:rFonts w:ascii="Times Roman" w:hAnsi="Times Roman" w:cs="Times New Roman"/>
                <w:sz w:val="24"/>
                <w:szCs w:val="24"/>
              </w:rPr>
              <w:t xml:space="preserve">, </w:t>
            </w:r>
            <w:r w:rsidRPr="003F5D3B">
              <w:rPr>
                <w:rFonts w:ascii="Times New Roman" w:hAnsi="Times New Roman" w:cs="Times New Roman"/>
                <w:sz w:val="24"/>
                <w:szCs w:val="24"/>
              </w:rPr>
              <w:t>контролю</w:t>
            </w:r>
            <w:r w:rsidRPr="003F5D3B">
              <w:rPr>
                <w:rFonts w:ascii="Times Roman" w:hAnsi="Times Roman" w:cs="Times New Roman"/>
                <w:sz w:val="24"/>
                <w:szCs w:val="24"/>
              </w:rPr>
              <w:t xml:space="preserve"> </w:t>
            </w:r>
            <w:r w:rsidRPr="003F5D3B">
              <w:rPr>
                <w:rFonts w:ascii="Times New Roman" w:hAnsi="Times New Roman" w:cs="Times New Roman"/>
                <w:sz w:val="24"/>
                <w:szCs w:val="24"/>
              </w:rPr>
              <w:t>и</w:t>
            </w:r>
            <w:r w:rsidRPr="003F5D3B">
              <w:rPr>
                <w:rFonts w:ascii="Times Roman" w:hAnsi="Times Roman" w:cs="Times New Roman"/>
                <w:sz w:val="24"/>
                <w:szCs w:val="24"/>
              </w:rPr>
              <w:t xml:space="preserve"> </w:t>
            </w:r>
            <w:r w:rsidRPr="003F5D3B">
              <w:rPr>
                <w:rFonts w:ascii="Times New Roman" w:hAnsi="Times New Roman" w:cs="Times New Roman"/>
                <w:sz w:val="24"/>
                <w:szCs w:val="24"/>
              </w:rPr>
              <w:t>регулированию</w:t>
            </w:r>
            <w:r w:rsidRPr="003F5D3B">
              <w:rPr>
                <w:rFonts w:ascii="Times Roman" w:hAnsi="Times Roman" w:cs="Times New Roman"/>
                <w:sz w:val="24"/>
                <w:szCs w:val="24"/>
              </w:rPr>
              <w:t xml:space="preserve"> </w:t>
            </w:r>
            <w:r w:rsidRPr="003F5D3B">
              <w:rPr>
                <w:rFonts w:ascii="Times New Roman" w:hAnsi="Times New Roman" w:cs="Times New Roman"/>
                <w:sz w:val="24"/>
                <w:szCs w:val="24"/>
              </w:rPr>
              <w:t>использования</w:t>
            </w:r>
            <w:r w:rsidRPr="003F5D3B">
              <w:rPr>
                <w:rFonts w:ascii="Times Roman" w:hAnsi="Times Roman" w:cs="Times New Roman"/>
                <w:sz w:val="24"/>
                <w:szCs w:val="24"/>
              </w:rPr>
              <w:t xml:space="preserve"> </w:t>
            </w:r>
            <w:r w:rsidRPr="003F5D3B">
              <w:rPr>
                <w:rFonts w:ascii="Times New Roman" w:hAnsi="Times New Roman" w:cs="Times New Roman"/>
                <w:sz w:val="24"/>
                <w:szCs w:val="24"/>
              </w:rPr>
              <w:t>объектов</w:t>
            </w:r>
            <w:r w:rsidRPr="003F5D3B">
              <w:rPr>
                <w:rFonts w:ascii="Times Roman" w:hAnsi="Times Roman" w:cs="Times New Roman"/>
                <w:sz w:val="24"/>
                <w:szCs w:val="24"/>
              </w:rPr>
              <w:t xml:space="preserve"> </w:t>
            </w:r>
            <w:r w:rsidRPr="003F5D3B">
              <w:rPr>
                <w:rFonts w:ascii="Times New Roman" w:hAnsi="Times New Roman" w:cs="Times New Roman"/>
                <w:sz w:val="24"/>
                <w:szCs w:val="24"/>
              </w:rPr>
              <w:t>животного</w:t>
            </w:r>
            <w:r w:rsidRPr="003F5D3B">
              <w:rPr>
                <w:rFonts w:ascii="Times Roman" w:hAnsi="Times Roman" w:cs="Times New Roman"/>
                <w:sz w:val="24"/>
                <w:szCs w:val="24"/>
              </w:rPr>
              <w:t xml:space="preserve"> </w:t>
            </w:r>
            <w:r w:rsidRPr="003F5D3B">
              <w:rPr>
                <w:rFonts w:ascii="Times New Roman" w:hAnsi="Times New Roman" w:cs="Times New Roman"/>
                <w:sz w:val="24"/>
                <w:szCs w:val="24"/>
              </w:rPr>
              <w:t>мира</w:t>
            </w:r>
            <w:r w:rsidRPr="003F5D3B">
              <w:rPr>
                <w:rFonts w:ascii="Times Roman" w:hAnsi="Times Roman" w:cs="Times New Roman"/>
                <w:sz w:val="24"/>
                <w:szCs w:val="24"/>
              </w:rPr>
              <w:t xml:space="preserve"> </w:t>
            </w:r>
            <w:r w:rsidRPr="003F5D3B">
              <w:rPr>
                <w:rFonts w:ascii="Times New Roman" w:hAnsi="Times New Roman" w:cs="Times New Roman"/>
                <w:sz w:val="24"/>
                <w:szCs w:val="24"/>
              </w:rPr>
              <w:t>Ленинградской</w:t>
            </w:r>
            <w:r w:rsidRPr="003F5D3B">
              <w:rPr>
                <w:rFonts w:ascii="Times Roman" w:hAnsi="Times Roman" w:cs="Times New Roman"/>
                <w:sz w:val="24"/>
                <w:szCs w:val="24"/>
              </w:rPr>
              <w:t xml:space="preserve"> </w:t>
            </w:r>
            <w:r w:rsidRPr="003F5D3B">
              <w:rPr>
                <w:rFonts w:ascii="Times New Roman" w:hAnsi="Times New Roman" w:cs="Times New Roman"/>
                <w:sz w:val="24"/>
                <w:szCs w:val="24"/>
              </w:rPr>
              <w:t>области</w:t>
            </w:r>
          </w:p>
        </w:tc>
        <w:tc>
          <w:tcPr>
            <w:tcW w:w="1507" w:type="pct"/>
            <w:vAlign w:val="center"/>
          </w:tcPr>
          <w:p w:rsidR="003B5BF2" w:rsidRPr="003F5D3B" w:rsidRDefault="002F56EB" w:rsidP="003F5D3B">
            <w:pPr>
              <w:rPr>
                <w:rFonts w:ascii="Times Roman" w:hAnsi="Times Roman" w:cs="Times New Roman"/>
                <w:sz w:val="24"/>
                <w:szCs w:val="24"/>
              </w:rPr>
            </w:pPr>
            <w:r w:rsidRPr="003F5D3B">
              <w:rPr>
                <w:rFonts w:ascii="Times New Roman" w:hAnsi="Times New Roman" w:cs="Times New Roman"/>
                <w:sz w:val="24"/>
                <w:szCs w:val="24"/>
              </w:rPr>
              <w:t>Алешин</w:t>
            </w:r>
            <w:r w:rsidRPr="003F5D3B">
              <w:rPr>
                <w:rFonts w:ascii="Times Roman" w:hAnsi="Times Roman" w:cs="Times New Roman"/>
                <w:sz w:val="24"/>
                <w:szCs w:val="24"/>
              </w:rPr>
              <w:t xml:space="preserve"> </w:t>
            </w:r>
            <w:r w:rsidRPr="003F5D3B">
              <w:rPr>
                <w:rFonts w:ascii="Times New Roman" w:hAnsi="Times New Roman" w:cs="Times New Roman"/>
                <w:sz w:val="24"/>
                <w:szCs w:val="24"/>
              </w:rPr>
              <w:t>Алексей</w:t>
            </w:r>
            <w:r w:rsidRPr="003F5D3B">
              <w:rPr>
                <w:rFonts w:ascii="Times Roman" w:hAnsi="Times Roman" w:cs="Times New Roman"/>
                <w:sz w:val="24"/>
                <w:szCs w:val="24"/>
              </w:rPr>
              <w:t xml:space="preserve"> </w:t>
            </w:r>
            <w:r w:rsidRPr="003F5D3B">
              <w:rPr>
                <w:rFonts w:ascii="Times New Roman" w:hAnsi="Times New Roman" w:cs="Times New Roman"/>
                <w:sz w:val="24"/>
                <w:szCs w:val="24"/>
              </w:rPr>
              <w:t>Анатольевич</w:t>
            </w:r>
            <w:r w:rsidR="002503E3" w:rsidRPr="003F5D3B">
              <w:rPr>
                <w:rFonts w:ascii="Times Roman" w:hAnsi="Times Roman" w:cs="Times New Roman"/>
                <w:sz w:val="24"/>
                <w:szCs w:val="24"/>
              </w:rPr>
              <w:t xml:space="preserve"> - </w:t>
            </w:r>
            <w:r w:rsidR="003B5BF2" w:rsidRPr="003F5D3B">
              <w:rPr>
                <w:rFonts w:ascii="Times New Roman" w:hAnsi="Times New Roman" w:cs="Times New Roman"/>
                <w:sz w:val="24"/>
                <w:szCs w:val="24"/>
              </w:rPr>
              <w:t>заместитель</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председателя</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комитета</w:t>
            </w:r>
          </w:p>
        </w:tc>
        <w:tc>
          <w:tcPr>
            <w:tcW w:w="1786" w:type="pct"/>
            <w:vAlign w:val="center"/>
          </w:tcPr>
          <w:p w:rsidR="003B5BF2" w:rsidRPr="003F5D3B" w:rsidRDefault="003B5BF2" w:rsidP="003F5D3B">
            <w:pPr>
              <w:rPr>
                <w:rFonts w:ascii="Times Roman" w:hAnsi="Times Roman" w:cs="Times New Roman"/>
                <w:sz w:val="24"/>
                <w:szCs w:val="24"/>
              </w:rPr>
            </w:pPr>
            <w:r w:rsidRPr="003F5D3B">
              <w:rPr>
                <w:rFonts w:ascii="Times New Roman" w:hAnsi="Times New Roman" w:cs="Times New Roman"/>
                <w:sz w:val="24"/>
                <w:szCs w:val="24"/>
              </w:rPr>
              <w:t>отдел</w:t>
            </w:r>
            <w:r w:rsidRPr="003F5D3B">
              <w:rPr>
                <w:rFonts w:ascii="Times Roman" w:hAnsi="Times Roman" w:cs="Times New Roman"/>
                <w:sz w:val="24"/>
                <w:szCs w:val="24"/>
              </w:rPr>
              <w:t xml:space="preserve"> </w:t>
            </w:r>
            <w:r w:rsidRPr="003F5D3B">
              <w:rPr>
                <w:rFonts w:ascii="Times New Roman" w:hAnsi="Times New Roman" w:cs="Times New Roman"/>
                <w:sz w:val="24"/>
                <w:szCs w:val="24"/>
              </w:rPr>
              <w:t>бухгалтерского</w:t>
            </w:r>
            <w:r w:rsidRPr="003F5D3B">
              <w:rPr>
                <w:rFonts w:ascii="Times Roman" w:hAnsi="Times Roman" w:cs="Times New Roman"/>
                <w:sz w:val="24"/>
                <w:szCs w:val="24"/>
              </w:rPr>
              <w:t xml:space="preserve"> </w:t>
            </w:r>
            <w:r w:rsidRPr="003F5D3B">
              <w:rPr>
                <w:rFonts w:ascii="Times New Roman" w:hAnsi="Times New Roman" w:cs="Times New Roman"/>
                <w:sz w:val="24"/>
                <w:szCs w:val="24"/>
              </w:rPr>
              <w:t>учета</w:t>
            </w:r>
            <w:r w:rsidRPr="003F5D3B">
              <w:rPr>
                <w:rFonts w:ascii="Times Roman" w:hAnsi="Times Roman" w:cs="Times New Roman"/>
                <w:sz w:val="24"/>
                <w:szCs w:val="24"/>
              </w:rPr>
              <w:t xml:space="preserve"> </w:t>
            </w:r>
            <w:r w:rsidRPr="003F5D3B">
              <w:rPr>
                <w:rFonts w:ascii="Times New Roman" w:hAnsi="Times New Roman" w:cs="Times New Roman"/>
                <w:sz w:val="24"/>
                <w:szCs w:val="24"/>
              </w:rPr>
              <w:t>и</w:t>
            </w:r>
            <w:r w:rsidRPr="003F5D3B">
              <w:rPr>
                <w:rFonts w:ascii="Times Roman" w:hAnsi="Times Roman" w:cs="Times New Roman"/>
                <w:sz w:val="24"/>
                <w:szCs w:val="24"/>
              </w:rPr>
              <w:t xml:space="preserve"> </w:t>
            </w:r>
            <w:r w:rsidRPr="003F5D3B">
              <w:rPr>
                <w:rFonts w:ascii="Times New Roman" w:hAnsi="Times New Roman" w:cs="Times New Roman"/>
                <w:sz w:val="24"/>
                <w:szCs w:val="24"/>
              </w:rPr>
              <w:t>материально</w:t>
            </w:r>
            <w:r w:rsidRPr="003F5D3B">
              <w:rPr>
                <w:rFonts w:ascii="Times Roman" w:hAnsi="Times Roman" w:cs="Times New Roman"/>
                <w:sz w:val="24"/>
                <w:szCs w:val="24"/>
              </w:rPr>
              <w:t>-</w:t>
            </w:r>
            <w:r w:rsidRPr="003F5D3B">
              <w:rPr>
                <w:rFonts w:ascii="Times New Roman" w:hAnsi="Times New Roman" w:cs="Times New Roman"/>
                <w:sz w:val="24"/>
                <w:szCs w:val="24"/>
              </w:rPr>
              <w:t>технического</w:t>
            </w:r>
            <w:r w:rsidRPr="003F5D3B">
              <w:rPr>
                <w:rFonts w:ascii="Times Roman" w:hAnsi="Times Roman" w:cs="Times New Roman"/>
                <w:sz w:val="24"/>
                <w:szCs w:val="24"/>
              </w:rPr>
              <w:t xml:space="preserve"> </w:t>
            </w:r>
            <w:r w:rsidRPr="003F5D3B">
              <w:rPr>
                <w:rFonts w:ascii="Times New Roman" w:hAnsi="Times New Roman" w:cs="Times New Roman"/>
                <w:sz w:val="24"/>
                <w:szCs w:val="24"/>
              </w:rPr>
              <w:t>обеспечения</w:t>
            </w:r>
          </w:p>
        </w:tc>
      </w:tr>
      <w:tr w:rsidR="003B5BF2" w:rsidRPr="003F5D3B" w:rsidTr="003F5D3B">
        <w:tc>
          <w:tcPr>
            <w:tcW w:w="257" w:type="pct"/>
            <w:vAlign w:val="center"/>
          </w:tcPr>
          <w:p w:rsidR="003B5BF2" w:rsidRPr="003F5D3B" w:rsidRDefault="003B5BF2" w:rsidP="003F5D3B">
            <w:pPr>
              <w:numPr>
                <w:ilvl w:val="0"/>
                <w:numId w:val="4"/>
              </w:numPr>
              <w:ind w:left="0" w:firstLine="142"/>
              <w:rPr>
                <w:rFonts w:ascii="Times Roman" w:hAnsi="Times Roman" w:cs="Times New Roman"/>
                <w:sz w:val="24"/>
                <w:szCs w:val="24"/>
              </w:rPr>
            </w:pPr>
          </w:p>
        </w:tc>
        <w:tc>
          <w:tcPr>
            <w:tcW w:w="1450" w:type="pct"/>
            <w:vAlign w:val="center"/>
          </w:tcPr>
          <w:p w:rsidR="003B5BF2" w:rsidRPr="003F5D3B" w:rsidRDefault="003B5BF2" w:rsidP="003F5D3B">
            <w:pPr>
              <w:rPr>
                <w:rFonts w:ascii="Times Roman" w:hAnsi="Times Roman" w:cs="Times New Roman"/>
                <w:sz w:val="24"/>
                <w:szCs w:val="24"/>
              </w:rPr>
            </w:pPr>
            <w:r w:rsidRPr="003F5D3B">
              <w:rPr>
                <w:rFonts w:ascii="Times New Roman" w:hAnsi="Times New Roman" w:cs="Times New Roman"/>
                <w:sz w:val="24"/>
                <w:szCs w:val="24"/>
              </w:rPr>
              <w:t>Комитет</w:t>
            </w:r>
            <w:r w:rsidRPr="003F5D3B">
              <w:rPr>
                <w:rFonts w:ascii="Times Roman" w:hAnsi="Times Roman" w:cs="Times New Roman"/>
                <w:sz w:val="24"/>
                <w:szCs w:val="24"/>
              </w:rPr>
              <w:t xml:space="preserve"> </w:t>
            </w:r>
            <w:r w:rsidRPr="003F5D3B">
              <w:rPr>
                <w:rFonts w:ascii="Times New Roman" w:hAnsi="Times New Roman" w:cs="Times New Roman"/>
                <w:sz w:val="24"/>
                <w:szCs w:val="24"/>
              </w:rPr>
              <w:t>по</w:t>
            </w:r>
            <w:r w:rsidRPr="003F5D3B">
              <w:rPr>
                <w:rFonts w:ascii="Times Roman" w:hAnsi="Times Roman" w:cs="Times New Roman"/>
                <w:sz w:val="24"/>
                <w:szCs w:val="24"/>
              </w:rPr>
              <w:t xml:space="preserve"> </w:t>
            </w:r>
            <w:r w:rsidRPr="003F5D3B">
              <w:rPr>
                <w:rFonts w:ascii="Times New Roman" w:hAnsi="Times New Roman" w:cs="Times New Roman"/>
                <w:sz w:val="24"/>
                <w:szCs w:val="24"/>
              </w:rPr>
              <w:t>здравоохранению</w:t>
            </w:r>
            <w:r w:rsidRPr="003F5D3B">
              <w:rPr>
                <w:rFonts w:ascii="Times Roman" w:hAnsi="Times Roman" w:cs="Times New Roman"/>
                <w:sz w:val="24"/>
                <w:szCs w:val="24"/>
              </w:rPr>
              <w:t xml:space="preserve"> </w:t>
            </w:r>
            <w:r w:rsidRPr="003F5D3B">
              <w:rPr>
                <w:rFonts w:ascii="Times New Roman" w:hAnsi="Times New Roman" w:cs="Times New Roman"/>
                <w:sz w:val="24"/>
                <w:szCs w:val="24"/>
              </w:rPr>
              <w:t>Ленинградской</w:t>
            </w:r>
            <w:r w:rsidRPr="003F5D3B">
              <w:rPr>
                <w:rFonts w:ascii="Times Roman" w:hAnsi="Times Roman" w:cs="Times New Roman"/>
                <w:sz w:val="24"/>
                <w:szCs w:val="24"/>
              </w:rPr>
              <w:t xml:space="preserve"> </w:t>
            </w:r>
            <w:r w:rsidRPr="003F5D3B">
              <w:rPr>
                <w:rFonts w:ascii="Times New Roman" w:hAnsi="Times New Roman" w:cs="Times New Roman"/>
                <w:sz w:val="24"/>
                <w:szCs w:val="24"/>
              </w:rPr>
              <w:t>области</w:t>
            </w:r>
          </w:p>
        </w:tc>
        <w:tc>
          <w:tcPr>
            <w:tcW w:w="1507" w:type="pct"/>
            <w:vAlign w:val="center"/>
          </w:tcPr>
          <w:p w:rsidR="003B5BF2" w:rsidRPr="003F5D3B" w:rsidRDefault="00E24AEA" w:rsidP="003F5D3B">
            <w:pPr>
              <w:rPr>
                <w:rFonts w:ascii="Times Roman" w:hAnsi="Times Roman" w:cs="Times New Roman"/>
                <w:sz w:val="24"/>
                <w:szCs w:val="24"/>
              </w:rPr>
            </w:pPr>
            <w:r w:rsidRPr="003F5D3B">
              <w:rPr>
                <w:rFonts w:ascii="Times New Roman" w:hAnsi="Times New Roman" w:cs="Times New Roman"/>
                <w:sz w:val="24"/>
                <w:szCs w:val="24"/>
              </w:rPr>
              <w:t>Власов</w:t>
            </w:r>
            <w:r w:rsidRPr="003F5D3B">
              <w:rPr>
                <w:rFonts w:ascii="Times Roman" w:hAnsi="Times Roman" w:cs="Times New Roman"/>
                <w:sz w:val="24"/>
                <w:szCs w:val="24"/>
              </w:rPr>
              <w:t xml:space="preserve"> </w:t>
            </w:r>
            <w:r w:rsidRPr="003F5D3B">
              <w:rPr>
                <w:rFonts w:ascii="Times New Roman" w:hAnsi="Times New Roman" w:cs="Times New Roman"/>
                <w:sz w:val="24"/>
                <w:szCs w:val="24"/>
              </w:rPr>
              <w:t>Егор</w:t>
            </w:r>
            <w:r w:rsidRPr="003F5D3B">
              <w:rPr>
                <w:rFonts w:ascii="Times Roman" w:hAnsi="Times Roman" w:cs="Times New Roman"/>
                <w:sz w:val="24"/>
                <w:szCs w:val="24"/>
              </w:rPr>
              <w:t xml:space="preserve"> </w:t>
            </w:r>
            <w:r w:rsidRPr="003F5D3B">
              <w:rPr>
                <w:rFonts w:ascii="Times New Roman" w:hAnsi="Times New Roman" w:cs="Times New Roman"/>
                <w:sz w:val="24"/>
                <w:szCs w:val="24"/>
              </w:rPr>
              <w:t>Геннадьевич</w:t>
            </w:r>
            <w:r w:rsidRPr="003F5D3B">
              <w:rPr>
                <w:rFonts w:ascii="Times Roman" w:hAnsi="Times Roman" w:cs="Times New Roman"/>
                <w:sz w:val="24"/>
                <w:szCs w:val="24"/>
              </w:rPr>
              <w:t xml:space="preserve"> - </w:t>
            </w:r>
            <w:r w:rsidR="003B5BF2" w:rsidRPr="003F5D3B">
              <w:rPr>
                <w:rFonts w:ascii="Times New Roman" w:hAnsi="Times New Roman" w:cs="Times New Roman"/>
                <w:sz w:val="24"/>
                <w:szCs w:val="24"/>
              </w:rPr>
              <w:t>заместитель</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председателя</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комитета</w:t>
            </w:r>
          </w:p>
        </w:tc>
        <w:tc>
          <w:tcPr>
            <w:tcW w:w="1786" w:type="pct"/>
            <w:vAlign w:val="center"/>
          </w:tcPr>
          <w:p w:rsidR="003B5BF2" w:rsidRPr="003F5D3B" w:rsidRDefault="002F56EB" w:rsidP="003F5D3B">
            <w:pPr>
              <w:rPr>
                <w:rFonts w:ascii="Times Roman" w:hAnsi="Times Roman" w:cs="Times New Roman"/>
                <w:sz w:val="24"/>
                <w:szCs w:val="24"/>
              </w:rPr>
            </w:pPr>
            <w:r w:rsidRPr="003F5D3B">
              <w:rPr>
                <w:rFonts w:ascii="Times New Roman" w:hAnsi="Times New Roman" w:cs="Times New Roman"/>
                <w:sz w:val="24"/>
                <w:szCs w:val="24"/>
              </w:rPr>
              <w:t>с</w:t>
            </w:r>
            <w:r w:rsidR="00E24AEA" w:rsidRPr="003F5D3B">
              <w:rPr>
                <w:rFonts w:ascii="Times New Roman" w:hAnsi="Times New Roman" w:cs="Times New Roman"/>
                <w:sz w:val="24"/>
                <w:szCs w:val="24"/>
              </w:rPr>
              <w:t>ектор</w:t>
            </w:r>
            <w:r w:rsidR="00E24AEA" w:rsidRPr="003F5D3B">
              <w:rPr>
                <w:rFonts w:ascii="Times Roman" w:hAnsi="Times Roman" w:cs="Times New Roman"/>
                <w:sz w:val="24"/>
                <w:szCs w:val="24"/>
              </w:rPr>
              <w:t xml:space="preserve"> </w:t>
            </w:r>
            <w:r w:rsidR="00E24AEA" w:rsidRPr="003F5D3B">
              <w:rPr>
                <w:rFonts w:ascii="Times New Roman" w:hAnsi="Times New Roman" w:cs="Times New Roman"/>
                <w:sz w:val="24"/>
                <w:szCs w:val="24"/>
              </w:rPr>
              <w:t>по</w:t>
            </w:r>
            <w:r w:rsidR="00E24AEA" w:rsidRPr="003F5D3B">
              <w:rPr>
                <w:rFonts w:ascii="Times Roman" w:hAnsi="Times Roman" w:cs="Times New Roman"/>
                <w:sz w:val="24"/>
                <w:szCs w:val="24"/>
              </w:rPr>
              <w:t xml:space="preserve"> </w:t>
            </w:r>
            <w:r w:rsidR="00E24AEA" w:rsidRPr="003F5D3B">
              <w:rPr>
                <w:rFonts w:ascii="Times New Roman" w:hAnsi="Times New Roman" w:cs="Times New Roman"/>
                <w:sz w:val="24"/>
                <w:szCs w:val="24"/>
              </w:rPr>
              <w:t>осуществлению</w:t>
            </w:r>
            <w:r w:rsidR="00E24AEA" w:rsidRPr="003F5D3B">
              <w:rPr>
                <w:rFonts w:ascii="Times Roman" w:hAnsi="Times Roman" w:cs="Times New Roman"/>
                <w:sz w:val="24"/>
                <w:szCs w:val="24"/>
              </w:rPr>
              <w:t xml:space="preserve"> </w:t>
            </w:r>
            <w:r w:rsidR="00E24AEA" w:rsidRPr="003F5D3B">
              <w:rPr>
                <w:rFonts w:ascii="Times New Roman" w:hAnsi="Times New Roman" w:cs="Times New Roman"/>
                <w:sz w:val="24"/>
                <w:szCs w:val="24"/>
              </w:rPr>
              <w:t>переданных</w:t>
            </w:r>
            <w:r w:rsidR="00E24AEA" w:rsidRPr="003F5D3B">
              <w:rPr>
                <w:rFonts w:ascii="Times Roman" w:hAnsi="Times Roman" w:cs="Times New Roman"/>
                <w:sz w:val="24"/>
                <w:szCs w:val="24"/>
              </w:rPr>
              <w:t xml:space="preserve"> </w:t>
            </w:r>
            <w:r w:rsidR="00E24AEA" w:rsidRPr="003F5D3B">
              <w:rPr>
                <w:rFonts w:ascii="Times New Roman" w:hAnsi="Times New Roman" w:cs="Times New Roman"/>
                <w:sz w:val="24"/>
                <w:szCs w:val="24"/>
              </w:rPr>
              <w:t>полномочий</w:t>
            </w:r>
            <w:r w:rsidR="00E24AEA" w:rsidRPr="003F5D3B">
              <w:rPr>
                <w:rFonts w:ascii="Times Roman" w:hAnsi="Times Roman" w:cs="Times New Roman"/>
                <w:sz w:val="24"/>
                <w:szCs w:val="24"/>
              </w:rPr>
              <w:t xml:space="preserve"> </w:t>
            </w:r>
            <w:r w:rsidR="00E24AEA" w:rsidRPr="003F5D3B">
              <w:rPr>
                <w:rFonts w:ascii="Times New Roman" w:hAnsi="Times New Roman" w:cs="Times New Roman"/>
                <w:sz w:val="24"/>
                <w:szCs w:val="24"/>
              </w:rPr>
              <w:t>Российской</w:t>
            </w:r>
            <w:r w:rsidR="00E24AEA" w:rsidRPr="003F5D3B">
              <w:rPr>
                <w:rFonts w:ascii="Times Roman" w:hAnsi="Times Roman" w:cs="Times New Roman"/>
                <w:sz w:val="24"/>
                <w:szCs w:val="24"/>
              </w:rPr>
              <w:t xml:space="preserve"> </w:t>
            </w:r>
            <w:r w:rsidR="00E24AEA" w:rsidRPr="003F5D3B">
              <w:rPr>
                <w:rFonts w:ascii="Times New Roman" w:hAnsi="Times New Roman" w:cs="Times New Roman"/>
                <w:sz w:val="24"/>
                <w:szCs w:val="24"/>
              </w:rPr>
              <w:t>Федерации</w:t>
            </w:r>
            <w:r w:rsidR="00E24AEA" w:rsidRPr="003F5D3B">
              <w:rPr>
                <w:rFonts w:ascii="Times Roman" w:hAnsi="Times Roman" w:cs="Times New Roman"/>
                <w:sz w:val="24"/>
                <w:szCs w:val="24"/>
              </w:rPr>
              <w:t xml:space="preserve"> </w:t>
            </w:r>
            <w:r w:rsidR="00E24AEA" w:rsidRPr="003F5D3B">
              <w:rPr>
                <w:rFonts w:ascii="Times New Roman" w:hAnsi="Times New Roman" w:cs="Times New Roman"/>
                <w:sz w:val="24"/>
                <w:szCs w:val="24"/>
              </w:rPr>
              <w:t>в</w:t>
            </w:r>
            <w:r w:rsidR="00E24AEA" w:rsidRPr="003F5D3B">
              <w:rPr>
                <w:rFonts w:ascii="Times Roman" w:hAnsi="Times Roman" w:cs="Times New Roman"/>
                <w:sz w:val="24"/>
                <w:szCs w:val="24"/>
              </w:rPr>
              <w:t xml:space="preserve"> </w:t>
            </w:r>
            <w:r w:rsidR="00E24AEA" w:rsidRPr="003F5D3B">
              <w:rPr>
                <w:rFonts w:ascii="Times New Roman" w:hAnsi="Times New Roman" w:cs="Times New Roman"/>
                <w:sz w:val="24"/>
                <w:szCs w:val="24"/>
              </w:rPr>
              <w:t>сфере</w:t>
            </w:r>
            <w:r w:rsidR="00E24AEA" w:rsidRPr="003F5D3B">
              <w:rPr>
                <w:rFonts w:ascii="Times Roman" w:hAnsi="Times Roman" w:cs="Times New Roman"/>
                <w:sz w:val="24"/>
                <w:szCs w:val="24"/>
              </w:rPr>
              <w:t xml:space="preserve"> </w:t>
            </w:r>
            <w:r w:rsidR="00E24AEA" w:rsidRPr="003F5D3B">
              <w:rPr>
                <w:rFonts w:ascii="Times New Roman" w:hAnsi="Times New Roman" w:cs="Times New Roman"/>
                <w:sz w:val="24"/>
                <w:szCs w:val="24"/>
              </w:rPr>
              <w:t>охраны</w:t>
            </w:r>
            <w:r w:rsidR="00E24AEA" w:rsidRPr="003F5D3B">
              <w:rPr>
                <w:rFonts w:ascii="Times Roman" w:hAnsi="Times Roman" w:cs="Times New Roman"/>
                <w:sz w:val="24"/>
                <w:szCs w:val="24"/>
              </w:rPr>
              <w:t xml:space="preserve"> </w:t>
            </w:r>
            <w:r w:rsidR="00E24AEA" w:rsidRPr="003F5D3B">
              <w:rPr>
                <w:rFonts w:ascii="Times New Roman" w:hAnsi="Times New Roman" w:cs="Times New Roman"/>
                <w:sz w:val="24"/>
                <w:szCs w:val="24"/>
              </w:rPr>
              <w:t>здоровья</w:t>
            </w:r>
            <w:r w:rsidR="00E24AEA" w:rsidRPr="003F5D3B">
              <w:rPr>
                <w:rFonts w:ascii="Times Roman" w:hAnsi="Times Roman" w:cs="Times New Roman"/>
                <w:sz w:val="24"/>
                <w:szCs w:val="24"/>
              </w:rPr>
              <w:t xml:space="preserve"> </w:t>
            </w:r>
            <w:r w:rsidR="00E24AEA" w:rsidRPr="003F5D3B">
              <w:rPr>
                <w:rFonts w:ascii="Times New Roman" w:hAnsi="Times New Roman" w:cs="Times New Roman"/>
                <w:sz w:val="24"/>
                <w:szCs w:val="24"/>
              </w:rPr>
              <w:t>граждан</w:t>
            </w:r>
            <w:r w:rsidR="00E24AEA" w:rsidRPr="003F5D3B">
              <w:rPr>
                <w:rFonts w:ascii="Times Roman" w:hAnsi="Times Roman" w:cs="Times New Roman"/>
                <w:sz w:val="24"/>
                <w:szCs w:val="24"/>
              </w:rPr>
              <w:t xml:space="preserve"> (</w:t>
            </w:r>
            <w:r w:rsidR="00E24AEA" w:rsidRPr="003F5D3B">
              <w:rPr>
                <w:rFonts w:ascii="Times New Roman" w:hAnsi="Times New Roman" w:cs="Times New Roman"/>
                <w:sz w:val="24"/>
                <w:szCs w:val="24"/>
              </w:rPr>
              <w:t>лицензирование</w:t>
            </w:r>
            <w:r w:rsidR="00E24AEA" w:rsidRPr="003F5D3B">
              <w:rPr>
                <w:rFonts w:ascii="Times Roman" w:hAnsi="Times Roman" w:cs="Times New Roman"/>
                <w:sz w:val="24"/>
                <w:szCs w:val="24"/>
              </w:rPr>
              <w:t>)</w:t>
            </w:r>
          </w:p>
        </w:tc>
      </w:tr>
      <w:tr w:rsidR="003B5BF2" w:rsidRPr="003F5D3B" w:rsidTr="003F5D3B">
        <w:tc>
          <w:tcPr>
            <w:tcW w:w="257" w:type="pct"/>
            <w:vAlign w:val="center"/>
          </w:tcPr>
          <w:p w:rsidR="003B5BF2" w:rsidRPr="003F5D3B" w:rsidRDefault="003B5BF2" w:rsidP="003F5D3B">
            <w:pPr>
              <w:numPr>
                <w:ilvl w:val="0"/>
                <w:numId w:val="4"/>
              </w:numPr>
              <w:ind w:left="0" w:firstLine="142"/>
              <w:rPr>
                <w:rFonts w:ascii="Times Roman" w:hAnsi="Times Roman" w:cs="Times New Roman"/>
                <w:sz w:val="24"/>
                <w:szCs w:val="24"/>
              </w:rPr>
            </w:pPr>
          </w:p>
        </w:tc>
        <w:tc>
          <w:tcPr>
            <w:tcW w:w="1450" w:type="pct"/>
            <w:vAlign w:val="center"/>
          </w:tcPr>
          <w:p w:rsidR="003B5BF2" w:rsidRPr="003F5D3B" w:rsidRDefault="003B5BF2" w:rsidP="003F5D3B">
            <w:pPr>
              <w:rPr>
                <w:rFonts w:ascii="Times Roman" w:hAnsi="Times Roman" w:cs="Times New Roman"/>
                <w:sz w:val="24"/>
                <w:szCs w:val="24"/>
              </w:rPr>
            </w:pPr>
            <w:r w:rsidRPr="003F5D3B">
              <w:rPr>
                <w:rFonts w:ascii="Times New Roman" w:hAnsi="Times New Roman" w:cs="Times New Roman"/>
                <w:sz w:val="24"/>
                <w:szCs w:val="24"/>
              </w:rPr>
              <w:t>Комитет</w:t>
            </w:r>
            <w:r w:rsidRPr="003F5D3B">
              <w:rPr>
                <w:rFonts w:ascii="Times Roman" w:hAnsi="Times Roman" w:cs="Times New Roman"/>
                <w:sz w:val="24"/>
                <w:szCs w:val="24"/>
              </w:rPr>
              <w:t xml:space="preserve"> </w:t>
            </w:r>
            <w:r w:rsidRPr="003F5D3B">
              <w:rPr>
                <w:rFonts w:ascii="Times New Roman" w:hAnsi="Times New Roman" w:cs="Times New Roman"/>
                <w:sz w:val="24"/>
                <w:szCs w:val="24"/>
              </w:rPr>
              <w:t>по</w:t>
            </w:r>
            <w:r w:rsidRPr="003F5D3B">
              <w:rPr>
                <w:rFonts w:ascii="Times Roman" w:hAnsi="Times Roman" w:cs="Times New Roman"/>
                <w:sz w:val="24"/>
                <w:szCs w:val="24"/>
              </w:rPr>
              <w:t xml:space="preserve"> </w:t>
            </w:r>
            <w:r w:rsidRPr="003F5D3B">
              <w:rPr>
                <w:rFonts w:ascii="Times New Roman" w:hAnsi="Times New Roman" w:cs="Times New Roman"/>
                <w:sz w:val="24"/>
                <w:szCs w:val="24"/>
              </w:rPr>
              <w:t>внешним</w:t>
            </w:r>
            <w:r w:rsidRPr="003F5D3B">
              <w:rPr>
                <w:rFonts w:ascii="Times Roman" w:hAnsi="Times Roman" w:cs="Times New Roman"/>
                <w:sz w:val="24"/>
                <w:szCs w:val="24"/>
              </w:rPr>
              <w:t xml:space="preserve"> </w:t>
            </w:r>
            <w:r w:rsidRPr="003F5D3B">
              <w:rPr>
                <w:rFonts w:ascii="Times New Roman" w:hAnsi="Times New Roman" w:cs="Times New Roman"/>
                <w:sz w:val="24"/>
                <w:szCs w:val="24"/>
              </w:rPr>
              <w:t>связям</w:t>
            </w:r>
            <w:r w:rsidRPr="003F5D3B">
              <w:rPr>
                <w:rFonts w:ascii="Times Roman" w:hAnsi="Times Roman" w:cs="Times New Roman"/>
                <w:sz w:val="24"/>
                <w:szCs w:val="24"/>
              </w:rPr>
              <w:t xml:space="preserve"> </w:t>
            </w:r>
            <w:r w:rsidRPr="003F5D3B">
              <w:rPr>
                <w:rFonts w:ascii="Times New Roman" w:hAnsi="Times New Roman" w:cs="Times New Roman"/>
                <w:sz w:val="24"/>
                <w:szCs w:val="24"/>
              </w:rPr>
              <w:t>Ленинградской</w:t>
            </w:r>
            <w:r w:rsidRPr="003F5D3B">
              <w:rPr>
                <w:rFonts w:ascii="Times Roman" w:hAnsi="Times Roman" w:cs="Times New Roman"/>
                <w:sz w:val="24"/>
                <w:szCs w:val="24"/>
              </w:rPr>
              <w:t xml:space="preserve"> </w:t>
            </w:r>
            <w:r w:rsidRPr="003F5D3B">
              <w:rPr>
                <w:rFonts w:ascii="Times New Roman" w:hAnsi="Times New Roman" w:cs="Times New Roman"/>
                <w:sz w:val="24"/>
                <w:szCs w:val="24"/>
              </w:rPr>
              <w:t>области</w:t>
            </w:r>
          </w:p>
        </w:tc>
        <w:tc>
          <w:tcPr>
            <w:tcW w:w="1507" w:type="pct"/>
            <w:vAlign w:val="center"/>
          </w:tcPr>
          <w:p w:rsidR="003B5BF2" w:rsidRPr="003F5D3B" w:rsidRDefault="002503E3" w:rsidP="003F5D3B">
            <w:pPr>
              <w:rPr>
                <w:rFonts w:ascii="Times Roman" w:hAnsi="Times Roman" w:cs="Times New Roman"/>
                <w:sz w:val="24"/>
                <w:szCs w:val="24"/>
              </w:rPr>
            </w:pPr>
            <w:r w:rsidRPr="003F5D3B">
              <w:rPr>
                <w:rFonts w:ascii="Times New Roman" w:hAnsi="Times New Roman" w:cs="Times New Roman"/>
                <w:sz w:val="24"/>
                <w:szCs w:val="24"/>
              </w:rPr>
              <w:t>Бигоцкая</w:t>
            </w:r>
            <w:r w:rsidRPr="003F5D3B">
              <w:rPr>
                <w:rFonts w:ascii="Times Roman" w:hAnsi="Times Roman" w:cs="Times New Roman"/>
                <w:sz w:val="24"/>
                <w:szCs w:val="24"/>
              </w:rPr>
              <w:t xml:space="preserve"> </w:t>
            </w:r>
            <w:r w:rsidRPr="003F5D3B">
              <w:rPr>
                <w:rFonts w:ascii="Times New Roman" w:hAnsi="Times New Roman" w:cs="Times New Roman"/>
                <w:sz w:val="24"/>
                <w:szCs w:val="24"/>
              </w:rPr>
              <w:t>Инна</w:t>
            </w:r>
            <w:r w:rsidRPr="003F5D3B">
              <w:rPr>
                <w:rFonts w:ascii="Times Roman" w:hAnsi="Times Roman" w:cs="Times New Roman"/>
                <w:sz w:val="24"/>
                <w:szCs w:val="24"/>
              </w:rPr>
              <w:t xml:space="preserve"> </w:t>
            </w:r>
            <w:r w:rsidRPr="003F5D3B">
              <w:rPr>
                <w:rFonts w:ascii="Times New Roman" w:hAnsi="Times New Roman" w:cs="Times New Roman"/>
                <w:sz w:val="24"/>
                <w:szCs w:val="24"/>
              </w:rPr>
              <w:t>Леонидовна</w:t>
            </w:r>
            <w:r w:rsidRPr="003F5D3B">
              <w:rPr>
                <w:rFonts w:ascii="Times Roman" w:hAnsi="Times Roman" w:cs="Times New Roman"/>
                <w:sz w:val="24"/>
                <w:szCs w:val="24"/>
              </w:rPr>
              <w:t xml:space="preserve"> - </w:t>
            </w:r>
            <w:r w:rsidR="003B5BF2" w:rsidRPr="003F5D3B">
              <w:rPr>
                <w:rFonts w:ascii="Times New Roman" w:hAnsi="Times New Roman" w:cs="Times New Roman"/>
                <w:sz w:val="24"/>
                <w:szCs w:val="24"/>
              </w:rPr>
              <w:t>первый</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заместитель</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председателя</w:t>
            </w:r>
            <w:r w:rsidRPr="003F5D3B">
              <w:rPr>
                <w:rFonts w:ascii="Times Roman" w:hAnsi="Times Roman" w:cs="Times New Roman"/>
                <w:sz w:val="24"/>
                <w:szCs w:val="24"/>
              </w:rPr>
              <w:t xml:space="preserve"> </w:t>
            </w:r>
            <w:r w:rsidRPr="003F5D3B">
              <w:rPr>
                <w:rFonts w:ascii="Times New Roman" w:hAnsi="Times New Roman" w:cs="Times New Roman"/>
                <w:sz w:val="24"/>
                <w:szCs w:val="24"/>
              </w:rPr>
              <w:t>комитета</w:t>
            </w:r>
          </w:p>
        </w:tc>
        <w:tc>
          <w:tcPr>
            <w:tcW w:w="1786" w:type="pct"/>
            <w:vAlign w:val="center"/>
          </w:tcPr>
          <w:p w:rsidR="003B5BF2" w:rsidRPr="003F5D3B" w:rsidRDefault="003B5BF2" w:rsidP="003F5D3B">
            <w:pPr>
              <w:rPr>
                <w:rFonts w:ascii="Times Roman" w:hAnsi="Times Roman" w:cs="Times New Roman"/>
                <w:sz w:val="24"/>
                <w:szCs w:val="24"/>
              </w:rPr>
            </w:pPr>
            <w:r w:rsidRPr="003F5D3B">
              <w:rPr>
                <w:rFonts w:ascii="Times New Roman" w:hAnsi="Times New Roman" w:cs="Times New Roman"/>
                <w:sz w:val="24"/>
                <w:szCs w:val="24"/>
              </w:rPr>
              <w:t>сектор</w:t>
            </w:r>
            <w:r w:rsidRPr="003F5D3B">
              <w:rPr>
                <w:rFonts w:ascii="Times Roman" w:hAnsi="Times Roman" w:cs="Times New Roman"/>
                <w:sz w:val="24"/>
                <w:szCs w:val="24"/>
              </w:rPr>
              <w:t xml:space="preserve"> </w:t>
            </w:r>
            <w:r w:rsidRPr="003F5D3B">
              <w:rPr>
                <w:rFonts w:ascii="Times New Roman" w:hAnsi="Times New Roman" w:cs="Times New Roman"/>
                <w:sz w:val="24"/>
                <w:szCs w:val="24"/>
              </w:rPr>
              <w:t>обеспечения</w:t>
            </w:r>
            <w:r w:rsidRPr="003F5D3B">
              <w:rPr>
                <w:rFonts w:ascii="Times Roman" w:hAnsi="Times Roman" w:cs="Times New Roman"/>
                <w:sz w:val="24"/>
                <w:szCs w:val="24"/>
              </w:rPr>
              <w:t xml:space="preserve"> </w:t>
            </w:r>
            <w:r w:rsidRPr="003F5D3B">
              <w:rPr>
                <w:rFonts w:ascii="Times New Roman" w:hAnsi="Times New Roman" w:cs="Times New Roman"/>
                <w:sz w:val="24"/>
                <w:szCs w:val="24"/>
              </w:rPr>
              <w:t>международных</w:t>
            </w:r>
            <w:r w:rsidRPr="003F5D3B">
              <w:rPr>
                <w:rFonts w:ascii="Times Roman" w:hAnsi="Times Roman" w:cs="Times New Roman"/>
                <w:sz w:val="24"/>
                <w:szCs w:val="24"/>
              </w:rPr>
              <w:t xml:space="preserve"> </w:t>
            </w:r>
            <w:r w:rsidRPr="003F5D3B">
              <w:rPr>
                <w:rFonts w:ascii="Times New Roman" w:hAnsi="Times New Roman" w:cs="Times New Roman"/>
                <w:sz w:val="24"/>
                <w:szCs w:val="24"/>
              </w:rPr>
              <w:t>мероприятий</w:t>
            </w:r>
          </w:p>
        </w:tc>
      </w:tr>
      <w:tr w:rsidR="003B5BF2" w:rsidRPr="003F5D3B" w:rsidTr="003F5D3B">
        <w:tc>
          <w:tcPr>
            <w:tcW w:w="257" w:type="pct"/>
            <w:vAlign w:val="center"/>
          </w:tcPr>
          <w:p w:rsidR="003B5BF2" w:rsidRPr="003F5D3B" w:rsidRDefault="003B5BF2" w:rsidP="003F5D3B">
            <w:pPr>
              <w:numPr>
                <w:ilvl w:val="0"/>
                <w:numId w:val="4"/>
              </w:numPr>
              <w:ind w:left="0" w:firstLine="142"/>
              <w:rPr>
                <w:rFonts w:ascii="Times Roman" w:hAnsi="Times Roman" w:cs="Times New Roman"/>
                <w:sz w:val="24"/>
                <w:szCs w:val="24"/>
              </w:rPr>
            </w:pPr>
          </w:p>
        </w:tc>
        <w:tc>
          <w:tcPr>
            <w:tcW w:w="1450" w:type="pct"/>
            <w:vAlign w:val="center"/>
          </w:tcPr>
          <w:p w:rsidR="003B5BF2" w:rsidRPr="003F5D3B" w:rsidRDefault="003B5BF2" w:rsidP="003F5D3B">
            <w:pPr>
              <w:rPr>
                <w:rFonts w:ascii="Times Roman" w:hAnsi="Times Roman" w:cs="Times New Roman"/>
                <w:sz w:val="24"/>
                <w:szCs w:val="24"/>
              </w:rPr>
            </w:pPr>
            <w:r w:rsidRPr="003F5D3B">
              <w:rPr>
                <w:rFonts w:ascii="Times New Roman" w:hAnsi="Times New Roman" w:cs="Times New Roman"/>
                <w:sz w:val="24"/>
                <w:szCs w:val="24"/>
              </w:rPr>
              <w:t>Комитет</w:t>
            </w:r>
            <w:r w:rsidRPr="003F5D3B">
              <w:rPr>
                <w:rFonts w:ascii="Times Roman" w:hAnsi="Times Roman" w:cs="Times New Roman"/>
                <w:sz w:val="24"/>
                <w:szCs w:val="24"/>
              </w:rPr>
              <w:t xml:space="preserve"> </w:t>
            </w:r>
            <w:r w:rsidRPr="003F5D3B">
              <w:rPr>
                <w:rFonts w:ascii="Times New Roman" w:hAnsi="Times New Roman" w:cs="Times New Roman"/>
                <w:sz w:val="24"/>
                <w:szCs w:val="24"/>
              </w:rPr>
              <w:t>государственного</w:t>
            </w:r>
            <w:r w:rsidRPr="003F5D3B">
              <w:rPr>
                <w:rFonts w:ascii="Times Roman" w:hAnsi="Times Roman" w:cs="Times New Roman"/>
                <w:sz w:val="24"/>
                <w:szCs w:val="24"/>
              </w:rPr>
              <w:t xml:space="preserve"> </w:t>
            </w:r>
            <w:r w:rsidRPr="003F5D3B">
              <w:rPr>
                <w:rFonts w:ascii="Times New Roman" w:hAnsi="Times New Roman" w:cs="Times New Roman"/>
                <w:sz w:val="24"/>
                <w:szCs w:val="24"/>
              </w:rPr>
              <w:t>заказа</w:t>
            </w:r>
            <w:r w:rsidRPr="003F5D3B">
              <w:rPr>
                <w:rFonts w:ascii="Times Roman" w:hAnsi="Times Roman" w:cs="Times New Roman"/>
                <w:sz w:val="24"/>
                <w:szCs w:val="24"/>
              </w:rPr>
              <w:t xml:space="preserve"> </w:t>
            </w:r>
            <w:r w:rsidRPr="003F5D3B">
              <w:rPr>
                <w:rFonts w:ascii="Times New Roman" w:hAnsi="Times New Roman" w:cs="Times New Roman"/>
                <w:sz w:val="24"/>
                <w:szCs w:val="24"/>
              </w:rPr>
              <w:t>Ленинградской</w:t>
            </w:r>
            <w:r w:rsidRPr="003F5D3B">
              <w:rPr>
                <w:rFonts w:ascii="Times Roman" w:hAnsi="Times Roman" w:cs="Times New Roman"/>
                <w:sz w:val="24"/>
                <w:szCs w:val="24"/>
              </w:rPr>
              <w:t xml:space="preserve"> </w:t>
            </w:r>
            <w:r w:rsidRPr="003F5D3B">
              <w:rPr>
                <w:rFonts w:ascii="Times New Roman" w:hAnsi="Times New Roman" w:cs="Times New Roman"/>
                <w:sz w:val="24"/>
                <w:szCs w:val="24"/>
              </w:rPr>
              <w:t>области</w:t>
            </w:r>
          </w:p>
        </w:tc>
        <w:tc>
          <w:tcPr>
            <w:tcW w:w="1507" w:type="pct"/>
            <w:vAlign w:val="center"/>
          </w:tcPr>
          <w:p w:rsidR="003B5BF2" w:rsidRPr="003F5D3B" w:rsidRDefault="00370C06" w:rsidP="003F5D3B">
            <w:pPr>
              <w:rPr>
                <w:rFonts w:ascii="Times Roman" w:hAnsi="Times Roman" w:cs="Times New Roman"/>
                <w:sz w:val="24"/>
                <w:szCs w:val="24"/>
              </w:rPr>
            </w:pPr>
            <w:r w:rsidRPr="003F5D3B">
              <w:rPr>
                <w:rFonts w:ascii="Times New Roman" w:hAnsi="Times New Roman" w:cs="Times New Roman"/>
                <w:sz w:val="24"/>
                <w:szCs w:val="24"/>
              </w:rPr>
              <w:t>Крюк</w:t>
            </w:r>
            <w:r w:rsidRPr="003F5D3B">
              <w:rPr>
                <w:rFonts w:ascii="Times Roman" w:hAnsi="Times Roman" w:cs="Times New Roman"/>
                <w:sz w:val="24"/>
                <w:szCs w:val="24"/>
              </w:rPr>
              <w:t xml:space="preserve"> </w:t>
            </w:r>
            <w:r w:rsidRPr="003F5D3B">
              <w:rPr>
                <w:rFonts w:ascii="Times New Roman" w:hAnsi="Times New Roman" w:cs="Times New Roman"/>
                <w:sz w:val="24"/>
                <w:szCs w:val="24"/>
              </w:rPr>
              <w:t>Александр</w:t>
            </w:r>
            <w:r w:rsidRPr="003F5D3B">
              <w:rPr>
                <w:rFonts w:ascii="Times Roman" w:hAnsi="Times Roman" w:cs="Times New Roman"/>
                <w:sz w:val="24"/>
                <w:szCs w:val="24"/>
              </w:rPr>
              <w:t xml:space="preserve"> </w:t>
            </w:r>
            <w:r w:rsidRPr="003F5D3B">
              <w:rPr>
                <w:rFonts w:ascii="Times New Roman" w:hAnsi="Times New Roman" w:cs="Times New Roman"/>
                <w:sz w:val="24"/>
                <w:szCs w:val="24"/>
              </w:rPr>
              <w:t>Сергеевич</w:t>
            </w:r>
            <w:r w:rsidRPr="003F5D3B">
              <w:rPr>
                <w:rFonts w:ascii="Times Roman" w:hAnsi="Times Roman" w:cs="Times New Roman"/>
                <w:sz w:val="24"/>
                <w:szCs w:val="24"/>
              </w:rPr>
              <w:t xml:space="preserve"> - </w:t>
            </w:r>
            <w:r w:rsidR="003B5BF2" w:rsidRPr="003F5D3B">
              <w:rPr>
                <w:rFonts w:ascii="Times New Roman" w:hAnsi="Times New Roman" w:cs="Times New Roman"/>
                <w:sz w:val="24"/>
                <w:szCs w:val="24"/>
              </w:rPr>
              <w:t>заместитель</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председателя</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комитета</w:t>
            </w:r>
          </w:p>
        </w:tc>
        <w:tc>
          <w:tcPr>
            <w:tcW w:w="1786" w:type="pct"/>
            <w:vAlign w:val="center"/>
          </w:tcPr>
          <w:p w:rsidR="003B5BF2" w:rsidRPr="003F5D3B" w:rsidRDefault="003B5BF2" w:rsidP="003F5D3B">
            <w:pPr>
              <w:rPr>
                <w:rFonts w:ascii="Times Roman" w:hAnsi="Times Roman" w:cs="Times New Roman"/>
                <w:sz w:val="24"/>
                <w:szCs w:val="24"/>
              </w:rPr>
            </w:pPr>
            <w:r w:rsidRPr="003F5D3B">
              <w:rPr>
                <w:rFonts w:ascii="Times New Roman" w:hAnsi="Times New Roman" w:cs="Times New Roman"/>
                <w:sz w:val="24"/>
                <w:szCs w:val="24"/>
              </w:rPr>
              <w:t>отдел</w:t>
            </w:r>
            <w:r w:rsidRPr="003F5D3B">
              <w:rPr>
                <w:rFonts w:ascii="Times Roman" w:hAnsi="Times Roman" w:cs="Times New Roman"/>
                <w:sz w:val="24"/>
                <w:szCs w:val="24"/>
              </w:rPr>
              <w:t xml:space="preserve"> </w:t>
            </w:r>
            <w:r w:rsidRPr="003F5D3B">
              <w:rPr>
                <w:rFonts w:ascii="Times New Roman" w:hAnsi="Times New Roman" w:cs="Times New Roman"/>
                <w:sz w:val="24"/>
                <w:szCs w:val="24"/>
              </w:rPr>
              <w:t>правового</w:t>
            </w:r>
            <w:r w:rsidRPr="003F5D3B">
              <w:rPr>
                <w:rFonts w:ascii="Times Roman" w:hAnsi="Times Roman" w:cs="Times New Roman"/>
                <w:sz w:val="24"/>
                <w:szCs w:val="24"/>
              </w:rPr>
              <w:t xml:space="preserve"> </w:t>
            </w:r>
            <w:r w:rsidRPr="003F5D3B">
              <w:rPr>
                <w:rFonts w:ascii="Times New Roman" w:hAnsi="Times New Roman" w:cs="Times New Roman"/>
                <w:sz w:val="24"/>
                <w:szCs w:val="24"/>
              </w:rPr>
              <w:t>и</w:t>
            </w:r>
            <w:r w:rsidRPr="003F5D3B">
              <w:rPr>
                <w:rFonts w:ascii="Times Roman" w:hAnsi="Times Roman" w:cs="Times New Roman"/>
                <w:sz w:val="24"/>
                <w:szCs w:val="24"/>
              </w:rPr>
              <w:t xml:space="preserve"> </w:t>
            </w:r>
            <w:r w:rsidRPr="003F5D3B">
              <w:rPr>
                <w:rFonts w:ascii="Times New Roman" w:hAnsi="Times New Roman" w:cs="Times New Roman"/>
                <w:sz w:val="24"/>
                <w:szCs w:val="24"/>
              </w:rPr>
              <w:t>информационного</w:t>
            </w:r>
            <w:r w:rsidRPr="003F5D3B">
              <w:rPr>
                <w:rFonts w:ascii="Times Roman" w:hAnsi="Times Roman" w:cs="Times New Roman"/>
                <w:sz w:val="24"/>
                <w:szCs w:val="24"/>
              </w:rPr>
              <w:t xml:space="preserve"> </w:t>
            </w:r>
            <w:r w:rsidRPr="003F5D3B">
              <w:rPr>
                <w:rFonts w:ascii="Times New Roman" w:hAnsi="Times New Roman" w:cs="Times New Roman"/>
                <w:sz w:val="24"/>
                <w:szCs w:val="24"/>
              </w:rPr>
              <w:t>обеспечения</w:t>
            </w:r>
          </w:p>
        </w:tc>
      </w:tr>
      <w:tr w:rsidR="003B5BF2" w:rsidRPr="003F5D3B" w:rsidTr="003F5D3B">
        <w:tc>
          <w:tcPr>
            <w:tcW w:w="257" w:type="pct"/>
            <w:vAlign w:val="center"/>
          </w:tcPr>
          <w:p w:rsidR="003B5BF2" w:rsidRPr="003F5D3B" w:rsidRDefault="003B5BF2" w:rsidP="003F5D3B">
            <w:pPr>
              <w:numPr>
                <w:ilvl w:val="0"/>
                <w:numId w:val="4"/>
              </w:numPr>
              <w:ind w:left="0" w:firstLine="142"/>
              <w:rPr>
                <w:rFonts w:ascii="Times Roman" w:hAnsi="Times Roman" w:cs="Times New Roman"/>
                <w:sz w:val="24"/>
                <w:szCs w:val="24"/>
              </w:rPr>
            </w:pPr>
          </w:p>
        </w:tc>
        <w:tc>
          <w:tcPr>
            <w:tcW w:w="1450" w:type="pct"/>
            <w:vAlign w:val="center"/>
          </w:tcPr>
          <w:p w:rsidR="003B5BF2" w:rsidRPr="003F5D3B" w:rsidRDefault="003B5BF2" w:rsidP="003F5D3B">
            <w:pPr>
              <w:rPr>
                <w:rFonts w:ascii="Times Roman" w:hAnsi="Times Roman" w:cs="Times New Roman"/>
                <w:sz w:val="24"/>
                <w:szCs w:val="24"/>
              </w:rPr>
            </w:pPr>
            <w:r w:rsidRPr="003F5D3B">
              <w:rPr>
                <w:rFonts w:ascii="Times New Roman" w:hAnsi="Times New Roman" w:cs="Times New Roman"/>
                <w:sz w:val="24"/>
                <w:szCs w:val="24"/>
              </w:rPr>
              <w:t>Комитет</w:t>
            </w:r>
            <w:r w:rsidRPr="003F5D3B">
              <w:rPr>
                <w:rFonts w:ascii="Times Roman" w:hAnsi="Times Roman" w:cs="Times New Roman"/>
                <w:sz w:val="24"/>
                <w:szCs w:val="24"/>
              </w:rPr>
              <w:t xml:space="preserve"> </w:t>
            </w:r>
            <w:r w:rsidRPr="003F5D3B">
              <w:rPr>
                <w:rFonts w:ascii="Times New Roman" w:hAnsi="Times New Roman" w:cs="Times New Roman"/>
                <w:sz w:val="24"/>
                <w:szCs w:val="24"/>
              </w:rPr>
              <w:t>по</w:t>
            </w:r>
            <w:r w:rsidRPr="003F5D3B">
              <w:rPr>
                <w:rFonts w:ascii="Times Roman" w:hAnsi="Times Roman" w:cs="Times New Roman"/>
                <w:sz w:val="24"/>
                <w:szCs w:val="24"/>
              </w:rPr>
              <w:t xml:space="preserve"> </w:t>
            </w:r>
            <w:r w:rsidRPr="003F5D3B">
              <w:rPr>
                <w:rFonts w:ascii="Times New Roman" w:hAnsi="Times New Roman" w:cs="Times New Roman"/>
                <w:sz w:val="24"/>
                <w:szCs w:val="24"/>
              </w:rPr>
              <w:t>дорожному</w:t>
            </w:r>
            <w:r w:rsidRPr="003F5D3B">
              <w:rPr>
                <w:rFonts w:ascii="Times Roman" w:hAnsi="Times Roman" w:cs="Times New Roman"/>
                <w:sz w:val="24"/>
                <w:szCs w:val="24"/>
              </w:rPr>
              <w:t xml:space="preserve"> </w:t>
            </w:r>
            <w:r w:rsidRPr="003F5D3B">
              <w:rPr>
                <w:rFonts w:ascii="Times New Roman" w:hAnsi="Times New Roman" w:cs="Times New Roman"/>
                <w:sz w:val="24"/>
                <w:szCs w:val="24"/>
              </w:rPr>
              <w:t>хозяйству</w:t>
            </w:r>
            <w:r w:rsidRPr="003F5D3B">
              <w:rPr>
                <w:rFonts w:ascii="Times Roman" w:hAnsi="Times Roman" w:cs="Times New Roman"/>
                <w:sz w:val="24"/>
                <w:szCs w:val="24"/>
              </w:rPr>
              <w:t xml:space="preserve"> </w:t>
            </w:r>
            <w:r w:rsidRPr="003F5D3B">
              <w:rPr>
                <w:rFonts w:ascii="Times New Roman" w:hAnsi="Times New Roman" w:cs="Times New Roman"/>
                <w:sz w:val="24"/>
                <w:szCs w:val="24"/>
              </w:rPr>
              <w:t>Ленинградской</w:t>
            </w:r>
            <w:r w:rsidRPr="003F5D3B">
              <w:rPr>
                <w:rFonts w:ascii="Times Roman" w:hAnsi="Times Roman" w:cs="Times New Roman"/>
                <w:sz w:val="24"/>
                <w:szCs w:val="24"/>
              </w:rPr>
              <w:t xml:space="preserve"> </w:t>
            </w:r>
            <w:r w:rsidRPr="003F5D3B">
              <w:rPr>
                <w:rFonts w:ascii="Times New Roman" w:hAnsi="Times New Roman" w:cs="Times New Roman"/>
                <w:sz w:val="24"/>
                <w:szCs w:val="24"/>
              </w:rPr>
              <w:t>области</w:t>
            </w:r>
          </w:p>
        </w:tc>
        <w:tc>
          <w:tcPr>
            <w:tcW w:w="1507" w:type="pct"/>
            <w:vAlign w:val="center"/>
          </w:tcPr>
          <w:p w:rsidR="003B5BF2" w:rsidRPr="003F5D3B" w:rsidRDefault="00A74680" w:rsidP="003F5D3B">
            <w:pPr>
              <w:rPr>
                <w:rFonts w:ascii="Times Roman" w:hAnsi="Times Roman" w:cs="Times New Roman"/>
                <w:sz w:val="24"/>
                <w:szCs w:val="24"/>
              </w:rPr>
            </w:pPr>
            <w:r w:rsidRPr="003F5D3B">
              <w:rPr>
                <w:rFonts w:ascii="Times New Roman" w:hAnsi="Times New Roman" w:cs="Times New Roman"/>
                <w:sz w:val="24"/>
                <w:szCs w:val="24"/>
              </w:rPr>
              <w:t>Нужный</w:t>
            </w:r>
            <w:r w:rsidRPr="003F5D3B">
              <w:rPr>
                <w:rFonts w:ascii="Times Roman" w:hAnsi="Times Roman" w:cs="Times New Roman"/>
                <w:sz w:val="24"/>
                <w:szCs w:val="24"/>
              </w:rPr>
              <w:t xml:space="preserve"> </w:t>
            </w:r>
            <w:r w:rsidRPr="003F5D3B">
              <w:rPr>
                <w:rFonts w:ascii="Times New Roman" w:hAnsi="Times New Roman" w:cs="Times New Roman"/>
                <w:sz w:val="24"/>
                <w:szCs w:val="24"/>
              </w:rPr>
              <w:t>Александр</w:t>
            </w:r>
            <w:r w:rsidRPr="003F5D3B">
              <w:rPr>
                <w:rFonts w:ascii="Times Roman" w:hAnsi="Times Roman" w:cs="Times New Roman"/>
                <w:sz w:val="24"/>
                <w:szCs w:val="24"/>
              </w:rPr>
              <w:t xml:space="preserve"> </w:t>
            </w:r>
            <w:r w:rsidRPr="003F5D3B">
              <w:rPr>
                <w:rFonts w:ascii="Times New Roman" w:hAnsi="Times New Roman" w:cs="Times New Roman"/>
                <w:sz w:val="24"/>
                <w:szCs w:val="24"/>
              </w:rPr>
              <w:t>Александрович</w:t>
            </w:r>
            <w:r w:rsidRPr="003F5D3B">
              <w:rPr>
                <w:rFonts w:ascii="Times Roman" w:hAnsi="Times Roman" w:cs="Times New Roman"/>
                <w:sz w:val="24"/>
                <w:szCs w:val="24"/>
              </w:rPr>
              <w:t xml:space="preserve"> - </w:t>
            </w:r>
            <w:r w:rsidR="003B5BF2" w:rsidRPr="003F5D3B">
              <w:rPr>
                <w:rFonts w:ascii="Times New Roman" w:hAnsi="Times New Roman" w:cs="Times New Roman"/>
                <w:sz w:val="24"/>
                <w:szCs w:val="24"/>
              </w:rPr>
              <w:t>заместитель</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председателя</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комитета</w:t>
            </w:r>
          </w:p>
        </w:tc>
        <w:tc>
          <w:tcPr>
            <w:tcW w:w="1786" w:type="pct"/>
            <w:vAlign w:val="center"/>
          </w:tcPr>
          <w:p w:rsidR="003B5BF2" w:rsidRPr="003F5D3B" w:rsidRDefault="005D160A" w:rsidP="003F5D3B">
            <w:pPr>
              <w:rPr>
                <w:rFonts w:ascii="Times Roman" w:hAnsi="Times Roman" w:cs="Times New Roman"/>
                <w:sz w:val="24"/>
                <w:szCs w:val="24"/>
              </w:rPr>
            </w:pPr>
            <w:r w:rsidRPr="003F5D3B">
              <w:rPr>
                <w:rFonts w:ascii="Times New Roman" w:hAnsi="Times New Roman" w:cs="Times New Roman"/>
                <w:sz w:val="24"/>
                <w:szCs w:val="24"/>
              </w:rPr>
              <w:t>отдел</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организации</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дорожной</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деятельности</w:t>
            </w:r>
          </w:p>
        </w:tc>
      </w:tr>
      <w:tr w:rsidR="003B5BF2" w:rsidRPr="003F5D3B" w:rsidTr="003F5D3B">
        <w:tc>
          <w:tcPr>
            <w:tcW w:w="257" w:type="pct"/>
            <w:vAlign w:val="center"/>
          </w:tcPr>
          <w:p w:rsidR="003B5BF2" w:rsidRPr="003F5D3B" w:rsidRDefault="003B5BF2" w:rsidP="003F5D3B">
            <w:pPr>
              <w:numPr>
                <w:ilvl w:val="0"/>
                <w:numId w:val="4"/>
              </w:numPr>
              <w:ind w:left="0" w:firstLine="142"/>
              <w:rPr>
                <w:rFonts w:ascii="Times Roman" w:hAnsi="Times Roman" w:cs="Times New Roman"/>
                <w:sz w:val="24"/>
                <w:szCs w:val="24"/>
              </w:rPr>
            </w:pPr>
          </w:p>
        </w:tc>
        <w:tc>
          <w:tcPr>
            <w:tcW w:w="1450" w:type="pct"/>
            <w:vAlign w:val="center"/>
          </w:tcPr>
          <w:p w:rsidR="003B5BF2" w:rsidRPr="003F5D3B" w:rsidRDefault="003B5BF2" w:rsidP="003F5D3B">
            <w:pPr>
              <w:rPr>
                <w:rFonts w:ascii="Times Roman" w:hAnsi="Times Roman" w:cs="Times New Roman"/>
                <w:sz w:val="24"/>
                <w:szCs w:val="24"/>
              </w:rPr>
            </w:pPr>
            <w:r w:rsidRPr="003F5D3B">
              <w:rPr>
                <w:rFonts w:ascii="Times New Roman" w:hAnsi="Times New Roman" w:cs="Times New Roman"/>
                <w:sz w:val="24"/>
                <w:szCs w:val="24"/>
              </w:rPr>
              <w:t>Комитет</w:t>
            </w:r>
            <w:r w:rsidRPr="003F5D3B">
              <w:rPr>
                <w:rFonts w:ascii="Times Roman" w:hAnsi="Times Roman" w:cs="Times New Roman"/>
                <w:sz w:val="24"/>
                <w:szCs w:val="24"/>
              </w:rPr>
              <w:t xml:space="preserve"> </w:t>
            </w:r>
            <w:r w:rsidRPr="003F5D3B">
              <w:rPr>
                <w:rFonts w:ascii="Times New Roman" w:hAnsi="Times New Roman" w:cs="Times New Roman"/>
                <w:sz w:val="24"/>
                <w:szCs w:val="24"/>
              </w:rPr>
              <w:t>общего</w:t>
            </w:r>
            <w:r w:rsidRPr="003F5D3B">
              <w:rPr>
                <w:rFonts w:ascii="Times Roman" w:hAnsi="Times Roman" w:cs="Times New Roman"/>
                <w:sz w:val="24"/>
                <w:szCs w:val="24"/>
              </w:rPr>
              <w:t xml:space="preserve"> </w:t>
            </w:r>
            <w:r w:rsidRPr="003F5D3B">
              <w:rPr>
                <w:rFonts w:ascii="Times New Roman" w:hAnsi="Times New Roman" w:cs="Times New Roman"/>
                <w:sz w:val="24"/>
                <w:szCs w:val="24"/>
              </w:rPr>
              <w:t>и</w:t>
            </w:r>
            <w:r w:rsidRPr="003F5D3B">
              <w:rPr>
                <w:rFonts w:ascii="Times Roman" w:hAnsi="Times Roman" w:cs="Times New Roman"/>
                <w:sz w:val="24"/>
                <w:szCs w:val="24"/>
              </w:rPr>
              <w:t xml:space="preserve"> </w:t>
            </w:r>
            <w:r w:rsidRPr="003F5D3B">
              <w:rPr>
                <w:rFonts w:ascii="Times New Roman" w:hAnsi="Times New Roman" w:cs="Times New Roman"/>
                <w:sz w:val="24"/>
                <w:szCs w:val="24"/>
              </w:rPr>
              <w:t>профессионального</w:t>
            </w:r>
            <w:r w:rsidRPr="003F5D3B">
              <w:rPr>
                <w:rFonts w:ascii="Times Roman" w:hAnsi="Times Roman" w:cs="Times New Roman"/>
                <w:sz w:val="24"/>
                <w:szCs w:val="24"/>
              </w:rPr>
              <w:t xml:space="preserve"> </w:t>
            </w:r>
            <w:r w:rsidRPr="003F5D3B">
              <w:rPr>
                <w:rFonts w:ascii="Times New Roman" w:hAnsi="Times New Roman" w:cs="Times New Roman"/>
                <w:sz w:val="24"/>
                <w:szCs w:val="24"/>
              </w:rPr>
              <w:t>образования</w:t>
            </w:r>
            <w:r w:rsidRPr="003F5D3B">
              <w:rPr>
                <w:rFonts w:ascii="Times Roman" w:hAnsi="Times Roman" w:cs="Times New Roman"/>
                <w:sz w:val="24"/>
                <w:szCs w:val="24"/>
              </w:rPr>
              <w:t xml:space="preserve"> </w:t>
            </w:r>
            <w:r w:rsidRPr="003F5D3B">
              <w:rPr>
                <w:rFonts w:ascii="Times New Roman" w:hAnsi="Times New Roman" w:cs="Times New Roman"/>
                <w:sz w:val="24"/>
                <w:szCs w:val="24"/>
              </w:rPr>
              <w:t>Ленинградской</w:t>
            </w:r>
            <w:r w:rsidRPr="003F5D3B">
              <w:rPr>
                <w:rFonts w:ascii="Times Roman" w:hAnsi="Times Roman" w:cs="Times New Roman"/>
                <w:sz w:val="24"/>
                <w:szCs w:val="24"/>
              </w:rPr>
              <w:t xml:space="preserve"> </w:t>
            </w:r>
            <w:r w:rsidRPr="003F5D3B">
              <w:rPr>
                <w:rFonts w:ascii="Times New Roman" w:hAnsi="Times New Roman" w:cs="Times New Roman"/>
                <w:sz w:val="24"/>
                <w:szCs w:val="24"/>
              </w:rPr>
              <w:t>области</w:t>
            </w:r>
          </w:p>
        </w:tc>
        <w:tc>
          <w:tcPr>
            <w:tcW w:w="1507" w:type="pct"/>
            <w:vAlign w:val="center"/>
          </w:tcPr>
          <w:p w:rsidR="003B5BF2" w:rsidRPr="003F5D3B" w:rsidRDefault="002F56EB" w:rsidP="003F5D3B">
            <w:pPr>
              <w:rPr>
                <w:rFonts w:ascii="Times Roman" w:hAnsi="Times Roman" w:cs="Times New Roman"/>
                <w:sz w:val="24"/>
                <w:szCs w:val="24"/>
              </w:rPr>
            </w:pPr>
            <w:r w:rsidRPr="003F5D3B">
              <w:rPr>
                <w:rFonts w:ascii="Times New Roman" w:hAnsi="Times New Roman" w:cs="Times New Roman"/>
                <w:sz w:val="24"/>
                <w:szCs w:val="24"/>
              </w:rPr>
              <w:t>Бойцова</w:t>
            </w:r>
            <w:r w:rsidRPr="003F5D3B">
              <w:rPr>
                <w:rFonts w:ascii="Times Roman" w:hAnsi="Times Roman" w:cs="Times New Roman"/>
                <w:sz w:val="24"/>
                <w:szCs w:val="24"/>
              </w:rPr>
              <w:t xml:space="preserve"> </w:t>
            </w:r>
            <w:r w:rsidRPr="003F5D3B">
              <w:rPr>
                <w:rFonts w:ascii="Times New Roman" w:hAnsi="Times New Roman" w:cs="Times New Roman"/>
                <w:sz w:val="24"/>
                <w:szCs w:val="24"/>
              </w:rPr>
              <w:t>Елена</w:t>
            </w:r>
            <w:r w:rsidRPr="003F5D3B">
              <w:rPr>
                <w:rFonts w:ascii="Times Roman" w:hAnsi="Times Roman" w:cs="Times New Roman"/>
                <w:sz w:val="24"/>
                <w:szCs w:val="24"/>
              </w:rPr>
              <w:t xml:space="preserve"> </w:t>
            </w:r>
            <w:r w:rsidRPr="003F5D3B">
              <w:rPr>
                <w:rFonts w:ascii="Times New Roman" w:hAnsi="Times New Roman" w:cs="Times New Roman"/>
                <w:sz w:val="24"/>
                <w:szCs w:val="24"/>
              </w:rPr>
              <w:t>Владимировна</w:t>
            </w:r>
            <w:r w:rsidR="003F5D3B" w:rsidRPr="003F5D3B">
              <w:rPr>
                <w:rFonts w:ascii="Times Roman" w:hAnsi="Times Roman" w:cs="Times New Roman"/>
                <w:sz w:val="24"/>
                <w:szCs w:val="24"/>
              </w:rPr>
              <w:t xml:space="preserve"> </w:t>
            </w:r>
            <w:r w:rsidRPr="003F5D3B">
              <w:rPr>
                <w:rFonts w:ascii="Times Roman" w:hAnsi="Times Roman" w:cs="Times New Roman"/>
                <w:sz w:val="24"/>
                <w:szCs w:val="24"/>
              </w:rPr>
              <w:t>-</w:t>
            </w:r>
            <w:r w:rsidR="00A74680"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заместитель</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председателя</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комитета</w:t>
            </w:r>
          </w:p>
        </w:tc>
        <w:tc>
          <w:tcPr>
            <w:tcW w:w="1786" w:type="pct"/>
            <w:vAlign w:val="center"/>
          </w:tcPr>
          <w:p w:rsidR="003B5BF2" w:rsidRPr="003F5D3B" w:rsidRDefault="003B5BF2" w:rsidP="003F5D3B">
            <w:pPr>
              <w:rPr>
                <w:rFonts w:ascii="Times Roman" w:hAnsi="Times Roman" w:cs="Times New Roman"/>
                <w:sz w:val="24"/>
                <w:szCs w:val="24"/>
              </w:rPr>
            </w:pPr>
            <w:r w:rsidRPr="003F5D3B">
              <w:rPr>
                <w:rFonts w:ascii="Times New Roman" w:hAnsi="Times New Roman" w:cs="Times New Roman"/>
                <w:sz w:val="24"/>
                <w:szCs w:val="24"/>
              </w:rPr>
              <w:t>отдел</w:t>
            </w:r>
            <w:r w:rsidRPr="003F5D3B">
              <w:rPr>
                <w:rFonts w:ascii="Times Roman" w:hAnsi="Times Roman" w:cs="Times New Roman"/>
                <w:sz w:val="24"/>
                <w:szCs w:val="24"/>
              </w:rPr>
              <w:t xml:space="preserve"> </w:t>
            </w:r>
            <w:r w:rsidRPr="003F5D3B">
              <w:rPr>
                <w:rFonts w:ascii="Times New Roman" w:hAnsi="Times New Roman" w:cs="Times New Roman"/>
                <w:sz w:val="24"/>
                <w:szCs w:val="24"/>
              </w:rPr>
              <w:t>профессионального</w:t>
            </w:r>
            <w:r w:rsidRPr="003F5D3B">
              <w:rPr>
                <w:rFonts w:ascii="Times Roman" w:hAnsi="Times Roman" w:cs="Times New Roman"/>
                <w:sz w:val="24"/>
                <w:szCs w:val="24"/>
              </w:rPr>
              <w:t xml:space="preserve"> </w:t>
            </w:r>
            <w:r w:rsidRPr="003F5D3B">
              <w:rPr>
                <w:rFonts w:ascii="Times New Roman" w:hAnsi="Times New Roman" w:cs="Times New Roman"/>
                <w:sz w:val="24"/>
                <w:szCs w:val="24"/>
              </w:rPr>
              <w:t>образования</w:t>
            </w:r>
            <w:r w:rsidRPr="003F5D3B">
              <w:rPr>
                <w:rFonts w:ascii="Times Roman" w:hAnsi="Times Roman" w:cs="Times New Roman"/>
                <w:sz w:val="24"/>
                <w:szCs w:val="24"/>
              </w:rPr>
              <w:t xml:space="preserve">, </w:t>
            </w:r>
            <w:r w:rsidRPr="003F5D3B">
              <w:rPr>
                <w:rFonts w:ascii="Times New Roman" w:hAnsi="Times New Roman" w:cs="Times New Roman"/>
                <w:sz w:val="24"/>
                <w:szCs w:val="24"/>
              </w:rPr>
              <w:t>отдел</w:t>
            </w:r>
            <w:r w:rsidRPr="003F5D3B">
              <w:rPr>
                <w:rFonts w:ascii="Times Roman" w:hAnsi="Times Roman" w:cs="Times New Roman"/>
                <w:sz w:val="24"/>
                <w:szCs w:val="24"/>
              </w:rPr>
              <w:t xml:space="preserve"> </w:t>
            </w:r>
            <w:r w:rsidRPr="003F5D3B">
              <w:rPr>
                <w:rFonts w:ascii="Times New Roman" w:hAnsi="Times New Roman" w:cs="Times New Roman"/>
                <w:sz w:val="24"/>
                <w:szCs w:val="24"/>
              </w:rPr>
              <w:t>общего</w:t>
            </w:r>
            <w:r w:rsidRPr="003F5D3B">
              <w:rPr>
                <w:rFonts w:ascii="Times Roman" w:hAnsi="Times Roman" w:cs="Times New Roman"/>
                <w:sz w:val="24"/>
                <w:szCs w:val="24"/>
              </w:rPr>
              <w:t xml:space="preserve"> </w:t>
            </w:r>
            <w:r w:rsidRPr="003F5D3B">
              <w:rPr>
                <w:rFonts w:ascii="Times New Roman" w:hAnsi="Times New Roman" w:cs="Times New Roman"/>
                <w:sz w:val="24"/>
                <w:szCs w:val="24"/>
              </w:rPr>
              <w:t>и</w:t>
            </w:r>
            <w:r w:rsidRPr="003F5D3B">
              <w:rPr>
                <w:rFonts w:ascii="Times Roman" w:hAnsi="Times Roman" w:cs="Times New Roman"/>
                <w:sz w:val="24"/>
                <w:szCs w:val="24"/>
              </w:rPr>
              <w:t xml:space="preserve"> </w:t>
            </w:r>
            <w:r w:rsidRPr="003F5D3B">
              <w:rPr>
                <w:rFonts w:ascii="Times New Roman" w:hAnsi="Times New Roman" w:cs="Times New Roman"/>
                <w:sz w:val="24"/>
                <w:szCs w:val="24"/>
              </w:rPr>
              <w:t>дополнительного</w:t>
            </w:r>
            <w:r w:rsidRPr="003F5D3B">
              <w:rPr>
                <w:rFonts w:ascii="Times Roman" w:hAnsi="Times Roman" w:cs="Times New Roman"/>
                <w:sz w:val="24"/>
                <w:szCs w:val="24"/>
              </w:rPr>
              <w:t xml:space="preserve"> </w:t>
            </w:r>
            <w:r w:rsidRPr="003F5D3B">
              <w:rPr>
                <w:rFonts w:ascii="Times New Roman" w:hAnsi="Times New Roman" w:cs="Times New Roman"/>
                <w:sz w:val="24"/>
                <w:szCs w:val="24"/>
              </w:rPr>
              <w:t>образования</w:t>
            </w:r>
            <w:r w:rsidRPr="003F5D3B">
              <w:rPr>
                <w:rFonts w:ascii="Times Roman" w:hAnsi="Times Roman" w:cs="Times New Roman"/>
                <w:sz w:val="24"/>
                <w:szCs w:val="24"/>
              </w:rPr>
              <w:t xml:space="preserve">, </w:t>
            </w:r>
            <w:r w:rsidRPr="003F5D3B">
              <w:rPr>
                <w:rFonts w:ascii="Times New Roman" w:hAnsi="Times New Roman" w:cs="Times New Roman"/>
                <w:sz w:val="24"/>
                <w:szCs w:val="24"/>
              </w:rPr>
              <w:t>отдел</w:t>
            </w:r>
            <w:r w:rsidRPr="003F5D3B">
              <w:rPr>
                <w:rFonts w:ascii="Times Roman" w:hAnsi="Times Roman" w:cs="Times New Roman"/>
                <w:sz w:val="24"/>
                <w:szCs w:val="24"/>
              </w:rPr>
              <w:t xml:space="preserve"> </w:t>
            </w:r>
            <w:r w:rsidRPr="003F5D3B">
              <w:rPr>
                <w:rFonts w:ascii="Times New Roman" w:hAnsi="Times New Roman" w:cs="Times New Roman"/>
                <w:sz w:val="24"/>
                <w:szCs w:val="24"/>
              </w:rPr>
              <w:t>социальной</w:t>
            </w:r>
            <w:r w:rsidRPr="003F5D3B">
              <w:rPr>
                <w:rFonts w:ascii="Times Roman" w:hAnsi="Times Roman" w:cs="Times New Roman"/>
                <w:sz w:val="24"/>
                <w:szCs w:val="24"/>
              </w:rPr>
              <w:t xml:space="preserve"> </w:t>
            </w:r>
            <w:r w:rsidRPr="003F5D3B">
              <w:rPr>
                <w:rFonts w:ascii="Times New Roman" w:hAnsi="Times New Roman" w:cs="Times New Roman"/>
                <w:sz w:val="24"/>
                <w:szCs w:val="24"/>
              </w:rPr>
              <w:t>защиты</w:t>
            </w:r>
            <w:r w:rsidRPr="003F5D3B">
              <w:rPr>
                <w:rFonts w:ascii="Times Roman" w:hAnsi="Times Roman" w:cs="Times New Roman"/>
                <w:sz w:val="24"/>
                <w:szCs w:val="24"/>
              </w:rPr>
              <w:t xml:space="preserve"> </w:t>
            </w:r>
            <w:r w:rsidRPr="003F5D3B">
              <w:rPr>
                <w:rFonts w:ascii="Times New Roman" w:hAnsi="Times New Roman" w:cs="Times New Roman"/>
                <w:sz w:val="24"/>
                <w:szCs w:val="24"/>
              </w:rPr>
              <w:t>и</w:t>
            </w:r>
            <w:r w:rsidRPr="003F5D3B">
              <w:rPr>
                <w:rFonts w:ascii="Times Roman" w:hAnsi="Times Roman" w:cs="Times New Roman"/>
                <w:sz w:val="24"/>
                <w:szCs w:val="24"/>
              </w:rPr>
              <w:t xml:space="preserve"> </w:t>
            </w:r>
            <w:r w:rsidRPr="003F5D3B">
              <w:rPr>
                <w:rFonts w:ascii="Times New Roman" w:hAnsi="Times New Roman" w:cs="Times New Roman"/>
                <w:sz w:val="24"/>
                <w:szCs w:val="24"/>
              </w:rPr>
              <w:t>специальных</w:t>
            </w:r>
            <w:r w:rsidRPr="003F5D3B">
              <w:rPr>
                <w:rFonts w:ascii="Times Roman" w:hAnsi="Times Roman" w:cs="Times New Roman"/>
                <w:sz w:val="24"/>
                <w:szCs w:val="24"/>
              </w:rPr>
              <w:t xml:space="preserve"> </w:t>
            </w:r>
            <w:r w:rsidRPr="003F5D3B">
              <w:rPr>
                <w:rFonts w:ascii="Times New Roman" w:hAnsi="Times New Roman" w:cs="Times New Roman"/>
                <w:sz w:val="24"/>
                <w:szCs w:val="24"/>
              </w:rPr>
              <w:t>учреждений</w:t>
            </w:r>
          </w:p>
        </w:tc>
      </w:tr>
      <w:tr w:rsidR="003B5BF2" w:rsidRPr="003F5D3B" w:rsidTr="003F5D3B">
        <w:tc>
          <w:tcPr>
            <w:tcW w:w="257" w:type="pct"/>
            <w:vAlign w:val="center"/>
          </w:tcPr>
          <w:p w:rsidR="003B5BF2" w:rsidRPr="003F5D3B" w:rsidRDefault="003B5BF2" w:rsidP="003F5D3B">
            <w:pPr>
              <w:numPr>
                <w:ilvl w:val="0"/>
                <w:numId w:val="4"/>
              </w:numPr>
              <w:ind w:left="0" w:firstLine="142"/>
              <w:rPr>
                <w:rFonts w:ascii="Times Roman" w:hAnsi="Times Roman" w:cs="Times New Roman"/>
                <w:sz w:val="24"/>
                <w:szCs w:val="24"/>
              </w:rPr>
            </w:pPr>
          </w:p>
        </w:tc>
        <w:tc>
          <w:tcPr>
            <w:tcW w:w="1450" w:type="pct"/>
            <w:vAlign w:val="center"/>
          </w:tcPr>
          <w:p w:rsidR="003B5BF2" w:rsidRPr="003F5D3B" w:rsidRDefault="003B5BF2" w:rsidP="003F5D3B">
            <w:pPr>
              <w:rPr>
                <w:rFonts w:ascii="Times Roman" w:hAnsi="Times Roman" w:cs="Times New Roman"/>
                <w:sz w:val="24"/>
                <w:szCs w:val="24"/>
              </w:rPr>
            </w:pPr>
            <w:r w:rsidRPr="003F5D3B">
              <w:rPr>
                <w:rFonts w:ascii="Times New Roman" w:hAnsi="Times New Roman" w:cs="Times New Roman"/>
                <w:sz w:val="24"/>
                <w:szCs w:val="24"/>
              </w:rPr>
              <w:t>Комитет</w:t>
            </w:r>
            <w:r w:rsidRPr="003F5D3B">
              <w:rPr>
                <w:rFonts w:ascii="Times Roman" w:hAnsi="Times Roman" w:cs="Times New Roman"/>
                <w:sz w:val="24"/>
                <w:szCs w:val="24"/>
              </w:rPr>
              <w:t xml:space="preserve"> </w:t>
            </w:r>
            <w:r w:rsidRPr="003F5D3B">
              <w:rPr>
                <w:rFonts w:ascii="Times New Roman" w:hAnsi="Times New Roman" w:cs="Times New Roman"/>
                <w:sz w:val="24"/>
                <w:szCs w:val="24"/>
              </w:rPr>
              <w:t>государственного</w:t>
            </w:r>
            <w:r w:rsidRPr="003F5D3B">
              <w:rPr>
                <w:rFonts w:ascii="Times Roman" w:hAnsi="Times Roman" w:cs="Times New Roman"/>
                <w:sz w:val="24"/>
                <w:szCs w:val="24"/>
              </w:rPr>
              <w:t xml:space="preserve"> </w:t>
            </w:r>
            <w:r w:rsidRPr="003F5D3B">
              <w:rPr>
                <w:rFonts w:ascii="Times New Roman" w:hAnsi="Times New Roman" w:cs="Times New Roman"/>
                <w:sz w:val="24"/>
                <w:szCs w:val="24"/>
              </w:rPr>
              <w:t>строительного</w:t>
            </w:r>
            <w:r w:rsidRPr="003F5D3B">
              <w:rPr>
                <w:rFonts w:ascii="Times Roman" w:hAnsi="Times Roman" w:cs="Times New Roman"/>
                <w:sz w:val="24"/>
                <w:szCs w:val="24"/>
              </w:rPr>
              <w:t xml:space="preserve"> </w:t>
            </w:r>
            <w:r w:rsidRPr="003F5D3B">
              <w:rPr>
                <w:rFonts w:ascii="Times New Roman" w:hAnsi="Times New Roman" w:cs="Times New Roman"/>
                <w:sz w:val="24"/>
                <w:szCs w:val="24"/>
              </w:rPr>
              <w:t>надзора</w:t>
            </w:r>
            <w:r w:rsidRPr="003F5D3B">
              <w:rPr>
                <w:rFonts w:ascii="Times Roman" w:hAnsi="Times Roman" w:cs="Times New Roman"/>
                <w:sz w:val="24"/>
                <w:szCs w:val="24"/>
              </w:rPr>
              <w:t xml:space="preserve"> </w:t>
            </w:r>
            <w:r w:rsidRPr="003F5D3B">
              <w:rPr>
                <w:rFonts w:ascii="Times New Roman" w:hAnsi="Times New Roman" w:cs="Times New Roman"/>
                <w:sz w:val="24"/>
                <w:szCs w:val="24"/>
              </w:rPr>
              <w:t>и</w:t>
            </w:r>
            <w:r w:rsidRPr="003F5D3B">
              <w:rPr>
                <w:rFonts w:ascii="Times Roman" w:hAnsi="Times Roman" w:cs="Times New Roman"/>
                <w:sz w:val="24"/>
                <w:szCs w:val="24"/>
              </w:rPr>
              <w:t xml:space="preserve"> </w:t>
            </w:r>
            <w:r w:rsidRPr="003F5D3B">
              <w:rPr>
                <w:rFonts w:ascii="Times New Roman" w:hAnsi="Times New Roman" w:cs="Times New Roman"/>
                <w:sz w:val="24"/>
                <w:szCs w:val="24"/>
              </w:rPr>
              <w:t>государственной</w:t>
            </w:r>
            <w:r w:rsidRPr="003F5D3B">
              <w:rPr>
                <w:rFonts w:ascii="Times Roman" w:hAnsi="Times Roman" w:cs="Times New Roman"/>
                <w:sz w:val="24"/>
                <w:szCs w:val="24"/>
              </w:rPr>
              <w:t xml:space="preserve"> </w:t>
            </w:r>
            <w:r w:rsidRPr="003F5D3B">
              <w:rPr>
                <w:rFonts w:ascii="Times New Roman" w:hAnsi="Times New Roman" w:cs="Times New Roman"/>
                <w:sz w:val="24"/>
                <w:szCs w:val="24"/>
              </w:rPr>
              <w:t>экспертизы</w:t>
            </w:r>
            <w:r w:rsidRPr="003F5D3B">
              <w:rPr>
                <w:rFonts w:ascii="Times Roman" w:hAnsi="Times Roman" w:cs="Times New Roman"/>
                <w:sz w:val="24"/>
                <w:szCs w:val="24"/>
              </w:rPr>
              <w:t xml:space="preserve"> </w:t>
            </w:r>
            <w:r w:rsidRPr="003F5D3B">
              <w:rPr>
                <w:rFonts w:ascii="Times New Roman" w:hAnsi="Times New Roman" w:cs="Times New Roman"/>
                <w:sz w:val="24"/>
                <w:szCs w:val="24"/>
              </w:rPr>
              <w:t>Ленинградской</w:t>
            </w:r>
            <w:r w:rsidRPr="003F5D3B">
              <w:rPr>
                <w:rFonts w:ascii="Times Roman" w:hAnsi="Times Roman" w:cs="Times New Roman"/>
                <w:sz w:val="24"/>
                <w:szCs w:val="24"/>
              </w:rPr>
              <w:t xml:space="preserve"> </w:t>
            </w:r>
            <w:r w:rsidRPr="003F5D3B">
              <w:rPr>
                <w:rFonts w:ascii="Times New Roman" w:hAnsi="Times New Roman" w:cs="Times New Roman"/>
                <w:sz w:val="24"/>
                <w:szCs w:val="24"/>
              </w:rPr>
              <w:t>области</w:t>
            </w:r>
          </w:p>
        </w:tc>
        <w:tc>
          <w:tcPr>
            <w:tcW w:w="1507" w:type="pct"/>
            <w:vAlign w:val="center"/>
          </w:tcPr>
          <w:p w:rsidR="003B5BF2" w:rsidRPr="003F5D3B" w:rsidRDefault="00517AB0" w:rsidP="003F5D3B">
            <w:pPr>
              <w:rPr>
                <w:rFonts w:ascii="Times Roman" w:hAnsi="Times Roman" w:cs="Times New Roman"/>
                <w:sz w:val="24"/>
                <w:szCs w:val="24"/>
              </w:rPr>
            </w:pPr>
            <w:r w:rsidRPr="003F5D3B">
              <w:rPr>
                <w:rFonts w:ascii="Times New Roman" w:hAnsi="Times New Roman" w:cs="Times New Roman"/>
                <w:sz w:val="24"/>
                <w:szCs w:val="24"/>
              </w:rPr>
              <w:t>Пасько</w:t>
            </w:r>
            <w:r w:rsidRPr="003F5D3B">
              <w:rPr>
                <w:rFonts w:ascii="Times Roman" w:hAnsi="Times Roman" w:cs="Times New Roman"/>
                <w:sz w:val="24"/>
                <w:szCs w:val="24"/>
              </w:rPr>
              <w:t xml:space="preserve"> </w:t>
            </w:r>
            <w:r w:rsidRPr="003F5D3B">
              <w:rPr>
                <w:rFonts w:ascii="Times New Roman" w:hAnsi="Times New Roman" w:cs="Times New Roman"/>
                <w:sz w:val="24"/>
                <w:szCs w:val="24"/>
              </w:rPr>
              <w:t>Алексей</w:t>
            </w:r>
            <w:r w:rsidRPr="003F5D3B">
              <w:rPr>
                <w:rFonts w:ascii="Times Roman" w:hAnsi="Times Roman" w:cs="Times New Roman"/>
                <w:sz w:val="24"/>
                <w:szCs w:val="24"/>
              </w:rPr>
              <w:t xml:space="preserve"> </w:t>
            </w:r>
            <w:r w:rsidRPr="003F5D3B">
              <w:rPr>
                <w:rFonts w:ascii="Times New Roman" w:hAnsi="Times New Roman" w:cs="Times New Roman"/>
                <w:sz w:val="24"/>
                <w:szCs w:val="24"/>
              </w:rPr>
              <w:t>Константинович</w:t>
            </w:r>
            <w:r w:rsidRPr="003F5D3B">
              <w:rPr>
                <w:rFonts w:ascii="Times Roman" w:hAnsi="Times Roman" w:cs="Times New Roman"/>
                <w:sz w:val="24"/>
                <w:szCs w:val="24"/>
              </w:rPr>
              <w:t xml:space="preserve"> </w:t>
            </w:r>
            <w:r w:rsidR="00A74680"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заместитель</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председателя</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комитета</w:t>
            </w:r>
          </w:p>
        </w:tc>
        <w:tc>
          <w:tcPr>
            <w:tcW w:w="1786" w:type="pct"/>
            <w:vAlign w:val="center"/>
          </w:tcPr>
          <w:p w:rsidR="003B5BF2" w:rsidRPr="003F5D3B" w:rsidRDefault="003B5BF2" w:rsidP="003F5D3B">
            <w:pPr>
              <w:rPr>
                <w:rFonts w:ascii="Times Roman" w:hAnsi="Times Roman" w:cs="Times New Roman"/>
                <w:sz w:val="24"/>
                <w:szCs w:val="24"/>
              </w:rPr>
            </w:pPr>
            <w:r w:rsidRPr="003F5D3B">
              <w:rPr>
                <w:rFonts w:ascii="Times New Roman" w:hAnsi="Times New Roman" w:cs="Times New Roman"/>
                <w:sz w:val="24"/>
                <w:szCs w:val="24"/>
              </w:rPr>
              <w:t>администр</w:t>
            </w:r>
            <w:r w:rsidR="002E082E" w:rsidRPr="003F5D3B">
              <w:rPr>
                <w:rFonts w:ascii="Times New Roman" w:hAnsi="Times New Roman" w:cs="Times New Roman"/>
                <w:sz w:val="24"/>
                <w:szCs w:val="24"/>
              </w:rPr>
              <w:t>ативно</w:t>
            </w:r>
            <w:r w:rsidR="002E082E" w:rsidRPr="003F5D3B">
              <w:rPr>
                <w:rFonts w:ascii="Times Roman" w:hAnsi="Times Roman" w:cs="Times New Roman"/>
                <w:sz w:val="24"/>
                <w:szCs w:val="24"/>
              </w:rPr>
              <w:t>-</w:t>
            </w:r>
            <w:r w:rsidR="002E082E" w:rsidRPr="003F5D3B">
              <w:rPr>
                <w:rFonts w:ascii="Times New Roman" w:hAnsi="Times New Roman" w:cs="Times New Roman"/>
                <w:sz w:val="24"/>
                <w:szCs w:val="24"/>
              </w:rPr>
              <w:t>правовой</w:t>
            </w:r>
            <w:r w:rsidR="002E082E" w:rsidRPr="003F5D3B">
              <w:rPr>
                <w:rFonts w:ascii="Times Roman" w:hAnsi="Times Roman" w:cs="Times New Roman"/>
                <w:sz w:val="24"/>
                <w:szCs w:val="24"/>
              </w:rPr>
              <w:t xml:space="preserve"> </w:t>
            </w:r>
            <w:r w:rsidR="002E082E" w:rsidRPr="003F5D3B">
              <w:rPr>
                <w:rFonts w:ascii="Times New Roman" w:hAnsi="Times New Roman" w:cs="Times New Roman"/>
                <w:sz w:val="24"/>
                <w:szCs w:val="24"/>
              </w:rPr>
              <w:t>отдел</w:t>
            </w:r>
            <w:r w:rsidR="002E082E" w:rsidRPr="003F5D3B">
              <w:rPr>
                <w:rFonts w:ascii="Times Roman" w:hAnsi="Times Roman" w:cs="Times New Roman"/>
                <w:sz w:val="24"/>
                <w:szCs w:val="24"/>
              </w:rPr>
              <w:t xml:space="preserve"> </w:t>
            </w:r>
          </w:p>
        </w:tc>
      </w:tr>
      <w:tr w:rsidR="003B5BF2" w:rsidRPr="003F5D3B" w:rsidTr="003F5D3B">
        <w:tc>
          <w:tcPr>
            <w:tcW w:w="257" w:type="pct"/>
            <w:vAlign w:val="center"/>
          </w:tcPr>
          <w:p w:rsidR="003B5BF2" w:rsidRPr="003F5D3B" w:rsidRDefault="003B5BF2" w:rsidP="003F5D3B">
            <w:pPr>
              <w:numPr>
                <w:ilvl w:val="0"/>
                <w:numId w:val="4"/>
              </w:numPr>
              <w:ind w:left="0" w:firstLine="142"/>
              <w:rPr>
                <w:rFonts w:ascii="Times Roman" w:hAnsi="Times Roman" w:cs="Times New Roman"/>
                <w:sz w:val="24"/>
                <w:szCs w:val="24"/>
              </w:rPr>
            </w:pPr>
          </w:p>
        </w:tc>
        <w:tc>
          <w:tcPr>
            <w:tcW w:w="1450" w:type="pct"/>
            <w:vAlign w:val="center"/>
          </w:tcPr>
          <w:p w:rsidR="003B5BF2" w:rsidRPr="003F5D3B" w:rsidRDefault="003B5BF2" w:rsidP="003F5D3B">
            <w:pPr>
              <w:rPr>
                <w:rFonts w:ascii="Times Roman" w:hAnsi="Times Roman" w:cs="Times New Roman"/>
                <w:sz w:val="24"/>
                <w:szCs w:val="24"/>
              </w:rPr>
            </w:pPr>
            <w:r w:rsidRPr="003F5D3B">
              <w:rPr>
                <w:rFonts w:ascii="Times New Roman" w:hAnsi="Times New Roman" w:cs="Times New Roman"/>
                <w:sz w:val="24"/>
                <w:szCs w:val="24"/>
              </w:rPr>
              <w:t>Комитет</w:t>
            </w:r>
            <w:r w:rsidRPr="003F5D3B">
              <w:rPr>
                <w:rFonts w:ascii="Times Roman" w:hAnsi="Times Roman" w:cs="Times New Roman"/>
                <w:sz w:val="24"/>
                <w:szCs w:val="24"/>
              </w:rPr>
              <w:t xml:space="preserve"> </w:t>
            </w:r>
            <w:r w:rsidRPr="003F5D3B">
              <w:rPr>
                <w:rFonts w:ascii="Times New Roman" w:hAnsi="Times New Roman" w:cs="Times New Roman"/>
                <w:sz w:val="24"/>
                <w:szCs w:val="24"/>
              </w:rPr>
              <w:t>градостроительной</w:t>
            </w:r>
            <w:r w:rsidRPr="003F5D3B">
              <w:rPr>
                <w:rFonts w:ascii="Times Roman" w:hAnsi="Times Roman" w:cs="Times New Roman"/>
                <w:sz w:val="24"/>
                <w:szCs w:val="24"/>
              </w:rPr>
              <w:t xml:space="preserve"> </w:t>
            </w:r>
            <w:r w:rsidRPr="003F5D3B">
              <w:rPr>
                <w:rFonts w:ascii="Times New Roman" w:hAnsi="Times New Roman" w:cs="Times New Roman"/>
                <w:sz w:val="24"/>
                <w:szCs w:val="24"/>
              </w:rPr>
              <w:t>политики</w:t>
            </w:r>
            <w:r w:rsidRPr="003F5D3B">
              <w:rPr>
                <w:rFonts w:ascii="Times Roman" w:hAnsi="Times Roman" w:cs="Times New Roman"/>
                <w:sz w:val="24"/>
                <w:szCs w:val="24"/>
              </w:rPr>
              <w:t xml:space="preserve"> </w:t>
            </w:r>
            <w:r w:rsidRPr="003F5D3B">
              <w:rPr>
                <w:rFonts w:ascii="Times New Roman" w:hAnsi="Times New Roman" w:cs="Times New Roman"/>
                <w:sz w:val="24"/>
                <w:szCs w:val="24"/>
              </w:rPr>
              <w:t>Ленинградской</w:t>
            </w:r>
            <w:r w:rsidRPr="003F5D3B">
              <w:rPr>
                <w:rFonts w:ascii="Times Roman" w:hAnsi="Times Roman" w:cs="Times New Roman"/>
                <w:sz w:val="24"/>
                <w:szCs w:val="24"/>
              </w:rPr>
              <w:t xml:space="preserve"> </w:t>
            </w:r>
            <w:r w:rsidRPr="003F5D3B">
              <w:rPr>
                <w:rFonts w:ascii="Times New Roman" w:hAnsi="Times New Roman" w:cs="Times New Roman"/>
                <w:sz w:val="24"/>
                <w:szCs w:val="24"/>
              </w:rPr>
              <w:t>области</w:t>
            </w:r>
            <w:r w:rsidRPr="003F5D3B">
              <w:rPr>
                <w:rFonts w:ascii="Times Roman" w:hAnsi="Times Roman" w:cs="Times New Roman"/>
                <w:sz w:val="24"/>
                <w:szCs w:val="24"/>
              </w:rPr>
              <w:t xml:space="preserve"> </w:t>
            </w:r>
          </w:p>
        </w:tc>
        <w:tc>
          <w:tcPr>
            <w:tcW w:w="1507" w:type="pct"/>
            <w:vAlign w:val="center"/>
          </w:tcPr>
          <w:p w:rsidR="003B5BF2" w:rsidRPr="003F5D3B" w:rsidRDefault="00370C06" w:rsidP="003F5D3B">
            <w:pPr>
              <w:rPr>
                <w:rFonts w:ascii="Times Roman" w:hAnsi="Times Roman" w:cs="Times New Roman"/>
                <w:sz w:val="24"/>
                <w:szCs w:val="24"/>
              </w:rPr>
            </w:pPr>
            <w:r w:rsidRPr="003F5D3B">
              <w:rPr>
                <w:rFonts w:ascii="Times New Roman" w:hAnsi="Times New Roman" w:cs="Times New Roman"/>
                <w:sz w:val="24"/>
                <w:szCs w:val="24"/>
              </w:rPr>
              <w:t>Лутченко</w:t>
            </w:r>
            <w:r w:rsidRPr="003F5D3B">
              <w:rPr>
                <w:rFonts w:ascii="Times Roman" w:hAnsi="Times Roman" w:cs="Times New Roman"/>
                <w:sz w:val="24"/>
                <w:szCs w:val="24"/>
              </w:rPr>
              <w:t xml:space="preserve"> </w:t>
            </w:r>
            <w:r w:rsidRPr="003F5D3B">
              <w:rPr>
                <w:rFonts w:ascii="Times New Roman" w:hAnsi="Times New Roman" w:cs="Times New Roman"/>
                <w:sz w:val="24"/>
                <w:szCs w:val="24"/>
              </w:rPr>
              <w:t>Сергей</w:t>
            </w:r>
            <w:r w:rsidRPr="003F5D3B">
              <w:rPr>
                <w:rFonts w:ascii="Times Roman" w:hAnsi="Times Roman" w:cs="Times New Roman"/>
                <w:sz w:val="24"/>
                <w:szCs w:val="24"/>
              </w:rPr>
              <w:t xml:space="preserve"> </w:t>
            </w:r>
            <w:r w:rsidRPr="003F5D3B">
              <w:rPr>
                <w:rFonts w:ascii="Times New Roman" w:hAnsi="Times New Roman" w:cs="Times New Roman"/>
                <w:sz w:val="24"/>
                <w:szCs w:val="24"/>
              </w:rPr>
              <w:t>Иванович</w:t>
            </w:r>
            <w:r w:rsidRPr="003F5D3B">
              <w:rPr>
                <w:rFonts w:ascii="Times Roman" w:hAnsi="Times Roman" w:cs="Times New Roman"/>
                <w:sz w:val="24"/>
                <w:szCs w:val="24"/>
              </w:rPr>
              <w:t xml:space="preserve"> - </w:t>
            </w:r>
            <w:r w:rsidR="002E082E" w:rsidRPr="003F5D3B">
              <w:rPr>
                <w:rFonts w:ascii="Times New Roman" w:hAnsi="Times New Roman" w:cs="Times New Roman"/>
                <w:sz w:val="24"/>
                <w:szCs w:val="24"/>
              </w:rPr>
              <w:t>г</w:t>
            </w:r>
            <w:r w:rsidR="003B5BF2" w:rsidRPr="003F5D3B">
              <w:rPr>
                <w:rFonts w:ascii="Times New Roman" w:hAnsi="Times New Roman" w:cs="Times New Roman"/>
                <w:sz w:val="24"/>
                <w:szCs w:val="24"/>
              </w:rPr>
              <w:t>лавный</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архитектор</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Ленинградской</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области</w:t>
            </w:r>
          </w:p>
        </w:tc>
        <w:tc>
          <w:tcPr>
            <w:tcW w:w="1786" w:type="pct"/>
            <w:vAlign w:val="center"/>
          </w:tcPr>
          <w:p w:rsidR="003B5BF2" w:rsidRPr="003F5D3B" w:rsidRDefault="003B5BF2" w:rsidP="003F5D3B">
            <w:pPr>
              <w:rPr>
                <w:rFonts w:ascii="Times Roman" w:hAnsi="Times Roman" w:cs="Times New Roman"/>
                <w:sz w:val="24"/>
                <w:szCs w:val="24"/>
              </w:rPr>
            </w:pPr>
            <w:r w:rsidRPr="003F5D3B">
              <w:rPr>
                <w:rFonts w:ascii="Times New Roman" w:hAnsi="Times New Roman" w:cs="Times New Roman"/>
                <w:sz w:val="24"/>
                <w:szCs w:val="24"/>
              </w:rPr>
              <w:t>сектор</w:t>
            </w:r>
            <w:r w:rsidRPr="003F5D3B">
              <w:rPr>
                <w:rFonts w:ascii="Times Roman" w:hAnsi="Times Roman" w:cs="Times New Roman"/>
                <w:sz w:val="24"/>
                <w:szCs w:val="24"/>
              </w:rPr>
              <w:t xml:space="preserve"> </w:t>
            </w:r>
            <w:r w:rsidRPr="003F5D3B">
              <w:rPr>
                <w:rFonts w:ascii="Times New Roman" w:hAnsi="Times New Roman" w:cs="Times New Roman"/>
                <w:sz w:val="24"/>
                <w:szCs w:val="24"/>
              </w:rPr>
              <w:t>архитектурной</w:t>
            </w:r>
            <w:r w:rsidRPr="003F5D3B">
              <w:rPr>
                <w:rFonts w:ascii="Times Roman" w:hAnsi="Times Roman" w:cs="Times New Roman"/>
                <w:sz w:val="24"/>
                <w:szCs w:val="24"/>
              </w:rPr>
              <w:t xml:space="preserve"> </w:t>
            </w:r>
            <w:r w:rsidRPr="003F5D3B">
              <w:rPr>
                <w:rFonts w:ascii="Times New Roman" w:hAnsi="Times New Roman" w:cs="Times New Roman"/>
                <w:sz w:val="24"/>
                <w:szCs w:val="24"/>
              </w:rPr>
              <w:t>деятельности</w:t>
            </w:r>
          </w:p>
        </w:tc>
      </w:tr>
      <w:tr w:rsidR="003B5BF2" w:rsidRPr="003F5D3B" w:rsidTr="003F5D3B">
        <w:trPr>
          <w:trHeight w:val="914"/>
        </w:trPr>
        <w:tc>
          <w:tcPr>
            <w:tcW w:w="257" w:type="pct"/>
            <w:vAlign w:val="center"/>
          </w:tcPr>
          <w:p w:rsidR="003B5BF2" w:rsidRPr="003F5D3B" w:rsidRDefault="003B5BF2" w:rsidP="003F5D3B">
            <w:pPr>
              <w:numPr>
                <w:ilvl w:val="0"/>
                <w:numId w:val="4"/>
              </w:numPr>
              <w:ind w:left="0" w:firstLine="142"/>
              <w:rPr>
                <w:rFonts w:ascii="Times Roman" w:hAnsi="Times Roman" w:cs="Times New Roman"/>
                <w:sz w:val="24"/>
                <w:szCs w:val="24"/>
              </w:rPr>
            </w:pPr>
          </w:p>
        </w:tc>
        <w:tc>
          <w:tcPr>
            <w:tcW w:w="1450" w:type="pct"/>
            <w:vAlign w:val="center"/>
          </w:tcPr>
          <w:p w:rsidR="003B5BF2" w:rsidRPr="003F5D3B" w:rsidRDefault="003B5BF2" w:rsidP="003F5D3B">
            <w:pPr>
              <w:rPr>
                <w:rFonts w:ascii="Times Roman" w:hAnsi="Times Roman" w:cs="Times New Roman"/>
                <w:sz w:val="24"/>
                <w:szCs w:val="24"/>
              </w:rPr>
            </w:pPr>
            <w:r w:rsidRPr="003F5D3B">
              <w:rPr>
                <w:rFonts w:ascii="Times New Roman" w:hAnsi="Times New Roman" w:cs="Times New Roman"/>
                <w:sz w:val="24"/>
                <w:szCs w:val="24"/>
              </w:rPr>
              <w:t>Комитет</w:t>
            </w:r>
            <w:r w:rsidRPr="003F5D3B">
              <w:rPr>
                <w:rFonts w:ascii="Times Roman" w:hAnsi="Times Roman" w:cs="Times New Roman"/>
                <w:sz w:val="24"/>
                <w:szCs w:val="24"/>
              </w:rPr>
              <w:t xml:space="preserve"> </w:t>
            </w:r>
            <w:r w:rsidRPr="003F5D3B">
              <w:rPr>
                <w:rFonts w:ascii="Times New Roman" w:hAnsi="Times New Roman" w:cs="Times New Roman"/>
                <w:sz w:val="24"/>
                <w:szCs w:val="24"/>
              </w:rPr>
              <w:t>финансов</w:t>
            </w:r>
            <w:r w:rsidRPr="003F5D3B">
              <w:rPr>
                <w:rFonts w:ascii="Times Roman" w:hAnsi="Times Roman" w:cs="Times New Roman"/>
                <w:sz w:val="24"/>
                <w:szCs w:val="24"/>
              </w:rPr>
              <w:t xml:space="preserve"> </w:t>
            </w:r>
            <w:r w:rsidRPr="003F5D3B">
              <w:rPr>
                <w:rFonts w:ascii="Times New Roman" w:hAnsi="Times New Roman" w:cs="Times New Roman"/>
                <w:sz w:val="24"/>
                <w:szCs w:val="24"/>
              </w:rPr>
              <w:t>Ленинградской</w:t>
            </w:r>
            <w:r w:rsidRPr="003F5D3B">
              <w:rPr>
                <w:rFonts w:ascii="Times Roman" w:hAnsi="Times Roman" w:cs="Times New Roman"/>
                <w:sz w:val="24"/>
                <w:szCs w:val="24"/>
              </w:rPr>
              <w:t xml:space="preserve"> </w:t>
            </w:r>
            <w:r w:rsidRPr="003F5D3B">
              <w:rPr>
                <w:rFonts w:ascii="Times New Roman" w:hAnsi="Times New Roman" w:cs="Times New Roman"/>
                <w:sz w:val="24"/>
                <w:szCs w:val="24"/>
              </w:rPr>
              <w:t>области</w:t>
            </w:r>
          </w:p>
        </w:tc>
        <w:tc>
          <w:tcPr>
            <w:tcW w:w="1507" w:type="pct"/>
            <w:vAlign w:val="center"/>
          </w:tcPr>
          <w:p w:rsidR="00370C06" w:rsidRPr="003F5D3B" w:rsidRDefault="00A74680" w:rsidP="003F5D3B">
            <w:pPr>
              <w:rPr>
                <w:rFonts w:ascii="Times Roman" w:hAnsi="Times Roman" w:cs="Times New Roman"/>
                <w:sz w:val="24"/>
                <w:szCs w:val="24"/>
              </w:rPr>
            </w:pPr>
            <w:r w:rsidRPr="003F5D3B">
              <w:rPr>
                <w:rFonts w:ascii="Times New Roman" w:hAnsi="Times New Roman" w:cs="Times New Roman"/>
                <w:sz w:val="24"/>
                <w:szCs w:val="24"/>
              </w:rPr>
              <w:t>Михайлова</w:t>
            </w:r>
            <w:r w:rsidRPr="003F5D3B">
              <w:rPr>
                <w:rFonts w:ascii="Times Roman" w:hAnsi="Times Roman" w:cs="Times New Roman"/>
                <w:sz w:val="24"/>
                <w:szCs w:val="24"/>
              </w:rPr>
              <w:t xml:space="preserve"> </w:t>
            </w:r>
            <w:r w:rsidRPr="003F5D3B">
              <w:rPr>
                <w:rFonts w:ascii="Times New Roman" w:hAnsi="Times New Roman" w:cs="Times New Roman"/>
                <w:sz w:val="24"/>
                <w:szCs w:val="24"/>
              </w:rPr>
              <w:t>Екатерина</w:t>
            </w:r>
            <w:r w:rsidRPr="003F5D3B">
              <w:rPr>
                <w:rFonts w:ascii="Times Roman" w:hAnsi="Times Roman" w:cs="Times New Roman"/>
                <w:sz w:val="24"/>
                <w:szCs w:val="24"/>
              </w:rPr>
              <w:t xml:space="preserve"> </w:t>
            </w:r>
            <w:r w:rsidRPr="003F5D3B">
              <w:rPr>
                <w:rFonts w:ascii="Times New Roman" w:hAnsi="Times New Roman" w:cs="Times New Roman"/>
                <w:sz w:val="24"/>
                <w:szCs w:val="24"/>
              </w:rPr>
              <w:t>Анатольевна</w:t>
            </w:r>
            <w:r w:rsidRPr="003F5D3B">
              <w:rPr>
                <w:rFonts w:ascii="Times Roman" w:hAnsi="Times Roman" w:cs="Times New Roman"/>
                <w:sz w:val="24"/>
                <w:szCs w:val="24"/>
              </w:rPr>
              <w:t xml:space="preserve"> - </w:t>
            </w:r>
            <w:r w:rsidR="003B5BF2" w:rsidRPr="003F5D3B">
              <w:rPr>
                <w:rFonts w:ascii="Times New Roman" w:hAnsi="Times New Roman" w:cs="Times New Roman"/>
                <w:sz w:val="24"/>
                <w:szCs w:val="24"/>
              </w:rPr>
              <w:t>заместитель</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председателя</w:t>
            </w:r>
            <w:r w:rsidR="003B5BF2" w:rsidRPr="003F5D3B">
              <w:rPr>
                <w:rFonts w:ascii="Times Roman" w:hAnsi="Times Roman" w:cs="Times New Roman"/>
                <w:sz w:val="24"/>
                <w:szCs w:val="24"/>
              </w:rPr>
              <w:t xml:space="preserve"> </w:t>
            </w:r>
            <w:r w:rsidR="003B5BF2" w:rsidRPr="003F5D3B">
              <w:rPr>
                <w:rFonts w:ascii="Times New Roman" w:hAnsi="Times New Roman" w:cs="Times New Roman"/>
                <w:sz w:val="24"/>
                <w:szCs w:val="24"/>
              </w:rPr>
              <w:t>комитета</w:t>
            </w:r>
          </w:p>
        </w:tc>
        <w:tc>
          <w:tcPr>
            <w:tcW w:w="1786" w:type="pct"/>
            <w:vAlign w:val="center"/>
          </w:tcPr>
          <w:p w:rsidR="003B5BF2" w:rsidRPr="003F5D3B" w:rsidRDefault="003B5BF2" w:rsidP="003F5D3B">
            <w:pPr>
              <w:rPr>
                <w:rFonts w:ascii="Times Roman" w:hAnsi="Times Roman" w:cs="Times New Roman"/>
                <w:sz w:val="24"/>
                <w:szCs w:val="24"/>
              </w:rPr>
            </w:pPr>
            <w:r w:rsidRPr="003F5D3B">
              <w:rPr>
                <w:rFonts w:ascii="Times New Roman" w:hAnsi="Times New Roman" w:cs="Times New Roman"/>
                <w:sz w:val="24"/>
                <w:szCs w:val="24"/>
              </w:rPr>
              <w:t>департамент</w:t>
            </w:r>
            <w:r w:rsidRPr="003F5D3B">
              <w:rPr>
                <w:rFonts w:ascii="Times Roman" w:hAnsi="Times Roman" w:cs="Times New Roman"/>
                <w:sz w:val="24"/>
                <w:szCs w:val="24"/>
              </w:rPr>
              <w:t xml:space="preserve"> </w:t>
            </w:r>
            <w:r w:rsidRPr="003F5D3B">
              <w:rPr>
                <w:rFonts w:ascii="Times New Roman" w:hAnsi="Times New Roman" w:cs="Times New Roman"/>
                <w:sz w:val="24"/>
                <w:szCs w:val="24"/>
              </w:rPr>
              <w:t>информационных</w:t>
            </w:r>
            <w:r w:rsidRPr="003F5D3B">
              <w:rPr>
                <w:rFonts w:ascii="Times Roman" w:hAnsi="Times Roman" w:cs="Times New Roman"/>
                <w:sz w:val="24"/>
                <w:szCs w:val="24"/>
              </w:rPr>
              <w:t xml:space="preserve"> </w:t>
            </w:r>
            <w:r w:rsidRPr="003F5D3B">
              <w:rPr>
                <w:rFonts w:ascii="Times New Roman" w:hAnsi="Times New Roman" w:cs="Times New Roman"/>
                <w:sz w:val="24"/>
                <w:szCs w:val="24"/>
              </w:rPr>
              <w:t>технологий</w:t>
            </w:r>
            <w:r w:rsidRPr="003F5D3B">
              <w:rPr>
                <w:rFonts w:ascii="Times Roman" w:hAnsi="Times Roman" w:cs="Times New Roman"/>
                <w:sz w:val="24"/>
                <w:szCs w:val="24"/>
              </w:rPr>
              <w:t xml:space="preserve"> </w:t>
            </w:r>
            <w:r w:rsidRPr="003F5D3B">
              <w:rPr>
                <w:rFonts w:ascii="Times New Roman" w:hAnsi="Times New Roman" w:cs="Times New Roman"/>
                <w:sz w:val="24"/>
                <w:szCs w:val="24"/>
              </w:rPr>
              <w:t>в</w:t>
            </w:r>
            <w:r w:rsidRPr="003F5D3B">
              <w:rPr>
                <w:rFonts w:ascii="Times Roman" w:hAnsi="Times Roman" w:cs="Times New Roman"/>
                <w:sz w:val="24"/>
                <w:szCs w:val="24"/>
              </w:rPr>
              <w:t xml:space="preserve"> </w:t>
            </w:r>
            <w:r w:rsidRPr="003F5D3B">
              <w:rPr>
                <w:rFonts w:ascii="Times New Roman" w:hAnsi="Times New Roman" w:cs="Times New Roman"/>
                <w:sz w:val="24"/>
                <w:szCs w:val="24"/>
              </w:rPr>
              <w:t>сфере</w:t>
            </w:r>
            <w:r w:rsidRPr="003F5D3B">
              <w:rPr>
                <w:rFonts w:ascii="Times Roman" w:hAnsi="Times Roman" w:cs="Times New Roman"/>
                <w:sz w:val="24"/>
                <w:szCs w:val="24"/>
              </w:rPr>
              <w:t xml:space="preserve"> </w:t>
            </w:r>
            <w:r w:rsidRPr="003F5D3B">
              <w:rPr>
                <w:rFonts w:ascii="Times New Roman" w:hAnsi="Times New Roman" w:cs="Times New Roman"/>
                <w:sz w:val="24"/>
                <w:szCs w:val="24"/>
              </w:rPr>
              <w:t>управления</w:t>
            </w:r>
            <w:r w:rsidRPr="003F5D3B">
              <w:rPr>
                <w:rFonts w:ascii="Times Roman" w:hAnsi="Times Roman" w:cs="Times New Roman"/>
                <w:sz w:val="24"/>
                <w:szCs w:val="24"/>
              </w:rPr>
              <w:t xml:space="preserve"> </w:t>
            </w:r>
            <w:r w:rsidRPr="003F5D3B">
              <w:rPr>
                <w:rFonts w:ascii="Times New Roman" w:hAnsi="Times New Roman" w:cs="Times New Roman"/>
                <w:sz w:val="24"/>
                <w:szCs w:val="24"/>
              </w:rPr>
              <w:t>государственными</w:t>
            </w:r>
            <w:r w:rsidRPr="003F5D3B">
              <w:rPr>
                <w:rFonts w:ascii="Times Roman" w:hAnsi="Times Roman" w:cs="Times New Roman"/>
                <w:sz w:val="24"/>
                <w:szCs w:val="24"/>
              </w:rPr>
              <w:t xml:space="preserve"> </w:t>
            </w:r>
            <w:r w:rsidRPr="003F5D3B">
              <w:rPr>
                <w:rFonts w:ascii="Times New Roman" w:hAnsi="Times New Roman" w:cs="Times New Roman"/>
                <w:sz w:val="24"/>
                <w:szCs w:val="24"/>
              </w:rPr>
              <w:t>финансами</w:t>
            </w:r>
          </w:p>
        </w:tc>
      </w:tr>
      <w:tr w:rsidR="00370C06" w:rsidRPr="003F5D3B" w:rsidTr="003F5D3B">
        <w:trPr>
          <w:trHeight w:val="125"/>
        </w:trPr>
        <w:tc>
          <w:tcPr>
            <w:tcW w:w="257" w:type="pct"/>
            <w:vAlign w:val="center"/>
          </w:tcPr>
          <w:p w:rsidR="00370C06" w:rsidRPr="003F5D3B" w:rsidRDefault="00370C06" w:rsidP="003F5D3B">
            <w:pPr>
              <w:numPr>
                <w:ilvl w:val="0"/>
                <w:numId w:val="4"/>
              </w:numPr>
              <w:ind w:left="0" w:firstLine="142"/>
              <w:rPr>
                <w:rFonts w:ascii="Times Roman" w:hAnsi="Times Roman" w:cs="Times New Roman"/>
                <w:sz w:val="24"/>
                <w:szCs w:val="24"/>
              </w:rPr>
            </w:pPr>
          </w:p>
        </w:tc>
        <w:tc>
          <w:tcPr>
            <w:tcW w:w="1450" w:type="pct"/>
            <w:vAlign w:val="center"/>
          </w:tcPr>
          <w:p w:rsidR="00370C06" w:rsidRPr="003F5D3B" w:rsidRDefault="00654DF4" w:rsidP="003F5D3B">
            <w:pPr>
              <w:rPr>
                <w:rFonts w:ascii="Times Roman" w:hAnsi="Times Roman" w:cs="Times New Roman"/>
                <w:sz w:val="24"/>
                <w:szCs w:val="24"/>
              </w:rPr>
            </w:pPr>
            <w:r w:rsidRPr="003F5D3B">
              <w:rPr>
                <w:rFonts w:ascii="Times New Roman" w:hAnsi="Times New Roman" w:cs="Times New Roman"/>
                <w:sz w:val="24"/>
                <w:szCs w:val="24"/>
              </w:rPr>
              <w:t>Комитет</w:t>
            </w:r>
            <w:r w:rsidRPr="003F5D3B">
              <w:rPr>
                <w:rFonts w:ascii="Times Roman" w:hAnsi="Times Roman" w:cs="Times New Roman"/>
                <w:sz w:val="24"/>
                <w:szCs w:val="24"/>
              </w:rPr>
              <w:t xml:space="preserve"> </w:t>
            </w:r>
            <w:r w:rsidRPr="003F5D3B">
              <w:rPr>
                <w:rFonts w:ascii="Times New Roman" w:hAnsi="Times New Roman" w:cs="Times New Roman"/>
                <w:sz w:val="24"/>
                <w:szCs w:val="24"/>
              </w:rPr>
              <w:t>по</w:t>
            </w:r>
            <w:r w:rsidRPr="003F5D3B">
              <w:rPr>
                <w:rFonts w:ascii="Times Roman" w:hAnsi="Times Roman" w:cs="Times New Roman"/>
                <w:sz w:val="24"/>
                <w:szCs w:val="24"/>
              </w:rPr>
              <w:t xml:space="preserve"> </w:t>
            </w:r>
            <w:r w:rsidRPr="003F5D3B">
              <w:rPr>
                <w:rFonts w:ascii="Times New Roman" w:hAnsi="Times New Roman" w:cs="Times New Roman"/>
                <w:sz w:val="24"/>
                <w:szCs w:val="24"/>
              </w:rPr>
              <w:t>социальной</w:t>
            </w:r>
            <w:r w:rsidRPr="003F5D3B">
              <w:rPr>
                <w:rFonts w:ascii="Times Roman" w:hAnsi="Times Roman" w:cs="Times New Roman"/>
                <w:sz w:val="24"/>
                <w:szCs w:val="24"/>
              </w:rPr>
              <w:t xml:space="preserve"> </w:t>
            </w:r>
            <w:r w:rsidRPr="003F5D3B">
              <w:rPr>
                <w:rFonts w:ascii="Times New Roman" w:hAnsi="Times New Roman" w:cs="Times New Roman"/>
                <w:sz w:val="24"/>
                <w:szCs w:val="24"/>
              </w:rPr>
              <w:t>защите</w:t>
            </w:r>
            <w:r w:rsidRPr="003F5D3B">
              <w:rPr>
                <w:rFonts w:ascii="Times Roman" w:hAnsi="Times Roman" w:cs="Times New Roman"/>
                <w:sz w:val="24"/>
                <w:szCs w:val="24"/>
              </w:rPr>
              <w:t xml:space="preserve"> </w:t>
            </w:r>
            <w:r w:rsidRPr="003F5D3B">
              <w:rPr>
                <w:rFonts w:ascii="Times New Roman" w:hAnsi="Times New Roman" w:cs="Times New Roman"/>
                <w:sz w:val="24"/>
                <w:szCs w:val="24"/>
              </w:rPr>
              <w:t>населения</w:t>
            </w:r>
            <w:r w:rsidRPr="003F5D3B">
              <w:rPr>
                <w:rFonts w:ascii="Times Roman" w:hAnsi="Times Roman" w:cs="Times New Roman"/>
                <w:sz w:val="24"/>
                <w:szCs w:val="24"/>
              </w:rPr>
              <w:t xml:space="preserve"> </w:t>
            </w:r>
            <w:r w:rsidRPr="003F5D3B">
              <w:rPr>
                <w:rFonts w:ascii="Times New Roman" w:hAnsi="Times New Roman" w:cs="Times New Roman"/>
                <w:sz w:val="24"/>
                <w:szCs w:val="24"/>
              </w:rPr>
              <w:lastRenderedPageBreak/>
              <w:t>Ленинградской</w:t>
            </w:r>
            <w:r w:rsidRPr="003F5D3B">
              <w:rPr>
                <w:rFonts w:ascii="Times Roman" w:hAnsi="Times Roman" w:cs="Times New Roman"/>
                <w:sz w:val="24"/>
                <w:szCs w:val="24"/>
              </w:rPr>
              <w:t xml:space="preserve"> </w:t>
            </w:r>
            <w:r w:rsidRPr="003F5D3B">
              <w:rPr>
                <w:rFonts w:ascii="Times New Roman" w:hAnsi="Times New Roman" w:cs="Times New Roman"/>
                <w:sz w:val="24"/>
                <w:szCs w:val="24"/>
              </w:rPr>
              <w:t>области</w:t>
            </w:r>
          </w:p>
        </w:tc>
        <w:tc>
          <w:tcPr>
            <w:tcW w:w="1507" w:type="pct"/>
            <w:vAlign w:val="center"/>
          </w:tcPr>
          <w:p w:rsidR="00370C06" w:rsidRPr="003F5D3B" w:rsidRDefault="0065233D" w:rsidP="003F5D3B">
            <w:pPr>
              <w:rPr>
                <w:rFonts w:ascii="Times Roman" w:hAnsi="Times Roman" w:cs="Times New Roman"/>
                <w:sz w:val="24"/>
                <w:szCs w:val="24"/>
              </w:rPr>
            </w:pPr>
            <w:r w:rsidRPr="003F5D3B">
              <w:rPr>
                <w:rFonts w:ascii="Times New Roman" w:hAnsi="Times New Roman" w:cs="Times New Roman"/>
                <w:sz w:val="24"/>
                <w:szCs w:val="24"/>
              </w:rPr>
              <w:lastRenderedPageBreak/>
              <w:t>Иванов</w:t>
            </w:r>
            <w:r w:rsidRPr="003F5D3B">
              <w:rPr>
                <w:rFonts w:ascii="Times Roman" w:hAnsi="Times Roman" w:cs="Times New Roman"/>
                <w:sz w:val="24"/>
                <w:szCs w:val="24"/>
              </w:rPr>
              <w:t xml:space="preserve"> </w:t>
            </w:r>
            <w:r w:rsidRPr="003F5D3B">
              <w:rPr>
                <w:rFonts w:ascii="Times New Roman" w:hAnsi="Times New Roman" w:cs="Times New Roman"/>
                <w:sz w:val="24"/>
                <w:szCs w:val="24"/>
              </w:rPr>
              <w:t>Павел</w:t>
            </w:r>
            <w:r w:rsidRPr="003F5D3B">
              <w:rPr>
                <w:rFonts w:ascii="Times Roman" w:hAnsi="Times Roman" w:cs="Times New Roman"/>
                <w:sz w:val="24"/>
                <w:szCs w:val="24"/>
              </w:rPr>
              <w:t xml:space="preserve"> </w:t>
            </w:r>
            <w:r w:rsidRPr="003F5D3B">
              <w:rPr>
                <w:rFonts w:ascii="Times New Roman" w:hAnsi="Times New Roman" w:cs="Times New Roman"/>
                <w:sz w:val="24"/>
                <w:szCs w:val="24"/>
              </w:rPr>
              <w:t>Викторович</w:t>
            </w:r>
            <w:r w:rsidRPr="003F5D3B">
              <w:rPr>
                <w:rFonts w:ascii="Times Roman" w:hAnsi="Times Roman" w:cs="Times New Roman"/>
                <w:sz w:val="24"/>
                <w:szCs w:val="24"/>
              </w:rPr>
              <w:t xml:space="preserve"> - </w:t>
            </w:r>
            <w:r w:rsidR="006445CF" w:rsidRPr="003F5D3B">
              <w:rPr>
                <w:rFonts w:ascii="Times New Roman" w:hAnsi="Times New Roman" w:cs="Times New Roman"/>
                <w:sz w:val="24"/>
                <w:szCs w:val="24"/>
              </w:rPr>
              <w:t>заместитель</w:t>
            </w:r>
            <w:r w:rsidR="006445CF" w:rsidRPr="003F5D3B">
              <w:rPr>
                <w:rFonts w:ascii="Times Roman" w:hAnsi="Times Roman" w:cs="Times New Roman"/>
                <w:sz w:val="24"/>
                <w:szCs w:val="24"/>
              </w:rPr>
              <w:t xml:space="preserve"> </w:t>
            </w:r>
            <w:r w:rsidR="006445CF" w:rsidRPr="003F5D3B">
              <w:rPr>
                <w:rFonts w:ascii="Times New Roman" w:hAnsi="Times New Roman" w:cs="Times New Roman"/>
                <w:sz w:val="24"/>
                <w:szCs w:val="24"/>
              </w:rPr>
              <w:t>председателя</w:t>
            </w:r>
            <w:r w:rsidR="006445CF" w:rsidRPr="003F5D3B">
              <w:rPr>
                <w:rFonts w:ascii="Times Roman" w:hAnsi="Times Roman" w:cs="Times New Roman"/>
                <w:sz w:val="24"/>
                <w:szCs w:val="24"/>
              </w:rPr>
              <w:t xml:space="preserve"> </w:t>
            </w:r>
            <w:r w:rsidR="006445CF" w:rsidRPr="003F5D3B">
              <w:rPr>
                <w:rFonts w:ascii="Times New Roman" w:hAnsi="Times New Roman" w:cs="Times New Roman"/>
                <w:sz w:val="24"/>
                <w:szCs w:val="24"/>
              </w:rPr>
              <w:lastRenderedPageBreak/>
              <w:t>комитета</w:t>
            </w:r>
          </w:p>
        </w:tc>
        <w:tc>
          <w:tcPr>
            <w:tcW w:w="1786" w:type="pct"/>
            <w:vAlign w:val="center"/>
          </w:tcPr>
          <w:p w:rsidR="00370C06" w:rsidRPr="003F5D3B" w:rsidRDefault="00B85E08" w:rsidP="003F5D3B">
            <w:pPr>
              <w:rPr>
                <w:rFonts w:ascii="Times Roman" w:hAnsi="Times Roman" w:cs="Times New Roman"/>
                <w:sz w:val="24"/>
                <w:szCs w:val="24"/>
              </w:rPr>
            </w:pPr>
            <w:r w:rsidRPr="003F5D3B">
              <w:rPr>
                <w:rFonts w:ascii="Times New Roman" w:hAnsi="Times New Roman" w:cs="Times New Roman"/>
                <w:sz w:val="24"/>
                <w:szCs w:val="24"/>
              </w:rPr>
              <w:lastRenderedPageBreak/>
              <w:t>о</w:t>
            </w:r>
            <w:r w:rsidR="0065233D" w:rsidRPr="003F5D3B">
              <w:rPr>
                <w:rFonts w:ascii="Times New Roman" w:hAnsi="Times New Roman" w:cs="Times New Roman"/>
                <w:sz w:val="24"/>
                <w:szCs w:val="24"/>
              </w:rPr>
              <w:t>тдел</w:t>
            </w:r>
            <w:r w:rsidR="0065233D" w:rsidRPr="003F5D3B">
              <w:rPr>
                <w:rFonts w:ascii="Times Roman" w:hAnsi="Times Roman" w:cs="Times New Roman"/>
                <w:sz w:val="24"/>
                <w:szCs w:val="24"/>
              </w:rPr>
              <w:t xml:space="preserve"> </w:t>
            </w:r>
            <w:r w:rsidR="0065233D" w:rsidRPr="003F5D3B">
              <w:rPr>
                <w:rFonts w:ascii="Times New Roman" w:hAnsi="Times New Roman" w:cs="Times New Roman"/>
                <w:sz w:val="24"/>
                <w:szCs w:val="24"/>
              </w:rPr>
              <w:t>развития</w:t>
            </w:r>
            <w:r w:rsidR="0065233D" w:rsidRPr="003F5D3B">
              <w:rPr>
                <w:rFonts w:ascii="Times Roman" w:hAnsi="Times Roman" w:cs="Times New Roman"/>
                <w:sz w:val="24"/>
                <w:szCs w:val="24"/>
              </w:rPr>
              <w:t xml:space="preserve"> </w:t>
            </w:r>
            <w:r w:rsidR="0065233D" w:rsidRPr="003F5D3B">
              <w:rPr>
                <w:rFonts w:ascii="Times New Roman" w:hAnsi="Times New Roman" w:cs="Times New Roman"/>
                <w:sz w:val="24"/>
                <w:szCs w:val="24"/>
              </w:rPr>
              <w:t>системы</w:t>
            </w:r>
            <w:r w:rsidR="0065233D" w:rsidRPr="003F5D3B">
              <w:rPr>
                <w:rFonts w:ascii="Times Roman" w:hAnsi="Times Roman" w:cs="Times New Roman"/>
                <w:sz w:val="24"/>
                <w:szCs w:val="24"/>
              </w:rPr>
              <w:t xml:space="preserve"> </w:t>
            </w:r>
            <w:r w:rsidR="0065233D" w:rsidRPr="003F5D3B">
              <w:rPr>
                <w:rFonts w:ascii="Times New Roman" w:hAnsi="Times New Roman" w:cs="Times New Roman"/>
                <w:sz w:val="24"/>
                <w:szCs w:val="24"/>
              </w:rPr>
              <w:t>социального</w:t>
            </w:r>
            <w:r w:rsidR="0065233D" w:rsidRPr="003F5D3B">
              <w:rPr>
                <w:rFonts w:ascii="Times Roman" w:hAnsi="Times Roman" w:cs="Times New Roman"/>
                <w:sz w:val="24"/>
                <w:szCs w:val="24"/>
              </w:rPr>
              <w:t xml:space="preserve"> </w:t>
            </w:r>
            <w:r w:rsidR="0065233D" w:rsidRPr="003F5D3B">
              <w:rPr>
                <w:rFonts w:ascii="Times New Roman" w:hAnsi="Times New Roman" w:cs="Times New Roman"/>
                <w:sz w:val="24"/>
                <w:szCs w:val="24"/>
              </w:rPr>
              <w:t>обслуживания</w:t>
            </w:r>
          </w:p>
        </w:tc>
      </w:tr>
      <w:tr w:rsidR="00654DF4" w:rsidRPr="003F5D3B" w:rsidTr="003F5D3B">
        <w:trPr>
          <w:trHeight w:val="125"/>
        </w:trPr>
        <w:tc>
          <w:tcPr>
            <w:tcW w:w="257" w:type="pct"/>
            <w:vAlign w:val="center"/>
          </w:tcPr>
          <w:p w:rsidR="00654DF4" w:rsidRPr="003F5D3B" w:rsidRDefault="00654DF4" w:rsidP="003F5D3B">
            <w:pPr>
              <w:numPr>
                <w:ilvl w:val="0"/>
                <w:numId w:val="4"/>
              </w:numPr>
              <w:ind w:left="0" w:firstLine="142"/>
              <w:rPr>
                <w:rFonts w:ascii="Times Roman" w:hAnsi="Times Roman" w:cs="Times New Roman"/>
                <w:sz w:val="24"/>
                <w:szCs w:val="24"/>
              </w:rPr>
            </w:pPr>
          </w:p>
        </w:tc>
        <w:tc>
          <w:tcPr>
            <w:tcW w:w="1450" w:type="pct"/>
            <w:vAlign w:val="center"/>
          </w:tcPr>
          <w:p w:rsidR="00654DF4" w:rsidRPr="003F5D3B" w:rsidRDefault="00654DF4" w:rsidP="003F5D3B">
            <w:pPr>
              <w:rPr>
                <w:rFonts w:ascii="Times Roman" w:hAnsi="Times Roman" w:cs="Times New Roman"/>
                <w:sz w:val="24"/>
                <w:szCs w:val="24"/>
              </w:rPr>
            </w:pPr>
            <w:r w:rsidRPr="003F5D3B">
              <w:rPr>
                <w:rFonts w:ascii="Times New Roman" w:hAnsi="Times New Roman" w:cs="Times New Roman"/>
                <w:sz w:val="24"/>
                <w:szCs w:val="24"/>
              </w:rPr>
              <w:t>Комитет</w:t>
            </w:r>
            <w:r w:rsidRPr="003F5D3B">
              <w:rPr>
                <w:rFonts w:ascii="Times Roman" w:hAnsi="Times Roman" w:cs="Times New Roman"/>
                <w:sz w:val="24"/>
                <w:szCs w:val="24"/>
              </w:rPr>
              <w:t xml:space="preserve"> </w:t>
            </w:r>
            <w:r w:rsidRPr="003F5D3B">
              <w:rPr>
                <w:rFonts w:ascii="Times New Roman" w:hAnsi="Times New Roman" w:cs="Times New Roman"/>
                <w:sz w:val="24"/>
                <w:szCs w:val="24"/>
              </w:rPr>
              <w:t>Ленинградской</w:t>
            </w:r>
            <w:r w:rsidRPr="003F5D3B">
              <w:rPr>
                <w:rFonts w:ascii="Times Roman" w:hAnsi="Times Roman" w:cs="Times New Roman"/>
                <w:sz w:val="24"/>
                <w:szCs w:val="24"/>
              </w:rPr>
              <w:t xml:space="preserve"> </w:t>
            </w:r>
            <w:r w:rsidRPr="003F5D3B">
              <w:rPr>
                <w:rFonts w:ascii="Times New Roman" w:hAnsi="Times New Roman" w:cs="Times New Roman"/>
                <w:sz w:val="24"/>
                <w:szCs w:val="24"/>
              </w:rPr>
              <w:t>области</w:t>
            </w:r>
            <w:r w:rsidRPr="003F5D3B">
              <w:rPr>
                <w:rFonts w:ascii="Times Roman" w:hAnsi="Times Roman" w:cs="Times New Roman"/>
                <w:sz w:val="24"/>
                <w:szCs w:val="24"/>
              </w:rPr>
              <w:t xml:space="preserve"> </w:t>
            </w:r>
            <w:r w:rsidRPr="003F5D3B">
              <w:rPr>
                <w:rFonts w:ascii="Times New Roman" w:hAnsi="Times New Roman" w:cs="Times New Roman"/>
                <w:sz w:val="24"/>
                <w:szCs w:val="24"/>
              </w:rPr>
              <w:t>по</w:t>
            </w:r>
            <w:r w:rsidRPr="003F5D3B">
              <w:rPr>
                <w:rFonts w:ascii="Times Roman" w:hAnsi="Times Roman" w:cs="Times New Roman"/>
                <w:sz w:val="24"/>
                <w:szCs w:val="24"/>
              </w:rPr>
              <w:t xml:space="preserve"> </w:t>
            </w:r>
            <w:r w:rsidRPr="003F5D3B">
              <w:rPr>
                <w:rFonts w:ascii="Times New Roman" w:hAnsi="Times New Roman" w:cs="Times New Roman"/>
                <w:sz w:val="24"/>
                <w:szCs w:val="24"/>
              </w:rPr>
              <w:t>обращению</w:t>
            </w:r>
            <w:r w:rsidRPr="003F5D3B">
              <w:rPr>
                <w:rFonts w:ascii="Times Roman" w:hAnsi="Times Roman" w:cs="Times New Roman"/>
                <w:sz w:val="24"/>
                <w:szCs w:val="24"/>
              </w:rPr>
              <w:t xml:space="preserve"> </w:t>
            </w:r>
            <w:r w:rsidRPr="003F5D3B">
              <w:rPr>
                <w:rFonts w:ascii="Times New Roman" w:hAnsi="Times New Roman" w:cs="Times New Roman"/>
                <w:sz w:val="24"/>
                <w:szCs w:val="24"/>
              </w:rPr>
              <w:t>с</w:t>
            </w:r>
            <w:r w:rsidRPr="003F5D3B">
              <w:rPr>
                <w:rFonts w:ascii="Times Roman" w:hAnsi="Times Roman" w:cs="Times New Roman"/>
                <w:sz w:val="24"/>
                <w:szCs w:val="24"/>
              </w:rPr>
              <w:t xml:space="preserve"> </w:t>
            </w:r>
            <w:r w:rsidRPr="003F5D3B">
              <w:rPr>
                <w:rFonts w:ascii="Times New Roman" w:hAnsi="Times New Roman" w:cs="Times New Roman"/>
                <w:sz w:val="24"/>
                <w:szCs w:val="24"/>
              </w:rPr>
              <w:t>отходами</w:t>
            </w:r>
          </w:p>
        </w:tc>
        <w:tc>
          <w:tcPr>
            <w:tcW w:w="1507" w:type="pct"/>
            <w:vAlign w:val="center"/>
          </w:tcPr>
          <w:p w:rsidR="00654DF4" w:rsidRPr="003F5D3B" w:rsidRDefault="0075391D" w:rsidP="003F5D3B">
            <w:pPr>
              <w:rPr>
                <w:rFonts w:ascii="Times Roman" w:hAnsi="Times Roman" w:cs="Times New Roman"/>
                <w:sz w:val="24"/>
                <w:szCs w:val="24"/>
              </w:rPr>
            </w:pPr>
            <w:r w:rsidRPr="003F5D3B">
              <w:rPr>
                <w:rFonts w:ascii="Times New Roman" w:hAnsi="Times New Roman" w:cs="Times New Roman"/>
                <w:sz w:val="24"/>
                <w:szCs w:val="24"/>
              </w:rPr>
              <w:t>Чуркина</w:t>
            </w:r>
            <w:r w:rsidRPr="003F5D3B">
              <w:rPr>
                <w:rFonts w:ascii="Times Roman" w:hAnsi="Times Roman" w:cs="Times New Roman"/>
                <w:sz w:val="24"/>
                <w:szCs w:val="24"/>
              </w:rPr>
              <w:t xml:space="preserve"> </w:t>
            </w:r>
            <w:r w:rsidRPr="003F5D3B">
              <w:rPr>
                <w:rFonts w:ascii="Times New Roman" w:hAnsi="Times New Roman" w:cs="Times New Roman"/>
                <w:sz w:val="24"/>
                <w:szCs w:val="24"/>
              </w:rPr>
              <w:t>Ирина</w:t>
            </w:r>
            <w:r w:rsidRPr="003F5D3B">
              <w:rPr>
                <w:rFonts w:ascii="Times Roman" w:hAnsi="Times Roman" w:cs="Times New Roman"/>
                <w:sz w:val="24"/>
                <w:szCs w:val="24"/>
              </w:rPr>
              <w:t xml:space="preserve"> </w:t>
            </w:r>
            <w:r w:rsidRPr="003F5D3B">
              <w:rPr>
                <w:rFonts w:ascii="Times New Roman" w:hAnsi="Times New Roman" w:cs="Times New Roman"/>
                <w:sz w:val="24"/>
                <w:szCs w:val="24"/>
              </w:rPr>
              <w:t>Олеговна</w:t>
            </w:r>
            <w:r w:rsidRPr="003F5D3B">
              <w:rPr>
                <w:rFonts w:ascii="Times Roman" w:hAnsi="Times Roman" w:cs="Times New Roman"/>
                <w:sz w:val="24"/>
                <w:szCs w:val="24"/>
              </w:rPr>
              <w:t xml:space="preserve"> </w:t>
            </w:r>
            <w:r w:rsidRPr="003F5D3B">
              <w:rPr>
                <w:rFonts w:ascii="Times Roman" w:hAnsi="Times Roman" w:cs="Times Roman"/>
                <w:sz w:val="24"/>
                <w:szCs w:val="24"/>
              </w:rPr>
              <w:t>–</w:t>
            </w:r>
            <w:r w:rsidRPr="003F5D3B">
              <w:rPr>
                <w:rFonts w:ascii="Times Roman" w:hAnsi="Times Roman" w:cs="Times New Roman"/>
                <w:sz w:val="24"/>
                <w:szCs w:val="24"/>
              </w:rPr>
              <w:t xml:space="preserve"> </w:t>
            </w:r>
            <w:r w:rsidRPr="003F5D3B">
              <w:rPr>
                <w:rFonts w:ascii="Times New Roman" w:hAnsi="Times New Roman" w:cs="Times New Roman"/>
                <w:sz w:val="24"/>
                <w:szCs w:val="24"/>
              </w:rPr>
              <w:t>заместитель</w:t>
            </w:r>
            <w:r w:rsidRPr="003F5D3B">
              <w:rPr>
                <w:rFonts w:ascii="Times Roman" w:hAnsi="Times Roman" w:cs="Times New Roman"/>
                <w:sz w:val="24"/>
                <w:szCs w:val="24"/>
              </w:rPr>
              <w:t xml:space="preserve"> </w:t>
            </w:r>
            <w:r w:rsidRPr="003F5D3B">
              <w:rPr>
                <w:rFonts w:ascii="Times New Roman" w:hAnsi="Times New Roman" w:cs="Times New Roman"/>
                <w:sz w:val="24"/>
                <w:szCs w:val="24"/>
              </w:rPr>
              <w:t>председателя</w:t>
            </w:r>
            <w:r w:rsidRPr="003F5D3B">
              <w:rPr>
                <w:rFonts w:ascii="Times Roman" w:hAnsi="Times Roman" w:cs="Times New Roman"/>
                <w:sz w:val="24"/>
                <w:szCs w:val="24"/>
              </w:rPr>
              <w:t xml:space="preserve"> </w:t>
            </w:r>
            <w:r w:rsidRPr="003F5D3B">
              <w:rPr>
                <w:rFonts w:ascii="Times New Roman" w:hAnsi="Times New Roman" w:cs="Times New Roman"/>
                <w:sz w:val="24"/>
                <w:szCs w:val="24"/>
              </w:rPr>
              <w:t>комитета</w:t>
            </w:r>
          </w:p>
        </w:tc>
        <w:tc>
          <w:tcPr>
            <w:tcW w:w="1786" w:type="pct"/>
            <w:vAlign w:val="center"/>
          </w:tcPr>
          <w:p w:rsidR="00654DF4" w:rsidRPr="003F5D3B" w:rsidRDefault="0075391D" w:rsidP="003F5D3B">
            <w:pPr>
              <w:rPr>
                <w:rFonts w:ascii="Times Roman" w:hAnsi="Times Roman" w:cs="Times New Roman"/>
                <w:sz w:val="24"/>
                <w:szCs w:val="24"/>
              </w:rPr>
            </w:pPr>
            <w:r w:rsidRPr="003F5D3B">
              <w:rPr>
                <w:rFonts w:ascii="Times New Roman" w:hAnsi="Times New Roman" w:cs="Times New Roman"/>
                <w:sz w:val="24"/>
                <w:szCs w:val="24"/>
              </w:rPr>
              <w:t>отдел</w:t>
            </w:r>
            <w:r w:rsidRPr="003F5D3B">
              <w:rPr>
                <w:rFonts w:ascii="Times Roman" w:hAnsi="Times Roman" w:cs="Times New Roman"/>
                <w:sz w:val="24"/>
                <w:szCs w:val="24"/>
              </w:rPr>
              <w:t xml:space="preserve"> </w:t>
            </w:r>
            <w:r w:rsidRPr="003F5D3B">
              <w:rPr>
                <w:rFonts w:ascii="Times New Roman" w:hAnsi="Times New Roman" w:cs="Times New Roman"/>
                <w:sz w:val="24"/>
                <w:szCs w:val="24"/>
              </w:rPr>
              <w:t>госпрограмм</w:t>
            </w:r>
            <w:r w:rsidRPr="003F5D3B">
              <w:rPr>
                <w:rFonts w:ascii="Times Roman" w:hAnsi="Times Roman" w:cs="Times New Roman"/>
                <w:sz w:val="24"/>
                <w:szCs w:val="24"/>
              </w:rPr>
              <w:t xml:space="preserve">, </w:t>
            </w:r>
            <w:r w:rsidRPr="003F5D3B">
              <w:rPr>
                <w:rFonts w:ascii="Times New Roman" w:hAnsi="Times New Roman" w:cs="Times New Roman"/>
                <w:sz w:val="24"/>
                <w:szCs w:val="24"/>
              </w:rPr>
              <w:t>нормирования</w:t>
            </w:r>
            <w:r w:rsidRPr="003F5D3B">
              <w:rPr>
                <w:rFonts w:ascii="Times Roman" w:hAnsi="Times Roman" w:cs="Times New Roman"/>
                <w:sz w:val="24"/>
                <w:szCs w:val="24"/>
              </w:rPr>
              <w:t xml:space="preserve"> </w:t>
            </w:r>
            <w:r w:rsidRPr="003F5D3B">
              <w:rPr>
                <w:rFonts w:ascii="Times New Roman" w:hAnsi="Times New Roman" w:cs="Times New Roman"/>
                <w:sz w:val="24"/>
                <w:szCs w:val="24"/>
              </w:rPr>
              <w:t>и</w:t>
            </w:r>
            <w:r w:rsidRPr="003F5D3B">
              <w:rPr>
                <w:rFonts w:ascii="Times Roman" w:hAnsi="Times Roman" w:cs="Times New Roman"/>
                <w:sz w:val="24"/>
                <w:szCs w:val="24"/>
              </w:rPr>
              <w:t xml:space="preserve"> </w:t>
            </w:r>
            <w:r w:rsidRPr="003F5D3B">
              <w:rPr>
                <w:rFonts w:ascii="Times New Roman" w:hAnsi="Times New Roman" w:cs="Times New Roman"/>
                <w:sz w:val="24"/>
                <w:szCs w:val="24"/>
              </w:rPr>
              <w:t>организации</w:t>
            </w:r>
            <w:r w:rsidRPr="003F5D3B">
              <w:rPr>
                <w:rFonts w:ascii="Times Roman" w:hAnsi="Times Roman" w:cs="Times New Roman"/>
                <w:sz w:val="24"/>
                <w:szCs w:val="24"/>
              </w:rPr>
              <w:t xml:space="preserve"> </w:t>
            </w:r>
            <w:r w:rsidRPr="003F5D3B">
              <w:rPr>
                <w:rFonts w:ascii="Times New Roman" w:hAnsi="Times New Roman" w:cs="Times New Roman"/>
                <w:sz w:val="24"/>
                <w:szCs w:val="24"/>
              </w:rPr>
              <w:t>работы</w:t>
            </w:r>
            <w:r w:rsidRPr="003F5D3B">
              <w:rPr>
                <w:rFonts w:ascii="Times Roman" w:hAnsi="Times Roman" w:cs="Times New Roman"/>
                <w:sz w:val="24"/>
                <w:szCs w:val="24"/>
              </w:rPr>
              <w:t xml:space="preserve"> </w:t>
            </w:r>
            <w:r w:rsidRPr="003F5D3B">
              <w:rPr>
                <w:rFonts w:ascii="Times New Roman" w:hAnsi="Times New Roman" w:cs="Times New Roman"/>
                <w:sz w:val="24"/>
                <w:szCs w:val="24"/>
              </w:rPr>
              <w:t>по</w:t>
            </w:r>
            <w:r w:rsidRPr="003F5D3B">
              <w:rPr>
                <w:rFonts w:ascii="Times Roman" w:hAnsi="Times Roman" w:cs="Times New Roman"/>
                <w:sz w:val="24"/>
                <w:szCs w:val="24"/>
              </w:rPr>
              <w:t xml:space="preserve"> </w:t>
            </w:r>
            <w:r w:rsidRPr="003F5D3B">
              <w:rPr>
                <w:rFonts w:ascii="Times New Roman" w:hAnsi="Times New Roman" w:cs="Times New Roman"/>
                <w:sz w:val="24"/>
                <w:szCs w:val="24"/>
              </w:rPr>
              <w:t>обращению</w:t>
            </w:r>
            <w:r w:rsidRPr="003F5D3B">
              <w:rPr>
                <w:rFonts w:ascii="Times Roman" w:hAnsi="Times Roman" w:cs="Times New Roman"/>
                <w:sz w:val="24"/>
                <w:szCs w:val="24"/>
              </w:rPr>
              <w:t xml:space="preserve"> </w:t>
            </w:r>
            <w:r w:rsidRPr="003F5D3B">
              <w:rPr>
                <w:rFonts w:ascii="Times New Roman" w:hAnsi="Times New Roman" w:cs="Times New Roman"/>
                <w:sz w:val="24"/>
                <w:szCs w:val="24"/>
              </w:rPr>
              <w:t>с</w:t>
            </w:r>
            <w:r w:rsidRPr="003F5D3B">
              <w:rPr>
                <w:rFonts w:ascii="Times Roman" w:hAnsi="Times Roman" w:cs="Times New Roman"/>
                <w:sz w:val="24"/>
                <w:szCs w:val="24"/>
              </w:rPr>
              <w:t xml:space="preserve"> </w:t>
            </w:r>
            <w:r w:rsidRPr="003F5D3B">
              <w:rPr>
                <w:rFonts w:ascii="Times New Roman" w:hAnsi="Times New Roman" w:cs="Times New Roman"/>
                <w:sz w:val="24"/>
                <w:szCs w:val="24"/>
              </w:rPr>
              <w:t>отходами</w:t>
            </w:r>
          </w:p>
        </w:tc>
      </w:tr>
      <w:tr w:rsidR="00654DF4" w:rsidRPr="003F5D3B" w:rsidTr="003F5D3B">
        <w:trPr>
          <w:trHeight w:val="125"/>
        </w:trPr>
        <w:tc>
          <w:tcPr>
            <w:tcW w:w="257" w:type="pct"/>
            <w:vAlign w:val="center"/>
          </w:tcPr>
          <w:p w:rsidR="00654DF4" w:rsidRPr="003F5D3B" w:rsidRDefault="00654DF4" w:rsidP="003F5D3B">
            <w:pPr>
              <w:numPr>
                <w:ilvl w:val="0"/>
                <w:numId w:val="4"/>
              </w:numPr>
              <w:ind w:left="0" w:firstLine="142"/>
              <w:rPr>
                <w:rFonts w:ascii="Times Roman" w:hAnsi="Times Roman" w:cs="Times New Roman"/>
                <w:sz w:val="24"/>
                <w:szCs w:val="24"/>
              </w:rPr>
            </w:pPr>
          </w:p>
        </w:tc>
        <w:tc>
          <w:tcPr>
            <w:tcW w:w="1450" w:type="pct"/>
            <w:vAlign w:val="center"/>
          </w:tcPr>
          <w:p w:rsidR="00654DF4" w:rsidRPr="003F5D3B" w:rsidRDefault="00654DF4" w:rsidP="003F5D3B">
            <w:pPr>
              <w:rPr>
                <w:rFonts w:ascii="Times Roman" w:hAnsi="Times Roman" w:cs="Times New Roman"/>
                <w:sz w:val="24"/>
                <w:szCs w:val="24"/>
              </w:rPr>
            </w:pPr>
            <w:r w:rsidRPr="003F5D3B">
              <w:rPr>
                <w:rFonts w:ascii="Times New Roman" w:hAnsi="Times New Roman" w:cs="Times New Roman"/>
                <w:sz w:val="24"/>
                <w:szCs w:val="24"/>
              </w:rPr>
              <w:t>Комитет</w:t>
            </w:r>
            <w:r w:rsidRPr="003F5D3B">
              <w:rPr>
                <w:rFonts w:ascii="Times Roman" w:hAnsi="Times Roman" w:cs="Times New Roman"/>
                <w:sz w:val="24"/>
                <w:szCs w:val="24"/>
              </w:rPr>
              <w:t xml:space="preserve"> </w:t>
            </w:r>
            <w:r w:rsidRPr="003F5D3B">
              <w:rPr>
                <w:rFonts w:ascii="Times New Roman" w:hAnsi="Times New Roman" w:cs="Times New Roman"/>
                <w:sz w:val="24"/>
                <w:szCs w:val="24"/>
              </w:rPr>
              <w:t>государственного</w:t>
            </w:r>
            <w:r w:rsidRPr="003F5D3B">
              <w:rPr>
                <w:rFonts w:ascii="Times Roman" w:hAnsi="Times Roman" w:cs="Times New Roman"/>
                <w:sz w:val="24"/>
                <w:szCs w:val="24"/>
              </w:rPr>
              <w:t xml:space="preserve"> </w:t>
            </w:r>
            <w:r w:rsidRPr="003F5D3B">
              <w:rPr>
                <w:rFonts w:ascii="Times New Roman" w:hAnsi="Times New Roman" w:cs="Times New Roman"/>
                <w:sz w:val="24"/>
                <w:szCs w:val="24"/>
              </w:rPr>
              <w:t>жилищного</w:t>
            </w:r>
            <w:r w:rsidRPr="003F5D3B">
              <w:rPr>
                <w:rFonts w:ascii="Times Roman" w:hAnsi="Times Roman" w:cs="Times New Roman"/>
                <w:sz w:val="24"/>
                <w:szCs w:val="24"/>
              </w:rPr>
              <w:t xml:space="preserve"> </w:t>
            </w:r>
            <w:r w:rsidRPr="003F5D3B">
              <w:rPr>
                <w:rFonts w:ascii="Times New Roman" w:hAnsi="Times New Roman" w:cs="Times New Roman"/>
                <w:sz w:val="24"/>
                <w:szCs w:val="24"/>
              </w:rPr>
              <w:t>надзора</w:t>
            </w:r>
            <w:r w:rsidRPr="003F5D3B">
              <w:rPr>
                <w:rFonts w:ascii="Times Roman" w:hAnsi="Times Roman" w:cs="Times New Roman"/>
                <w:sz w:val="24"/>
                <w:szCs w:val="24"/>
              </w:rPr>
              <w:t xml:space="preserve"> </w:t>
            </w:r>
            <w:r w:rsidRPr="003F5D3B">
              <w:rPr>
                <w:rFonts w:ascii="Times New Roman" w:hAnsi="Times New Roman" w:cs="Times New Roman"/>
                <w:sz w:val="24"/>
                <w:szCs w:val="24"/>
              </w:rPr>
              <w:t>и</w:t>
            </w:r>
            <w:r w:rsidRPr="003F5D3B">
              <w:rPr>
                <w:rFonts w:ascii="Times Roman" w:hAnsi="Times Roman" w:cs="Times New Roman"/>
                <w:sz w:val="24"/>
                <w:szCs w:val="24"/>
              </w:rPr>
              <w:t xml:space="preserve"> </w:t>
            </w:r>
            <w:r w:rsidRPr="003F5D3B">
              <w:rPr>
                <w:rFonts w:ascii="Times New Roman" w:hAnsi="Times New Roman" w:cs="Times New Roman"/>
                <w:sz w:val="24"/>
                <w:szCs w:val="24"/>
              </w:rPr>
              <w:t>контроля</w:t>
            </w:r>
            <w:r w:rsidRPr="003F5D3B">
              <w:rPr>
                <w:rFonts w:ascii="Times Roman" w:hAnsi="Times Roman" w:cs="Times New Roman"/>
                <w:sz w:val="24"/>
                <w:szCs w:val="24"/>
              </w:rPr>
              <w:t xml:space="preserve"> </w:t>
            </w:r>
            <w:r w:rsidRPr="003F5D3B">
              <w:rPr>
                <w:rFonts w:ascii="Times New Roman" w:hAnsi="Times New Roman" w:cs="Times New Roman"/>
                <w:sz w:val="24"/>
                <w:szCs w:val="24"/>
              </w:rPr>
              <w:t>Ленинградской</w:t>
            </w:r>
            <w:r w:rsidRPr="003F5D3B">
              <w:rPr>
                <w:rFonts w:ascii="Times Roman" w:hAnsi="Times Roman" w:cs="Times New Roman"/>
                <w:sz w:val="24"/>
                <w:szCs w:val="24"/>
              </w:rPr>
              <w:t xml:space="preserve"> </w:t>
            </w:r>
            <w:r w:rsidRPr="003F5D3B">
              <w:rPr>
                <w:rFonts w:ascii="Times New Roman" w:hAnsi="Times New Roman" w:cs="Times New Roman"/>
                <w:sz w:val="24"/>
                <w:szCs w:val="24"/>
              </w:rPr>
              <w:t>области</w:t>
            </w:r>
          </w:p>
        </w:tc>
        <w:tc>
          <w:tcPr>
            <w:tcW w:w="1507" w:type="pct"/>
            <w:vAlign w:val="center"/>
          </w:tcPr>
          <w:p w:rsidR="00654DF4" w:rsidRPr="003F5D3B" w:rsidRDefault="00CB6DEF" w:rsidP="003F5D3B">
            <w:pPr>
              <w:rPr>
                <w:rFonts w:ascii="Times Roman" w:hAnsi="Times Roman" w:cs="Times New Roman"/>
                <w:sz w:val="24"/>
                <w:szCs w:val="24"/>
              </w:rPr>
            </w:pPr>
            <w:r w:rsidRPr="003F5D3B">
              <w:rPr>
                <w:rFonts w:ascii="Times New Roman" w:hAnsi="Times New Roman" w:cs="Times New Roman"/>
                <w:sz w:val="24"/>
                <w:szCs w:val="24"/>
              </w:rPr>
              <w:t>Авляханова</w:t>
            </w:r>
            <w:r w:rsidRPr="003F5D3B">
              <w:rPr>
                <w:rFonts w:ascii="Times Roman" w:hAnsi="Times Roman" w:cs="Times New Roman"/>
                <w:sz w:val="24"/>
                <w:szCs w:val="24"/>
              </w:rPr>
              <w:t xml:space="preserve"> </w:t>
            </w:r>
            <w:r w:rsidRPr="003F5D3B">
              <w:rPr>
                <w:rFonts w:ascii="Times New Roman" w:hAnsi="Times New Roman" w:cs="Times New Roman"/>
                <w:sz w:val="24"/>
                <w:szCs w:val="24"/>
              </w:rPr>
              <w:t>Оксана</w:t>
            </w:r>
            <w:r w:rsidRPr="003F5D3B">
              <w:rPr>
                <w:rFonts w:ascii="Times Roman" w:hAnsi="Times Roman" w:cs="Times New Roman"/>
                <w:sz w:val="24"/>
                <w:szCs w:val="24"/>
              </w:rPr>
              <w:t xml:space="preserve"> </w:t>
            </w:r>
            <w:r w:rsidRPr="003F5D3B">
              <w:rPr>
                <w:rFonts w:ascii="Times New Roman" w:hAnsi="Times New Roman" w:cs="Times New Roman"/>
                <w:sz w:val="24"/>
                <w:szCs w:val="24"/>
              </w:rPr>
              <w:t>Викторовна</w:t>
            </w:r>
            <w:r w:rsidR="00EF1D34" w:rsidRPr="003F5D3B">
              <w:rPr>
                <w:rFonts w:ascii="Times Roman" w:hAnsi="Times Roman" w:cs="Times New Roman"/>
                <w:sz w:val="24"/>
                <w:szCs w:val="24"/>
              </w:rPr>
              <w:t xml:space="preserve"> – </w:t>
            </w:r>
            <w:r w:rsidR="00EF1D34" w:rsidRPr="003F5D3B">
              <w:rPr>
                <w:rFonts w:ascii="Times New Roman" w:hAnsi="Times New Roman" w:cs="Times New Roman"/>
                <w:sz w:val="24"/>
                <w:szCs w:val="24"/>
              </w:rPr>
              <w:t>заместитель</w:t>
            </w:r>
            <w:r w:rsidR="00EF1D34" w:rsidRPr="003F5D3B">
              <w:rPr>
                <w:rFonts w:ascii="Times Roman" w:hAnsi="Times Roman" w:cs="Times New Roman"/>
                <w:sz w:val="24"/>
                <w:szCs w:val="24"/>
              </w:rPr>
              <w:t xml:space="preserve"> </w:t>
            </w:r>
            <w:r w:rsidR="00EF1D34" w:rsidRPr="003F5D3B">
              <w:rPr>
                <w:rFonts w:ascii="Times New Roman" w:hAnsi="Times New Roman" w:cs="Times New Roman"/>
                <w:sz w:val="24"/>
                <w:szCs w:val="24"/>
              </w:rPr>
              <w:t>председателя</w:t>
            </w:r>
            <w:r w:rsidR="00EF1D34" w:rsidRPr="003F5D3B">
              <w:rPr>
                <w:rFonts w:ascii="Times Roman" w:hAnsi="Times Roman" w:cs="Times New Roman"/>
                <w:sz w:val="24"/>
                <w:szCs w:val="24"/>
              </w:rPr>
              <w:t xml:space="preserve"> </w:t>
            </w:r>
            <w:r w:rsidR="00EF1D34" w:rsidRPr="003F5D3B">
              <w:rPr>
                <w:rFonts w:ascii="Times New Roman" w:hAnsi="Times New Roman" w:cs="Times New Roman"/>
                <w:sz w:val="24"/>
                <w:szCs w:val="24"/>
              </w:rPr>
              <w:t>комитета</w:t>
            </w:r>
            <w:r w:rsidR="00EF1D34" w:rsidRPr="003F5D3B">
              <w:rPr>
                <w:rFonts w:ascii="Times Roman" w:hAnsi="Times Roman" w:cs="Times New Roman"/>
                <w:sz w:val="24"/>
                <w:szCs w:val="24"/>
              </w:rPr>
              <w:t xml:space="preserve"> </w:t>
            </w:r>
          </w:p>
        </w:tc>
        <w:tc>
          <w:tcPr>
            <w:tcW w:w="1786" w:type="pct"/>
            <w:vAlign w:val="center"/>
          </w:tcPr>
          <w:p w:rsidR="00654DF4" w:rsidRPr="003F5D3B" w:rsidRDefault="00B85E08" w:rsidP="003F5D3B">
            <w:pPr>
              <w:rPr>
                <w:rFonts w:ascii="Times Roman" w:hAnsi="Times Roman" w:cs="Times New Roman"/>
                <w:sz w:val="24"/>
                <w:szCs w:val="24"/>
              </w:rPr>
            </w:pPr>
            <w:r w:rsidRPr="003F5D3B">
              <w:rPr>
                <w:rFonts w:ascii="Times New Roman" w:hAnsi="Times New Roman" w:cs="Times New Roman"/>
                <w:sz w:val="24"/>
                <w:szCs w:val="24"/>
              </w:rPr>
              <w:t>ю</w:t>
            </w:r>
            <w:r w:rsidR="00EF1D34" w:rsidRPr="003F5D3B">
              <w:rPr>
                <w:rFonts w:ascii="Times New Roman" w:hAnsi="Times New Roman" w:cs="Times New Roman"/>
                <w:sz w:val="24"/>
                <w:szCs w:val="24"/>
              </w:rPr>
              <w:t>ридический</w:t>
            </w:r>
            <w:r w:rsidR="00EF1D34" w:rsidRPr="003F5D3B">
              <w:rPr>
                <w:rFonts w:ascii="Times Roman" w:hAnsi="Times Roman" w:cs="Times New Roman"/>
                <w:sz w:val="24"/>
                <w:szCs w:val="24"/>
              </w:rPr>
              <w:t xml:space="preserve"> </w:t>
            </w:r>
            <w:r w:rsidR="00EF1D34" w:rsidRPr="003F5D3B">
              <w:rPr>
                <w:rFonts w:ascii="Times New Roman" w:hAnsi="Times New Roman" w:cs="Times New Roman"/>
                <w:sz w:val="24"/>
                <w:szCs w:val="24"/>
              </w:rPr>
              <w:t>отдел</w:t>
            </w:r>
          </w:p>
        </w:tc>
      </w:tr>
      <w:tr w:rsidR="00370C06" w:rsidRPr="003F5D3B" w:rsidTr="003F5D3B">
        <w:trPr>
          <w:trHeight w:val="125"/>
        </w:trPr>
        <w:tc>
          <w:tcPr>
            <w:tcW w:w="257" w:type="pct"/>
            <w:vAlign w:val="center"/>
          </w:tcPr>
          <w:p w:rsidR="00370C06" w:rsidRPr="003F5D3B" w:rsidRDefault="00370C06" w:rsidP="003F5D3B">
            <w:pPr>
              <w:numPr>
                <w:ilvl w:val="0"/>
                <w:numId w:val="4"/>
              </w:numPr>
              <w:ind w:left="0" w:firstLine="142"/>
              <w:rPr>
                <w:rFonts w:ascii="Times Roman" w:hAnsi="Times Roman" w:cs="Times New Roman"/>
                <w:sz w:val="24"/>
                <w:szCs w:val="24"/>
              </w:rPr>
            </w:pPr>
          </w:p>
        </w:tc>
        <w:tc>
          <w:tcPr>
            <w:tcW w:w="1450" w:type="pct"/>
            <w:vAlign w:val="center"/>
          </w:tcPr>
          <w:p w:rsidR="00370C06" w:rsidRPr="003F5D3B" w:rsidRDefault="006445CF" w:rsidP="003F5D3B">
            <w:pPr>
              <w:rPr>
                <w:rFonts w:ascii="Times Roman" w:hAnsi="Times Roman" w:cs="Times New Roman"/>
                <w:sz w:val="24"/>
                <w:szCs w:val="24"/>
              </w:rPr>
            </w:pPr>
            <w:r w:rsidRPr="003F5D3B">
              <w:rPr>
                <w:rFonts w:ascii="Times New Roman" w:hAnsi="Times New Roman" w:cs="Times New Roman"/>
                <w:sz w:val="24"/>
                <w:szCs w:val="24"/>
              </w:rPr>
              <w:t>К</w:t>
            </w:r>
            <w:r w:rsidR="00654DF4" w:rsidRPr="003F5D3B">
              <w:rPr>
                <w:rFonts w:ascii="Times New Roman" w:hAnsi="Times New Roman" w:cs="Times New Roman"/>
                <w:sz w:val="24"/>
                <w:szCs w:val="24"/>
              </w:rPr>
              <w:t>омитет</w:t>
            </w:r>
            <w:r w:rsidR="00654DF4" w:rsidRPr="003F5D3B">
              <w:rPr>
                <w:rFonts w:ascii="Times Roman" w:hAnsi="Times Roman" w:cs="Times New Roman"/>
                <w:sz w:val="24"/>
                <w:szCs w:val="24"/>
              </w:rPr>
              <w:t xml:space="preserve"> </w:t>
            </w:r>
            <w:r w:rsidRPr="003F5D3B">
              <w:rPr>
                <w:rFonts w:ascii="Times New Roman" w:hAnsi="Times New Roman" w:cs="Times New Roman"/>
                <w:sz w:val="24"/>
                <w:szCs w:val="24"/>
              </w:rPr>
              <w:t>Л</w:t>
            </w:r>
            <w:r w:rsidR="00654DF4" w:rsidRPr="003F5D3B">
              <w:rPr>
                <w:rFonts w:ascii="Times New Roman" w:hAnsi="Times New Roman" w:cs="Times New Roman"/>
                <w:sz w:val="24"/>
                <w:szCs w:val="24"/>
              </w:rPr>
              <w:t>енинградской</w:t>
            </w:r>
            <w:r w:rsidR="00654DF4" w:rsidRPr="003F5D3B">
              <w:rPr>
                <w:rFonts w:ascii="Times Roman" w:hAnsi="Times Roman" w:cs="Times New Roman"/>
                <w:sz w:val="24"/>
                <w:szCs w:val="24"/>
              </w:rPr>
              <w:t xml:space="preserve"> </w:t>
            </w:r>
            <w:r w:rsidR="00654DF4" w:rsidRPr="003F5D3B">
              <w:rPr>
                <w:rFonts w:ascii="Times New Roman" w:hAnsi="Times New Roman" w:cs="Times New Roman"/>
                <w:sz w:val="24"/>
                <w:szCs w:val="24"/>
              </w:rPr>
              <w:t>области</w:t>
            </w:r>
            <w:r w:rsidR="00654DF4" w:rsidRPr="003F5D3B">
              <w:rPr>
                <w:rFonts w:ascii="Times Roman" w:hAnsi="Times Roman" w:cs="Times New Roman"/>
                <w:sz w:val="24"/>
                <w:szCs w:val="24"/>
              </w:rPr>
              <w:t xml:space="preserve"> </w:t>
            </w:r>
            <w:r w:rsidR="00654DF4" w:rsidRPr="003F5D3B">
              <w:rPr>
                <w:rFonts w:ascii="Times New Roman" w:hAnsi="Times New Roman" w:cs="Times New Roman"/>
                <w:sz w:val="24"/>
                <w:szCs w:val="24"/>
              </w:rPr>
              <w:t>по</w:t>
            </w:r>
            <w:r w:rsidR="00654DF4" w:rsidRPr="003F5D3B">
              <w:rPr>
                <w:rFonts w:ascii="Times Roman" w:hAnsi="Times Roman" w:cs="Times New Roman"/>
                <w:sz w:val="24"/>
                <w:szCs w:val="24"/>
              </w:rPr>
              <w:t xml:space="preserve"> </w:t>
            </w:r>
            <w:r w:rsidR="00654DF4" w:rsidRPr="003F5D3B">
              <w:rPr>
                <w:rFonts w:ascii="Times New Roman" w:hAnsi="Times New Roman" w:cs="Times New Roman"/>
                <w:sz w:val="24"/>
                <w:szCs w:val="24"/>
              </w:rPr>
              <w:t>транспорту</w:t>
            </w:r>
          </w:p>
        </w:tc>
        <w:tc>
          <w:tcPr>
            <w:tcW w:w="1507" w:type="pct"/>
            <w:vAlign w:val="center"/>
          </w:tcPr>
          <w:p w:rsidR="00370C06" w:rsidRPr="003F5D3B" w:rsidRDefault="006445CF" w:rsidP="003F5D3B">
            <w:pPr>
              <w:rPr>
                <w:rFonts w:ascii="Times Roman" w:hAnsi="Times Roman" w:cs="Times New Roman"/>
                <w:sz w:val="24"/>
                <w:szCs w:val="24"/>
              </w:rPr>
            </w:pPr>
            <w:r w:rsidRPr="003F5D3B">
              <w:rPr>
                <w:rFonts w:ascii="Times New Roman" w:hAnsi="Times New Roman" w:cs="Times New Roman"/>
                <w:sz w:val="24"/>
                <w:szCs w:val="24"/>
              </w:rPr>
              <w:t>А</w:t>
            </w:r>
            <w:r w:rsidR="007D28C4" w:rsidRPr="003F5D3B">
              <w:rPr>
                <w:rFonts w:ascii="Times New Roman" w:hAnsi="Times New Roman" w:cs="Times New Roman"/>
                <w:sz w:val="24"/>
                <w:szCs w:val="24"/>
              </w:rPr>
              <w:t>лександрова</w:t>
            </w:r>
            <w:r w:rsidR="007D28C4" w:rsidRPr="003F5D3B">
              <w:rPr>
                <w:rFonts w:ascii="Times Roman" w:hAnsi="Times Roman" w:cs="Times New Roman"/>
                <w:sz w:val="24"/>
                <w:szCs w:val="24"/>
              </w:rPr>
              <w:t xml:space="preserve"> </w:t>
            </w:r>
            <w:r w:rsidRPr="003F5D3B">
              <w:rPr>
                <w:rFonts w:ascii="Times New Roman" w:hAnsi="Times New Roman" w:cs="Times New Roman"/>
                <w:sz w:val="24"/>
                <w:szCs w:val="24"/>
              </w:rPr>
              <w:t>Н</w:t>
            </w:r>
            <w:r w:rsidR="007D28C4" w:rsidRPr="003F5D3B">
              <w:rPr>
                <w:rFonts w:ascii="Times New Roman" w:hAnsi="Times New Roman" w:cs="Times New Roman"/>
                <w:sz w:val="24"/>
                <w:szCs w:val="24"/>
              </w:rPr>
              <w:t>аталья</w:t>
            </w:r>
            <w:r w:rsidR="007D28C4" w:rsidRPr="003F5D3B">
              <w:rPr>
                <w:rFonts w:ascii="Times Roman" w:hAnsi="Times Roman" w:cs="Times New Roman"/>
                <w:sz w:val="24"/>
                <w:szCs w:val="24"/>
              </w:rPr>
              <w:t xml:space="preserve"> </w:t>
            </w:r>
            <w:r w:rsidRPr="003F5D3B">
              <w:rPr>
                <w:rFonts w:ascii="Times New Roman" w:hAnsi="Times New Roman" w:cs="Times New Roman"/>
                <w:sz w:val="24"/>
                <w:szCs w:val="24"/>
              </w:rPr>
              <w:t>А</w:t>
            </w:r>
            <w:r w:rsidR="007D28C4" w:rsidRPr="003F5D3B">
              <w:rPr>
                <w:rFonts w:ascii="Times New Roman" w:hAnsi="Times New Roman" w:cs="Times New Roman"/>
                <w:sz w:val="24"/>
                <w:szCs w:val="24"/>
              </w:rPr>
              <w:t>лександровна</w:t>
            </w:r>
            <w:r w:rsidR="007D28C4" w:rsidRPr="003F5D3B">
              <w:rPr>
                <w:rFonts w:ascii="Times Roman" w:hAnsi="Times Roman" w:cs="Times New Roman"/>
                <w:sz w:val="24"/>
                <w:szCs w:val="24"/>
              </w:rPr>
              <w:t xml:space="preserve"> - </w:t>
            </w:r>
            <w:r w:rsidR="00CB6DEF" w:rsidRPr="003F5D3B">
              <w:rPr>
                <w:rFonts w:ascii="Times New Roman" w:hAnsi="Times New Roman" w:cs="Times New Roman"/>
                <w:sz w:val="24"/>
                <w:szCs w:val="24"/>
              </w:rPr>
              <w:t>заместитель</w:t>
            </w:r>
            <w:r w:rsidR="00CB6DEF" w:rsidRPr="003F5D3B">
              <w:rPr>
                <w:rFonts w:ascii="Times Roman" w:hAnsi="Times Roman" w:cs="Times New Roman"/>
                <w:sz w:val="24"/>
                <w:szCs w:val="24"/>
              </w:rPr>
              <w:t xml:space="preserve"> </w:t>
            </w:r>
            <w:r w:rsidR="00CB6DEF" w:rsidRPr="003F5D3B">
              <w:rPr>
                <w:rFonts w:ascii="Times New Roman" w:hAnsi="Times New Roman" w:cs="Times New Roman"/>
                <w:sz w:val="24"/>
                <w:szCs w:val="24"/>
              </w:rPr>
              <w:t>председателя</w:t>
            </w:r>
            <w:r w:rsidR="00CB6DEF" w:rsidRPr="003F5D3B">
              <w:rPr>
                <w:rFonts w:ascii="Times Roman" w:hAnsi="Times Roman" w:cs="Times New Roman"/>
                <w:sz w:val="24"/>
                <w:szCs w:val="24"/>
              </w:rPr>
              <w:t xml:space="preserve"> </w:t>
            </w:r>
            <w:r w:rsidR="00CB6DEF" w:rsidRPr="003F5D3B">
              <w:rPr>
                <w:rFonts w:ascii="Times New Roman" w:hAnsi="Times New Roman" w:cs="Times New Roman"/>
                <w:sz w:val="24"/>
                <w:szCs w:val="24"/>
              </w:rPr>
              <w:t>комитета</w:t>
            </w:r>
          </w:p>
        </w:tc>
        <w:tc>
          <w:tcPr>
            <w:tcW w:w="1786" w:type="pct"/>
            <w:vAlign w:val="center"/>
          </w:tcPr>
          <w:p w:rsidR="00370C06" w:rsidRPr="003F5D3B" w:rsidRDefault="007D28C4" w:rsidP="003F5D3B">
            <w:pPr>
              <w:rPr>
                <w:rFonts w:ascii="Times Roman" w:hAnsi="Times Roman" w:cs="Times New Roman"/>
                <w:sz w:val="24"/>
                <w:szCs w:val="24"/>
              </w:rPr>
            </w:pPr>
            <w:r w:rsidRPr="003F5D3B">
              <w:rPr>
                <w:rFonts w:ascii="Times New Roman" w:hAnsi="Times New Roman" w:cs="Times New Roman"/>
                <w:sz w:val="24"/>
                <w:szCs w:val="24"/>
              </w:rPr>
              <w:t>отдел</w:t>
            </w:r>
            <w:r w:rsidRPr="003F5D3B">
              <w:rPr>
                <w:rFonts w:ascii="Times Roman" w:hAnsi="Times Roman" w:cs="Times New Roman"/>
                <w:sz w:val="24"/>
                <w:szCs w:val="24"/>
              </w:rPr>
              <w:t xml:space="preserve"> </w:t>
            </w:r>
            <w:r w:rsidRPr="003F5D3B">
              <w:rPr>
                <w:rFonts w:ascii="Times New Roman" w:hAnsi="Times New Roman" w:cs="Times New Roman"/>
                <w:sz w:val="24"/>
                <w:szCs w:val="24"/>
              </w:rPr>
              <w:t>организации</w:t>
            </w:r>
            <w:r w:rsidRPr="003F5D3B">
              <w:rPr>
                <w:rFonts w:ascii="Times Roman" w:hAnsi="Times Roman" w:cs="Times New Roman"/>
                <w:sz w:val="24"/>
                <w:szCs w:val="24"/>
              </w:rPr>
              <w:t xml:space="preserve"> </w:t>
            </w:r>
            <w:r w:rsidRPr="003F5D3B">
              <w:rPr>
                <w:rFonts w:ascii="Times New Roman" w:hAnsi="Times New Roman" w:cs="Times New Roman"/>
                <w:sz w:val="24"/>
                <w:szCs w:val="24"/>
              </w:rPr>
              <w:t>перевозок</w:t>
            </w:r>
            <w:r w:rsidRPr="003F5D3B">
              <w:rPr>
                <w:rFonts w:ascii="Times Roman" w:hAnsi="Times Roman" w:cs="Times New Roman"/>
                <w:sz w:val="24"/>
                <w:szCs w:val="24"/>
              </w:rPr>
              <w:t xml:space="preserve"> </w:t>
            </w:r>
          </w:p>
        </w:tc>
      </w:tr>
      <w:tr w:rsidR="00370C06" w:rsidRPr="003F5D3B" w:rsidTr="003F5D3B">
        <w:trPr>
          <w:trHeight w:val="90"/>
        </w:trPr>
        <w:tc>
          <w:tcPr>
            <w:tcW w:w="257" w:type="pct"/>
            <w:vAlign w:val="center"/>
          </w:tcPr>
          <w:p w:rsidR="00370C06" w:rsidRPr="003F5D3B" w:rsidRDefault="00370C06" w:rsidP="003F5D3B">
            <w:pPr>
              <w:numPr>
                <w:ilvl w:val="0"/>
                <w:numId w:val="4"/>
              </w:numPr>
              <w:ind w:left="0" w:firstLine="142"/>
              <w:rPr>
                <w:rFonts w:ascii="Times Roman" w:hAnsi="Times Roman" w:cs="Times New Roman"/>
                <w:sz w:val="24"/>
                <w:szCs w:val="24"/>
              </w:rPr>
            </w:pPr>
          </w:p>
        </w:tc>
        <w:tc>
          <w:tcPr>
            <w:tcW w:w="1450" w:type="pct"/>
            <w:vAlign w:val="center"/>
          </w:tcPr>
          <w:p w:rsidR="00370C06" w:rsidRPr="003F5D3B" w:rsidRDefault="006445CF" w:rsidP="003F5D3B">
            <w:pPr>
              <w:rPr>
                <w:rFonts w:ascii="Times Roman" w:hAnsi="Times Roman" w:cs="Times New Roman"/>
                <w:sz w:val="24"/>
                <w:szCs w:val="24"/>
              </w:rPr>
            </w:pPr>
            <w:r w:rsidRPr="003F5D3B">
              <w:rPr>
                <w:rFonts w:ascii="Times New Roman" w:hAnsi="Times New Roman" w:cs="Times New Roman"/>
                <w:sz w:val="24"/>
                <w:szCs w:val="24"/>
              </w:rPr>
              <w:t>К</w:t>
            </w:r>
            <w:r w:rsidR="00654DF4" w:rsidRPr="003F5D3B">
              <w:rPr>
                <w:rFonts w:ascii="Times New Roman" w:hAnsi="Times New Roman" w:cs="Times New Roman"/>
                <w:sz w:val="24"/>
                <w:szCs w:val="24"/>
              </w:rPr>
              <w:t>омитет</w:t>
            </w:r>
            <w:r w:rsidR="00654DF4" w:rsidRPr="003F5D3B">
              <w:rPr>
                <w:rFonts w:ascii="Times Roman" w:hAnsi="Times Roman" w:cs="Times New Roman"/>
                <w:sz w:val="24"/>
                <w:szCs w:val="24"/>
              </w:rPr>
              <w:t xml:space="preserve"> </w:t>
            </w:r>
            <w:r w:rsidR="00654DF4" w:rsidRPr="003F5D3B">
              <w:rPr>
                <w:rFonts w:ascii="Times New Roman" w:hAnsi="Times New Roman" w:cs="Times New Roman"/>
                <w:sz w:val="24"/>
                <w:szCs w:val="24"/>
              </w:rPr>
              <w:t>цифрового</w:t>
            </w:r>
            <w:r w:rsidR="00654DF4" w:rsidRPr="003F5D3B">
              <w:rPr>
                <w:rFonts w:ascii="Times Roman" w:hAnsi="Times Roman" w:cs="Times New Roman"/>
                <w:sz w:val="24"/>
                <w:szCs w:val="24"/>
              </w:rPr>
              <w:t xml:space="preserve"> </w:t>
            </w:r>
            <w:r w:rsidR="00654DF4" w:rsidRPr="003F5D3B">
              <w:rPr>
                <w:rFonts w:ascii="Times New Roman" w:hAnsi="Times New Roman" w:cs="Times New Roman"/>
                <w:sz w:val="24"/>
                <w:szCs w:val="24"/>
              </w:rPr>
              <w:t>развития</w:t>
            </w:r>
            <w:r w:rsidR="00654DF4" w:rsidRPr="003F5D3B">
              <w:rPr>
                <w:rFonts w:ascii="Times Roman" w:hAnsi="Times Roman" w:cs="Times New Roman"/>
                <w:sz w:val="24"/>
                <w:szCs w:val="24"/>
              </w:rPr>
              <w:t xml:space="preserve"> </w:t>
            </w:r>
            <w:r w:rsidRPr="003F5D3B">
              <w:rPr>
                <w:rFonts w:ascii="Times New Roman" w:hAnsi="Times New Roman" w:cs="Times New Roman"/>
                <w:sz w:val="24"/>
                <w:szCs w:val="24"/>
              </w:rPr>
              <w:t>Л</w:t>
            </w:r>
            <w:r w:rsidR="00654DF4" w:rsidRPr="003F5D3B">
              <w:rPr>
                <w:rFonts w:ascii="Times New Roman" w:hAnsi="Times New Roman" w:cs="Times New Roman"/>
                <w:sz w:val="24"/>
                <w:szCs w:val="24"/>
              </w:rPr>
              <w:t>енинградской</w:t>
            </w:r>
            <w:r w:rsidR="00654DF4" w:rsidRPr="003F5D3B">
              <w:rPr>
                <w:rFonts w:ascii="Times Roman" w:hAnsi="Times Roman" w:cs="Times New Roman"/>
                <w:sz w:val="24"/>
                <w:szCs w:val="24"/>
              </w:rPr>
              <w:t xml:space="preserve"> </w:t>
            </w:r>
            <w:r w:rsidR="00654DF4" w:rsidRPr="003F5D3B">
              <w:rPr>
                <w:rFonts w:ascii="Times New Roman" w:hAnsi="Times New Roman" w:cs="Times New Roman"/>
                <w:sz w:val="24"/>
                <w:szCs w:val="24"/>
              </w:rPr>
              <w:t>области</w:t>
            </w:r>
          </w:p>
        </w:tc>
        <w:tc>
          <w:tcPr>
            <w:tcW w:w="1507" w:type="pct"/>
            <w:vAlign w:val="center"/>
          </w:tcPr>
          <w:p w:rsidR="00370C06" w:rsidRPr="003F5D3B" w:rsidRDefault="004D5E55" w:rsidP="003F5D3B">
            <w:pPr>
              <w:rPr>
                <w:rFonts w:ascii="Times Roman" w:hAnsi="Times Roman" w:cs="Times New Roman"/>
                <w:sz w:val="24"/>
                <w:szCs w:val="24"/>
              </w:rPr>
            </w:pPr>
            <w:r w:rsidRPr="003F5D3B">
              <w:rPr>
                <w:rFonts w:ascii="Times New Roman" w:hAnsi="Times New Roman" w:cs="Times New Roman"/>
                <w:sz w:val="24"/>
                <w:szCs w:val="24"/>
              </w:rPr>
              <w:t>Красинский</w:t>
            </w:r>
            <w:r w:rsidRPr="003F5D3B">
              <w:rPr>
                <w:rFonts w:ascii="Times Roman" w:hAnsi="Times Roman"/>
                <w:sz w:val="24"/>
                <w:szCs w:val="24"/>
              </w:rPr>
              <w:t xml:space="preserve"> </w:t>
            </w:r>
            <w:r w:rsidRPr="003F5D3B">
              <w:rPr>
                <w:rFonts w:ascii="Times New Roman" w:hAnsi="Times New Roman" w:cs="Times New Roman"/>
                <w:sz w:val="24"/>
                <w:szCs w:val="24"/>
              </w:rPr>
              <w:t>Александр</w:t>
            </w:r>
            <w:r w:rsidRPr="003F5D3B">
              <w:rPr>
                <w:rFonts w:ascii="Times Roman" w:hAnsi="Times Roman"/>
                <w:sz w:val="24"/>
                <w:szCs w:val="24"/>
              </w:rPr>
              <w:t xml:space="preserve"> </w:t>
            </w:r>
            <w:r w:rsidRPr="003F5D3B">
              <w:rPr>
                <w:rFonts w:ascii="Times New Roman" w:hAnsi="Times New Roman" w:cs="Times New Roman"/>
                <w:sz w:val="24"/>
                <w:szCs w:val="24"/>
              </w:rPr>
              <w:t>Владимирович</w:t>
            </w:r>
            <w:r w:rsidRPr="003F5D3B">
              <w:rPr>
                <w:rFonts w:ascii="Times Roman" w:hAnsi="Times Roman"/>
                <w:sz w:val="24"/>
                <w:szCs w:val="24"/>
              </w:rPr>
              <w:t xml:space="preserve"> - </w:t>
            </w:r>
            <w:r w:rsidRPr="003F5D3B">
              <w:rPr>
                <w:rFonts w:ascii="Times New Roman" w:hAnsi="Times New Roman" w:cs="Times New Roman"/>
                <w:sz w:val="24"/>
                <w:szCs w:val="24"/>
              </w:rPr>
              <w:t>заместитель</w:t>
            </w:r>
            <w:r w:rsidRPr="003F5D3B">
              <w:rPr>
                <w:rFonts w:ascii="Times Roman" w:hAnsi="Times Roman"/>
                <w:sz w:val="24"/>
                <w:szCs w:val="24"/>
              </w:rPr>
              <w:t xml:space="preserve"> </w:t>
            </w:r>
            <w:r w:rsidRPr="003F5D3B">
              <w:rPr>
                <w:rFonts w:ascii="Times New Roman" w:hAnsi="Times New Roman" w:cs="Times New Roman"/>
                <w:sz w:val="24"/>
                <w:szCs w:val="24"/>
              </w:rPr>
              <w:t>начальника</w:t>
            </w:r>
            <w:r w:rsidRPr="003F5D3B">
              <w:rPr>
                <w:rFonts w:ascii="Times Roman" w:hAnsi="Times Roman"/>
                <w:sz w:val="24"/>
                <w:szCs w:val="24"/>
              </w:rPr>
              <w:t xml:space="preserve"> </w:t>
            </w:r>
            <w:r w:rsidRPr="003F5D3B">
              <w:rPr>
                <w:rFonts w:ascii="Times New Roman" w:hAnsi="Times New Roman" w:cs="Times New Roman"/>
                <w:sz w:val="24"/>
                <w:szCs w:val="24"/>
              </w:rPr>
              <w:t>департамента</w:t>
            </w:r>
            <w:r w:rsidRPr="003F5D3B">
              <w:rPr>
                <w:rFonts w:ascii="Times Roman" w:hAnsi="Times Roman"/>
                <w:sz w:val="24"/>
                <w:szCs w:val="24"/>
              </w:rPr>
              <w:t xml:space="preserve"> </w:t>
            </w:r>
            <w:r w:rsidRPr="003F5D3B">
              <w:rPr>
                <w:rFonts w:ascii="Times New Roman" w:hAnsi="Times New Roman" w:cs="Times New Roman"/>
                <w:sz w:val="24"/>
                <w:szCs w:val="24"/>
              </w:rPr>
              <w:t>развития</w:t>
            </w:r>
            <w:r w:rsidRPr="003F5D3B">
              <w:rPr>
                <w:rFonts w:ascii="Times Roman" w:hAnsi="Times Roman"/>
                <w:sz w:val="24"/>
                <w:szCs w:val="24"/>
              </w:rPr>
              <w:t xml:space="preserve"> </w:t>
            </w:r>
            <w:r w:rsidRPr="003F5D3B">
              <w:rPr>
                <w:rFonts w:ascii="Times New Roman" w:hAnsi="Times New Roman" w:cs="Times New Roman"/>
                <w:sz w:val="24"/>
                <w:szCs w:val="24"/>
              </w:rPr>
              <w:t>цифровых</w:t>
            </w:r>
            <w:r w:rsidRPr="003F5D3B">
              <w:rPr>
                <w:rFonts w:ascii="Times Roman" w:hAnsi="Times Roman"/>
                <w:sz w:val="24"/>
                <w:szCs w:val="24"/>
              </w:rPr>
              <w:t xml:space="preserve"> </w:t>
            </w:r>
            <w:r w:rsidRPr="003F5D3B">
              <w:rPr>
                <w:rFonts w:ascii="Times New Roman" w:hAnsi="Times New Roman" w:cs="Times New Roman"/>
                <w:sz w:val="24"/>
                <w:szCs w:val="24"/>
              </w:rPr>
              <w:t>технологий</w:t>
            </w:r>
          </w:p>
        </w:tc>
        <w:tc>
          <w:tcPr>
            <w:tcW w:w="1786" w:type="pct"/>
            <w:vAlign w:val="center"/>
          </w:tcPr>
          <w:p w:rsidR="00370C06" w:rsidRPr="003F5D3B" w:rsidRDefault="006363D3" w:rsidP="003F5D3B">
            <w:pPr>
              <w:rPr>
                <w:rFonts w:ascii="Times Roman" w:hAnsi="Times Roman" w:cs="Times New Roman"/>
                <w:sz w:val="24"/>
                <w:szCs w:val="24"/>
              </w:rPr>
            </w:pPr>
            <w:r w:rsidRPr="003F5D3B">
              <w:rPr>
                <w:rFonts w:ascii="Times New Roman" w:hAnsi="Times New Roman" w:cs="Times New Roman"/>
                <w:sz w:val="24"/>
                <w:szCs w:val="24"/>
              </w:rPr>
              <w:t>департамент</w:t>
            </w:r>
            <w:r w:rsidRPr="003F5D3B">
              <w:rPr>
                <w:rFonts w:ascii="Times Roman" w:hAnsi="Times Roman" w:cs="Times New Roman"/>
                <w:sz w:val="24"/>
                <w:szCs w:val="24"/>
              </w:rPr>
              <w:t xml:space="preserve"> </w:t>
            </w:r>
            <w:r w:rsidRPr="003F5D3B">
              <w:rPr>
                <w:rFonts w:ascii="Times New Roman" w:hAnsi="Times New Roman" w:cs="Times New Roman"/>
                <w:sz w:val="24"/>
                <w:szCs w:val="24"/>
              </w:rPr>
              <w:t>развития</w:t>
            </w:r>
            <w:r w:rsidRPr="003F5D3B">
              <w:rPr>
                <w:rFonts w:ascii="Times Roman" w:hAnsi="Times Roman" w:cs="Times New Roman"/>
                <w:sz w:val="24"/>
                <w:szCs w:val="24"/>
              </w:rPr>
              <w:t xml:space="preserve"> </w:t>
            </w:r>
            <w:r w:rsidRPr="003F5D3B">
              <w:rPr>
                <w:rFonts w:ascii="Times New Roman" w:hAnsi="Times New Roman" w:cs="Times New Roman"/>
                <w:sz w:val="24"/>
                <w:szCs w:val="24"/>
              </w:rPr>
              <w:t>цифровых</w:t>
            </w:r>
            <w:r w:rsidRPr="003F5D3B">
              <w:rPr>
                <w:rFonts w:ascii="Times Roman" w:hAnsi="Times Roman" w:cs="Times New Roman"/>
                <w:sz w:val="24"/>
                <w:szCs w:val="24"/>
              </w:rPr>
              <w:t xml:space="preserve"> </w:t>
            </w:r>
            <w:r w:rsidRPr="003F5D3B">
              <w:rPr>
                <w:rFonts w:ascii="Times New Roman" w:hAnsi="Times New Roman" w:cs="Times New Roman"/>
                <w:sz w:val="24"/>
                <w:szCs w:val="24"/>
              </w:rPr>
              <w:t>технологий</w:t>
            </w:r>
            <w:r w:rsidRPr="003F5D3B">
              <w:rPr>
                <w:rFonts w:ascii="Times Roman" w:hAnsi="Times Roman" w:cs="Times New Roman"/>
                <w:sz w:val="24"/>
                <w:szCs w:val="24"/>
              </w:rPr>
              <w:t xml:space="preserve"> </w:t>
            </w:r>
            <w:r w:rsidRPr="003F5D3B">
              <w:rPr>
                <w:rFonts w:ascii="Times New Roman" w:hAnsi="Times New Roman" w:cs="Times New Roman"/>
                <w:sz w:val="24"/>
                <w:szCs w:val="24"/>
              </w:rPr>
              <w:t>Комитета</w:t>
            </w:r>
            <w:r w:rsidRPr="003F5D3B">
              <w:rPr>
                <w:rFonts w:ascii="Times Roman" w:hAnsi="Times Roman" w:cs="Times New Roman"/>
                <w:sz w:val="24"/>
                <w:szCs w:val="24"/>
              </w:rPr>
              <w:t xml:space="preserve"> </w:t>
            </w:r>
            <w:r w:rsidRPr="003F5D3B">
              <w:rPr>
                <w:rFonts w:ascii="Times New Roman" w:hAnsi="Times New Roman" w:cs="Times New Roman"/>
                <w:sz w:val="24"/>
                <w:szCs w:val="24"/>
              </w:rPr>
              <w:t>цифрового</w:t>
            </w:r>
            <w:r w:rsidRPr="003F5D3B">
              <w:rPr>
                <w:rFonts w:ascii="Times Roman" w:hAnsi="Times Roman" w:cs="Times New Roman"/>
                <w:sz w:val="24"/>
                <w:szCs w:val="24"/>
              </w:rPr>
              <w:t xml:space="preserve"> </w:t>
            </w:r>
            <w:r w:rsidRPr="003F5D3B">
              <w:rPr>
                <w:rFonts w:ascii="Times New Roman" w:hAnsi="Times New Roman" w:cs="Times New Roman"/>
                <w:sz w:val="24"/>
                <w:szCs w:val="24"/>
              </w:rPr>
              <w:t>развития</w:t>
            </w:r>
            <w:r w:rsidRPr="003F5D3B">
              <w:rPr>
                <w:rFonts w:ascii="Times Roman" w:hAnsi="Times Roman" w:cs="Times New Roman"/>
                <w:sz w:val="24"/>
                <w:szCs w:val="24"/>
              </w:rPr>
              <w:t xml:space="preserve"> </w:t>
            </w:r>
            <w:r w:rsidRPr="003F5D3B">
              <w:rPr>
                <w:rFonts w:ascii="Times New Roman" w:hAnsi="Times New Roman" w:cs="Times New Roman"/>
                <w:sz w:val="24"/>
                <w:szCs w:val="24"/>
              </w:rPr>
              <w:t>Ленинградской</w:t>
            </w:r>
            <w:r w:rsidRPr="003F5D3B">
              <w:rPr>
                <w:rFonts w:ascii="Times Roman" w:hAnsi="Times Roman" w:cs="Times New Roman"/>
                <w:sz w:val="24"/>
                <w:szCs w:val="24"/>
              </w:rPr>
              <w:t xml:space="preserve"> </w:t>
            </w:r>
            <w:r w:rsidRPr="003F5D3B">
              <w:rPr>
                <w:rFonts w:ascii="Times New Roman" w:hAnsi="Times New Roman" w:cs="Times New Roman"/>
                <w:sz w:val="24"/>
                <w:szCs w:val="24"/>
              </w:rPr>
              <w:t>области</w:t>
            </w:r>
            <w:r w:rsidRPr="003F5D3B">
              <w:rPr>
                <w:rFonts w:ascii="Times Roman" w:hAnsi="Times Roman" w:cs="Times New Roman"/>
                <w:sz w:val="24"/>
                <w:szCs w:val="24"/>
              </w:rPr>
              <w:t xml:space="preserve">, </w:t>
            </w:r>
            <w:r w:rsidRPr="003F5D3B">
              <w:rPr>
                <w:rFonts w:ascii="Times New Roman" w:hAnsi="Times New Roman" w:cs="Times New Roman"/>
                <w:sz w:val="24"/>
                <w:szCs w:val="24"/>
              </w:rPr>
              <w:t>отдел</w:t>
            </w:r>
            <w:r w:rsidRPr="003F5D3B">
              <w:rPr>
                <w:rFonts w:ascii="Times Roman" w:hAnsi="Times Roman" w:cs="Times New Roman"/>
                <w:sz w:val="24"/>
                <w:szCs w:val="24"/>
              </w:rPr>
              <w:t xml:space="preserve"> </w:t>
            </w:r>
            <w:r w:rsidRPr="003F5D3B">
              <w:rPr>
                <w:rFonts w:ascii="Times New Roman" w:hAnsi="Times New Roman" w:cs="Times New Roman"/>
                <w:sz w:val="24"/>
                <w:szCs w:val="24"/>
              </w:rPr>
              <w:t>стратегических</w:t>
            </w:r>
            <w:r w:rsidRPr="003F5D3B">
              <w:rPr>
                <w:rFonts w:ascii="Times Roman" w:hAnsi="Times Roman" w:cs="Times New Roman"/>
                <w:sz w:val="24"/>
                <w:szCs w:val="24"/>
              </w:rPr>
              <w:t xml:space="preserve"> </w:t>
            </w:r>
            <w:r w:rsidRPr="003F5D3B">
              <w:rPr>
                <w:rFonts w:ascii="Times New Roman" w:hAnsi="Times New Roman" w:cs="Times New Roman"/>
                <w:sz w:val="24"/>
                <w:szCs w:val="24"/>
              </w:rPr>
              <w:t>проектов</w:t>
            </w:r>
          </w:p>
        </w:tc>
      </w:tr>
      <w:tr w:rsidR="00654DF4" w:rsidRPr="003F5D3B" w:rsidTr="003F5D3B">
        <w:trPr>
          <w:trHeight w:val="150"/>
        </w:trPr>
        <w:tc>
          <w:tcPr>
            <w:tcW w:w="257" w:type="pct"/>
            <w:vAlign w:val="center"/>
          </w:tcPr>
          <w:p w:rsidR="00654DF4" w:rsidRPr="003F5D3B" w:rsidRDefault="00654DF4" w:rsidP="003F5D3B">
            <w:pPr>
              <w:numPr>
                <w:ilvl w:val="0"/>
                <w:numId w:val="4"/>
              </w:numPr>
              <w:ind w:left="0" w:firstLine="142"/>
              <w:rPr>
                <w:rFonts w:ascii="Times Roman" w:hAnsi="Times Roman" w:cs="Times New Roman"/>
                <w:sz w:val="24"/>
                <w:szCs w:val="24"/>
              </w:rPr>
            </w:pPr>
          </w:p>
        </w:tc>
        <w:tc>
          <w:tcPr>
            <w:tcW w:w="1450" w:type="pct"/>
            <w:vAlign w:val="center"/>
          </w:tcPr>
          <w:p w:rsidR="00654DF4" w:rsidRPr="003F5D3B" w:rsidRDefault="006445CF" w:rsidP="003F5D3B">
            <w:pPr>
              <w:rPr>
                <w:rFonts w:ascii="Times Roman" w:hAnsi="Times Roman" w:cs="Times New Roman"/>
                <w:sz w:val="24"/>
                <w:szCs w:val="24"/>
              </w:rPr>
            </w:pPr>
            <w:r w:rsidRPr="003F5D3B">
              <w:rPr>
                <w:rFonts w:ascii="Times New Roman" w:hAnsi="Times New Roman" w:cs="Times New Roman"/>
                <w:sz w:val="24"/>
                <w:szCs w:val="24"/>
              </w:rPr>
              <w:t>К</w:t>
            </w:r>
            <w:r w:rsidR="00654DF4" w:rsidRPr="003F5D3B">
              <w:rPr>
                <w:rFonts w:ascii="Times New Roman" w:hAnsi="Times New Roman" w:cs="Times New Roman"/>
                <w:sz w:val="24"/>
                <w:szCs w:val="24"/>
              </w:rPr>
              <w:t>омитет</w:t>
            </w:r>
            <w:r w:rsidR="00654DF4" w:rsidRPr="003F5D3B">
              <w:rPr>
                <w:rFonts w:ascii="Times Roman" w:hAnsi="Times Roman" w:cs="Times New Roman"/>
                <w:sz w:val="24"/>
                <w:szCs w:val="24"/>
              </w:rPr>
              <w:t xml:space="preserve"> </w:t>
            </w:r>
            <w:r w:rsidR="00654DF4" w:rsidRPr="003F5D3B">
              <w:rPr>
                <w:rFonts w:ascii="Times New Roman" w:hAnsi="Times New Roman" w:cs="Times New Roman"/>
                <w:sz w:val="24"/>
                <w:szCs w:val="24"/>
              </w:rPr>
              <w:t>по</w:t>
            </w:r>
            <w:r w:rsidR="00654DF4" w:rsidRPr="003F5D3B">
              <w:rPr>
                <w:rFonts w:ascii="Times Roman" w:hAnsi="Times Roman" w:cs="Times New Roman"/>
                <w:sz w:val="24"/>
                <w:szCs w:val="24"/>
              </w:rPr>
              <w:t xml:space="preserve"> </w:t>
            </w:r>
            <w:r w:rsidR="00654DF4" w:rsidRPr="003F5D3B">
              <w:rPr>
                <w:rFonts w:ascii="Times New Roman" w:hAnsi="Times New Roman" w:cs="Times New Roman"/>
                <w:sz w:val="24"/>
                <w:szCs w:val="24"/>
              </w:rPr>
              <w:t>жилищно</w:t>
            </w:r>
            <w:r w:rsidR="00654DF4" w:rsidRPr="003F5D3B">
              <w:rPr>
                <w:rFonts w:ascii="Times Roman" w:hAnsi="Times Roman" w:cs="Times New Roman"/>
                <w:sz w:val="24"/>
                <w:szCs w:val="24"/>
              </w:rPr>
              <w:t>-</w:t>
            </w:r>
            <w:r w:rsidR="00654DF4" w:rsidRPr="003F5D3B">
              <w:rPr>
                <w:rFonts w:ascii="Times New Roman" w:hAnsi="Times New Roman" w:cs="Times New Roman"/>
                <w:sz w:val="24"/>
                <w:szCs w:val="24"/>
              </w:rPr>
              <w:t>коммунальному</w:t>
            </w:r>
            <w:r w:rsidR="00654DF4" w:rsidRPr="003F5D3B">
              <w:rPr>
                <w:rFonts w:ascii="Times Roman" w:hAnsi="Times Roman" w:cs="Times New Roman"/>
                <w:sz w:val="24"/>
                <w:szCs w:val="24"/>
              </w:rPr>
              <w:t xml:space="preserve"> </w:t>
            </w:r>
            <w:r w:rsidR="00654DF4" w:rsidRPr="003F5D3B">
              <w:rPr>
                <w:rFonts w:ascii="Times New Roman" w:hAnsi="Times New Roman" w:cs="Times New Roman"/>
                <w:sz w:val="24"/>
                <w:szCs w:val="24"/>
              </w:rPr>
              <w:t>хозяйству</w:t>
            </w:r>
            <w:r w:rsidR="00654DF4" w:rsidRPr="003F5D3B">
              <w:rPr>
                <w:rFonts w:ascii="Times Roman" w:hAnsi="Times Roman" w:cs="Times New Roman"/>
                <w:sz w:val="24"/>
                <w:szCs w:val="24"/>
              </w:rPr>
              <w:t xml:space="preserve"> </w:t>
            </w:r>
            <w:r w:rsidRPr="003F5D3B">
              <w:rPr>
                <w:rFonts w:ascii="Times New Roman" w:hAnsi="Times New Roman" w:cs="Times New Roman"/>
                <w:sz w:val="24"/>
                <w:szCs w:val="24"/>
              </w:rPr>
              <w:t>Л</w:t>
            </w:r>
            <w:r w:rsidR="00654DF4" w:rsidRPr="003F5D3B">
              <w:rPr>
                <w:rFonts w:ascii="Times New Roman" w:hAnsi="Times New Roman" w:cs="Times New Roman"/>
                <w:sz w:val="24"/>
                <w:szCs w:val="24"/>
              </w:rPr>
              <w:t>енинградской</w:t>
            </w:r>
            <w:r w:rsidR="00654DF4" w:rsidRPr="003F5D3B">
              <w:rPr>
                <w:rFonts w:ascii="Times Roman" w:hAnsi="Times Roman" w:cs="Times New Roman"/>
                <w:sz w:val="24"/>
                <w:szCs w:val="24"/>
              </w:rPr>
              <w:t xml:space="preserve"> </w:t>
            </w:r>
            <w:r w:rsidR="00654DF4" w:rsidRPr="003F5D3B">
              <w:rPr>
                <w:rFonts w:ascii="Times New Roman" w:hAnsi="Times New Roman" w:cs="Times New Roman"/>
                <w:sz w:val="24"/>
                <w:szCs w:val="24"/>
              </w:rPr>
              <w:t>области</w:t>
            </w:r>
          </w:p>
        </w:tc>
        <w:tc>
          <w:tcPr>
            <w:tcW w:w="1507" w:type="pct"/>
            <w:vAlign w:val="center"/>
          </w:tcPr>
          <w:p w:rsidR="00654DF4" w:rsidRPr="003F5D3B" w:rsidRDefault="00C146FE" w:rsidP="003F5D3B">
            <w:pPr>
              <w:rPr>
                <w:rFonts w:ascii="Times Roman" w:hAnsi="Times Roman" w:cs="Times New Roman"/>
                <w:sz w:val="24"/>
                <w:szCs w:val="24"/>
              </w:rPr>
            </w:pPr>
            <w:r w:rsidRPr="003F5D3B">
              <w:rPr>
                <w:rFonts w:ascii="Times New Roman" w:hAnsi="Times New Roman" w:cs="Times New Roman"/>
                <w:sz w:val="24"/>
                <w:szCs w:val="24"/>
              </w:rPr>
              <w:t>Х</w:t>
            </w:r>
            <w:r w:rsidR="003213D4" w:rsidRPr="003F5D3B">
              <w:rPr>
                <w:rFonts w:ascii="Times New Roman" w:hAnsi="Times New Roman" w:cs="Times New Roman"/>
                <w:sz w:val="24"/>
                <w:szCs w:val="24"/>
              </w:rPr>
              <w:t>абаров</w:t>
            </w:r>
            <w:r w:rsidRPr="003F5D3B">
              <w:rPr>
                <w:rFonts w:ascii="Times Roman" w:hAnsi="Times Roman" w:cs="Times New Roman"/>
                <w:sz w:val="24"/>
                <w:szCs w:val="24"/>
              </w:rPr>
              <w:t xml:space="preserve"> </w:t>
            </w:r>
            <w:r w:rsidRPr="003F5D3B">
              <w:rPr>
                <w:rFonts w:ascii="Times New Roman" w:hAnsi="Times New Roman" w:cs="Times New Roman"/>
                <w:sz w:val="24"/>
                <w:szCs w:val="24"/>
              </w:rPr>
              <w:t>Валерий</w:t>
            </w:r>
            <w:r w:rsidRPr="003F5D3B">
              <w:rPr>
                <w:rFonts w:ascii="Times Roman" w:hAnsi="Times Roman" w:cs="Times New Roman"/>
                <w:sz w:val="24"/>
                <w:szCs w:val="24"/>
              </w:rPr>
              <w:t xml:space="preserve"> </w:t>
            </w:r>
            <w:r w:rsidRPr="003F5D3B">
              <w:rPr>
                <w:rFonts w:ascii="Times New Roman" w:hAnsi="Times New Roman" w:cs="Times New Roman"/>
                <w:sz w:val="24"/>
                <w:szCs w:val="24"/>
              </w:rPr>
              <w:t>Сергеевич</w:t>
            </w:r>
            <w:r w:rsidR="000C0612" w:rsidRPr="003F5D3B">
              <w:rPr>
                <w:rFonts w:ascii="Times Roman" w:hAnsi="Times Roman" w:cs="Times New Roman"/>
                <w:sz w:val="24"/>
                <w:szCs w:val="24"/>
              </w:rPr>
              <w:t xml:space="preserve"> –</w:t>
            </w:r>
            <w:r w:rsidR="003F5D3B">
              <w:rPr>
                <w:rFonts w:cs="Times New Roman"/>
                <w:sz w:val="24"/>
                <w:szCs w:val="24"/>
              </w:rPr>
              <w:t xml:space="preserve"> </w:t>
            </w:r>
            <w:r w:rsidR="00CB6DEF" w:rsidRPr="003F5D3B">
              <w:rPr>
                <w:rFonts w:ascii="Times New Roman" w:hAnsi="Times New Roman" w:cs="Times New Roman"/>
                <w:sz w:val="24"/>
                <w:szCs w:val="24"/>
              </w:rPr>
              <w:t>заместитель</w:t>
            </w:r>
            <w:r w:rsidR="00CB6DEF" w:rsidRPr="003F5D3B">
              <w:rPr>
                <w:rFonts w:ascii="Times Roman" w:hAnsi="Times Roman" w:cs="Times New Roman"/>
                <w:sz w:val="24"/>
                <w:szCs w:val="24"/>
              </w:rPr>
              <w:t xml:space="preserve"> </w:t>
            </w:r>
            <w:r w:rsidR="00CB6DEF" w:rsidRPr="003F5D3B">
              <w:rPr>
                <w:rFonts w:ascii="Times New Roman" w:hAnsi="Times New Roman" w:cs="Times New Roman"/>
                <w:sz w:val="24"/>
                <w:szCs w:val="24"/>
              </w:rPr>
              <w:t>председателя</w:t>
            </w:r>
            <w:r w:rsidR="00CB6DEF" w:rsidRPr="003F5D3B">
              <w:rPr>
                <w:rFonts w:ascii="Times Roman" w:hAnsi="Times Roman" w:cs="Times New Roman"/>
                <w:sz w:val="24"/>
                <w:szCs w:val="24"/>
              </w:rPr>
              <w:t xml:space="preserve"> </w:t>
            </w:r>
            <w:r w:rsidR="00CB6DEF" w:rsidRPr="003F5D3B">
              <w:rPr>
                <w:rFonts w:ascii="Times New Roman" w:hAnsi="Times New Roman" w:cs="Times New Roman"/>
                <w:sz w:val="24"/>
                <w:szCs w:val="24"/>
              </w:rPr>
              <w:t>комитета</w:t>
            </w:r>
          </w:p>
        </w:tc>
        <w:tc>
          <w:tcPr>
            <w:tcW w:w="1786" w:type="pct"/>
            <w:vAlign w:val="center"/>
          </w:tcPr>
          <w:p w:rsidR="00654DF4" w:rsidRPr="003F5D3B" w:rsidRDefault="00D50493" w:rsidP="003F5D3B">
            <w:pPr>
              <w:rPr>
                <w:rFonts w:ascii="Times Roman" w:hAnsi="Times Roman" w:cs="Times New Roman"/>
                <w:sz w:val="24"/>
                <w:szCs w:val="24"/>
              </w:rPr>
            </w:pPr>
            <w:r w:rsidRPr="003F5D3B">
              <w:rPr>
                <w:rFonts w:ascii="Times New Roman" w:hAnsi="Times New Roman" w:cs="Times New Roman"/>
                <w:sz w:val="24"/>
                <w:szCs w:val="24"/>
              </w:rPr>
              <w:t>отдел</w:t>
            </w:r>
            <w:r w:rsidRPr="003F5D3B">
              <w:rPr>
                <w:rFonts w:ascii="Times Roman" w:hAnsi="Times Roman" w:cs="Times New Roman"/>
                <w:sz w:val="24"/>
                <w:szCs w:val="24"/>
              </w:rPr>
              <w:t xml:space="preserve"> </w:t>
            </w:r>
            <w:r w:rsidRPr="003F5D3B">
              <w:rPr>
                <w:rFonts w:ascii="Times New Roman" w:hAnsi="Times New Roman" w:cs="Times New Roman"/>
                <w:sz w:val="24"/>
                <w:szCs w:val="24"/>
              </w:rPr>
              <w:t>коммунальной</w:t>
            </w:r>
            <w:r w:rsidRPr="003F5D3B">
              <w:rPr>
                <w:rFonts w:ascii="Times Roman" w:hAnsi="Times Roman" w:cs="Times New Roman"/>
                <w:sz w:val="24"/>
                <w:szCs w:val="24"/>
              </w:rPr>
              <w:t xml:space="preserve"> </w:t>
            </w:r>
            <w:r w:rsidRPr="003F5D3B">
              <w:rPr>
                <w:rFonts w:ascii="Times New Roman" w:hAnsi="Times New Roman" w:cs="Times New Roman"/>
                <w:sz w:val="24"/>
                <w:szCs w:val="24"/>
              </w:rPr>
              <w:t>инфраструктуры</w:t>
            </w:r>
          </w:p>
        </w:tc>
      </w:tr>
      <w:tr w:rsidR="00654DF4" w:rsidRPr="003F5D3B" w:rsidTr="003F5D3B">
        <w:trPr>
          <w:trHeight w:val="1089"/>
        </w:trPr>
        <w:tc>
          <w:tcPr>
            <w:tcW w:w="257" w:type="pct"/>
            <w:vAlign w:val="center"/>
          </w:tcPr>
          <w:p w:rsidR="00654DF4" w:rsidRPr="003F5D3B" w:rsidRDefault="00654DF4" w:rsidP="003F5D3B">
            <w:pPr>
              <w:numPr>
                <w:ilvl w:val="0"/>
                <w:numId w:val="4"/>
              </w:numPr>
              <w:ind w:left="0" w:firstLine="142"/>
              <w:rPr>
                <w:rFonts w:ascii="Times Roman" w:hAnsi="Times Roman" w:cs="Times New Roman"/>
                <w:sz w:val="24"/>
                <w:szCs w:val="24"/>
              </w:rPr>
            </w:pPr>
          </w:p>
        </w:tc>
        <w:tc>
          <w:tcPr>
            <w:tcW w:w="1450" w:type="pct"/>
            <w:vAlign w:val="center"/>
          </w:tcPr>
          <w:p w:rsidR="00C146FE" w:rsidRPr="003F5D3B" w:rsidRDefault="006445CF" w:rsidP="003F5D3B">
            <w:pPr>
              <w:rPr>
                <w:rFonts w:ascii="Times Roman" w:hAnsi="Times Roman" w:cs="Times New Roman"/>
                <w:sz w:val="24"/>
                <w:szCs w:val="24"/>
              </w:rPr>
            </w:pPr>
            <w:r w:rsidRPr="003F5D3B">
              <w:rPr>
                <w:rFonts w:ascii="Times New Roman" w:hAnsi="Times New Roman" w:cs="Times New Roman"/>
                <w:sz w:val="24"/>
                <w:szCs w:val="24"/>
              </w:rPr>
              <w:t>Л</w:t>
            </w:r>
            <w:r w:rsidR="00654DF4" w:rsidRPr="003F5D3B">
              <w:rPr>
                <w:rFonts w:ascii="Times New Roman" w:hAnsi="Times New Roman" w:cs="Times New Roman"/>
                <w:sz w:val="24"/>
                <w:szCs w:val="24"/>
              </w:rPr>
              <w:t>енинградский</w:t>
            </w:r>
            <w:r w:rsidR="00654DF4" w:rsidRPr="003F5D3B">
              <w:rPr>
                <w:rFonts w:ascii="Times Roman" w:hAnsi="Times Roman" w:cs="Times New Roman"/>
                <w:sz w:val="24"/>
                <w:szCs w:val="24"/>
              </w:rPr>
              <w:t xml:space="preserve"> </w:t>
            </w:r>
            <w:r w:rsidR="00654DF4" w:rsidRPr="003F5D3B">
              <w:rPr>
                <w:rFonts w:ascii="Times New Roman" w:hAnsi="Times New Roman" w:cs="Times New Roman"/>
                <w:sz w:val="24"/>
                <w:szCs w:val="24"/>
              </w:rPr>
              <w:t>областной</w:t>
            </w:r>
            <w:r w:rsidR="00654DF4" w:rsidRPr="003F5D3B">
              <w:rPr>
                <w:rFonts w:ascii="Times Roman" w:hAnsi="Times Roman" w:cs="Times New Roman"/>
                <w:sz w:val="24"/>
                <w:szCs w:val="24"/>
              </w:rPr>
              <w:t xml:space="preserve"> </w:t>
            </w:r>
            <w:r w:rsidR="00654DF4" w:rsidRPr="003F5D3B">
              <w:rPr>
                <w:rFonts w:ascii="Times New Roman" w:hAnsi="Times New Roman" w:cs="Times New Roman"/>
                <w:sz w:val="24"/>
                <w:szCs w:val="24"/>
              </w:rPr>
              <w:t>комитет</w:t>
            </w:r>
            <w:r w:rsidR="00654DF4" w:rsidRPr="003F5D3B">
              <w:rPr>
                <w:rFonts w:ascii="Times Roman" w:hAnsi="Times Roman" w:cs="Times New Roman"/>
                <w:sz w:val="24"/>
                <w:szCs w:val="24"/>
              </w:rPr>
              <w:t xml:space="preserve"> </w:t>
            </w:r>
            <w:r w:rsidR="00654DF4" w:rsidRPr="003F5D3B">
              <w:rPr>
                <w:rFonts w:ascii="Times New Roman" w:hAnsi="Times New Roman" w:cs="Times New Roman"/>
                <w:sz w:val="24"/>
                <w:szCs w:val="24"/>
              </w:rPr>
              <w:t>по</w:t>
            </w:r>
            <w:r w:rsidR="00654DF4" w:rsidRPr="003F5D3B">
              <w:rPr>
                <w:rFonts w:ascii="Times Roman" w:hAnsi="Times Roman" w:cs="Times New Roman"/>
                <w:sz w:val="24"/>
                <w:szCs w:val="24"/>
              </w:rPr>
              <w:t xml:space="preserve"> </w:t>
            </w:r>
            <w:r w:rsidR="00654DF4" w:rsidRPr="003F5D3B">
              <w:rPr>
                <w:rFonts w:ascii="Times New Roman" w:hAnsi="Times New Roman" w:cs="Times New Roman"/>
                <w:sz w:val="24"/>
                <w:szCs w:val="24"/>
              </w:rPr>
              <w:t>управлению</w:t>
            </w:r>
            <w:r w:rsidR="00654DF4" w:rsidRPr="003F5D3B">
              <w:rPr>
                <w:rFonts w:ascii="Times Roman" w:hAnsi="Times Roman" w:cs="Times New Roman"/>
                <w:sz w:val="24"/>
                <w:szCs w:val="24"/>
              </w:rPr>
              <w:t xml:space="preserve"> </w:t>
            </w:r>
            <w:r w:rsidR="00654DF4" w:rsidRPr="003F5D3B">
              <w:rPr>
                <w:rFonts w:ascii="Times New Roman" w:hAnsi="Times New Roman" w:cs="Times New Roman"/>
                <w:sz w:val="24"/>
                <w:szCs w:val="24"/>
              </w:rPr>
              <w:t>государственным</w:t>
            </w:r>
            <w:r w:rsidR="00654DF4" w:rsidRPr="003F5D3B">
              <w:rPr>
                <w:rFonts w:ascii="Times Roman" w:hAnsi="Times Roman" w:cs="Times New Roman"/>
                <w:sz w:val="24"/>
                <w:szCs w:val="24"/>
              </w:rPr>
              <w:t xml:space="preserve"> </w:t>
            </w:r>
            <w:r w:rsidR="00654DF4" w:rsidRPr="003F5D3B">
              <w:rPr>
                <w:rFonts w:ascii="Times New Roman" w:hAnsi="Times New Roman" w:cs="Times New Roman"/>
                <w:sz w:val="24"/>
                <w:szCs w:val="24"/>
              </w:rPr>
              <w:t>имуществом</w:t>
            </w:r>
          </w:p>
        </w:tc>
        <w:tc>
          <w:tcPr>
            <w:tcW w:w="1507" w:type="pct"/>
            <w:vAlign w:val="center"/>
          </w:tcPr>
          <w:p w:rsidR="00654DF4" w:rsidRPr="003F5D3B" w:rsidRDefault="003213D4" w:rsidP="003F5D3B">
            <w:pPr>
              <w:rPr>
                <w:rFonts w:ascii="Times Roman" w:hAnsi="Times Roman" w:cs="Times New Roman"/>
                <w:sz w:val="24"/>
                <w:szCs w:val="24"/>
              </w:rPr>
            </w:pPr>
            <w:r w:rsidRPr="003F5D3B">
              <w:rPr>
                <w:rFonts w:ascii="Times New Roman" w:hAnsi="Times New Roman" w:cs="Times New Roman"/>
                <w:sz w:val="24"/>
                <w:szCs w:val="24"/>
              </w:rPr>
              <w:t>Приказнова</w:t>
            </w:r>
            <w:r w:rsidRPr="003F5D3B">
              <w:rPr>
                <w:rFonts w:ascii="Times Roman" w:hAnsi="Times Roman" w:cs="Times New Roman"/>
                <w:sz w:val="24"/>
                <w:szCs w:val="24"/>
              </w:rPr>
              <w:t xml:space="preserve"> </w:t>
            </w:r>
            <w:r w:rsidRPr="003F5D3B">
              <w:rPr>
                <w:rFonts w:ascii="Times New Roman" w:hAnsi="Times New Roman" w:cs="Times New Roman"/>
                <w:sz w:val="24"/>
                <w:szCs w:val="24"/>
              </w:rPr>
              <w:t>Лариса</w:t>
            </w:r>
            <w:r w:rsidRPr="003F5D3B">
              <w:rPr>
                <w:rFonts w:ascii="Times Roman" w:hAnsi="Times Roman" w:cs="Times New Roman"/>
                <w:sz w:val="24"/>
                <w:szCs w:val="24"/>
              </w:rPr>
              <w:t xml:space="preserve"> </w:t>
            </w:r>
            <w:r w:rsidRPr="003F5D3B">
              <w:rPr>
                <w:rFonts w:ascii="Times New Roman" w:hAnsi="Times New Roman" w:cs="Times New Roman"/>
                <w:sz w:val="24"/>
                <w:szCs w:val="24"/>
              </w:rPr>
              <w:t>Геннадьевна</w:t>
            </w:r>
            <w:r w:rsidRPr="003F5D3B">
              <w:rPr>
                <w:rFonts w:ascii="Times Roman" w:hAnsi="Times Roman" w:cs="Times New Roman"/>
                <w:sz w:val="24"/>
                <w:szCs w:val="24"/>
              </w:rPr>
              <w:t xml:space="preserve"> - </w:t>
            </w:r>
            <w:r w:rsidRPr="003F5D3B">
              <w:rPr>
                <w:rFonts w:ascii="Times New Roman" w:hAnsi="Times New Roman" w:cs="Times New Roman"/>
                <w:sz w:val="24"/>
                <w:szCs w:val="24"/>
              </w:rPr>
              <w:t>заместитель</w:t>
            </w:r>
            <w:r w:rsidRPr="003F5D3B">
              <w:rPr>
                <w:rFonts w:ascii="Times Roman" w:hAnsi="Times Roman" w:cs="Times New Roman"/>
                <w:sz w:val="24"/>
                <w:szCs w:val="24"/>
              </w:rPr>
              <w:t xml:space="preserve"> </w:t>
            </w:r>
            <w:r w:rsidRPr="003F5D3B">
              <w:rPr>
                <w:rFonts w:ascii="Times New Roman" w:hAnsi="Times New Roman" w:cs="Times New Roman"/>
                <w:sz w:val="24"/>
                <w:szCs w:val="24"/>
              </w:rPr>
              <w:t>председателя</w:t>
            </w:r>
            <w:r w:rsidRPr="003F5D3B">
              <w:rPr>
                <w:rFonts w:ascii="Times Roman" w:hAnsi="Times Roman" w:cs="Times New Roman"/>
                <w:sz w:val="24"/>
                <w:szCs w:val="24"/>
              </w:rPr>
              <w:t xml:space="preserve"> </w:t>
            </w:r>
            <w:r w:rsidRPr="003F5D3B">
              <w:rPr>
                <w:rFonts w:ascii="Times New Roman" w:hAnsi="Times New Roman" w:cs="Times New Roman"/>
                <w:sz w:val="24"/>
                <w:szCs w:val="24"/>
              </w:rPr>
              <w:t>комитета</w:t>
            </w:r>
          </w:p>
        </w:tc>
        <w:tc>
          <w:tcPr>
            <w:tcW w:w="1786" w:type="pct"/>
            <w:vAlign w:val="center"/>
          </w:tcPr>
          <w:p w:rsidR="00654DF4" w:rsidRPr="003F5D3B" w:rsidRDefault="003213D4" w:rsidP="003F5D3B">
            <w:pPr>
              <w:rPr>
                <w:rFonts w:ascii="Times Roman" w:hAnsi="Times Roman" w:cs="Times New Roman"/>
                <w:sz w:val="24"/>
                <w:szCs w:val="24"/>
              </w:rPr>
            </w:pPr>
            <w:r w:rsidRPr="003F5D3B">
              <w:rPr>
                <w:rFonts w:ascii="Times New Roman" w:hAnsi="Times New Roman" w:cs="Times New Roman"/>
                <w:sz w:val="24"/>
                <w:szCs w:val="24"/>
              </w:rPr>
              <w:t>отдел</w:t>
            </w:r>
            <w:r w:rsidRPr="003F5D3B">
              <w:rPr>
                <w:rFonts w:ascii="Times Roman" w:hAnsi="Times Roman" w:cs="Times New Roman"/>
                <w:sz w:val="24"/>
                <w:szCs w:val="24"/>
              </w:rPr>
              <w:t xml:space="preserve"> </w:t>
            </w:r>
            <w:r w:rsidRPr="003F5D3B">
              <w:rPr>
                <w:rFonts w:ascii="Times New Roman" w:hAnsi="Times New Roman" w:cs="Times New Roman"/>
                <w:sz w:val="24"/>
                <w:szCs w:val="24"/>
              </w:rPr>
              <w:t>учета</w:t>
            </w:r>
            <w:r w:rsidRPr="003F5D3B">
              <w:rPr>
                <w:rFonts w:ascii="Times Roman" w:hAnsi="Times Roman" w:cs="Times New Roman"/>
                <w:sz w:val="24"/>
                <w:szCs w:val="24"/>
              </w:rPr>
              <w:t xml:space="preserve"> </w:t>
            </w:r>
            <w:r w:rsidRPr="003F5D3B">
              <w:rPr>
                <w:rFonts w:ascii="Times New Roman" w:hAnsi="Times New Roman" w:cs="Times New Roman"/>
                <w:sz w:val="24"/>
                <w:szCs w:val="24"/>
              </w:rPr>
              <w:t>государственного</w:t>
            </w:r>
            <w:r w:rsidRPr="003F5D3B">
              <w:rPr>
                <w:rFonts w:ascii="Times Roman" w:hAnsi="Times Roman" w:cs="Times New Roman"/>
                <w:sz w:val="24"/>
                <w:szCs w:val="24"/>
              </w:rPr>
              <w:t xml:space="preserve"> </w:t>
            </w:r>
            <w:r w:rsidRPr="003F5D3B">
              <w:rPr>
                <w:rFonts w:ascii="Times New Roman" w:hAnsi="Times New Roman" w:cs="Times New Roman"/>
                <w:sz w:val="24"/>
                <w:szCs w:val="24"/>
              </w:rPr>
              <w:t>имущества</w:t>
            </w:r>
            <w:r w:rsidRPr="003F5D3B">
              <w:rPr>
                <w:rFonts w:ascii="Times Roman" w:hAnsi="Times Roman" w:cs="Times New Roman"/>
                <w:sz w:val="24"/>
                <w:szCs w:val="24"/>
              </w:rPr>
              <w:t xml:space="preserve">; </w:t>
            </w:r>
            <w:r w:rsidRPr="003F5D3B">
              <w:rPr>
                <w:rFonts w:ascii="Times New Roman" w:hAnsi="Times New Roman" w:cs="Times New Roman"/>
                <w:sz w:val="24"/>
                <w:szCs w:val="24"/>
              </w:rPr>
              <w:t>отдел</w:t>
            </w:r>
            <w:r w:rsidRPr="003F5D3B">
              <w:rPr>
                <w:rFonts w:ascii="Times Roman" w:hAnsi="Times Roman" w:cs="Times New Roman"/>
                <w:sz w:val="24"/>
                <w:szCs w:val="24"/>
              </w:rPr>
              <w:t xml:space="preserve"> </w:t>
            </w:r>
            <w:r w:rsidRPr="003F5D3B">
              <w:rPr>
                <w:rFonts w:ascii="Times New Roman" w:hAnsi="Times New Roman" w:cs="Times New Roman"/>
                <w:sz w:val="24"/>
                <w:szCs w:val="24"/>
              </w:rPr>
              <w:t>распоряжения</w:t>
            </w:r>
            <w:r w:rsidRPr="003F5D3B">
              <w:rPr>
                <w:rFonts w:ascii="Times Roman" w:hAnsi="Times Roman" w:cs="Times New Roman"/>
                <w:sz w:val="24"/>
                <w:szCs w:val="24"/>
              </w:rPr>
              <w:t xml:space="preserve"> </w:t>
            </w:r>
            <w:r w:rsidRPr="003F5D3B">
              <w:rPr>
                <w:rFonts w:ascii="Times New Roman" w:hAnsi="Times New Roman" w:cs="Times New Roman"/>
                <w:sz w:val="24"/>
                <w:szCs w:val="24"/>
              </w:rPr>
              <w:t>и</w:t>
            </w:r>
            <w:r w:rsidRPr="003F5D3B">
              <w:rPr>
                <w:rFonts w:ascii="Times Roman" w:hAnsi="Times Roman" w:cs="Times New Roman"/>
                <w:sz w:val="24"/>
                <w:szCs w:val="24"/>
              </w:rPr>
              <w:t xml:space="preserve"> </w:t>
            </w:r>
            <w:r w:rsidRPr="003F5D3B">
              <w:rPr>
                <w:rFonts w:ascii="Times New Roman" w:hAnsi="Times New Roman" w:cs="Times New Roman"/>
                <w:sz w:val="24"/>
                <w:szCs w:val="24"/>
              </w:rPr>
              <w:t>контроля</w:t>
            </w:r>
            <w:r w:rsidRPr="003F5D3B">
              <w:rPr>
                <w:rFonts w:ascii="Times Roman" w:hAnsi="Times Roman" w:cs="Times New Roman"/>
                <w:sz w:val="24"/>
                <w:szCs w:val="24"/>
              </w:rPr>
              <w:t xml:space="preserve"> </w:t>
            </w:r>
            <w:r w:rsidRPr="003F5D3B">
              <w:rPr>
                <w:rFonts w:ascii="Times New Roman" w:hAnsi="Times New Roman" w:cs="Times New Roman"/>
                <w:sz w:val="24"/>
                <w:szCs w:val="24"/>
              </w:rPr>
              <w:t>за</w:t>
            </w:r>
            <w:r w:rsidRPr="003F5D3B">
              <w:rPr>
                <w:rFonts w:ascii="Times Roman" w:hAnsi="Times Roman" w:cs="Times New Roman"/>
                <w:sz w:val="24"/>
                <w:szCs w:val="24"/>
              </w:rPr>
              <w:t xml:space="preserve"> </w:t>
            </w:r>
            <w:r w:rsidRPr="003F5D3B">
              <w:rPr>
                <w:rFonts w:ascii="Times New Roman" w:hAnsi="Times New Roman" w:cs="Times New Roman"/>
                <w:sz w:val="24"/>
                <w:szCs w:val="24"/>
              </w:rPr>
              <w:t>использованием</w:t>
            </w:r>
            <w:r w:rsidRPr="003F5D3B">
              <w:rPr>
                <w:rFonts w:ascii="Times Roman" w:hAnsi="Times Roman" w:cs="Times New Roman"/>
                <w:sz w:val="24"/>
                <w:szCs w:val="24"/>
              </w:rPr>
              <w:t xml:space="preserve"> </w:t>
            </w:r>
            <w:r w:rsidRPr="003F5D3B">
              <w:rPr>
                <w:rFonts w:ascii="Times New Roman" w:hAnsi="Times New Roman" w:cs="Times New Roman"/>
                <w:sz w:val="24"/>
                <w:szCs w:val="24"/>
              </w:rPr>
              <w:t>государственного</w:t>
            </w:r>
            <w:r w:rsidRPr="003F5D3B">
              <w:rPr>
                <w:rFonts w:ascii="Times Roman" w:hAnsi="Times Roman" w:cs="Times New Roman"/>
                <w:sz w:val="24"/>
                <w:szCs w:val="24"/>
              </w:rPr>
              <w:t xml:space="preserve"> </w:t>
            </w:r>
            <w:r w:rsidRPr="003F5D3B">
              <w:rPr>
                <w:rFonts w:ascii="Times New Roman" w:hAnsi="Times New Roman" w:cs="Times New Roman"/>
                <w:sz w:val="24"/>
                <w:szCs w:val="24"/>
              </w:rPr>
              <w:t>имущества</w:t>
            </w:r>
            <w:r w:rsidRPr="003F5D3B">
              <w:rPr>
                <w:rFonts w:ascii="Times Roman" w:hAnsi="Times Roman" w:cs="Times New Roman"/>
                <w:sz w:val="24"/>
                <w:szCs w:val="24"/>
              </w:rPr>
              <w:t xml:space="preserve">; </w:t>
            </w:r>
            <w:r w:rsidRPr="003F5D3B">
              <w:rPr>
                <w:rFonts w:ascii="Times New Roman" w:hAnsi="Times New Roman" w:cs="Times New Roman"/>
                <w:sz w:val="24"/>
                <w:szCs w:val="24"/>
              </w:rPr>
              <w:t>отдел</w:t>
            </w:r>
            <w:r w:rsidRPr="003F5D3B">
              <w:rPr>
                <w:rFonts w:ascii="Times Roman" w:hAnsi="Times Roman" w:cs="Times New Roman"/>
                <w:sz w:val="24"/>
                <w:szCs w:val="24"/>
              </w:rPr>
              <w:t xml:space="preserve"> </w:t>
            </w:r>
            <w:r w:rsidRPr="003F5D3B">
              <w:rPr>
                <w:rFonts w:ascii="Times New Roman" w:hAnsi="Times New Roman" w:cs="Times New Roman"/>
                <w:sz w:val="24"/>
                <w:szCs w:val="24"/>
              </w:rPr>
              <w:t>распоряжения</w:t>
            </w:r>
            <w:r w:rsidRPr="003F5D3B">
              <w:rPr>
                <w:rFonts w:ascii="Times Roman" w:hAnsi="Times Roman" w:cs="Times New Roman"/>
                <w:sz w:val="24"/>
                <w:szCs w:val="24"/>
              </w:rPr>
              <w:t xml:space="preserve"> </w:t>
            </w:r>
            <w:r w:rsidRPr="003F5D3B">
              <w:rPr>
                <w:rFonts w:ascii="Times New Roman" w:hAnsi="Times New Roman" w:cs="Times New Roman"/>
                <w:sz w:val="24"/>
                <w:szCs w:val="24"/>
              </w:rPr>
              <w:t>и</w:t>
            </w:r>
            <w:r w:rsidRPr="003F5D3B">
              <w:rPr>
                <w:rFonts w:ascii="Times Roman" w:hAnsi="Times Roman" w:cs="Times New Roman"/>
                <w:sz w:val="24"/>
                <w:szCs w:val="24"/>
              </w:rPr>
              <w:t xml:space="preserve"> </w:t>
            </w:r>
            <w:r w:rsidRPr="003F5D3B">
              <w:rPr>
                <w:rFonts w:ascii="Times New Roman" w:hAnsi="Times New Roman" w:cs="Times New Roman"/>
                <w:sz w:val="24"/>
                <w:szCs w:val="24"/>
              </w:rPr>
              <w:t>контроля</w:t>
            </w:r>
            <w:r w:rsidRPr="003F5D3B">
              <w:rPr>
                <w:rFonts w:ascii="Times Roman" w:hAnsi="Times Roman" w:cs="Times New Roman"/>
                <w:sz w:val="24"/>
                <w:szCs w:val="24"/>
              </w:rPr>
              <w:t xml:space="preserve"> </w:t>
            </w:r>
            <w:r w:rsidRPr="003F5D3B">
              <w:rPr>
                <w:rFonts w:ascii="Times New Roman" w:hAnsi="Times New Roman" w:cs="Times New Roman"/>
                <w:sz w:val="24"/>
                <w:szCs w:val="24"/>
              </w:rPr>
              <w:t>за</w:t>
            </w:r>
            <w:r w:rsidRPr="003F5D3B">
              <w:rPr>
                <w:rFonts w:ascii="Times Roman" w:hAnsi="Times Roman" w:cs="Times New Roman"/>
                <w:sz w:val="24"/>
                <w:szCs w:val="24"/>
              </w:rPr>
              <w:t xml:space="preserve"> </w:t>
            </w:r>
            <w:r w:rsidRPr="003F5D3B">
              <w:rPr>
                <w:rFonts w:ascii="Times New Roman" w:hAnsi="Times New Roman" w:cs="Times New Roman"/>
                <w:sz w:val="24"/>
                <w:szCs w:val="24"/>
              </w:rPr>
              <w:t>использованием</w:t>
            </w:r>
            <w:r w:rsidRPr="003F5D3B">
              <w:rPr>
                <w:rFonts w:ascii="Times Roman" w:hAnsi="Times Roman" w:cs="Times New Roman"/>
                <w:sz w:val="24"/>
                <w:szCs w:val="24"/>
              </w:rPr>
              <w:t xml:space="preserve"> </w:t>
            </w:r>
            <w:r w:rsidRPr="003F5D3B">
              <w:rPr>
                <w:rFonts w:ascii="Times New Roman" w:hAnsi="Times New Roman" w:cs="Times New Roman"/>
                <w:sz w:val="24"/>
                <w:szCs w:val="24"/>
              </w:rPr>
              <w:t>земельных</w:t>
            </w:r>
            <w:r w:rsidRPr="003F5D3B">
              <w:rPr>
                <w:rFonts w:ascii="Times Roman" w:hAnsi="Times Roman" w:cs="Times New Roman"/>
                <w:sz w:val="24"/>
                <w:szCs w:val="24"/>
              </w:rPr>
              <w:t xml:space="preserve"> </w:t>
            </w:r>
            <w:r w:rsidRPr="003F5D3B">
              <w:rPr>
                <w:rFonts w:ascii="Times New Roman" w:hAnsi="Times New Roman" w:cs="Times New Roman"/>
                <w:sz w:val="24"/>
                <w:szCs w:val="24"/>
              </w:rPr>
              <w:t>ресурсов</w:t>
            </w:r>
            <w:r w:rsidRPr="003F5D3B">
              <w:rPr>
                <w:rFonts w:ascii="Times Roman" w:hAnsi="Times Roman" w:cs="Times New Roman"/>
                <w:sz w:val="24"/>
                <w:szCs w:val="24"/>
              </w:rPr>
              <w:t xml:space="preserve">; </w:t>
            </w:r>
            <w:r w:rsidRPr="003F5D3B">
              <w:rPr>
                <w:rFonts w:ascii="Times New Roman" w:hAnsi="Times New Roman" w:cs="Times New Roman"/>
                <w:sz w:val="24"/>
                <w:szCs w:val="24"/>
              </w:rPr>
              <w:t>отдел</w:t>
            </w:r>
            <w:r w:rsidRPr="003F5D3B">
              <w:rPr>
                <w:rFonts w:ascii="Times Roman" w:hAnsi="Times Roman" w:cs="Times New Roman"/>
                <w:sz w:val="24"/>
                <w:szCs w:val="24"/>
              </w:rPr>
              <w:t xml:space="preserve"> </w:t>
            </w:r>
            <w:r w:rsidRPr="003F5D3B">
              <w:rPr>
                <w:rFonts w:ascii="Times New Roman" w:hAnsi="Times New Roman" w:cs="Times New Roman"/>
                <w:sz w:val="24"/>
                <w:szCs w:val="24"/>
              </w:rPr>
              <w:t>управления</w:t>
            </w:r>
            <w:r w:rsidRPr="003F5D3B">
              <w:rPr>
                <w:rFonts w:ascii="Times Roman" w:hAnsi="Times Roman" w:cs="Times New Roman"/>
                <w:sz w:val="24"/>
                <w:szCs w:val="24"/>
              </w:rPr>
              <w:t xml:space="preserve"> </w:t>
            </w:r>
            <w:r w:rsidRPr="003F5D3B">
              <w:rPr>
                <w:rFonts w:ascii="Times New Roman" w:hAnsi="Times New Roman" w:cs="Times New Roman"/>
                <w:sz w:val="24"/>
                <w:szCs w:val="24"/>
              </w:rPr>
              <w:t>активами</w:t>
            </w:r>
            <w:r w:rsidRPr="003F5D3B">
              <w:rPr>
                <w:rFonts w:ascii="Times Roman" w:hAnsi="Times Roman" w:cs="Times New Roman"/>
                <w:sz w:val="24"/>
                <w:szCs w:val="24"/>
              </w:rPr>
              <w:t xml:space="preserve"> </w:t>
            </w:r>
            <w:r w:rsidRPr="003F5D3B">
              <w:rPr>
                <w:rFonts w:ascii="Times New Roman" w:hAnsi="Times New Roman" w:cs="Times New Roman"/>
                <w:sz w:val="24"/>
                <w:szCs w:val="24"/>
              </w:rPr>
              <w:t>и</w:t>
            </w:r>
            <w:r w:rsidRPr="003F5D3B">
              <w:rPr>
                <w:rFonts w:ascii="Times Roman" w:hAnsi="Times Roman" w:cs="Times New Roman"/>
                <w:sz w:val="24"/>
                <w:szCs w:val="24"/>
              </w:rPr>
              <w:t xml:space="preserve"> </w:t>
            </w:r>
            <w:r w:rsidRPr="003F5D3B">
              <w:rPr>
                <w:rFonts w:ascii="Times New Roman" w:hAnsi="Times New Roman" w:cs="Times New Roman"/>
                <w:sz w:val="24"/>
                <w:szCs w:val="24"/>
              </w:rPr>
              <w:t>приватизации</w:t>
            </w:r>
            <w:r w:rsidRPr="003F5D3B">
              <w:rPr>
                <w:rFonts w:ascii="Times Roman" w:hAnsi="Times Roman" w:cs="Times New Roman"/>
                <w:sz w:val="24"/>
                <w:szCs w:val="24"/>
              </w:rPr>
              <w:t xml:space="preserve">; </w:t>
            </w:r>
            <w:r w:rsidRPr="003F5D3B">
              <w:rPr>
                <w:rFonts w:ascii="Times New Roman" w:hAnsi="Times New Roman" w:cs="Times New Roman"/>
                <w:sz w:val="24"/>
                <w:szCs w:val="24"/>
              </w:rPr>
              <w:t>отдел</w:t>
            </w:r>
            <w:r w:rsidRPr="003F5D3B">
              <w:rPr>
                <w:rFonts w:ascii="Times Roman" w:hAnsi="Times Roman" w:cs="Times New Roman"/>
                <w:sz w:val="24"/>
                <w:szCs w:val="24"/>
              </w:rPr>
              <w:t xml:space="preserve"> </w:t>
            </w:r>
            <w:r w:rsidRPr="003F5D3B">
              <w:rPr>
                <w:rFonts w:ascii="Times New Roman" w:hAnsi="Times New Roman" w:cs="Times New Roman"/>
                <w:sz w:val="24"/>
                <w:szCs w:val="24"/>
              </w:rPr>
              <w:t>формирования</w:t>
            </w:r>
            <w:r w:rsidRPr="003F5D3B">
              <w:rPr>
                <w:rFonts w:ascii="Times Roman" w:hAnsi="Times Roman" w:cs="Times New Roman"/>
                <w:sz w:val="24"/>
                <w:szCs w:val="24"/>
              </w:rPr>
              <w:t xml:space="preserve"> </w:t>
            </w:r>
            <w:r w:rsidRPr="003F5D3B">
              <w:rPr>
                <w:rFonts w:ascii="Times New Roman" w:hAnsi="Times New Roman" w:cs="Times New Roman"/>
                <w:sz w:val="24"/>
                <w:szCs w:val="24"/>
              </w:rPr>
              <w:t>и</w:t>
            </w:r>
            <w:r w:rsidRPr="003F5D3B">
              <w:rPr>
                <w:rFonts w:ascii="Times Roman" w:hAnsi="Times Roman" w:cs="Times New Roman"/>
                <w:sz w:val="24"/>
                <w:szCs w:val="24"/>
              </w:rPr>
              <w:t xml:space="preserve"> </w:t>
            </w:r>
            <w:r w:rsidRPr="003F5D3B">
              <w:rPr>
                <w:rFonts w:ascii="Times New Roman" w:hAnsi="Times New Roman" w:cs="Times New Roman"/>
                <w:sz w:val="24"/>
                <w:szCs w:val="24"/>
              </w:rPr>
              <w:t>учета</w:t>
            </w:r>
            <w:r w:rsidRPr="003F5D3B">
              <w:rPr>
                <w:rFonts w:ascii="Times Roman" w:hAnsi="Times Roman" w:cs="Times New Roman"/>
                <w:sz w:val="24"/>
                <w:szCs w:val="24"/>
              </w:rPr>
              <w:t xml:space="preserve"> </w:t>
            </w:r>
            <w:r w:rsidRPr="003F5D3B">
              <w:rPr>
                <w:rFonts w:ascii="Times New Roman" w:hAnsi="Times New Roman" w:cs="Times New Roman"/>
                <w:sz w:val="24"/>
                <w:szCs w:val="24"/>
              </w:rPr>
              <w:t>земельных</w:t>
            </w:r>
            <w:r w:rsidRPr="003F5D3B">
              <w:rPr>
                <w:rFonts w:ascii="Times Roman" w:hAnsi="Times Roman" w:cs="Times New Roman"/>
                <w:sz w:val="24"/>
                <w:szCs w:val="24"/>
              </w:rPr>
              <w:t xml:space="preserve"> </w:t>
            </w:r>
            <w:r w:rsidRPr="003F5D3B">
              <w:rPr>
                <w:rFonts w:ascii="Times New Roman" w:hAnsi="Times New Roman" w:cs="Times New Roman"/>
                <w:sz w:val="24"/>
                <w:szCs w:val="24"/>
              </w:rPr>
              <w:t>ресурсов</w:t>
            </w:r>
          </w:p>
        </w:tc>
      </w:tr>
      <w:tr w:rsidR="00C146FE" w:rsidRPr="003F5D3B" w:rsidTr="003F5D3B">
        <w:trPr>
          <w:trHeight w:val="1026"/>
        </w:trPr>
        <w:tc>
          <w:tcPr>
            <w:tcW w:w="257" w:type="pct"/>
            <w:vAlign w:val="center"/>
          </w:tcPr>
          <w:p w:rsidR="00C146FE" w:rsidRPr="003F5D3B" w:rsidRDefault="00C146FE" w:rsidP="003F5D3B">
            <w:pPr>
              <w:numPr>
                <w:ilvl w:val="0"/>
                <w:numId w:val="4"/>
              </w:numPr>
              <w:ind w:left="0" w:firstLine="142"/>
              <w:rPr>
                <w:rFonts w:ascii="Times Roman" w:hAnsi="Times Roman" w:cs="Times New Roman"/>
                <w:sz w:val="24"/>
                <w:szCs w:val="24"/>
              </w:rPr>
            </w:pPr>
          </w:p>
        </w:tc>
        <w:tc>
          <w:tcPr>
            <w:tcW w:w="1450" w:type="pct"/>
            <w:vAlign w:val="center"/>
          </w:tcPr>
          <w:p w:rsidR="00C146FE" w:rsidRPr="003F5D3B" w:rsidRDefault="00CB6DEF" w:rsidP="003F5D3B">
            <w:pPr>
              <w:rPr>
                <w:rFonts w:ascii="Times Roman" w:hAnsi="Times Roman" w:cs="Times New Roman"/>
                <w:sz w:val="24"/>
                <w:szCs w:val="24"/>
              </w:rPr>
            </w:pPr>
            <w:r w:rsidRPr="003F5D3B">
              <w:rPr>
                <w:rFonts w:ascii="Times New Roman" w:hAnsi="Times New Roman" w:cs="Times New Roman"/>
                <w:sz w:val="24"/>
                <w:szCs w:val="24"/>
              </w:rPr>
              <w:t>К</w:t>
            </w:r>
            <w:r w:rsidR="00301B3A" w:rsidRPr="003F5D3B">
              <w:rPr>
                <w:rFonts w:ascii="Times New Roman" w:hAnsi="Times New Roman" w:cs="Times New Roman"/>
                <w:sz w:val="24"/>
                <w:szCs w:val="24"/>
              </w:rPr>
              <w:t>омитет</w:t>
            </w:r>
            <w:r w:rsidR="00301B3A" w:rsidRPr="003F5D3B">
              <w:rPr>
                <w:rFonts w:ascii="Times Roman" w:hAnsi="Times Roman" w:cs="Times New Roman"/>
                <w:sz w:val="24"/>
                <w:szCs w:val="24"/>
              </w:rPr>
              <w:t xml:space="preserve"> </w:t>
            </w:r>
            <w:r w:rsidR="00301B3A" w:rsidRPr="003F5D3B">
              <w:rPr>
                <w:rFonts w:ascii="Times New Roman" w:hAnsi="Times New Roman" w:cs="Times New Roman"/>
                <w:sz w:val="24"/>
                <w:szCs w:val="24"/>
              </w:rPr>
              <w:t>по</w:t>
            </w:r>
            <w:r w:rsidR="00301B3A" w:rsidRPr="003F5D3B">
              <w:rPr>
                <w:rFonts w:ascii="Times Roman" w:hAnsi="Times Roman" w:cs="Times New Roman"/>
                <w:sz w:val="24"/>
                <w:szCs w:val="24"/>
              </w:rPr>
              <w:t xml:space="preserve"> </w:t>
            </w:r>
            <w:r w:rsidR="00301B3A" w:rsidRPr="003F5D3B">
              <w:rPr>
                <w:rFonts w:ascii="Times New Roman" w:hAnsi="Times New Roman" w:cs="Times New Roman"/>
                <w:sz w:val="24"/>
                <w:szCs w:val="24"/>
              </w:rPr>
              <w:t>физической</w:t>
            </w:r>
            <w:r w:rsidR="00301B3A" w:rsidRPr="003F5D3B">
              <w:rPr>
                <w:rFonts w:ascii="Times Roman" w:hAnsi="Times Roman" w:cs="Times New Roman"/>
                <w:sz w:val="24"/>
                <w:szCs w:val="24"/>
              </w:rPr>
              <w:t xml:space="preserve"> </w:t>
            </w:r>
            <w:r w:rsidR="00301B3A" w:rsidRPr="003F5D3B">
              <w:rPr>
                <w:rFonts w:ascii="Times New Roman" w:hAnsi="Times New Roman" w:cs="Times New Roman"/>
                <w:sz w:val="24"/>
                <w:szCs w:val="24"/>
              </w:rPr>
              <w:t>культуре</w:t>
            </w:r>
            <w:r w:rsidR="00301B3A" w:rsidRPr="003F5D3B">
              <w:rPr>
                <w:rFonts w:ascii="Times Roman" w:hAnsi="Times Roman" w:cs="Times New Roman"/>
                <w:sz w:val="24"/>
                <w:szCs w:val="24"/>
              </w:rPr>
              <w:t xml:space="preserve"> </w:t>
            </w:r>
            <w:r w:rsidR="00301B3A" w:rsidRPr="003F5D3B">
              <w:rPr>
                <w:rFonts w:ascii="Times New Roman" w:hAnsi="Times New Roman" w:cs="Times New Roman"/>
                <w:sz w:val="24"/>
                <w:szCs w:val="24"/>
              </w:rPr>
              <w:t>и</w:t>
            </w:r>
            <w:r w:rsidR="00301B3A" w:rsidRPr="003F5D3B">
              <w:rPr>
                <w:rFonts w:ascii="Times Roman" w:hAnsi="Times Roman" w:cs="Times New Roman"/>
                <w:sz w:val="24"/>
                <w:szCs w:val="24"/>
              </w:rPr>
              <w:t xml:space="preserve"> </w:t>
            </w:r>
            <w:r w:rsidR="00301B3A" w:rsidRPr="003F5D3B">
              <w:rPr>
                <w:rFonts w:ascii="Times New Roman" w:hAnsi="Times New Roman" w:cs="Times New Roman"/>
                <w:sz w:val="24"/>
                <w:szCs w:val="24"/>
              </w:rPr>
              <w:t>спорту</w:t>
            </w:r>
            <w:r w:rsidR="00301B3A" w:rsidRPr="003F5D3B">
              <w:rPr>
                <w:rFonts w:ascii="Times Roman" w:hAnsi="Times Roman" w:cs="Times New Roman"/>
                <w:sz w:val="24"/>
                <w:szCs w:val="24"/>
              </w:rPr>
              <w:t xml:space="preserve"> </w:t>
            </w:r>
            <w:r w:rsidR="00301B3A" w:rsidRPr="003F5D3B">
              <w:rPr>
                <w:rFonts w:ascii="Times New Roman" w:hAnsi="Times New Roman" w:cs="Times New Roman"/>
                <w:sz w:val="24"/>
                <w:szCs w:val="24"/>
              </w:rPr>
              <w:t>Ленинградской</w:t>
            </w:r>
            <w:r w:rsidR="00301B3A" w:rsidRPr="003F5D3B">
              <w:rPr>
                <w:rFonts w:ascii="Times Roman" w:hAnsi="Times Roman" w:cs="Times New Roman"/>
                <w:sz w:val="24"/>
                <w:szCs w:val="24"/>
              </w:rPr>
              <w:t xml:space="preserve"> </w:t>
            </w:r>
            <w:r w:rsidR="00301B3A" w:rsidRPr="003F5D3B">
              <w:rPr>
                <w:rFonts w:ascii="Times New Roman" w:hAnsi="Times New Roman" w:cs="Times New Roman"/>
                <w:sz w:val="24"/>
                <w:szCs w:val="24"/>
              </w:rPr>
              <w:t>области</w:t>
            </w:r>
          </w:p>
        </w:tc>
        <w:tc>
          <w:tcPr>
            <w:tcW w:w="1507" w:type="pct"/>
            <w:vAlign w:val="center"/>
          </w:tcPr>
          <w:p w:rsidR="00C54353" w:rsidRPr="003F5D3B" w:rsidRDefault="00C146FE" w:rsidP="003F5D3B">
            <w:pPr>
              <w:rPr>
                <w:rFonts w:ascii="Times Roman" w:hAnsi="Times Roman" w:cs="Times New Roman"/>
                <w:sz w:val="24"/>
                <w:szCs w:val="24"/>
              </w:rPr>
            </w:pPr>
            <w:r w:rsidRPr="003F5D3B">
              <w:rPr>
                <w:rFonts w:ascii="Times New Roman" w:hAnsi="Times New Roman" w:cs="Times New Roman"/>
                <w:sz w:val="24"/>
                <w:szCs w:val="24"/>
              </w:rPr>
              <w:t>П</w:t>
            </w:r>
            <w:r w:rsidR="00301B3A" w:rsidRPr="003F5D3B">
              <w:rPr>
                <w:rFonts w:ascii="Times New Roman" w:hAnsi="Times New Roman" w:cs="Times New Roman"/>
                <w:sz w:val="24"/>
                <w:szCs w:val="24"/>
              </w:rPr>
              <w:t>ономарев</w:t>
            </w:r>
            <w:r w:rsidR="00301B3A" w:rsidRPr="003F5D3B">
              <w:rPr>
                <w:rFonts w:ascii="Times Roman" w:hAnsi="Times Roman" w:cs="Times New Roman"/>
                <w:sz w:val="24"/>
                <w:szCs w:val="24"/>
              </w:rPr>
              <w:t xml:space="preserve"> </w:t>
            </w:r>
            <w:r w:rsidRPr="003F5D3B">
              <w:rPr>
                <w:rFonts w:ascii="Times New Roman" w:hAnsi="Times New Roman" w:cs="Times New Roman"/>
                <w:sz w:val="24"/>
                <w:szCs w:val="24"/>
              </w:rPr>
              <w:t>Евгений</w:t>
            </w:r>
            <w:r w:rsidRPr="003F5D3B">
              <w:rPr>
                <w:rFonts w:ascii="Times Roman" w:hAnsi="Times Roman" w:cs="Times New Roman"/>
                <w:sz w:val="24"/>
                <w:szCs w:val="24"/>
              </w:rPr>
              <w:t xml:space="preserve"> </w:t>
            </w:r>
            <w:r w:rsidRPr="003F5D3B">
              <w:rPr>
                <w:rFonts w:ascii="Times New Roman" w:hAnsi="Times New Roman" w:cs="Times New Roman"/>
                <w:sz w:val="24"/>
                <w:szCs w:val="24"/>
              </w:rPr>
              <w:t>Николаевич</w:t>
            </w:r>
            <w:r w:rsidRPr="003F5D3B">
              <w:rPr>
                <w:rFonts w:ascii="Times Roman" w:hAnsi="Times Roman" w:cs="Times New Roman"/>
                <w:sz w:val="24"/>
                <w:szCs w:val="24"/>
              </w:rPr>
              <w:t xml:space="preserve"> – </w:t>
            </w:r>
            <w:r w:rsidRPr="003F5D3B">
              <w:rPr>
                <w:rFonts w:ascii="Times New Roman" w:hAnsi="Times New Roman" w:cs="Times New Roman"/>
                <w:sz w:val="24"/>
                <w:szCs w:val="24"/>
              </w:rPr>
              <w:t>первый</w:t>
            </w:r>
            <w:r w:rsidRPr="003F5D3B">
              <w:rPr>
                <w:rFonts w:ascii="Times Roman" w:hAnsi="Times Roman" w:cs="Times New Roman"/>
                <w:sz w:val="24"/>
                <w:szCs w:val="24"/>
              </w:rPr>
              <w:t xml:space="preserve"> </w:t>
            </w:r>
            <w:r w:rsidRPr="003F5D3B">
              <w:rPr>
                <w:rFonts w:ascii="Times New Roman" w:hAnsi="Times New Roman" w:cs="Times New Roman"/>
                <w:sz w:val="24"/>
                <w:szCs w:val="24"/>
              </w:rPr>
              <w:t>заместитель</w:t>
            </w:r>
            <w:r w:rsidRPr="003F5D3B">
              <w:rPr>
                <w:rFonts w:ascii="Times Roman" w:hAnsi="Times Roman" w:cs="Times New Roman"/>
                <w:sz w:val="24"/>
                <w:szCs w:val="24"/>
              </w:rPr>
              <w:t xml:space="preserve"> </w:t>
            </w:r>
            <w:r w:rsidRPr="003F5D3B">
              <w:rPr>
                <w:rFonts w:ascii="Times New Roman" w:hAnsi="Times New Roman" w:cs="Times New Roman"/>
                <w:sz w:val="24"/>
                <w:szCs w:val="24"/>
              </w:rPr>
              <w:t>председателя</w:t>
            </w:r>
            <w:r w:rsidRPr="003F5D3B">
              <w:rPr>
                <w:rFonts w:ascii="Times Roman" w:hAnsi="Times Roman" w:cs="Times New Roman"/>
                <w:sz w:val="24"/>
                <w:szCs w:val="24"/>
              </w:rPr>
              <w:t xml:space="preserve"> </w:t>
            </w:r>
            <w:r w:rsidRPr="003F5D3B">
              <w:rPr>
                <w:rFonts w:ascii="Times New Roman" w:hAnsi="Times New Roman" w:cs="Times New Roman"/>
                <w:sz w:val="24"/>
                <w:szCs w:val="24"/>
              </w:rPr>
              <w:t>комитета</w:t>
            </w:r>
          </w:p>
        </w:tc>
        <w:tc>
          <w:tcPr>
            <w:tcW w:w="1786" w:type="pct"/>
            <w:vAlign w:val="center"/>
          </w:tcPr>
          <w:p w:rsidR="00C146FE" w:rsidRPr="003F5D3B" w:rsidRDefault="00C146FE" w:rsidP="003F5D3B">
            <w:pPr>
              <w:rPr>
                <w:rFonts w:ascii="Times Roman" w:hAnsi="Times Roman" w:cs="Times New Roman"/>
                <w:sz w:val="24"/>
                <w:szCs w:val="24"/>
              </w:rPr>
            </w:pPr>
            <w:r w:rsidRPr="003F5D3B">
              <w:rPr>
                <w:rFonts w:ascii="Times New Roman" w:hAnsi="Times New Roman" w:cs="Times New Roman"/>
                <w:sz w:val="24"/>
                <w:szCs w:val="24"/>
              </w:rPr>
              <w:t>отдел</w:t>
            </w:r>
            <w:r w:rsidRPr="003F5D3B">
              <w:rPr>
                <w:rFonts w:ascii="Times Roman" w:hAnsi="Times Roman" w:cs="Times New Roman"/>
                <w:sz w:val="24"/>
                <w:szCs w:val="24"/>
              </w:rPr>
              <w:t xml:space="preserve"> </w:t>
            </w:r>
            <w:r w:rsidRPr="003F5D3B">
              <w:rPr>
                <w:rFonts w:ascii="Times New Roman" w:hAnsi="Times New Roman" w:cs="Times New Roman"/>
                <w:sz w:val="24"/>
                <w:szCs w:val="24"/>
              </w:rPr>
              <w:t>спортивных</w:t>
            </w:r>
            <w:r w:rsidRPr="003F5D3B">
              <w:rPr>
                <w:rFonts w:ascii="Times Roman" w:hAnsi="Times Roman" w:cs="Times New Roman"/>
                <w:sz w:val="24"/>
                <w:szCs w:val="24"/>
              </w:rPr>
              <w:t xml:space="preserve"> </w:t>
            </w:r>
            <w:r w:rsidRPr="003F5D3B">
              <w:rPr>
                <w:rFonts w:ascii="Times New Roman" w:hAnsi="Times New Roman" w:cs="Times New Roman"/>
                <w:sz w:val="24"/>
                <w:szCs w:val="24"/>
              </w:rPr>
              <w:t>сооружений</w:t>
            </w:r>
            <w:r w:rsidRPr="003F5D3B">
              <w:rPr>
                <w:rFonts w:ascii="Times Roman" w:hAnsi="Times Roman" w:cs="Times New Roman"/>
                <w:sz w:val="24"/>
                <w:szCs w:val="24"/>
              </w:rPr>
              <w:t xml:space="preserve"> </w:t>
            </w:r>
            <w:r w:rsidRPr="003F5D3B">
              <w:rPr>
                <w:rFonts w:ascii="Times New Roman" w:hAnsi="Times New Roman" w:cs="Times New Roman"/>
                <w:sz w:val="24"/>
                <w:szCs w:val="24"/>
              </w:rPr>
              <w:t>и</w:t>
            </w:r>
            <w:r w:rsidRPr="003F5D3B">
              <w:rPr>
                <w:rFonts w:ascii="Times Roman" w:hAnsi="Times Roman" w:cs="Times New Roman"/>
                <w:sz w:val="24"/>
                <w:szCs w:val="24"/>
              </w:rPr>
              <w:t xml:space="preserve"> </w:t>
            </w:r>
            <w:r w:rsidRPr="003F5D3B">
              <w:rPr>
                <w:rFonts w:ascii="Times New Roman" w:hAnsi="Times New Roman" w:cs="Times New Roman"/>
                <w:sz w:val="24"/>
                <w:szCs w:val="24"/>
              </w:rPr>
              <w:t>государственного</w:t>
            </w:r>
            <w:r w:rsidRPr="003F5D3B">
              <w:rPr>
                <w:rFonts w:ascii="Times Roman" w:hAnsi="Times Roman" w:cs="Times New Roman"/>
                <w:sz w:val="24"/>
                <w:szCs w:val="24"/>
              </w:rPr>
              <w:t xml:space="preserve"> </w:t>
            </w:r>
            <w:r w:rsidRPr="003F5D3B">
              <w:rPr>
                <w:rFonts w:ascii="Times New Roman" w:hAnsi="Times New Roman" w:cs="Times New Roman"/>
                <w:sz w:val="24"/>
                <w:szCs w:val="24"/>
              </w:rPr>
              <w:t>заказа</w:t>
            </w:r>
          </w:p>
        </w:tc>
      </w:tr>
      <w:tr w:rsidR="00C54353" w:rsidRPr="003F5D3B" w:rsidTr="003F5D3B">
        <w:trPr>
          <w:trHeight w:val="238"/>
        </w:trPr>
        <w:tc>
          <w:tcPr>
            <w:tcW w:w="257" w:type="pct"/>
            <w:vAlign w:val="center"/>
          </w:tcPr>
          <w:p w:rsidR="00C54353" w:rsidRPr="003F5D3B" w:rsidRDefault="00C54353" w:rsidP="003F5D3B">
            <w:pPr>
              <w:numPr>
                <w:ilvl w:val="0"/>
                <w:numId w:val="4"/>
              </w:numPr>
              <w:ind w:left="0" w:firstLine="142"/>
              <w:rPr>
                <w:rFonts w:ascii="Times Roman" w:hAnsi="Times Roman" w:cs="Times New Roman"/>
                <w:sz w:val="24"/>
                <w:szCs w:val="24"/>
              </w:rPr>
            </w:pPr>
          </w:p>
        </w:tc>
        <w:tc>
          <w:tcPr>
            <w:tcW w:w="1450" w:type="pct"/>
            <w:vAlign w:val="center"/>
          </w:tcPr>
          <w:p w:rsidR="00C54353" w:rsidRPr="003F5D3B" w:rsidRDefault="00CB6DEF" w:rsidP="003F5D3B">
            <w:pPr>
              <w:rPr>
                <w:rFonts w:ascii="Times Roman" w:hAnsi="Times Roman" w:cs="Times New Roman"/>
                <w:sz w:val="24"/>
                <w:szCs w:val="24"/>
              </w:rPr>
            </w:pPr>
            <w:r w:rsidRPr="003F5D3B">
              <w:rPr>
                <w:rFonts w:ascii="Times New Roman" w:hAnsi="Times New Roman" w:cs="Times New Roman"/>
                <w:sz w:val="24"/>
                <w:szCs w:val="24"/>
              </w:rPr>
              <w:t>К</w:t>
            </w:r>
            <w:r w:rsidR="00C54353" w:rsidRPr="003F5D3B">
              <w:rPr>
                <w:rFonts w:ascii="Times New Roman" w:hAnsi="Times New Roman" w:cs="Times New Roman"/>
                <w:sz w:val="24"/>
                <w:szCs w:val="24"/>
              </w:rPr>
              <w:t>омитет</w:t>
            </w:r>
            <w:r w:rsidR="00C54353" w:rsidRPr="003F5D3B">
              <w:rPr>
                <w:rFonts w:ascii="Times Roman" w:hAnsi="Times Roman" w:cs="Times New Roman"/>
                <w:sz w:val="24"/>
                <w:szCs w:val="24"/>
              </w:rPr>
              <w:t xml:space="preserve"> </w:t>
            </w:r>
            <w:r w:rsidR="00C54353" w:rsidRPr="003F5D3B">
              <w:rPr>
                <w:rFonts w:ascii="Times New Roman" w:hAnsi="Times New Roman" w:cs="Times New Roman"/>
                <w:sz w:val="24"/>
                <w:szCs w:val="24"/>
              </w:rPr>
              <w:t>по</w:t>
            </w:r>
            <w:r w:rsidR="00C54353" w:rsidRPr="003F5D3B">
              <w:rPr>
                <w:rFonts w:ascii="Times Roman" w:hAnsi="Times Roman" w:cs="Times New Roman"/>
                <w:sz w:val="24"/>
                <w:szCs w:val="24"/>
              </w:rPr>
              <w:t xml:space="preserve"> </w:t>
            </w:r>
            <w:r w:rsidR="00C54353" w:rsidRPr="003F5D3B">
              <w:rPr>
                <w:rFonts w:ascii="Times New Roman" w:hAnsi="Times New Roman" w:cs="Times New Roman"/>
                <w:sz w:val="24"/>
                <w:szCs w:val="24"/>
              </w:rPr>
              <w:t>тарифам</w:t>
            </w:r>
            <w:r w:rsidR="00C54353" w:rsidRPr="003F5D3B">
              <w:rPr>
                <w:rFonts w:ascii="Times Roman" w:hAnsi="Times Roman" w:cs="Times New Roman"/>
                <w:sz w:val="24"/>
                <w:szCs w:val="24"/>
              </w:rPr>
              <w:t xml:space="preserve"> </w:t>
            </w:r>
            <w:r w:rsidR="00C54353" w:rsidRPr="003F5D3B">
              <w:rPr>
                <w:rFonts w:ascii="Times New Roman" w:hAnsi="Times New Roman" w:cs="Times New Roman"/>
                <w:sz w:val="24"/>
                <w:szCs w:val="24"/>
              </w:rPr>
              <w:t>и</w:t>
            </w:r>
            <w:r w:rsidR="00C54353" w:rsidRPr="003F5D3B">
              <w:rPr>
                <w:rFonts w:ascii="Times Roman" w:hAnsi="Times Roman" w:cs="Times New Roman"/>
                <w:sz w:val="24"/>
                <w:szCs w:val="24"/>
              </w:rPr>
              <w:t xml:space="preserve"> </w:t>
            </w:r>
            <w:r w:rsidR="00C54353" w:rsidRPr="003F5D3B">
              <w:rPr>
                <w:rFonts w:ascii="Times New Roman" w:hAnsi="Times New Roman" w:cs="Times New Roman"/>
                <w:sz w:val="24"/>
                <w:szCs w:val="24"/>
              </w:rPr>
              <w:t>ценовой</w:t>
            </w:r>
            <w:r w:rsidR="00C54353" w:rsidRPr="003F5D3B">
              <w:rPr>
                <w:rFonts w:ascii="Times Roman" w:hAnsi="Times Roman" w:cs="Times New Roman"/>
                <w:sz w:val="24"/>
                <w:szCs w:val="24"/>
              </w:rPr>
              <w:t xml:space="preserve"> </w:t>
            </w:r>
            <w:r w:rsidR="00C54353" w:rsidRPr="003F5D3B">
              <w:rPr>
                <w:rFonts w:ascii="Times New Roman" w:hAnsi="Times New Roman" w:cs="Times New Roman"/>
                <w:sz w:val="24"/>
                <w:szCs w:val="24"/>
              </w:rPr>
              <w:t>политике</w:t>
            </w:r>
            <w:r w:rsidR="00C54353" w:rsidRPr="003F5D3B">
              <w:rPr>
                <w:rFonts w:ascii="Times Roman" w:hAnsi="Times Roman" w:cs="Times New Roman"/>
                <w:sz w:val="24"/>
                <w:szCs w:val="24"/>
              </w:rPr>
              <w:t xml:space="preserve"> </w:t>
            </w:r>
            <w:r w:rsidR="00C54353" w:rsidRPr="003F5D3B">
              <w:rPr>
                <w:rFonts w:ascii="Times New Roman" w:hAnsi="Times New Roman" w:cs="Times New Roman"/>
                <w:sz w:val="24"/>
                <w:szCs w:val="24"/>
              </w:rPr>
              <w:t>Ленинградской</w:t>
            </w:r>
            <w:r w:rsidR="00C54353" w:rsidRPr="003F5D3B">
              <w:rPr>
                <w:rFonts w:ascii="Times Roman" w:hAnsi="Times Roman" w:cs="Times New Roman"/>
                <w:sz w:val="24"/>
                <w:szCs w:val="24"/>
              </w:rPr>
              <w:t xml:space="preserve"> </w:t>
            </w:r>
            <w:r w:rsidR="00C54353" w:rsidRPr="003F5D3B">
              <w:rPr>
                <w:rFonts w:ascii="Times New Roman" w:hAnsi="Times New Roman" w:cs="Times New Roman"/>
                <w:sz w:val="24"/>
                <w:szCs w:val="24"/>
              </w:rPr>
              <w:t>области</w:t>
            </w:r>
          </w:p>
        </w:tc>
        <w:tc>
          <w:tcPr>
            <w:tcW w:w="1507" w:type="pct"/>
            <w:vAlign w:val="center"/>
          </w:tcPr>
          <w:p w:rsidR="00C54353" w:rsidRPr="003F5D3B" w:rsidRDefault="00C54353" w:rsidP="003F5D3B">
            <w:pPr>
              <w:rPr>
                <w:rFonts w:ascii="Times Roman" w:hAnsi="Times Roman" w:cs="Times New Roman"/>
                <w:sz w:val="24"/>
                <w:szCs w:val="24"/>
              </w:rPr>
            </w:pPr>
            <w:r w:rsidRPr="003F5D3B">
              <w:rPr>
                <w:rFonts w:ascii="Times New Roman" w:hAnsi="Times New Roman" w:cs="Times New Roman"/>
                <w:sz w:val="24"/>
                <w:szCs w:val="24"/>
              </w:rPr>
              <w:t>Ермолаев</w:t>
            </w:r>
            <w:r w:rsidRPr="003F5D3B">
              <w:rPr>
                <w:rFonts w:ascii="Times Roman" w:hAnsi="Times Roman" w:cs="Times New Roman"/>
                <w:sz w:val="24"/>
                <w:szCs w:val="24"/>
              </w:rPr>
              <w:t xml:space="preserve"> </w:t>
            </w:r>
            <w:r w:rsidRPr="003F5D3B">
              <w:rPr>
                <w:rFonts w:ascii="Times New Roman" w:hAnsi="Times New Roman" w:cs="Times New Roman"/>
                <w:sz w:val="24"/>
                <w:szCs w:val="24"/>
              </w:rPr>
              <w:t>Сергей</w:t>
            </w:r>
            <w:r w:rsidRPr="003F5D3B">
              <w:rPr>
                <w:rFonts w:ascii="Times Roman" w:hAnsi="Times Roman" w:cs="Times New Roman"/>
                <w:sz w:val="24"/>
                <w:szCs w:val="24"/>
              </w:rPr>
              <w:t xml:space="preserve"> </w:t>
            </w:r>
            <w:r w:rsidRPr="003F5D3B">
              <w:rPr>
                <w:rFonts w:ascii="Times New Roman" w:hAnsi="Times New Roman" w:cs="Times New Roman"/>
                <w:sz w:val="24"/>
                <w:szCs w:val="24"/>
              </w:rPr>
              <w:t>Николаевич</w:t>
            </w:r>
            <w:r w:rsidRPr="003F5D3B">
              <w:rPr>
                <w:rFonts w:ascii="Times Roman" w:hAnsi="Times Roman" w:cs="Times New Roman"/>
                <w:sz w:val="24"/>
                <w:szCs w:val="24"/>
              </w:rPr>
              <w:t xml:space="preserve"> - </w:t>
            </w:r>
            <w:r w:rsidRPr="003F5D3B">
              <w:rPr>
                <w:rFonts w:ascii="Times New Roman" w:hAnsi="Times New Roman" w:cs="Times New Roman"/>
                <w:sz w:val="24"/>
                <w:szCs w:val="24"/>
              </w:rPr>
              <w:t>заместитель</w:t>
            </w:r>
            <w:r w:rsidRPr="003F5D3B">
              <w:rPr>
                <w:rFonts w:ascii="Times Roman" w:hAnsi="Times Roman" w:cs="Times New Roman"/>
                <w:sz w:val="24"/>
                <w:szCs w:val="24"/>
              </w:rPr>
              <w:t xml:space="preserve"> </w:t>
            </w:r>
            <w:r w:rsidRPr="003F5D3B">
              <w:rPr>
                <w:rFonts w:ascii="Times New Roman" w:hAnsi="Times New Roman" w:cs="Times New Roman"/>
                <w:sz w:val="24"/>
                <w:szCs w:val="24"/>
              </w:rPr>
              <w:t>начальника</w:t>
            </w:r>
            <w:r w:rsidRPr="003F5D3B">
              <w:rPr>
                <w:rFonts w:ascii="Times Roman" w:hAnsi="Times Roman" w:cs="Times New Roman"/>
                <w:sz w:val="24"/>
                <w:szCs w:val="24"/>
              </w:rPr>
              <w:t xml:space="preserve"> </w:t>
            </w:r>
            <w:r w:rsidRPr="003F5D3B">
              <w:rPr>
                <w:rFonts w:ascii="Times New Roman" w:hAnsi="Times New Roman" w:cs="Times New Roman"/>
                <w:sz w:val="24"/>
                <w:szCs w:val="24"/>
              </w:rPr>
              <w:t>департамента</w:t>
            </w:r>
          </w:p>
        </w:tc>
        <w:tc>
          <w:tcPr>
            <w:tcW w:w="1786" w:type="pct"/>
            <w:vAlign w:val="center"/>
          </w:tcPr>
          <w:p w:rsidR="00C54353" w:rsidRPr="003F5D3B" w:rsidRDefault="00C54353" w:rsidP="003F5D3B">
            <w:pPr>
              <w:rPr>
                <w:rFonts w:ascii="Times Roman" w:hAnsi="Times Roman" w:cs="Times New Roman"/>
                <w:sz w:val="24"/>
                <w:szCs w:val="24"/>
              </w:rPr>
            </w:pPr>
            <w:r w:rsidRPr="003F5D3B">
              <w:rPr>
                <w:rFonts w:ascii="Times New Roman" w:hAnsi="Times New Roman" w:cs="Times New Roman"/>
                <w:sz w:val="24"/>
                <w:szCs w:val="24"/>
              </w:rPr>
              <w:t>отдел</w:t>
            </w:r>
            <w:r w:rsidRPr="003F5D3B">
              <w:rPr>
                <w:rFonts w:ascii="Times Roman" w:hAnsi="Times Roman" w:cs="Times New Roman"/>
                <w:sz w:val="24"/>
                <w:szCs w:val="24"/>
              </w:rPr>
              <w:t xml:space="preserve"> </w:t>
            </w:r>
            <w:r w:rsidRPr="003F5D3B">
              <w:rPr>
                <w:rFonts w:ascii="Times New Roman" w:hAnsi="Times New Roman" w:cs="Times New Roman"/>
                <w:sz w:val="24"/>
                <w:szCs w:val="24"/>
              </w:rPr>
              <w:t>регулирования</w:t>
            </w:r>
            <w:r w:rsidRPr="003F5D3B">
              <w:rPr>
                <w:rFonts w:ascii="Times Roman" w:hAnsi="Times Roman" w:cs="Times New Roman"/>
                <w:sz w:val="24"/>
                <w:szCs w:val="24"/>
              </w:rPr>
              <w:t xml:space="preserve"> </w:t>
            </w:r>
            <w:r w:rsidRPr="003F5D3B">
              <w:rPr>
                <w:rFonts w:ascii="Times New Roman" w:hAnsi="Times New Roman" w:cs="Times New Roman"/>
                <w:sz w:val="24"/>
                <w:szCs w:val="24"/>
              </w:rPr>
              <w:t>тарифов</w:t>
            </w:r>
            <w:r w:rsidRPr="003F5D3B">
              <w:rPr>
                <w:rFonts w:ascii="Times Roman" w:hAnsi="Times Roman" w:cs="Times New Roman"/>
                <w:sz w:val="24"/>
                <w:szCs w:val="24"/>
              </w:rPr>
              <w:t xml:space="preserve"> </w:t>
            </w:r>
            <w:r w:rsidRPr="003F5D3B">
              <w:rPr>
                <w:rFonts w:ascii="Times New Roman" w:hAnsi="Times New Roman" w:cs="Times New Roman"/>
                <w:sz w:val="24"/>
                <w:szCs w:val="24"/>
              </w:rPr>
              <w:t>на</w:t>
            </w:r>
            <w:r w:rsidRPr="003F5D3B">
              <w:rPr>
                <w:rFonts w:ascii="Times Roman" w:hAnsi="Times Roman" w:cs="Times New Roman"/>
                <w:sz w:val="24"/>
                <w:szCs w:val="24"/>
              </w:rPr>
              <w:t xml:space="preserve"> </w:t>
            </w:r>
            <w:r w:rsidRPr="003F5D3B">
              <w:rPr>
                <w:rFonts w:ascii="Times New Roman" w:hAnsi="Times New Roman" w:cs="Times New Roman"/>
                <w:sz w:val="24"/>
                <w:szCs w:val="24"/>
              </w:rPr>
              <w:t>электрическую</w:t>
            </w:r>
            <w:r w:rsidRPr="003F5D3B">
              <w:rPr>
                <w:rFonts w:ascii="Times Roman" w:hAnsi="Times Roman" w:cs="Times New Roman"/>
                <w:sz w:val="24"/>
                <w:szCs w:val="24"/>
              </w:rPr>
              <w:t xml:space="preserve"> </w:t>
            </w:r>
            <w:r w:rsidRPr="003F5D3B">
              <w:rPr>
                <w:rFonts w:ascii="Times New Roman" w:hAnsi="Times New Roman" w:cs="Times New Roman"/>
                <w:sz w:val="24"/>
                <w:szCs w:val="24"/>
              </w:rPr>
              <w:t>энергию</w:t>
            </w:r>
            <w:r w:rsidRPr="003F5D3B">
              <w:rPr>
                <w:rFonts w:ascii="Times Roman" w:hAnsi="Times Roman" w:cs="Times New Roman"/>
                <w:sz w:val="24"/>
                <w:szCs w:val="24"/>
              </w:rPr>
              <w:t xml:space="preserve">, </w:t>
            </w:r>
            <w:r w:rsidRPr="003F5D3B">
              <w:rPr>
                <w:rFonts w:ascii="Times New Roman" w:hAnsi="Times New Roman" w:cs="Times New Roman"/>
                <w:sz w:val="24"/>
                <w:szCs w:val="24"/>
              </w:rPr>
              <w:t>отдел</w:t>
            </w:r>
            <w:r w:rsidRPr="003F5D3B">
              <w:rPr>
                <w:rFonts w:ascii="Times Roman" w:hAnsi="Times Roman" w:cs="Times New Roman"/>
                <w:sz w:val="24"/>
                <w:szCs w:val="24"/>
              </w:rPr>
              <w:t xml:space="preserve"> </w:t>
            </w:r>
            <w:r w:rsidRPr="003F5D3B">
              <w:rPr>
                <w:rFonts w:ascii="Times New Roman" w:hAnsi="Times New Roman" w:cs="Times New Roman"/>
                <w:sz w:val="24"/>
                <w:szCs w:val="24"/>
              </w:rPr>
              <w:t>регулирования</w:t>
            </w:r>
            <w:r w:rsidRPr="003F5D3B">
              <w:rPr>
                <w:rFonts w:ascii="Times Roman" w:hAnsi="Times Roman" w:cs="Times New Roman"/>
                <w:sz w:val="24"/>
                <w:szCs w:val="24"/>
              </w:rPr>
              <w:t xml:space="preserve"> </w:t>
            </w:r>
            <w:r w:rsidRPr="003F5D3B">
              <w:rPr>
                <w:rFonts w:ascii="Times New Roman" w:hAnsi="Times New Roman" w:cs="Times New Roman"/>
                <w:sz w:val="24"/>
                <w:szCs w:val="24"/>
              </w:rPr>
              <w:t>тарифов</w:t>
            </w:r>
            <w:r w:rsidRPr="003F5D3B">
              <w:rPr>
                <w:rFonts w:ascii="Times Roman" w:hAnsi="Times Roman" w:cs="Times New Roman"/>
                <w:sz w:val="24"/>
                <w:szCs w:val="24"/>
              </w:rPr>
              <w:t xml:space="preserve"> (</w:t>
            </w:r>
            <w:r w:rsidRPr="003F5D3B">
              <w:rPr>
                <w:rFonts w:ascii="Times New Roman" w:hAnsi="Times New Roman" w:cs="Times New Roman"/>
                <w:sz w:val="24"/>
                <w:szCs w:val="24"/>
              </w:rPr>
              <w:t>цен</w:t>
            </w:r>
            <w:r w:rsidRPr="003F5D3B">
              <w:rPr>
                <w:rFonts w:ascii="Times Roman" w:hAnsi="Times Roman" w:cs="Times New Roman"/>
                <w:sz w:val="24"/>
                <w:szCs w:val="24"/>
              </w:rPr>
              <w:t xml:space="preserve">) </w:t>
            </w:r>
            <w:r w:rsidRPr="003F5D3B">
              <w:rPr>
                <w:rFonts w:ascii="Times New Roman" w:hAnsi="Times New Roman" w:cs="Times New Roman"/>
                <w:sz w:val="24"/>
                <w:szCs w:val="24"/>
              </w:rPr>
              <w:t>в</w:t>
            </w:r>
            <w:r w:rsidRPr="003F5D3B">
              <w:rPr>
                <w:rFonts w:ascii="Times Roman" w:hAnsi="Times Roman" w:cs="Times New Roman"/>
                <w:sz w:val="24"/>
                <w:szCs w:val="24"/>
              </w:rPr>
              <w:t xml:space="preserve"> </w:t>
            </w:r>
            <w:r w:rsidRPr="003F5D3B">
              <w:rPr>
                <w:rFonts w:ascii="Times New Roman" w:hAnsi="Times New Roman" w:cs="Times New Roman"/>
                <w:sz w:val="24"/>
                <w:szCs w:val="24"/>
              </w:rPr>
              <w:t>сфере</w:t>
            </w:r>
            <w:r w:rsidRPr="003F5D3B">
              <w:rPr>
                <w:rFonts w:ascii="Times Roman" w:hAnsi="Times Roman" w:cs="Times New Roman"/>
                <w:sz w:val="24"/>
                <w:szCs w:val="24"/>
              </w:rPr>
              <w:t xml:space="preserve"> </w:t>
            </w:r>
            <w:r w:rsidRPr="003F5D3B">
              <w:rPr>
                <w:rFonts w:ascii="Times New Roman" w:hAnsi="Times New Roman" w:cs="Times New Roman"/>
                <w:sz w:val="24"/>
                <w:szCs w:val="24"/>
              </w:rPr>
              <w:t>теплоснабжения</w:t>
            </w:r>
          </w:p>
        </w:tc>
      </w:tr>
      <w:tr w:rsidR="00301B3A" w:rsidRPr="003F5D3B" w:rsidTr="003F5D3B">
        <w:trPr>
          <w:trHeight w:val="1051"/>
        </w:trPr>
        <w:tc>
          <w:tcPr>
            <w:tcW w:w="257" w:type="pct"/>
            <w:vAlign w:val="center"/>
          </w:tcPr>
          <w:p w:rsidR="00301B3A" w:rsidRPr="003F5D3B" w:rsidRDefault="00301B3A" w:rsidP="003F5D3B">
            <w:pPr>
              <w:numPr>
                <w:ilvl w:val="0"/>
                <w:numId w:val="4"/>
              </w:numPr>
              <w:ind w:left="0" w:firstLine="142"/>
              <w:rPr>
                <w:rFonts w:ascii="Times Roman" w:hAnsi="Times Roman" w:cs="Times New Roman"/>
                <w:sz w:val="24"/>
                <w:szCs w:val="24"/>
              </w:rPr>
            </w:pPr>
          </w:p>
        </w:tc>
        <w:tc>
          <w:tcPr>
            <w:tcW w:w="1450" w:type="pct"/>
            <w:vAlign w:val="center"/>
          </w:tcPr>
          <w:p w:rsidR="00301B3A" w:rsidRPr="003F5D3B" w:rsidRDefault="00CB6DEF" w:rsidP="003F5D3B">
            <w:pPr>
              <w:rPr>
                <w:rFonts w:ascii="Times Roman" w:hAnsi="Times Roman" w:cs="Times New Roman"/>
                <w:sz w:val="24"/>
                <w:szCs w:val="24"/>
              </w:rPr>
            </w:pPr>
            <w:r w:rsidRPr="003F5D3B">
              <w:rPr>
                <w:rFonts w:ascii="Times New Roman" w:hAnsi="Times New Roman" w:cs="Times New Roman"/>
                <w:sz w:val="24"/>
                <w:szCs w:val="24"/>
              </w:rPr>
              <w:t>К</w:t>
            </w:r>
            <w:r w:rsidR="00301B3A" w:rsidRPr="003F5D3B">
              <w:rPr>
                <w:rFonts w:ascii="Times New Roman" w:hAnsi="Times New Roman" w:cs="Times New Roman"/>
                <w:sz w:val="24"/>
                <w:szCs w:val="24"/>
              </w:rPr>
              <w:t>омитет</w:t>
            </w:r>
            <w:r w:rsidR="00301B3A" w:rsidRPr="003F5D3B">
              <w:rPr>
                <w:rFonts w:ascii="Times Roman" w:hAnsi="Times Roman" w:cs="Times New Roman"/>
                <w:sz w:val="24"/>
                <w:szCs w:val="24"/>
              </w:rPr>
              <w:t xml:space="preserve"> </w:t>
            </w:r>
            <w:r w:rsidR="00301B3A" w:rsidRPr="003F5D3B">
              <w:rPr>
                <w:rFonts w:ascii="Times New Roman" w:hAnsi="Times New Roman" w:cs="Times New Roman"/>
                <w:sz w:val="24"/>
                <w:szCs w:val="24"/>
              </w:rPr>
              <w:t>по</w:t>
            </w:r>
            <w:r w:rsidR="00301B3A" w:rsidRPr="003F5D3B">
              <w:rPr>
                <w:rFonts w:ascii="Times Roman" w:hAnsi="Times Roman" w:cs="Times New Roman"/>
                <w:sz w:val="24"/>
                <w:szCs w:val="24"/>
              </w:rPr>
              <w:t xml:space="preserve"> </w:t>
            </w:r>
            <w:r w:rsidRPr="003F5D3B">
              <w:rPr>
                <w:rFonts w:ascii="Times New Roman" w:hAnsi="Times New Roman" w:cs="Times New Roman"/>
                <w:sz w:val="24"/>
                <w:szCs w:val="24"/>
              </w:rPr>
              <w:t>культуре</w:t>
            </w:r>
            <w:r w:rsidRPr="003F5D3B">
              <w:rPr>
                <w:rFonts w:ascii="Times Roman" w:hAnsi="Times Roman" w:cs="Times New Roman"/>
                <w:sz w:val="24"/>
                <w:szCs w:val="24"/>
              </w:rPr>
              <w:t xml:space="preserve"> </w:t>
            </w:r>
            <w:r w:rsidRPr="003F5D3B">
              <w:rPr>
                <w:rFonts w:ascii="Times New Roman" w:hAnsi="Times New Roman" w:cs="Times New Roman"/>
                <w:sz w:val="24"/>
                <w:szCs w:val="24"/>
              </w:rPr>
              <w:t>и</w:t>
            </w:r>
            <w:r w:rsidRPr="003F5D3B">
              <w:rPr>
                <w:rFonts w:ascii="Times Roman" w:hAnsi="Times Roman" w:cs="Times New Roman"/>
                <w:sz w:val="24"/>
                <w:szCs w:val="24"/>
              </w:rPr>
              <w:t xml:space="preserve"> </w:t>
            </w:r>
            <w:r w:rsidRPr="003F5D3B">
              <w:rPr>
                <w:rFonts w:ascii="Times New Roman" w:hAnsi="Times New Roman" w:cs="Times New Roman"/>
                <w:sz w:val="24"/>
                <w:szCs w:val="24"/>
              </w:rPr>
              <w:t>туризму</w:t>
            </w:r>
            <w:r w:rsidR="00301B3A" w:rsidRPr="003F5D3B">
              <w:rPr>
                <w:rFonts w:ascii="Times Roman" w:hAnsi="Times Roman" w:cs="Times New Roman"/>
                <w:sz w:val="24"/>
                <w:szCs w:val="24"/>
              </w:rPr>
              <w:t xml:space="preserve"> </w:t>
            </w:r>
            <w:r w:rsidR="00301B3A" w:rsidRPr="003F5D3B">
              <w:rPr>
                <w:rFonts w:ascii="Times New Roman" w:hAnsi="Times New Roman" w:cs="Times New Roman"/>
                <w:sz w:val="24"/>
                <w:szCs w:val="24"/>
              </w:rPr>
              <w:t>Ленинградской</w:t>
            </w:r>
            <w:r w:rsidR="00301B3A" w:rsidRPr="003F5D3B">
              <w:rPr>
                <w:rFonts w:ascii="Times Roman" w:hAnsi="Times Roman" w:cs="Times New Roman"/>
                <w:sz w:val="24"/>
                <w:szCs w:val="24"/>
              </w:rPr>
              <w:t xml:space="preserve"> </w:t>
            </w:r>
            <w:r w:rsidR="00301B3A" w:rsidRPr="003F5D3B">
              <w:rPr>
                <w:rFonts w:ascii="Times New Roman" w:hAnsi="Times New Roman" w:cs="Times New Roman"/>
                <w:sz w:val="24"/>
                <w:szCs w:val="24"/>
              </w:rPr>
              <w:t>области</w:t>
            </w:r>
          </w:p>
        </w:tc>
        <w:tc>
          <w:tcPr>
            <w:tcW w:w="1507" w:type="pct"/>
            <w:vAlign w:val="center"/>
          </w:tcPr>
          <w:p w:rsidR="00301B3A" w:rsidRPr="003F5D3B" w:rsidRDefault="00CB6DEF" w:rsidP="003F5D3B">
            <w:pPr>
              <w:rPr>
                <w:rFonts w:ascii="Times Roman" w:hAnsi="Times Roman" w:cs="Times New Roman"/>
                <w:sz w:val="24"/>
                <w:szCs w:val="24"/>
              </w:rPr>
            </w:pPr>
            <w:r w:rsidRPr="003F5D3B">
              <w:rPr>
                <w:rFonts w:ascii="Times New Roman" w:hAnsi="Times New Roman" w:cs="Times New Roman"/>
                <w:sz w:val="24"/>
                <w:szCs w:val="24"/>
              </w:rPr>
              <w:t>Мельникова</w:t>
            </w:r>
            <w:r w:rsidRPr="003F5D3B">
              <w:rPr>
                <w:rFonts w:ascii="Times Roman" w:hAnsi="Times Roman" w:cs="Times New Roman"/>
                <w:sz w:val="24"/>
                <w:szCs w:val="24"/>
              </w:rPr>
              <w:t xml:space="preserve"> </w:t>
            </w:r>
            <w:r w:rsidRPr="003F5D3B">
              <w:rPr>
                <w:rFonts w:ascii="Times New Roman" w:hAnsi="Times New Roman" w:cs="Times New Roman"/>
                <w:sz w:val="24"/>
                <w:szCs w:val="24"/>
              </w:rPr>
              <w:t>Ольга</w:t>
            </w:r>
            <w:r w:rsidRPr="003F5D3B">
              <w:rPr>
                <w:rFonts w:ascii="Times Roman" w:hAnsi="Times Roman" w:cs="Times New Roman"/>
                <w:sz w:val="24"/>
                <w:szCs w:val="24"/>
              </w:rPr>
              <w:t xml:space="preserve"> </w:t>
            </w:r>
            <w:r w:rsidRPr="003F5D3B">
              <w:rPr>
                <w:rFonts w:ascii="Times New Roman" w:hAnsi="Times New Roman" w:cs="Times New Roman"/>
                <w:sz w:val="24"/>
                <w:szCs w:val="24"/>
              </w:rPr>
              <w:t>Львовна</w:t>
            </w:r>
            <w:r w:rsidRPr="003F5D3B">
              <w:rPr>
                <w:rFonts w:ascii="Times Roman" w:hAnsi="Times Roman" w:cs="Times New Roman"/>
                <w:sz w:val="24"/>
                <w:szCs w:val="24"/>
              </w:rPr>
              <w:t xml:space="preserve"> </w:t>
            </w:r>
            <w:r w:rsidRPr="003F5D3B">
              <w:rPr>
                <w:rFonts w:ascii="Times Roman" w:hAnsi="Times Roman" w:cs="Times Roman"/>
                <w:sz w:val="24"/>
                <w:szCs w:val="24"/>
              </w:rPr>
              <w:t>–</w:t>
            </w:r>
            <w:r w:rsidRPr="003F5D3B">
              <w:rPr>
                <w:rFonts w:ascii="Times Roman" w:hAnsi="Times Roman" w:cs="Times New Roman"/>
                <w:sz w:val="24"/>
                <w:szCs w:val="24"/>
              </w:rPr>
              <w:t xml:space="preserve"> </w:t>
            </w:r>
            <w:r w:rsidRPr="003F5D3B">
              <w:rPr>
                <w:rFonts w:ascii="Times New Roman" w:hAnsi="Times New Roman" w:cs="Times New Roman"/>
                <w:sz w:val="24"/>
                <w:szCs w:val="24"/>
              </w:rPr>
              <w:t>первый</w:t>
            </w:r>
            <w:r w:rsidRPr="003F5D3B">
              <w:rPr>
                <w:rFonts w:ascii="Times Roman" w:hAnsi="Times Roman" w:cs="Times New Roman"/>
                <w:sz w:val="24"/>
                <w:szCs w:val="24"/>
              </w:rPr>
              <w:t xml:space="preserve"> </w:t>
            </w:r>
            <w:r w:rsidRPr="003F5D3B">
              <w:rPr>
                <w:rFonts w:ascii="Times New Roman" w:hAnsi="Times New Roman" w:cs="Times New Roman"/>
                <w:sz w:val="24"/>
                <w:szCs w:val="24"/>
              </w:rPr>
              <w:t>з</w:t>
            </w:r>
            <w:r w:rsidR="00301B3A" w:rsidRPr="003F5D3B">
              <w:rPr>
                <w:rFonts w:ascii="Times New Roman" w:hAnsi="Times New Roman" w:cs="Times New Roman"/>
                <w:sz w:val="24"/>
                <w:szCs w:val="24"/>
              </w:rPr>
              <w:t>аместитель</w:t>
            </w:r>
            <w:r w:rsidR="00301B3A" w:rsidRPr="003F5D3B">
              <w:rPr>
                <w:rFonts w:ascii="Times Roman" w:hAnsi="Times Roman" w:cs="Times New Roman"/>
                <w:sz w:val="24"/>
                <w:szCs w:val="24"/>
              </w:rPr>
              <w:t xml:space="preserve"> </w:t>
            </w:r>
            <w:r w:rsidR="00301B3A" w:rsidRPr="003F5D3B">
              <w:rPr>
                <w:rFonts w:ascii="Times New Roman" w:hAnsi="Times New Roman" w:cs="Times New Roman"/>
                <w:sz w:val="24"/>
                <w:szCs w:val="24"/>
              </w:rPr>
              <w:t>председателя</w:t>
            </w:r>
            <w:r w:rsidR="00301B3A" w:rsidRPr="003F5D3B">
              <w:rPr>
                <w:rFonts w:ascii="Times Roman" w:hAnsi="Times Roman" w:cs="Times New Roman"/>
                <w:sz w:val="24"/>
                <w:szCs w:val="24"/>
              </w:rPr>
              <w:t xml:space="preserve"> </w:t>
            </w:r>
            <w:r w:rsidR="00301B3A" w:rsidRPr="003F5D3B">
              <w:rPr>
                <w:rFonts w:ascii="Times New Roman" w:hAnsi="Times New Roman" w:cs="Times New Roman"/>
                <w:sz w:val="24"/>
                <w:szCs w:val="24"/>
              </w:rPr>
              <w:t>комитета</w:t>
            </w:r>
          </w:p>
        </w:tc>
        <w:tc>
          <w:tcPr>
            <w:tcW w:w="1786" w:type="pct"/>
            <w:vAlign w:val="center"/>
          </w:tcPr>
          <w:p w:rsidR="00301B3A" w:rsidRPr="003F5D3B" w:rsidRDefault="00301B3A" w:rsidP="003F5D3B">
            <w:pPr>
              <w:rPr>
                <w:rFonts w:ascii="Times Roman" w:hAnsi="Times Roman" w:cs="Times New Roman"/>
                <w:sz w:val="24"/>
                <w:szCs w:val="24"/>
              </w:rPr>
            </w:pPr>
            <w:r w:rsidRPr="003F5D3B">
              <w:rPr>
                <w:rFonts w:ascii="Times New Roman" w:hAnsi="Times New Roman" w:cs="Times New Roman"/>
                <w:sz w:val="24"/>
                <w:szCs w:val="24"/>
              </w:rPr>
              <w:t>отдел</w:t>
            </w:r>
            <w:r w:rsidRPr="003F5D3B">
              <w:rPr>
                <w:rFonts w:ascii="Times Roman" w:hAnsi="Times Roman" w:cs="Times New Roman"/>
                <w:sz w:val="24"/>
                <w:szCs w:val="24"/>
              </w:rPr>
              <w:t xml:space="preserve"> </w:t>
            </w:r>
            <w:r w:rsidRPr="003F5D3B">
              <w:rPr>
                <w:rFonts w:ascii="Times New Roman" w:hAnsi="Times New Roman" w:cs="Times New Roman"/>
                <w:sz w:val="24"/>
                <w:szCs w:val="24"/>
              </w:rPr>
              <w:t>пр</w:t>
            </w:r>
            <w:r w:rsidR="00CB6DEF" w:rsidRPr="003F5D3B">
              <w:rPr>
                <w:rFonts w:ascii="Times New Roman" w:hAnsi="Times New Roman" w:cs="Times New Roman"/>
                <w:sz w:val="24"/>
                <w:szCs w:val="24"/>
              </w:rPr>
              <w:t>ограммно</w:t>
            </w:r>
            <w:r w:rsidR="00CB6DEF" w:rsidRPr="003F5D3B">
              <w:rPr>
                <w:rFonts w:ascii="Times Roman" w:hAnsi="Times Roman" w:cs="Times New Roman"/>
                <w:sz w:val="24"/>
                <w:szCs w:val="24"/>
              </w:rPr>
              <w:t>-</w:t>
            </w:r>
            <w:r w:rsidR="00CB6DEF" w:rsidRPr="003F5D3B">
              <w:rPr>
                <w:rFonts w:ascii="Times New Roman" w:hAnsi="Times New Roman" w:cs="Times New Roman"/>
                <w:sz w:val="24"/>
                <w:szCs w:val="24"/>
              </w:rPr>
              <w:t>целевого</w:t>
            </w:r>
            <w:r w:rsidR="00CB6DEF" w:rsidRPr="003F5D3B">
              <w:rPr>
                <w:rFonts w:ascii="Times Roman" w:hAnsi="Times Roman" w:cs="Times New Roman"/>
                <w:sz w:val="24"/>
                <w:szCs w:val="24"/>
              </w:rPr>
              <w:t xml:space="preserve"> </w:t>
            </w:r>
            <w:r w:rsidR="00CB6DEF" w:rsidRPr="003F5D3B">
              <w:rPr>
                <w:rFonts w:ascii="Times New Roman" w:hAnsi="Times New Roman" w:cs="Times New Roman"/>
                <w:sz w:val="24"/>
                <w:szCs w:val="24"/>
              </w:rPr>
              <w:t>планирования</w:t>
            </w:r>
            <w:r w:rsidR="00CB6DEF" w:rsidRPr="003F5D3B">
              <w:rPr>
                <w:rFonts w:ascii="Times Roman" w:hAnsi="Times Roman" w:cs="Times New Roman"/>
                <w:sz w:val="24"/>
                <w:szCs w:val="24"/>
              </w:rPr>
              <w:t xml:space="preserve"> </w:t>
            </w:r>
            <w:r w:rsidR="00CB6DEF" w:rsidRPr="003F5D3B">
              <w:rPr>
                <w:rFonts w:ascii="Times New Roman" w:hAnsi="Times New Roman" w:cs="Times New Roman"/>
                <w:sz w:val="24"/>
                <w:szCs w:val="24"/>
              </w:rPr>
              <w:t>и</w:t>
            </w:r>
            <w:r w:rsidR="00CB6DEF" w:rsidRPr="003F5D3B">
              <w:rPr>
                <w:rFonts w:ascii="Times Roman" w:hAnsi="Times Roman" w:cs="Times New Roman"/>
                <w:sz w:val="24"/>
                <w:szCs w:val="24"/>
              </w:rPr>
              <w:t xml:space="preserve"> </w:t>
            </w:r>
            <w:r w:rsidRPr="003F5D3B">
              <w:rPr>
                <w:rFonts w:ascii="Times New Roman" w:hAnsi="Times New Roman" w:cs="Times New Roman"/>
                <w:sz w:val="24"/>
                <w:szCs w:val="24"/>
              </w:rPr>
              <w:t>капитальных</w:t>
            </w:r>
            <w:r w:rsidRPr="003F5D3B">
              <w:rPr>
                <w:rFonts w:ascii="Times Roman" w:hAnsi="Times Roman" w:cs="Times New Roman"/>
                <w:sz w:val="24"/>
                <w:szCs w:val="24"/>
              </w:rPr>
              <w:t xml:space="preserve"> </w:t>
            </w:r>
            <w:r w:rsidRPr="003F5D3B">
              <w:rPr>
                <w:rFonts w:ascii="Times New Roman" w:hAnsi="Times New Roman" w:cs="Times New Roman"/>
                <w:sz w:val="24"/>
                <w:szCs w:val="24"/>
              </w:rPr>
              <w:t>вложений</w:t>
            </w:r>
            <w:r w:rsidRPr="003F5D3B">
              <w:rPr>
                <w:rFonts w:ascii="Times Roman" w:hAnsi="Times Roman" w:cs="Times New Roman"/>
                <w:sz w:val="24"/>
                <w:szCs w:val="24"/>
              </w:rPr>
              <w:t xml:space="preserve"> </w:t>
            </w:r>
          </w:p>
        </w:tc>
      </w:tr>
      <w:tr w:rsidR="00301B3A" w:rsidRPr="003F5D3B" w:rsidTr="003F5D3B">
        <w:trPr>
          <w:trHeight w:val="813"/>
        </w:trPr>
        <w:tc>
          <w:tcPr>
            <w:tcW w:w="257" w:type="pct"/>
            <w:vAlign w:val="center"/>
          </w:tcPr>
          <w:p w:rsidR="00301B3A" w:rsidRPr="003F5D3B" w:rsidRDefault="00301B3A" w:rsidP="003F5D3B">
            <w:pPr>
              <w:numPr>
                <w:ilvl w:val="0"/>
                <w:numId w:val="4"/>
              </w:numPr>
              <w:ind w:left="0" w:firstLine="142"/>
              <w:rPr>
                <w:rFonts w:ascii="Times Roman" w:hAnsi="Times Roman" w:cs="Times New Roman"/>
                <w:sz w:val="24"/>
                <w:szCs w:val="24"/>
              </w:rPr>
            </w:pPr>
          </w:p>
        </w:tc>
        <w:tc>
          <w:tcPr>
            <w:tcW w:w="1450" w:type="pct"/>
            <w:vAlign w:val="center"/>
          </w:tcPr>
          <w:p w:rsidR="00301B3A" w:rsidRPr="003F5D3B" w:rsidRDefault="00A94289" w:rsidP="003F5D3B">
            <w:pPr>
              <w:rPr>
                <w:rFonts w:ascii="Times Roman" w:hAnsi="Times Roman" w:cs="Times New Roman"/>
                <w:sz w:val="24"/>
                <w:szCs w:val="24"/>
              </w:rPr>
            </w:pPr>
            <w:r w:rsidRPr="003F5D3B">
              <w:rPr>
                <w:rFonts w:ascii="Times New Roman" w:hAnsi="Times New Roman" w:cs="Times New Roman"/>
                <w:sz w:val="24"/>
                <w:szCs w:val="24"/>
              </w:rPr>
              <w:t>К</w:t>
            </w:r>
            <w:r w:rsidR="00301B3A" w:rsidRPr="003F5D3B">
              <w:rPr>
                <w:rFonts w:ascii="Times New Roman" w:hAnsi="Times New Roman" w:cs="Times New Roman"/>
                <w:sz w:val="24"/>
                <w:szCs w:val="24"/>
              </w:rPr>
              <w:t>омитет</w:t>
            </w:r>
            <w:r w:rsidR="00301B3A" w:rsidRPr="003F5D3B">
              <w:rPr>
                <w:rFonts w:ascii="Times Roman" w:hAnsi="Times Roman" w:cs="Times New Roman"/>
                <w:sz w:val="24"/>
                <w:szCs w:val="24"/>
              </w:rPr>
              <w:t xml:space="preserve"> </w:t>
            </w:r>
            <w:r w:rsidR="00301B3A" w:rsidRPr="003F5D3B">
              <w:rPr>
                <w:rFonts w:ascii="Times New Roman" w:hAnsi="Times New Roman" w:cs="Times New Roman"/>
                <w:sz w:val="24"/>
                <w:szCs w:val="24"/>
              </w:rPr>
              <w:t>по</w:t>
            </w:r>
            <w:r w:rsidR="00301B3A" w:rsidRPr="003F5D3B">
              <w:rPr>
                <w:rFonts w:ascii="Times Roman" w:hAnsi="Times Roman" w:cs="Times New Roman"/>
                <w:sz w:val="24"/>
                <w:szCs w:val="24"/>
              </w:rPr>
              <w:t xml:space="preserve"> </w:t>
            </w:r>
            <w:r w:rsidR="00301B3A" w:rsidRPr="003F5D3B">
              <w:rPr>
                <w:rFonts w:ascii="Times New Roman" w:hAnsi="Times New Roman" w:cs="Times New Roman"/>
                <w:sz w:val="24"/>
                <w:szCs w:val="24"/>
              </w:rPr>
              <w:t>печати</w:t>
            </w:r>
            <w:r w:rsidR="00301B3A" w:rsidRPr="003F5D3B">
              <w:rPr>
                <w:rFonts w:ascii="Times Roman" w:hAnsi="Times Roman" w:cs="Times New Roman"/>
                <w:sz w:val="24"/>
                <w:szCs w:val="24"/>
              </w:rPr>
              <w:t xml:space="preserve"> </w:t>
            </w:r>
            <w:r w:rsidR="00301B3A" w:rsidRPr="003F5D3B">
              <w:rPr>
                <w:rFonts w:ascii="Times New Roman" w:hAnsi="Times New Roman" w:cs="Times New Roman"/>
                <w:sz w:val="24"/>
                <w:szCs w:val="24"/>
              </w:rPr>
              <w:t>Ленинградской</w:t>
            </w:r>
            <w:r w:rsidR="00301B3A" w:rsidRPr="003F5D3B">
              <w:rPr>
                <w:rFonts w:ascii="Times Roman" w:hAnsi="Times Roman" w:cs="Times New Roman"/>
                <w:sz w:val="24"/>
                <w:szCs w:val="24"/>
              </w:rPr>
              <w:t xml:space="preserve"> </w:t>
            </w:r>
            <w:r w:rsidR="00301B3A" w:rsidRPr="003F5D3B">
              <w:rPr>
                <w:rFonts w:ascii="Times New Roman" w:hAnsi="Times New Roman" w:cs="Times New Roman"/>
                <w:sz w:val="24"/>
                <w:szCs w:val="24"/>
              </w:rPr>
              <w:t>области</w:t>
            </w:r>
          </w:p>
        </w:tc>
        <w:tc>
          <w:tcPr>
            <w:tcW w:w="1507" w:type="pct"/>
            <w:vAlign w:val="center"/>
          </w:tcPr>
          <w:p w:rsidR="00301B3A" w:rsidRPr="003F5D3B" w:rsidRDefault="00301B3A" w:rsidP="003F5D3B">
            <w:pPr>
              <w:rPr>
                <w:rFonts w:ascii="Times Roman" w:hAnsi="Times Roman" w:cs="Times New Roman"/>
                <w:sz w:val="24"/>
                <w:szCs w:val="24"/>
              </w:rPr>
            </w:pPr>
            <w:r w:rsidRPr="003F5D3B">
              <w:rPr>
                <w:rFonts w:ascii="Times New Roman" w:hAnsi="Times New Roman" w:cs="Times New Roman"/>
                <w:sz w:val="24"/>
                <w:szCs w:val="24"/>
              </w:rPr>
              <w:t>Васильева</w:t>
            </w:r>
            <w:r w:rsidRPr="003F5D3B">
              <w:rPr>
                <w:rFonts w:ascii="Times Roman" w:hAnsi="Times Roman" w:cs="Times New Roman"/>
                <w:sz w:val="24"/>
                <w:szCs w:val="24"/>
              </w:rPr>
              <w:t xml:space="preserve"> </w:t>
            </w:r>
            <w:r w:rsidRPr="003F5D3B">
              <w:rPr>
                <w:rFonts w:ascii="Times New Roman" w:hAnsi="Times New Roman" w:cs="Times New Roman"/>
                <w:sz w:val="24"/>
                <w:szCs w:val="24"/>
              </w:rPr>
              <w:t>Юлия</w:t>
            </w:r>
            <w:r w:rsidRPr="003F5D3B">
              <w:rPr>
                <w:rFonts w:ascii="Times Roman" w:hAnsi="Times Roman" w:cs="Times New Roman"/>
                <w:sz w:val="24"/>
                <w:szCs w:val="24"/>
              </w:rPr>
              <w:t xml:space="preserve"> </w:t>
            </w:r>
            <w:r w:rsidRPr="003F5D3B">
              <w:rPr>
                <w:rFonts w:ascii="Times New Roman" w:hAnsi="Times New Roman" w:cs="Times New Roman"/>
                <w:sz w:val="24"/>
                <w:szCs w:val="24"/>
              </w:rPr>
              <w:t>Васильевна</w:t>
            </w:r>
            <w:r w:rsidRPr="003F5D3B">
              <w:rPr>
                <w:rFonts w:ascii="Times Roman" w:hAnsi="Times Roman" w:cs="Times New Roman"/>
                <w:sz w:val="24"/>
                <w:szCs w:val="24"/>
              </w:rPr>
              <w:t xml:space="preserve"> - </w:t>
            </w:r>
            <w:r w:rsidRPr="003F5D3B">
              <w:rPr>
                <w:rFonts w:ascii="Times New Roman" w:hAnsi="Times New Roman" w:cs="Times New Roman"/>
                <w:sz w:val="24"/>
                <w:szCs w:val="24"/>
              </w:rPr>
              <w:t>замес</w:t>
            </w:r>
            <w:r w:rsidR="00A94289" w:rsidRPr="003F5D3B">
              <w:rPr>
                <w:rFonts w:ascii="Times New Roman" w:hAnsi="Times New Roman" w:cs="Times New Roman"/>
                <w:sz w:val="24"/>
                <w:szCs w:val="24"/>
              </w:rPr>
              <w:t>титель</w:t>
            </w:r>
            <w:r w:rsidR="00A94289" w:rsidRPr="003F5D3B">
              <w:rPr>
                <w:rFonts w:ascii="Times Roman" w:hAnsi="Times Roman" w:cs="Times New Roman"/>
                <w:sz w:val="24"/>
                <w:szCs w:val="24"/>
              </w:rPr>
              <w:t xml:space="preserve"> </w:t>
            </w:r>
            <w:r w:rsidR="00A94289" w:rsidRPr="003F5D3B">
              <w:rPr>
                <w:rFonts w:ascii="Times New Roman" w:hAnsi="Times New Roman" w:cs="Times New Roman"/>
                <w:sz w:val="24"/>
                <w:szCs w:val="24"/>
              </w:rPr>
              <w:t>председателя</w:t>
            </w:r>
            <w:r w:rsidR="00A94289" w:rsidRPr="003F5D3B">
              <w:rPr>
                <w:rFonts w:ascii="Times Roman" w:hAnsi="Times Roman" w:cs="Times New Roman"/>
                <w:sz w:val="24"/>
                <w:szCs w:val="24"/>
              </w:rPr>
              <w:t xml:space="preserve"> </w:t>
            </w:r>
            <w:r w:rsidR="00A94289" w:rsidRPr="003F5D3B">
              <w:rPr>
                <w:rFonts w:ascii="Times New Roman" w:hAnsi="Times New Roman" w:cs="Times New Roman"/>
                <w:sz w:val="24"/>
                <w:szCs w:val="24"/>
              </w:rPr>
              <w:t>комитета</w:t>
            </w:r>
            <w:r w:rsidR="00A94289" w:rsidRPr="003F5D3B">
              <w:rPr>
                <w:rFonts w:ascii="Times Roman" w:hAnsi="Times Roman" w:cs="Times New Roman"/>
                <w:sz w:val="24"/>
                <w:szCs w:val="24"/>
              </w:rPr>
              <w:t xml:space="preserve"> </w:t>
            </w:r>
          </w:p>
        </w:tc>
        <w:tc>
          <w:tcPr>
            <w:tcW w:w="1786" w:type="pct"/>
            <w:vAlign w:val="center"/>
          </w:tcPr>
          <w:p w:rsidR="00301B3A" w:rsidRPr="003F5D3B" w:rsidRDefault="00301B3A" w:rsidP="003F5D3B">
            <w:pPr>
              <w:rPr>
                <w:rFonts w:ascii="Times Roman" w:hAnsi="Times Roman" w:cs="Times New Roman"/>
                <w:sz w:val="24"/>
                <w:szCs w:val="24"/>
              </w:rPr>
            </w:pPr>
            <w:r w:rsidRPr="003F5D3B">
              <w:rPr>
                <w:rFonts w:ascii="Times New Roman" w:hAnsi="Times New Roman" w:cs="Times New Roman"/>
                <w:sz w:val="24"/>
                <w:szCs w:val="24"/>
              </w:rPr>
              <w:t>отдел</w:t>
            </w:r>
            <w:r w:rsidRPr="003F5D3B">
              <w:rPr>
                <w:rFonts w:ascii="Times Roman" w:hAnsi="Times Roman" w:cs="Times New Roman"/>
                <w:sz w:val="24"/>
                <w:szCs w:val="24"/>
              </w:rPr>
              <w:t xml:space="preserve"> </w:t>
            </w:r>
            <w:r w:rsidRPr="003F5D3B">
              <w:rPr>
                <w:rFonts w:ascii="Times New Roman" w:hAnsi="Times New Roman" w:cs="Times New Roman"/>
                <w:sz w:val="24"/>
                <w:szCs w:val="24"/>
              </w:rPr>
              <w:t>правового</w:t>
            </w:r>
            <w:r w:rsidRPr="003F5D3B">
              <w:rPr>
                <w:rFonts w:ascii="Times Roman" w:hAnsi="Times Roman" w:cs="Times New Roman"/>
                <w:sz w:val="24"/>
                <w:szCs w:val="24"/>
              </w:rPr>
              <w:t xml:space="preserve"> </w:t>
            </w:r>
            <w:r w:rsidRPr="003F5D3B">
              <w:rPr>
                <w:rFonts w:ascii="Times New Roman" w:hAnsi="Times New Roman" w:cs="Times New Roman"/>
                <w:sz w:val="24"/>
                <w:szCs w:val="24"/>
              </w:rPr>
              <w:t>и</w:t>
            </w:r>
            <w:r w:rsidRPr="003F5D3B">
              <w:rPr>
                <w:rFonts w:ascii="Times Roman" w:hAnsi="Times Roman" w:cs="Times New Roman"/>
                <w:sz w:val="24"/>
                <w:szCs w:val="24"/>
              </w:rPr>
              <w:t xml:space="preserve"> </w:t>
            </w:r>
            <w:r w:rsidRPr="003F5D3B">
              <w:rPr>
                <w:rFonts w:ascii="Times New Roman" w:hAnsi="Times New Roman" w:cs="Times New Roman"/>
                <w:sz w:val="24"/>
                <w:szCs w:val="24"/>
              </w:rPr>
              <w:t>финансового</w:t>
            </w:r>
            <w:r w:rsidRPr="003F5D3B">
              <w:rPr>
                <w:rFonts w:ascii="Times Roman" w:hAnsi="Times Roman" w:cs="Times New Roman"/>
                <w:sz w:val="24"/>
                <w:szCs w:val="24"/>
              </w:rPr>
              <w:t xml:space="preserve"> </w:t>
            </w:r>
            <w:r w:rsidRPr="003F5D3B">
              <w:rPr>
                <w:rFonts w:ascii="Times New Roman" w:hAnsi="Times New Roman" w:cs="Times New Roman"/>
                <w:sz w:val="24"/>
                <w:szCs w:val="24"/>
              </w:rPr>
              <w:t>обеспечения</w:t>
            </w:r>
            <w:r w:rsidRPr="003F5D3B">
              <w:rPr>
                <w:rFonts w:ascii="Times Roman" w:hAnsi="Times Roman" w:cs="Times New Roman"/>
                <w:sz w:val="24"/>
                <w:szCs w:val="24"/>
              </w:rPr>
              <w:t xml:space="preserve"> </w:t>
            </w:r>
            <w:r w:rsidRPr="003F5D3B">
              <w:rPr>
                <w:rFonts w:ascii="Times New Roman" w:hAnsi="Times New Roman" w:cs="Times New Roman"/>
                <w:sz w:val="24"/>
                <w:szCs w:val="24"/>
              </w:rPr>
              <w:t>государственного</w:t>
            </w:r>
            <w:r w:rsidRPr="003F5D3B">
              <w:rPr>
                <w:rFonts w:ascii="Times Roman" w:hAnsi="Times Roman" w:cs="Times New Roman"/>
                <w:sz w:val="24"/>
                <w:szCs w:val="24"/>
              </w:rPr>
              <w:t xml:space="preserve"> </w:t>
            </w:r>
            <w:r w:rsidRPr="003F5D3B">
              <w:rPr>
                <w:rFonts w:ascii="Times New Roman" w:hAnsi="Times New Roman" w:cs="Times New Roman"/>
                <w:sz w:val="24"/>
                <w:szCs w:val="24"/>
              </w:rPr>
              <w:t>заказа</w:t>
            </w:r>
          </w:p>
        </w:tc>
      </w:tr>
      <w:tr w:rsidR="00301B3A" w:rsidRPr="003F5D3B" w:rsidTr="003F5D3B">
        <w:trPr>
          <w:trHeight w:val="926"/>
        </w:trPr>
        <w:tc>
          <w:tcPr>
            <w:tcW w:w="257" w:type="pct"/>
            <w:vAlign w:val="center"/>
          </w:tcPr>
          <w:p w:rsidR="00301B3A" w:rsidRPr="003F5D3B" w:rsidRDefault="00301B3A" w:rsidP="003F5D3B">
            <w:pPr>
              <w:numPr>
                <w:ilvl w:val="0"/>
                <w:numId w:val="4"/>
              </w:numPr>
              <w:ind w:left="0" w:firstLine="142"/>
              <w:rPr>
                <w:rFonts w:ascii="Times Roman" w:hAnsi="Times Roman" w:cs="Times New Roman"/>
                <w:sz w:val="24"/>
                <w:szCs w:val="24"/>
              </w:rPr>
            </w:pPr>
          </w:p>
        </w:tc>
        <w:tc>
          <w:tcPr>
            <w:tcW w:w="1450" w:type="pct"/>
            <w:vAlign w:val="center"/>
          </w:tcPr>
          <w:p w:rsidR="00301B3A" w:rsidRPr="003F5D3B" w:rsidRDefault="00A94289" w:rsidP="003F5D3B">
            <w:pPr>
              <w:rPr>
                <w:rFonts w:ascii="Times Roman" w:hAnsi="Times Roman" w:cs="Times New Roman"/>
                <w:sz w:val="24"/>
                <w:szCs w:val="24"/>
              </w:rPr>
            </w:pPr>
            <w:r w:rsidRPr="003F5D3B">
              <w:rPr>
                <w:rFonts w:ascii="Times New Roman" w:hAnsi="Times New Roman" w:cs="Times New Roman"/>
                <w:sz w:val="24"/>
                <w:szCs w:val="24"/>
              </w:rPr>
              <w:t>К</w:t>
            </w:r>
            <w:r w:rsidR="00301B3A" w:rsidRPr="003F5D3B">
              <w:rPr>
                <w:rFonts w:ascii="Times New Roman" w:hAnsi="Times New Roman" w:cs="Times New Roman"/>
                <w:sz w:val="24"/>
                <w:szCs w:val="24"/>
              </w:rPr>
              <w:t>омитет</w:t>
            </w:r>
            <w:r w:rsidR="00301B3A" w:rsidRPr="003F5D3B">
              <w:rPr>
                <w:rFonts w:ascii="Times Roman" w:hAnsi="Times Roman" w:cs="Times New Roman"/>
                <w:sz w:val="24"/>
                <w:szCs w:val="24"/>
              </w:rPr>
              <w:t xml:space="preserve"> </w:t>
            </w:r>
            <w:r w:rsidR="00301B3A" w:rsidRPr="003F5D3B">
              <w:rPr>
                <w:rFonts w:ascii="Times New Roman" w:hAnsi="Times New Roman" w:cs="Times New Roman"/>
                <w:sz w:val="24"/>
                <w:szCs w:val="24"/>
              </w:rPr>
              <w:t>по</w:t>
            </w:r>
            <w:r w:rsidR="00301B3A" w:rsidRPr="003F5D3B">
              <w:rPr>
                <w:rFonts w:ascii="Times Roman" w:hAnsi="Times Roman" w:cs="Times New Roman"/>
                <w:sz w:val="24"/>
                <w:szCs w:val="24"/>
              </w:rPr>
              <w:t xml:space="preserve"> </w:t>
            </w:r>
            <w:r w:rsidR="00301B3A" w:rsidRPr="003F5D3B">
              <w:rPr>
                <w:rFonts w:ascii="Times New Roman" w:hAnsi="Times New Roman" w:cs="Times New Roman"/>
                <w:sz w:val="24"/>
                <w:szCs w:val="24"/>
              </w:rPr>
              <w:t>молодежной</w:t>
            </w:r>
            <w:r w:rsidR="00301B3A" w:rsidRPr="003F5D3B">
              <w:rPr>
                <w:rFonts w:ascii="Times Roman" w:hAnsi="Times Roman" w:cs="Times New Roman"/>
                <w:sz w:val="24"/>
                <w:szCs w:val="24"/>
              </w:rPr>
              <w:t xml:space="preserve"> </w:t>
            </w:r>
            <w:r w:rsidR="00301B3A" w:rsidRPr="003F5D3B">
              <w:rPr>
                <w:rFonts w:ascii="Times New Roman" w:hAnsi="Times New Roman" w:cs="Times New Roman"/>
                <w:sz w:val="24"/>
                <w:szCs w:val="24"/>
              </w:rPr>
              <w:t>политике</w:t>
            </w:r>
            <w:r w:rsidR="00301B3A" w:rsidRPr="003F5D3B">
              <w:rPr>
                <w:rFonts w:ascii="Times Roman" w:hAnsi="Times Roman" w:cs="Times New Roman"/>
                <w:sz w:val="24"/>
                <w:szCs w:val="24"/>
              </w:rPr>
              <w:t xml:space="preserve"> </w:t>
            </w:r>
            <w:r w:rsidR="00301B3A" w:rsidRPr="003F5D3B">
              <w:rPr>
                <w:rFonts w:ascii="Times New Roman" w:hAnsi="Times New Roman" w:cs="Times New Roman"/>
                <w:sz w:val="24"/>
                <w:szCs w:val="24"/>
              </w:rPr>
              <w:t>Ленинградской</w:t>
            </w:r>
            <w:r w:rsidR="00301B3A" w:rsidRPr="003F5D3B">
              <w:rPr>
                <w:rFonts w:ascii="Times Roman" w:hAnsi="Times Roman" w:cs="Times New Roman"/>
                <w:sz w:val="24"/>
                <w:szCs w:val="24"/>
              </w:rPr>
              <w:t xml:space="preserve"> </w:t>
            </w:r>
            <w:r w:rsidR="00301B3A" w:rsidRPr="003F5D3B">
              <w:rPr>
                <w:rFonts w:ascii="Times New Roman" w:hAnsi="Times New Roman" w:cs="Times New Roman"/>
                <w:sz w:val="24"/>
                <w:szCs w:val="24"/>
              </w:rPr>
              <w:t>области</w:t>
            </w:r>
          </w:p>
        </w:tc>
        <w:tc>
          <w:tcPr>
            <w:tcW w:w="1507" w:type="pct"/>
            <w:vAlign w:val="center"/>
          </w:tcPr>
          <w:p w:rsidR="00301B3A" w:rsidRPr="003F5D3B" w:rsidRDefault="00301B3A" w:rsidP="003F5D3B">
            <w:pPr>
              <w:rPr>
                <w:rFonts w:ascii="Times Roman" w:hAnsi="Times Roman" w:cs="Times New Roman"/>
                <w:sz w:val="24"/>
                <w:szCs w:val="24"/>
              </w:rPr>
            </w:pPr>
            <w:r w:rsidRPr="003F5D3B">
              <w:rPr>
                <w:rFonts w:ascii="Times New Roman" w:hAnsi="Times New Roman" w:cs="Times New Roman"/>
                <w:sz w:val="24"/>
                <w:szCs w:val="24"/>
              </w:rPr>
              <w:t>Соколов</w:t>
            </w:r>
            <w:r w:rsidRPr="003F5D3B">
              <w:rPr>
                <w:rFonts w:ascii="Times Roman" w:hAnsi="Times Roman" w:cs="Times New Roman"/>
                <w:sz w:val="24"/>
                <w:szCs w:val="24"/>
              </w:rPr>
              <w:t xml:space="preserve"> </w:t>
            </w:r>
            <w:r w:rsidRPr="003F5D3B">
              <w:rPr>
                <w:rFonts w:ascii="Times New Roman" w:hAnsi="Times New Roman" w:cs="Times New Roman"/>
                <w:sz w:val="24"/>
                <w:szCs w:val="24"/>
              </w:rPr>
              <w:t>Михаил</w:t>
            </w:r>
            <w:r w:rsidRPr="003F5D3B">
              <w:rPr>
                <w:rFonts w:ascii="Times Roman" w:hAnsi="Times Roman" w:cs="Times New Roman"/>
                <w:sz w:val="24"/>
                <w:szCs w:val="24"/>
              </w:rPr>
              <w:t xml:space="preserve"> </w:t>
            </w:r>
            <w:r w:rsidRPr="003F5D3B">
              <w:rPr>
                <w:rFonts w:ascii="Times New Roman" w:hAnsi="Times New Roman" w:cs="Times New Roman"/>
                <w:sz w:val="24"/>
                <w:szCs w:val="24"/>
              </w:rPr>
              <w:t>Александрович</w:t>
            </w:r>
            <w:r w:rsidR="00B34AA0" w:rsidRPr="003F5D3B">
              <w:rPr>
                <w:rFonts w:ascii="Times Roman" w:hAnsi="Times Roman" w:cs="Times New Roman"/>
                <w:sz w:val="24"/>
                <w:szCs w:val="24"/>
              </w:rPr>
              <w:t xml:space="preserve"> - </w:t>
            </w:r>
            <w:r w:rsidR="00B34AA0" w:rsidRPr="003F5D3B">
              <w:rPr>
                <w:rFonts w:ascii="Times New Roman" w:hAnsi="Times New Roman" w:cs="Times New Roman"/>
                <w:sz w:val="24"/>
                <w:szCs w:val="24"/>
              </w:rPr>
              <w:t>первый</w:t>
            </w:r>
            <w:r w:rsidR="00B34AA0" w:rsidRPr="003F5D3B">
              <w:rPr>
                <w:rFonts w:ascii="Times Roman" w:hAnsi="Times Roman" w:cs="Times New Roman"/>
                <w:sz w:val="24"/>
                <w:szCs w:val="24"/>
              </w:rPr>
              <w:t xml:space="preserve"> </w:t>
            </w:r>
            <w:r w:rsidR="00B34AA0" w:rsidRPr="003F5D3B">
              <w:rPr>
                <w:rFonts w:ascii="Times New Roman" w:hAnsi="Times New Roman" w:cs="Times New Roman"/>
                <w:sz w:val="24"/>
                <w:szCs w:val="24"/>
              </w:rPr>
              <w:t>заместитель</w:t>
            </w:r>
            <w:r w:rsidR="00B34AA0" w:rsidRPr="003F5D3B">
              <w:rPr>
                <w:rFonts w:ascii="Times Roman" w:hAnsi="Times Roman" w:cs="Times New Roman"/>
                <w:sz w:val="24"/>
                <w:szCs w:val="24"/>
              </w:rPr>
              <w:t xml:space="preserve"> </w:t>
            </w:r>
            <w:r w:rsidR="00B34AA0" w:rsidRPr="003F5D3B">
              <w:rPr>
                <w:rFonts w:ascii="Times New Roman" w:hAnsi="Times New Roman" w:cs="Times New Roman"/>
                <w:sz w:val="24"/>
                <w:szCs w:val="24"/>
              </w:rPr>
              <w:t>председателя</w:t>
            </w:r>
            <w:r w:rsidR="00B34AA0" w:rsidRPr="003F5D3B">
              <w:rPr>
                <w:rFonts w:ascii="Times Roman" w:hAnsi="Times Roman" w:cs="Times New Roman"/>
                <w:sz w:val="24"/>
                <w:szCs w:val="24"/>
              </w:rPr>
              <w:t xml:space="preserve"> </w:t>
            </w:r>
            <w:r w:rsidR="00B34AA0" w:rsidRPr="003F5D3B">
              <w:rPr>
                <w:rFonts w:ascii="Times New Roman" w:hAnsi="Times New Roman" w:cs="Times New Roman"/>
                <w:sz w:val="24"/>
                <w:szCs w:val="24"/>
              </w:rPr>
              <w:t>комитета</w:t>
            </w:r>
          </w:p>
        </w:tc>
        <w:tc>
          <w:tcPr>
            <w:tcW w:w="1786" w:type="pct"/>
            <w:vAlign w:val="center"/>
          </w:tcPr>
          <w:p w:rsidR="00301B3A" w:rsidRPr="003F5D3B" w:rsidRDefault="00301B3A" w:rsidP="003F5D3B">
            <w:pPr>
              <w:rPr>
                <w:rFonts w:ascii="Times Roman" w:hAnsi="Times Roman" w:cs="Times New Roman"/>
                <w:sz w:val="24"/>
                <w:szCs w:val="24"/>
              </w:rPr>
            </w:pPr>
            <w:r w:rsidRPr="003F5D3B">
              <w:rPr>
                <w:rFonts w:ascii="Times New Roman" w:hAnsi="Times New Roman" w:cs="Times New Roman"/>
                <w:sz w:val="24"/>
                <w:szCs w:val="24"/>
              </w:rPr>
              <w:t>сектор</w:t>
            </w:r>
            <w:r w:rsidRPr="003F5D3B">
              <w:rPr>
                <w:rFonts w:ascii="Times Roman" w:hAnsi="Times Roman" w:cs="Times New Roman"/>
                <w:sz w:val="24"/>
                <w:szCs w:val="24"/>
              </w:rPr>
              <w:t xml:space="preserve"> </w:t>
            </w:r>
            <w:r w:rsidRPr="003F5D3B">
              <w:rPr>
                <w:rFonts w:ascii="Times New Roman" w:hAnsi="Times New Roman" w:cs="Times New Roman"/>
                <w:sz w:val="24"/>
                <w:szCs w:val="24"/>
              </w:rPr>
              <w:t>финансового</w:t>
            </w:r>
            <w:r w:rsidRPr="003F5D3B">
              <w:rPr>
                <w:rFonts w:ascii="Times Roman" w:hAnsi="Times Roman" w:cs="Times New Roman"/>
                <w:sz w:val="24"/>
                <w:szCs w:val="24"/>
              </w:rPr>
              <w:t xml:space="preserve"> </w:t>
            </w:r>
            <w:r w:rsidRPr="003F5D3B">
              <w:rPr>
                <w:rFonts w:ascii="Times New Roman" w:hAnsi="Times New Roman" w:cs="Times New Roman"/>
                <w:sz w:val="24"/>
                <w:szCs w:val="24"/>
              </w:rPr>
              <w:t>планирования</w:t>
            </w:r>
            <w:r w:rsidRPr="003F5D3B">
              <w:rPr>
                <w:rFonts w:ascii="Times Roman" w:hAnsi="Times Roman" w:cs="Times New Roman"/>
                <w:sz w:val="24"/>
                <w:szCs w:val="24"/>
              </w:rPr>
              <w:t xml:space="preserve">, </w:t>
            </w:r>
            <w:r w:rsidRPr="003F5D3B">
              <w:rPr>
                <w:rFonts w:ascii="Times New Roman" w:hAnsi="Times New Roman" w:cs="Times New Roman"/>
                <w:sz w:val="24"/>
                <w:szCs w:val="24"/>
              </w:rPr>
              <w:t>бухгалтерского</w:t>
            </w:r>
            <w:r w:rsidRPr="003F5D3B">
              <w:rPr>
                <w:rFonts w:ascii="Times Roman" w:hAnsi="Times Roman" w:cs="Times New Roman"/>
                <w:sz w:val="24"/>
                <w:szCs w:val="24"/>
              </w:rPr>
              <w:t xml:space="preserve"> </w:t>
            </w:r>
            <w:r w:rsidRPr="003F5D3B">
              <w:rPr>
                <w:rFonts w:ascii="Times New Roman" w:hAnsi="Times New Roman" w:cs="Times New Roman"/>
                <w:sz w:val="24"/>
                <w:szCs w:val="24"/>
              </w:rPr>
              <w:t>учета</w:t>
            </w:r>
            <w:r w:rsidRPr="003F5D3B">
              <w:rPr>
                <w:rFonts w:ascii="Times Roman" w:hAnsi="Times Roman" w:cs="Times New Roman"/>
                <w:sz w:val="24"/>
                <w:szCs w:val="24"/>
              </w:rPr>
              <w:t xml:space="preserve"> </w:t>
            </w:r>
            <w:r w:rsidRPr="003F5D3B">
              <w:rPr>
                <w:rFonts w:ascii="Times New Roman" w:hAnsi="Times New Roman" w:cs="Times New Roman"/>
                <w:sz w:val="24"/>
                <w:szCs w:val="24"/>
              </w:rPr>
              <w:t>и</w:t>
            </w:r>
            <w:r w:rsidRPr="003F5D3B">
              <w:rPr>
                <w:rFonts w:ascii="Times Roman" w:hAnsi="Times Roman" w:cs="Times New Roman"/>
                <w:sz w:val="24"/>
                <w:szCs w:val="24"/>
              </w:rPr>
              <w:t xml:space="preserve"> </w:t>
            </w:r>
            <w:r w:rsidRPr="003F5D3B">
              <w:rPr>
                <w:rFonts w:ascii="Times New Roman" w:hAnsi="Times New Roman" w:cs="Times New Roman"/>
                <w:sz w:val="24"/>
                <w:szCs w:val="24"/>
              </w:rPr>
              <w:t>отчетности</w:t>
            </w:r>
          </w:p>
          <w:p w:rsidR="00301B3A" w:rsidRPr="003F5D3B" w:rsidRDefault="00301B3A" w:rsidP="003F5D3B">
            <w:pPr>
              <w:rPr>
                <w:rFonts w:ascii="Times Roman" w:hAnsi="Times Roman" w:cs="Times New Roman"/>
                <w:sz w:val="24"/>
                <w:szCs w:val="24"/>
              </w:rPr>
            </w:pPr>
          </w:p>
        </w:tc>
      </w:tr>
      <w:tr w:rsidR="001D5B22" w:rsidRPr="003F5D3B" w:rsidTr="003F5D3B">
        <w:trPr>
          <w:trHeight w:val="239"/>
        </w:trPr>
        <w:tc>
          <w:tcPr>
            <w:tcW w:w="257" w:type="pct"/>
            <w:vAlign w:val="center"/>
          </w:tcPr>
          <w:p w:rsidR="001D5B22" w:rsidRPr="003F5D3B" w:rsidRDefault="001D5B22" w:rsidP="003F5D3B">
            <w:pPr>
              <w:numPr>
                <w:ilvl w:val="0"/>
                <w:numId w:val="4"/>
              </w:numPr>
              <w:ind w:left="0" w:firstLine="142"/>
              <w:rPr>
                <w:rFonts w:ascii="Times Roman" w:hAnsi="Times Roman" w:cs="Times New Roman"/>
                <w:sz w:val="24"/>
                <w:szCs w:val="24"/>
              </w:rPr>
            </w:pPr>
          </w:p>
        </w:tc>
        <w:tc>
          <w:tcPr>
            <w:tcW w:w="1450" w:type="pct"/>
            <w:tcBorders>
              <w:bottom w:val="single" w:sz="4" w:space="0" w:color="auto"/>
            </w:tcBorders>
            <w:vAlign w:val="center"/>
          </w:tcPr>
          <w:p w:rsidR="001D5B22" w:rsidRPr="003F5D3B" w:rsidRDefault="001D5B22" w:rsidP="003F5D3B">
            <w:pPr>
              <w:rPr>
                <w:rFonts w:ascii="Times Roman" w:hAnsi="Times Roman" w:cs="Times New Roman"/>
                <w:sz w:val="24"/>
                <w:szCs w:val="24"/>
              </w:rPr>
            </w:pPr>
            <w:r w:rsidRPr="003F5D3B">
              <w:rPr>
                <w:rFonts w:ascii="Times New Roman" w:hAnsi="Times New Roman" w:cs="Times New Roman"/>
                <w:sz w:val="24"/>
                <w:szCs w:val="24"/>
              </w:rPr>
              <w:t>Управление</w:t>
            </w:r>
            <w:r w:rsidRPr="003F5D3B">
              <w:rPr>
                <w:rFonts w:ascii="Times Roman" w:hAnsi="Times Roman" w:cs="Times New Roman"/>
                <w:sz w:val="24"/>
                <w:szCs w:val="24"/>
              </w:rPr>
              <w:t xml:space="preserve"> </w:t>
            </w:r>
            <w:r w:rsidRPr="003F5D3B">
              <w:rPr>
                <w:rFonts w:ascii="Times New Roman" w:hAnsi="Times New Roman" w:cs="Times New Roman"/>
                <w:sz w:val="24"/>
                <w:szCs w:val="24"/>
              </w:rPr>
              <w:t>ветеринарии</w:t>
            </w:r>
            <w:r w:rsidRPr="003F5D3B">
              <w:rPr>
                <w:rFonts w:ascii="Times Roman" w:hAnsi="Times Roman" w:cs="Times New Roman"/>
                <w:sz w:val="24"/>
                <w:szCs w:val="24"/>
              </w:rPr>
              <w:t xml:space="preserve"> </w:t>
            </w:r>
            <w:r w:rsidRPr="003F5D3B">
              <w:rPr>
                <w:rFonts w:ascii="Times New Roman" w:hAnsi="Times New Roman" w:cs="Times New Roman"/>
                <w:sz w:val="24"/>
                <w:szCs w:val="24"/>
              </w:rPr>
              <w:lastRenderedPageBreak/>
              <w:t>Ленинградской</w:t>
            </w:r>
            <w:r w:rsidRPr="003F5D3B">
              <w:rPr>
                <w:rFonts w:ascii="Times Roman" w:hAnsi="Times Roman" w:cs="Times New Roman"/>
                <w:sz w:val="24"/>
                <w:szCs w:val="24"/>
              </w:rPr>
              <w:t xml:space="preserve"> </w:t>
            </w:r>
            <w:r w:rsidRPr="003F5D3B">
              <w:rPr>
                <w:rFonts w:ascii="Times New Roman" w:hAnsi="Times New Roman" w:cs="Times New Roman"/>
                <w:sz w:val="24"/>
                <w:szCs w:val="24"/>
              </w:rPr>
              <w:t>области</w:t>
            </w:r>
          </w:p>
          <w:p w:rsidR="001D5B22" w:rsidRPr="003F5D3B" w:rsidRDefault="001D5B22" w:rsidP="003F5D3B">
            <w:pPr>
              <w:rPr>
                <w:rFonts w:ascii="Times Roman" w:hAnsi="Times Roman" w:cs="Times New Roman"/>
                <w:sz w:val="24"/>
                <w:szCs w:val="24"/>
              </w:rPr>
            </w:pPr>
          </w:p>
        </w:tc>
        <w:tc>
          <w:tcPr>
            <w:tcW w:w="1507" w:type="pct"/>
            <w:tcBorders>
              <w:bottom w:val="single" w:sz="4" w:space="0" w:color="auto"/>
            </w:tcBorders>
            <w:vAlign w:val="center"/>
          </w:tcPr>
          <w:p w:rsidR="001D5B22" w:rsidRPr="003F5D3B" w:rsidRDefault="001D5B22" w:rsidP="003F5D3B">
            <w:pPr>
              <w:rPr>
                <w:rFonts w:ascii="Times Roman" w:hAnsi="Times Roman" w:cs="Times New Roman"/>
                <w:sz w:val="24"/>
                <w:szCs w:val="24"/>
              </w:rPr>
            </w:pPr>
            <w:r w:rsidRPr="003F5D3B">
              <w:rPr>
                <w:rFonts w:ascii="Times New Roman" w:hAnsi="Times New Roman" w:cs="Times New Roman"/>
                <w:sz w:val="24"/>
                <w:szCs w:val="24"/>
              </w:rPr>
              <w:lastRenderedPageBreak/>
              <w:t>Башаров</w:t>
            </w:r>
            <w:r w:rsidRPr="003F5D3B">
              <w:rPr>
                <w:rFonts w:ascii="Times Roman" w:hAnsi="Times Roman" w:cs="Times New Roman"/>
                <w:sz w:val="24"/>
                <w:szCs w:val="24"/>
              </w:rPr>
              <w:t xml:space="preserve"> </w:t>
            </w:r>
            <w:r w:rsidRPr="003F5D3B">
              <w:rPr>
                <w:rFonts w:ascii="Times New Roman" w:hAnsi="Times New Roman" w:cs="Times New Roman"/>
                <w:sz w:val="24"/>
                <w:szCs w:val="24"/>
              </w:rPr>
              <w:t>Сергей</w:t>
            </w:r>
            <w:r w:rsidRPr="003F5D3B">
              <w:rPr>
                <w:rFonts w:ascii="Times Roman" w:hAnsi="Times Roman" w:cs="Times New Roman"/>
                <w:sz w:val="24"/>
                <w:szCs w:val="24"/>
              </w:rPr>
              <w:t xml:space="preserve"> </w:t>
            </w:r>
            <w:r w:rsidRPr="003F5D3B">
              <w:rPr>
                <w:rFonts w:ascii="Times New Roman" w:hAnsi="Times New Roman" w:cs="Times New Roman"/>
                <w:sz w:val="24"/>
                <w:szCs w:val="24"/>
              </w:rPr>
              <w:lastRenderedPageBreak/>
              <w:t>Владимирович</w:t>
            </w:r>
            <w:r w:rsidRPr="003F5D3B">
              <w:rPr>
                <w:rFonts w:ascii="Times Roman" w:hAnsi="Times Roman" w:cs="Times New Roman"/>
                <w:sz w:val="24"/>
                <w:szCs w:val="24"/>
              </w:rPr>
              <w:t xml:space="preserve"> - </w:t>
            </w:r>
            <w:r w:rsidRPr="003F5D3B">
              <w:rPr>
                <w:rFonts w:ascii="Times New Roman" w:hAnsi="Times New Roman" w:cs="Times New Roman"/>
                <w:sz w:val="24"/>
                <w:szCs w:val="24"/>
              </w:rPr>
              <w:t>заместитель</w:t>
            </w:r>
            <w:r w:rsidRPr="003F5D3B">
              <w:rPr>
                <w:rFonts w:ascii="Times Roman" w:hAnsi="Times Roman" w:cs="Times New Roman"/>
                <w:sz w:val="24"/>
                <w:szCs w:val="24"/>
              </w:rPr>
              <w:t xml:space="preserve"> </w:t>
            </w:r>
            <w:r w:rsidRPr="003F5D3B">
              <w:rPr>
                <w:rFonts w:ascii="Times New Roman" w:hAnsi="Times New Roman" w:cs="Times New Roman"/>
                <w:sz w:val="24"/>
                <w:szCs w:val="24"/>
              </w:rPr>
              <w:t>начальника</w:t>
            </w:r>
            <w:r w:rsidRPr="003F5D3B">
              <w:rPr>
                <w:rFonts w:ascii="Times Roman" w:hAnsi="Times Roman" w:cs="Times New Roman"/>
                <w:sz w:val="24"/>
                <w:szCs w:val="24"/>
              </w:rPr>
              <w:t xml:space="preserve"> </w:t>
            </w:r>
            <w:r w:rsidRPr="003F5D3B">
              <w:rPr>
                <w:rFonts w:ascii="Times New Roman" w:hAnsi="Times New Roman" w:cs="Times New Roman"/>
                <w:sz w:val="24"/>
                <w:szCs w:val="24"/>
              </w:rPr>
              <w:t>Управления</w:t>
            </w:r>
          </w:p>
        </w:tc>
        <w:tc>
          <w:tcPr>
            <w:tcW w:w="1786" w:type="pct"/>
            <w:tcBorders>
              <w:bottom w:val="single" w:sz="4" w:space="0" w:color="auto"/>
            </w:tcBorders>
            <w:vAlign w:val="center"/>
          </w:tcPr>
          <w:p w:rsidR="001D5B22" w:rsidRPr="003F5D3B" w:rsidRDefault="00A94289" w:rsidP="003F5D3B">
            <w:pPr>
              <w:rPr>
                <w:rFonts w:ascii="Times Roman" w:hAnsi="Times Roman" w:cs="Times New Roman"/>
                <w:sz w:val="24"/>
                <w:szCs w:val="24"/>
              </w:rPr>
            </w:pPr>
            <w:r w:rsidRPr="003F5D3B">
              <w:rPr>
                <w:rFonts w:ascii="Times New Roman" w:hAnsi="Times New Roman" w:cs="Times New Roman"/>
                <w:sz w:val="24"/>
                <w:szCs w:val="24"/>
              </w:rPr>
              <w:lastRenderedPageBreak/>
              <w:t>с</w:t>
            </w:r>
            <w:r w:rsidR="003213D4" w:rsidRPr="003F5D3B">
              <w:rPr>
                <w:rFonts w:ascii="Times New Roman" w:hAnsi="Times New Roman" w:cs="Times New Roman"/>
                <w:sz w:val="24"/>
                <w:szCs w:val="24"/>
              </w:rPr>
              <w:t>ектор</w:t>
            </w:r>
            <w:r w:rsidR="003213D4" w:rsidRPr="003F5D3B">
              <w:rPr>
                <w:rFonts w:ascii="Times Roman" w:hAnsi="Times Roman" w:cs="Times New Roman"/>
                <w:sz w:val="24"/>
                <w:szCs w:val="24"/>
              </w:rPr>
              <w:t xml:space="preserve"> </w:t>
            </w:r>
            <w:r w:rsidR="003213D4" w:rsidRPr="003F5D3B">
              <w:rPr>
                <w:rFonts w:ascii="Times New Roman" w:hAnsi="Times New Roman" w:cs="Times New Roman"/>
                <w:sz w:val="24"/>
                <w:szCs w:val="24"/>
              </w:rPr>
              <w:t>бюджетного</w:t>
            </w:r>
            <w:r w:rsidR="003213D4" w:rsidRPr="003F5D3B">
              <w:rPr>
                <w:rFonts w:ascii="Times Roman" w:hAnsi="Times Roman" w:cs="Times New Roman"/>
                <w:sz w:val="24"/>
                <w:szCs w:val="24"/>
              </w:rPr>
              <w:t xml:space="preserve"> </w:t>
            </w:r>
            <w:r w:rsidR="003213D4" w:rsidRPr="003F5D3B">
              <w:rPr>
                <w:rFonts w:ascii="Times New Roman" w:hAnsi="Times New Roman" w:cs="Times New Roman"/>
                <w:sz w:val="24"/>
                <w:szCs w:val="24"/>
              </w:rPr>
              <w:lastRenderedPageBreak/>
              <w:t>планирования</w:t>
            </w:r>
            <w:r w:rsidR="003213D4" w:rsidRPr="003F5D3B">
              <w:rPr>
                <w:rFonts w:ascii="Times Roman" w:hAnsi="Times Roman" w:cs="Times New Roman"/>
                <w:sz w:val="24"/>
                <w:szCs w:val="24"/>
              </w:rPr>
              <w:t xml:space="preserve">, </w:t>
            </w:r>
            <w:r w:rsidR="003213D4" w:rsidRPr="003F5D3B">
              <w:rPr>
                <w:rFonts w:ascii="Times New Roman" w:hAnsi="Times New Roman" w:cs="Times New Roman"/>
                <w:sz w:val="24"/>
                <w:szCs w:val="24"/>
              </w:rPr>
              <w:t>финансирования</w:t>
            </w:r>
            <w:r w:rsidR="003213D4" w:rsidRPr="003F5D3B">
              <w:rPr>
                <w:rFonts w:ascii="Times Roman" w:hAnsi="Times Roman" w:cs="Times New Roman"/>
                <w:sz w:val="24"/>
                <w:szCs w:val="24"/>
              </w:rPr>
              <w:t xml:space="preserve"> </w:t>
            </w:r>
            <w:r w:rsidR="003213D4" w:rsidRPr="003F5D3B">
              <w:rPr>
                <w:rFonts w:ascii="Times New Roman" w:hAnsi="Times New Roman" w:cs="Times New Roman"/>
                <w:sz w:val="24"/>
                <w:szCs w:val="24"/>
              </w:rPr>
              <w:t>и</w:t>
            </w:r>
            <w:r w:rsidR="003213D4" w:rsidRPr="003F5D3B">
              <w:rPr>
                <w:rFonts w:ascii="Times Roman" w:hAnsi="Times Roman" w:cs="Times New Roman"/>
                <w:sz w:val="24"/>
                <w:szCs w:val="24"/>
              </w:rPr>
              <w:t xml:space="preserve"> </w:t>
            </w:r>
            <w:r w:rsidR="003213D4" w:rsidRPr="003F5D3B">
              <w:rPr>
                <w:rFonts w:ascii="Times New Roman" w:hAnsi="Times New Roman" w:cs="Times New Roman"/>
                <w:sz w:val="24"/>
                <w:szCs w:val="24"/>
              </w:rPr>
              <w:t>бухгалтерского</w:t>
            </w:r>
            <w:r w:rsidR="003213D4" w:rsidRPr="003F5D3B">
              <w:rPr>
                <w:rFonts w:ascii="Times Roman" w:hAnsi="Times Roman" w:cs="Times New Roman"/>
                <w:sz w:val="24"/>
                <w:szCs w:val="24"/>
              </w:rPr>
              <w:t xml:space="preserve"> </w:t>
            </w:r>
            <w:r w:rsidR="003213D4" w:rsidRPr="003F5D3B">
              <w:rPr>
                <w:rFonts w:ascii="Times New Roman" w:hAnsi="Times New Roman" w:cs="Times New Roman"/>
                <w:sz w:val="24"/>
                <w:szCs w:val="24"/>
              </w:rPr>
              <w:t>учета</w:t>
            </w:r>
          </w:p>
        </w:tc>
      </w:tr>
    </w:tbl>
    <w:p w:rsidR="000824A7" w:rsidRPr="006A3693" w:rsidRDefault="000824A7" w:rsidP="006A3693">
      <w:pPr>
        <w:spacing w:after="0" w:line="360" w:lineRule="auto"/>
        <w:ind w:firstLine="709"/>
        <w:jc w:val="both"/>
        <w:rPr>
          <w:rFonts w:ascii="Times New Roman" w:hAnsi="Times New Roman" w:cs="Times New Roman"/>
          <w:sz w:val="24"/>
          <w:szCs w:val="24"/>
        </w:rPr>
      </w:pPr>
    </w:p>
    <w:p w:rsidR="000824A7" w:rsidRPr="006A3693" w:rsidRDefault="000824A7" w:rsidP="00123328">
      <w:pPr>
        <w:keepNext/>
        <w:keepLines/>
        <w:widowControl w:val="0"/>
        <w:spacing w:after="0" w:line="360" w:lineRule="auto"/>
        <w:ind w:firstLine="709"/>
        <w:jc w:val="center"/>
        <w:outlineLvl w:val="0"/>
        <w:rPr>
          <w:rFonts w:ascii="Times New Roman" w:eastAsia="Times New Roman" w:hAnsi="Times New Roman" w:cs="Times New Roman"/>
          <w:b/>
          <w:bCs/>
          <w:sz w:val="24"/>
          <w:szCs w:val="24"/>
        </w:rPr>
      </w:pPr>
      <w:bookmarkStart w:id="1" w:name="bookmark0"/>
      <w:r w:rsidRPr="006A3693">
        <w:rPr>
          <w:rFonts w:ascii="Times New Roman" w:eastAsia="Times New Roman" w:hAnsi="Times New Roman" w:cs="Times New Roman"/>
          <w:b/>
          <w:bCs/>
          <w:color w:val="000000"/>
          <w:sz w:val="24"/>
          <w:szCs w:val="24"/>
          <w:lang w:eastAsia="ru-RU" w:bidi="ru-RU"/>
        </w:rPr>
        <w:t>Раздел 2. Сведения о реализации составляющих Стандарта.</w:t>
      </w:r>
      <w:bookmarkEnd w:id="1"/>
    </w:p>
    <w:p w:rsidR="000824A7" w:rsidRPr="006A3693" w:rsidRDefault="000824A7" w:rsidP="006A3693">
      <w:pPr>
        <w:widowControl w:val="0"/>
        <w:numPr>
          <w:ilvl w:val="0"/>
          <w:numId w:val="3"/>
        </w:numPr>
        <w:tabs>
          <w:tab w:val="left" w:pos="1263"/>
        </w:tabs>
        <w:spacing w:after="0" w:line="360" w:lineRule="auto"/>
        <w:ind w:firstLine="709"/>
        <w:jc w:val="both"/>
        <w:rPr>
          <w:rFonts w:ascii="Times New Roman" w:eastAsia="Times New Roman" w:hAnsi="Times New Roman" w:cs="Times New Roman"/>
          <w:b/>
          <w:sz w:val="24"/>
          <w:szCs w:val="24"/>
        </w:rPr>
      </w:pPr>
      <w:r w:rsidRPr="006A3693">
        <w:rPr>
          <w:rFonts w:ascii="Times New Roman" w:eastAsia="Times New Roman" w:hAnsi="Times New Roman" w:cs="Times New Roman"/>
          <w:b/>
          <w:color w:val="000000"/>
          <w:sz w:val="24"/>
          <w:szCs w:val="24"/>
          <w:lang w:eastAsia="ru-RU" w:bidi="ru-RU"/>
        </w:rPr>
        <w:t>Сведения о заключенных соглашениях (меморандумах) по внедрению Стандарта между органами исполнительной власти субъекта Российской Федерации и органами местного самоуправления (далее - соглашения).</w:t>
      </w:r>
    </w:p>
    <w:p w:rsidR="000824A7" w:rsidRPr="006A3693" w:rsidRDefault="000478BE" w:rsidP="00123328">
      <w:pPr>
        <w:widowControl w:val="0"/>
        <w:tabs>
          <w:tab w:val="left" w:pos="1263"/>
        </w:tabs>
        <w:spacing w:after="0" w:line="360" w:lineRule="auto"/>
        <w:ind w:firstLine="709"/>
        <w:jc w:val="both"/>
        <w:rPr>
          <w:rFonts w:ascii="Times New Roman" w:eastAsia="Times New Roman" w:hAnsi="Times New Roman" w:cs="Times New Roman"/>
          <w:sz w:val="24"/>
          <w:szCs w:val="24"/>
        </w:rPr>
      </w:pPr>
      <w:r w:rsidRPr="006A3693">
        <w:rPr>
          <w:rFonts w:ascii="Times New Roman" w:eastAsia="Times New Roman" w:hAnsi="Times New Roman" w:cs="Times New Roman"/>
          <w:sz w:val="24"/>
          <w:szCs w:val="24"/>
        </w:rPr>
        <w:t>В 2018 году м</w:t>
      </w:r>
      <w:r w:rsidR="000824A7" w:rsidRPr="006A3693">
        <w:rPr>
          <w:rFonts w:ascii="Times New Roman" w:eastAsia="Times New Roman" w:hAnsi="Times New Roman" w:cs="Times New Roman"/>
          <w:sz w:val="24"/>
          <w:szCs w:val="24"/>
        </w:rPr>
        <w:t>ежду Комитетом экономического развития и инвестиционной деятельности Ленингра</w:t>
      </w:r>
      <w:r w:rsidR="00266091">
        <w:rPr>
          <w:rFonts w:ascii="Times New Roman" w:eastAsia="Times New Roman" w:hAnsi="Times New Roman" w:cs="Times New Roman"/>
          <w:sz w:val="24"/>
          <w:szCs w:val="24"/>
        </w:rPr>
        <w:t>дской области и 18 муниципальными образованиями</w:t>
      </w:r>
      <w:r w:rsidR="000824A7" w:rsidRPr="006A3693">
        <w:rPr>
          <w:rFonts w:ascii="Times New Roman" w:eastAsia="Times New Roman" w:hAnsi="Times New Roman" w:cs="Times New Roman"/>
          <w:sz w:val="24"/>
          <w:szCs w:val="24"/>
        </w:rPr>
        <w:t xml:space="preserve"> (17 муниципальных районов и 1 городской округ) заключены соглашения по внедрению Стандарта.</w:t>
      </w:r>
      <w:r w:rsidRPr="006A3693">
        <w:rPr>
          <w:rFonts w:ascii="Times New Roman" w:eastAsia="Times New Roman" w:hAnsi="Times New Roman" w:cs="Times New Roman"/>
          <w:sz w:val="24"/>
          <w:szCs w:val="24"/>
        </w:rPr>
        <w:t xml:space="preserve"> В 2020 году соглашения были актуализированы. </w:t>
      </w:r>
    </w:p>
    <w:p w:rsidR="00C92CCC" w:rsidRPr="006A3693" w:rsidRDefault="00C92CCC" w:rsidP="006A3693">
      <w:pPr>
        <w:widowControl w:val="0"/>
        <w:tabs>
          <w:tab w:val="left" w:pos="1263"/>
        </w:tabs>
        <w:spacing w:after="0" w:line="360" w:lineRule="auto"/>
        <w:ind w:firstLine="709"/>
        <w:jc w:val="both"/>
        <w:rPr>
          <w:rFonts w:ascii="Times New Roman" w:eastAsia="Times New Roman" w:hAnsi="Times New Roman" w:cs="Times New Roman"/>
          <w:sz w:val="24"/>
          <w:szCs w:val="24"/>
        </w:rPr>
      </w:pPr>
      <w:r w:rsidRPr="006A3693">
        <w:rPr>
          <w:rFonts w:ascii="Times New Roman" w:eastAsia="Times New Roman" w:hAnsi="Times New Roman" w:cs="Times New Roman"/>
          <w:sz w:val="24"/>
          <w:szCs w:val="24"/>
        </w:rPr>
        <w:t>Предметом заключенных соглашений является обеспечение взаимодействия между Уполномоченным органом и органами местного самоуправления муниципальных образований Ленинградской области с целью внедрения на территории Ленинградской области стандарта развития конкуренции в субъектах Российской Федерации.</w:t>
      </w:r>
    </w:p>
    <w:p w:rsidR="000824A7" w:rsidRPr="006A3693" w:rsidRDefault="000824A7" w:rsidP="006A3693">
      <w:pPr>
        <w:widowControl w:val="0"/>
        <w:numPr>
          <w:ilvl w:val="0"/>
          <w:numId w:val="3"/>
        </w:numPr>
        <w:tabs>
          <w:tab w:val="left" w:pos="567"/>
        </w:tabs>
        <w:spacing w:after="0" w:line="360" w:lineRule="auto"/>
        <w:ind w:firstLine="709"/>
        <w:jc w:val="both"/>
        <w:rPr>
          <w:rFonts w:ascii="Times New Roman" w:eastAsia="Times New Roman" w:hAnsi="Times New Roman" w:cs="Times New Roman"/>
          <w:b/>
          <w:color w:val="000000"/>
          <w:sz w:val="24"/>
          <w:szCs w:val="24"/>
          <w:lang w:eastAsia="ru-RU" w:bidi="ru-RU"/>
        </w:rPr>
      </w:pPr>
      <w:r w:rsidRPr="006A3693">
        <w:rPr>
          <w:rFonts w:ascii="Times New Roman" w:eastAsia="Times New Roman" w:hAnsi="Times New Roman" w:cs="Times New Roman"/>
          <w:b/>
          <w:color w:val="000000"/>
          <w:sz w:val="24"/>
          <w:szCs w:val="24"/>
          <w:lang w:eastAsia="ru-RU" w:bidi="ru-RU"/>
        </w:rPr>
        <w:t>Определение органа исполнительной власти субъекта Российской Федерации, уполномоченного содействовать развитию конкуренции в субъекте Российской Федерации в соответствии со Стандартом (далее – Уполномоченный орган).</w:t>
      </w:r>
    </w:p>
    <w:p w:rsidR="000824A7" w:rsidRPr="006A3693" w:rsidRDefault="000824A7" w:rsidP="006A3693">
      <w:pPr>
        <w:widowControl w:val="0"/>
        <w:tabs>
          <w:tab w:val="left" w:pos="1263"/>
        </w:tabs>
        <w:spacing w:after="0" w:line="360" w:lineRule="auto"/>
        <w:ind w:firstLine="709"/>
        <w:jc w:val="both"/>
        <w:rPr>
          <w:rFonts w:ascii="Times New Roman" w:eastAsia="Times New Roman" w:hAnsi="Times New Roman" w:cs="Times New Roman"/>
          <w:sz w:val="24"/>
          <w:szCs w:val="24"/>
        </w:rPr>
      </w:pPr>
      <w:r w:rsidRPr="006A3693">
        <w:rPr>
          <w:rFonts w:ascii="Times New Roman" w:eastAsia="Times New Roman" w:hAnsi="Times New Roman" w:cs="Times New Roman"/>
          <w:sz w:val="24"/>
          <w:szCs w:val="24"/>
        </w:rPr>
        <w:t>Распоряжением Губернатора Ленинградской области от 15 февраля 2016 года №76-рг «О внедрении на территории Ленинградской области стандарта развития конкуренции в субъектах Российской Федерации» Уполномоченным органом по содействию развитию конкуренции на территории Ленинградской области определен Комитет экономического развития и инвестиционной деятельности Ленинградской области.</w:t>
      </w:r>
    </w:p>
    <w:p w:rsidR="000824A7" w:rsidRPr="006A3693" w:rsidRDefault="000824A7" w:rsidP="006A3693">
      <w:pPr>
        <w:widowControl w:val="0"/>
        <w:tabs>
          <w:tab w:val="left" w:pos="1263"/>
        </w:tabs>
        <w:spacing w:after="0" w:line="360" w:lineRule="auto"/>
        <w:ind w:firstLine="709"/>
        <w:jc w:val="both"/>
        <w:rPr>
          <w:rFonts w:ascii="Times New Roman" w:eastAsia="Times New Roman" w:hAnsi="Times New Roman" w:cs="Times New Roman"/>
          <w:sz w:val="24"/>
          <w:szCs w:val="24"/>
        </w:rPr>
      </w:pPr>
      <w:r w:rsidRPr="006A3693">
        <w:rPr>
          <w:rFonts w:ascii="Times New Roman" w:eastAsia="Times New Roman" w:hAnsi="Times New Roman" w:cs="Times New Roman"/>
          <w:sz w:val="24"/>
          <w:szCs w:val="24"/>
        </w:rPr>
        <w:t xml:space="preserve">Постановлением Правительства Ленинградской области от 21.04.2014 № 144 </w:t>
      </w:r>
      <w:r w:rsidR="00CE69F1">
        <w:rPr>
          <w:rFonts w:ascii="Times New Roman" w:eastAsia="Times New Roman" w:hAnsi="Times New Roman" w:cs="Times New Roman"/>
          <w:sz w:val="24"/>
          <w:szCs w:val="24"/>
        </w:rPr>
        <w:t>(ред. от 09.09.2019) утверждено</w:t>
      </w:r>
      <w:r w:rsidRPr="006A3693">
        <w:rPr>
          <w:rFonts w:ascii="Times New Roman" w:eastAsia="Times New Roman" w:hAnsi="Times New Roman" w:cs="Times New Roman"/>
          <w:sz w:val="24"/>
          <w:szCs w:val="24"/>
        </w:rPr>
        <w:t xml:space="preserve"> положение о Комитете экономического развития и инвестиционной деятельности Ленинградской области, согласно которому Комитет в пределах своей компетенции осуществляет деятельность с учетом приоритета целей и задач по содействию развитию конкуренции на товарных рынках в установленной сфере деятельности. </w:t>
      </w:r>
    </w:p>
    <w:p w:rsidR="000824A7" w:rsidRPr="006A3693" w:rsidRDefault="000824A7" w:rsidP="006A3693">
      <w:pPr>
        <w:widowControl w:val="0"/>
        <w:tabs>
          <w:tab w:val="left" w:pos="1396"/>
        </w:tabs>
        <w:spacing w:after="0" w:line="360" w:lineRule="auto"/>
        <w:ind w:firstLine="709"/>
        <w:jc w:val="both"/>
        <w:rPr>
          <w:rFonts w:ascii="Times New Roman" w:eastAsia="Times New Roman" w:hAnsi="Times New Roman" w:cs="Times New Roman"/>
          <w:color w:val="000000"/>
          <w:sz w:val="24"/>
          <w:szCs w:val="24"/>
          <w:lang w:eastAsia="ru-RU" w:bidi="ru-RU"/>
        </w:rPr>
      </w:pPr>
      <w:r w:rsidRPr="006A3693">
        <w:rPr>
          <w:rFonts w:ascii="Times New Roman" w:eastAsia="Times New Roman" w:hAnsi="Times New Roman" w:cs="Times New Roman"/>
          <w:color w:val="000000"/>
          <w:sz w:val="24"/>
          <w:szCs w:val="24"/>
          <w:lang w:eastAsia="ru-RU" w:bidi="ru-RU"/>
        </w:rPr>
        <w:t>Ответственным за координацию вопросов содействия развитию конкуренции в Комитете экономического развития и инвестиционной деятельности Ленинградской области назначен первый заместитель председателя комитета экономического развития</w:t>
      </w:r>
      <w:r w:rsidR="00E962A0">
        <w:rPr>
          <w:rFonts w:ascii="Times New Roman" w:eastAsia="Times New Roman" w:hAnsi="Times New Roman" w:cs="Times New Roman"/>
          <w:color w:val="000000"/>
          <w:sz w:val="24"/>
          <w:szCs w:val="24"/>
          <w:lang w:eastAsia="ru-RU" w:bidi="ru-RU"/>
        </w:rPr>
        <w:t>.</w:t>
      </w:r>
      <w:r w:rsidRPr="006A3693">
        <w:rPr>
          <w:rFonts w:ascii="Times New Roman" w:eastAsia="Times New Roman" w:hAnsi="Times New Roman" w:cs="Times New Roman"/>
          <w:color w:val="000000"/>
          <w:sz w:val="24"/>
          <w:szCs w:val="24"/>
          <w:lang w:eastAsia="ru-RU" w:bidi="ru-RU"/>
        </w:rPr>
        <w:t xml:space="preserve"> </w:t>
      </w:r>
    </w:p>
    <w:p w:rsidR="002E082E" w:rsidRPr="006A3693" w:rsidRDefault="000824A7" w:rsidP="006A3693">
      <w:pPr>
        <w:widowControl w:val="0"/>
        <w:spacing w:after="0" w:line="360" w:lineRule="auto"/>
        <w:ind w:firstLine="709"/>
        <w:jc w:val="both"/>
        <w:rPr>
          <w:rFonts w:ascii="Times New Roman" w:eastAsia="Times New Roman" w:hAnsi="Times New Roman" w:cs="Times New Roman"/>
          <w:iCs/>
          <w:color w:val="000000"/>
          <w:sz w:val="24"/>
          <w:szCs w:val="24"/>
          <w:lang w:eastAsia="ru-RU" w:bidi="ru-RU"/>
        </w:rPr>
      </w:pPr>
      <w:r w:rsidRPr="006A3693">
        <w:rPr>
          <w:rFonts w:ascii="Times New Roman" w:eastAsia="Times New Roman" w:hAnsi="Times New Roman" w:cs="Times New Roman"/>
          <w:iCs/>
          <w:color w:val="000000"/>
          <w:sz w:val="24"/>
          <w:szCs w:val="24"/>
          <w:lang w:eastAsia="ru-RU" w:bidi="ru-RU"/>
        </w:rPr>
        <w:t>Структурное подразделение в Комитете экономического развития и инвестиционной деятельности Ленинградской области - сектор оценки регулирующего воздействия отдела формирования инвестиционной политики департ</w:t>
      </w:r>
      <w:r w:rsidR="002E082E" w:rsidRPr="006A3693">
        <w:rPr>
          <w:rFonts w:ascii="Times New Roman" w:eastAsia="Times New Roman" w:hAnsi="Times New Roman" w:cs="Times New Roman"/>
          <w:iCs/>
          <w:color w:val="000000"/>
          <w:sz w:val="24"/>
          <w:szCs w:val="24"/>
          <w:lang w:eastAsia="ru-RU" w:bidi="ru-RU"/>
        </w:rPr>
        <w:t>амента инвестиционной  политики.</w:t>
      </w:r>
    </w:p>
    <w:p w:rsidR="000824A7" w:rsidRDefault="000824A7" w:rsidP="006A3693">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6A3693">
        <w:rPr>
          <w:rFonts w:ascii="Times New Roman" w:eastAsia="Times New Roman" w:hAnsi="Times New Roman" w:cs="Times New Roman"/>
          <w:color w:val="000000"/>
          <w:sz w:val="24"/>
          <w:szCs w:val="24"/>
          <w:lang w:eastAsia="ru-RU" w:bidi="ru-RU"/>
        </w:rPr>
        <w:t xml:space="preserve">Сведения о проведенных в отчетном периоде в субъекте Российской Федерации </w:t>
      </w:r>
      <w:r w:rsidRPr="006A3693">
        <w:rPr>
          <w:rFonts w:ascii="Times New Roman" w:eastAsia="Times New Roman" w:hAnsi="Times New Roman" w:cs="Times New Roman"/>
          <w:color w:val="000000"/>
          <w:sz w:val="24"/>
          <w:szCs w:val="24"/>
          <w:lang w:eastAsia="ru-RU" w:bidi="ru-RU"/>
        </w:rPr>
        <w:lastRenderedPageBreak/>
        <w:t xml:space="preserve">обучающих мероприятиях и тренингах для органов местного самоуправления по вопросам </w:t>
      </w:r>
      <w:r w:rsidR="00E962A0">
        <w:rPr>
          <w:rFonts w:ascii="Times New Roman" w:eastAsia="Times New Roman" w:hAnsi="Times New Roman" w:cs="Times New Roman"/>
          <w:color w:val="000000"/>
          <w:sz w:val="24"/>
          <w:szCs w:val="24"/>
          <w:lang w:eastAsia="ru-RU" w:bidi="ru-RU"/>
        </w:rPr>
        <w:t>содействия развитию конкуренции:</w:t>
      </w:r>
    </w:p>
    <w:p w:rsidR="00867072" w:rsidRPr="000F7C28" w:rsidRDefault="000F7C28" w:rsidP="00080A73">
      <w:pPr>
        <w:pStyle w:val="a4"/>
        <w:widowControl w:val="0"/>
        <w:numPr>
          <w:ilvl w:val="0"/>
          <w:numId w:val="5"/>
        </w:numPr>
        <w:spacing w:after="0" w:line="360" w:lineRule="auto"/>
        <w:ind w:left="0" w:firstLine="709"/>
        <w:jc w:val="both"/>
        <w:rPr>
          <w:rFonts w:ascii="Times New Roman" w:eastAsia="Times New Roman" w:hAnsi="Times New Roman" w:cs="Times New Roman"/>
          <w:color w:val="000000"/>
          <w:sz w:val="24"/>
          <w:szCs w:val="24"/>
          <w:lang w:eastAsia="ru-RU" w:bidi="ru-RU"/>
        </w:rPr>
      </w:pPr>
      <w:r w:rsidRPr="000F7C28">
        <w:rPr>
          <w:rFonts w:ascii="Times New Roman" w:eastAsia="Times New Roman" w:hAnsi="Times New Roman" w:cs="Times New Roman"/>
          <w:color w:val="000000"/>
          <w:sz w:val="24"/>
          <w:szCs w:val="24"/>
          <w:lang w:eastAsia="ru-RU" w:bidi="ru-RU"/>
        </w:rPr>
        <w:t>16.02.2022 организован семинар</w:t>
      </w:r>
      <w:r w:rsidR="00867072" w:rsidRPr="000F7C28">
        <w:rPr>
          <w:rFonts w:ascii="Times New Roman" w:eastAsia="Times New Roman" w:hAnsi="Times New Roman" w:cs="Times New Roman"/>
          <w:color w:val="000000"/>
          <w:sz w:val="24"/>
          <w:szCs w:val="24"/>
          <w:lang w:eastAsia="ru-RU" w:bidi="ru-RU"/>
        </w:rPr>
        <w:t xml:space="preserve"> </w:t>
      </w:r>
      <w:r w:rsidRPr="000F7C28">
        <w:rPr>
          <w:rFonts w:ascii="Times New Roman" w:eastAsia="Times New Roman" w:hAnsi="Times New Roman" w:cs="Times New Roman"/>
          <w:color w:val="000000"/>
          <w:sz w:val="24"/>
          <w:szCs w:val="24"/>
          <w:lang w:eastAsia="ru-RU" w:bidi="ru-RU"/>
        </w:rPr>
        <w:t>для</w:t>
      </w:r>
      <w:r w:rsidR="00867072" w:rsidRPr="000F7C28">
        <w:rPr>
          <w:rFonts w:ascii="Times New Roman" w:eastAsia="Times New Roman" w:hAnsi="Times New Roman" w:cs="Times New Roman"/>
          <w:color w:val="000000"/>
          <w:sz w:val="24"/>
          <w:szCs w:val="24"/>
          <w:lang w:eastAsia="ru-RU" w:bidi="ru-RU"/>
        </w:rPr>
        <w:t xml:space="preserve"> представителей структурных подразделений, курирующих вопросы содействия развитию конкуренции 18 муниципальных образований Ленинградской области по программе </w:t>
      </w:r>
      <w:r w:rsidR="00CC7D2A" w:rsidRPr="000F7C28">
        <w:rPr>
          <w:rFonts w:ascii="Times New Roman" w:eastAsia="Times New Roman" w:hAnsi="Times New Roman" w:cs="Times New Roman"/>
          <w:color w:val="000000"/>
          <w:sz w:val="24"/>
          <w:szCs w:val="24"/>
          <w:lang w:eastAsia="ru-RU" w:bidi="ru-RU"/>
        </w:rPr>
        <w:t>«</w:t>
      </w:r>
      <w:r w:rsidR="00D13402" w:rsidRPr="000F7C28">
        <w:rPr>
          <w:rFonts w:ascii="Times New Roman" w:eastAsia="Times New Roman" w:hAnsi="Times New Roman" w:cs="Times New Roman"/>
          <w:color w:val="000000"/>
          <w:sz w:val="24"/>
          <w:szCs w:val="24"/>
          <w:lang w:eastAsia="ru-RU" w:bidi="ru-RU"/>
        </w:rPr>
        <w:t>Оценка развития конкуренция в муниципальных образованиях Ленинградской области. Антимонопольный комплаенс».</w:t>
      </w:r>
    </w:p>
    <w:p w:rsidR="00867072" w:rsidRPr="006A3693" w:rsidRDefault="000C0612" w:rsidP="00867072">
      <w:pPr>
        <w:widowControl w:val="0"/>
        <w:tabs>
          <w:tab w:val="left" w:pos="1479"/>
        </w:tabs>
        <w:spacing w:after="0" w:line="360" w:lineRule="auto"/>
        <w:ind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 19.09.2022-21.09.2022</w:t>
      </w:r>
      <w:r w:rsidR="00867072">
        <w:rPr>
          <w:rFonts w:ascii="Times New Roman" w:eastAsia="Times New Roman" w:hAnsi="Times New Roman" w:cs="Times New Roman"/>
          <w:color w:val="000000"/>
          <w:sz w:val="24"/>
          <w:szCs w:val="24"/>
          <w:lang w:eastAsia="ru-RU" w:bidi="ru-RU"/>
        </w:rPr>
        <w:t xml:space="preserve"> </w:t>
      </w:r>
      <w:r w:rsidR="000824A7" w:rsidRPr="006A3693">
        <w:rPr>
          <w:rFonts w:ascii="Times New Roman" w:eastAsia="Times New Roman" w:hAnsi="Times New Roman" w:cs="Times New Roman"/>
          <w:color w:val="000000"/>
          <w:sz w:val="24"/>
          <w:szCs w:val="24"/>
          <w:lang w:eastAsia="ru-RU" w:bidi="ru-RU"/>
        </w:rPr>
        <w:t>организовано обучение представителей структурных подразделений, курирующих вопросы содействия развитию конкуренции муниципальных образований Ленинградской области по программе повышения квалификации  по направлению «</w:t>
      </w:r>
      <w:r w:rsidR="007B6C74" w:rsidRPr="007B6C74">
        <w:rPr>
          <w:rFonts w:ascii="Times New Roman" w:eastAsia="Times New Roman" w:hAnsi="Times New Roman" w:cs="Times New Roman"/>
          <w:color w:val="000000"/>
          <w:sz w:val="24"/>
          <w:szCs w:val="24"/>
          <w:lang w:eastAsia="ru-RU" w:bidi="ru-RU"/>
        </w:rPr>
        <w:t>Актуальные вопросы содействия развитию конкуренции. Антимонопольный комплаенс</w:t>
      </w:r>
      <w:r w:rsidR="000824A7" w:rsidRPr="006A3693">
        <w:rPr>
          <w:rFonts w:ascii="Times New Roman" w:eastAsia="Times New Roman" w:hAnsi="Times New Roman" w:cs="Times New Roman"/>
          <w:color w:val="000000"/>
          <w:sz w:val="24"/>
          <w:szCs w:val="24"/>
          <w:lang w:eastAsia="ru-RU" w:bidi="ru-RU"/>
        </w:rPr>
        <w:t xml:space="preserve">». Обучение </w:t>
      </w:r>
      <w:r w:rsidR="008274CE" w:rsidRPr="006A3693">
        <w:rPr>
          <w:rFonts w:ascii="Times New Roman" w:eastAsia="Times New Roman" w:hAnsi="Times New Roman" w:cs="Times New Roman"/>
          <w:color w:val="000000"/>
          <w:sz w:val="24"/>
          <w:szCs w:val="24"/>
          <w:lang w:eastAsia="ru-RU" w:bidi="ru-RU"/>
        </w:rPr>
        <w:t>было посвящено актуальным вопросам содействия развития конкуренции и повышения качества процессов, связанных с предоставлением услуг, влияющих на развитие конкуренции</w:t>
      </w:r>
      <w:r w:rsidR="007B6C74">
        <w:rPr>
          <w:rFonts w:ascii="Times New Roman" w:eastAsia="Times New Roman" w:hAnsi="Times New Roman" w:cs="Times New Roman"/>
          <w:color w:val="000000"/>
          <w:sz w:val="24"/>
          <w:szCs w:val="24"/>
          <w:lang w:eastAsia="ru-RU" w:bidi="ru-RU"/>
        </w:rPr>
        <w:t>, а также вопросам внедрения антимонопольного комплаенса в органах местного самоуправления.</w:t>
      </w:r>
    </w:p>
    <w:p w:rsidR="000824A7" w:rsidRPr="006A3693" w:rsidRDefault="00F538AA" w:rsidP="006A3693">
      <w:pPr>
        <w:widowControl w:val="0"/>
        <w:spacing w:after="0" w:line="360" w:lineRule="auto"/>
        <w:ind w:firstLine="709"/>
        <w:jc w:val="both"/>
        <w:rPr>
          <w:rFonts w:ascii="Times New Roman" w:eastAsia="Times New Roman" w:hAnsi="Times New Roman" w:cs="Times New Roman"/>
          <w:b/>
          <w:color w:val="000000"/>
          <w:sz w:val="24"/>
          <w:szCs w:val="24"/>
          <w:lang w:eastAsia="ru-RU" w:bidi="ru-RU"/>
        </w:rPr>
      </w:pPr>
      <w:r>
        <w:rPr>
          <w:rFonts w:ascii="Times New Roman" w:eastAsia="Times New Roman" w:hAnsi="Times New Roman" w:cs="Times New Roman"/>
          <w:b/>
          <w:color w:val="000000"/>
          <w:sz w:val="24"/>
          <w:szCs w:val="24"/>
          <w:lang w:eastAsia="ru-RU" w:bidi="ru-RU"/>
        </w:rPr>
        <w:t>2.3</w:t>
      </w:r>
      <w:r w:rsidR="000824A7" w:rsidRPr="006A3693">
        <w:rPr>
          <w:rFonts w:ascii="Times New Roman" w:eastAsia="Times New Roman" w:hAnsi="Times New Roman" w:cs="Times New Roman"/>
          <w:b/>
          <w:color w:val="000000"/>
          <w:sz w:val="24"/>
          <w:szCs w:val="24"/>
          <w:lang w:eastAsia="ru-RU" w:bidi="ru-RU"/>
        </w:rPr>
        <w:t>. Формирование рейтинга муниципальных образований по содействию развитию конкуренции и обеспечению условий для формирования благоприятного инвестиционного климата, предусматривающего систему поощрения (далее - Рейтинг МО).</w:t>
      </w:r>
    </w:p>
    <w:p w:rsidR="0011063F" w:rsidRDefault="000824A7" w:rsidP="0011063F">
      <w:pPr>
        <w:widowControl w:val="0"/>
        <w:tabs>
          <w:tab w:val="right" w:pos="9726"/>
        </w:tabs>
        <w:spacing w:after="0" w:line="360" w:lineRule="auto"/>
        <w:ind w:firstLine="709"/>
        <w:jc w:val="both"/>
        <w:rPr>
          <w:rFonts w:ascii="Times New Roman" w:eastAsia="Times New Roman" w:hAnsi="Times New Roman" w:cs="Times New Roman"/>
          <w:iCs/>
          <w:color w:val="000000"/>
          <w:sz w:val="24"/>
          <w:szCs w:val="24"/>
          <w:lang w:eastAsia="ru-RU" w:bidi="ru-RU"/>
        </w:rPr>
      </w:pPr>
      <w:r w:rsidRPr="006A3693">
        <w:rPr>
          <w:rFonts w:ascii="Times New Roman" w:eastAsia="Times New Roman" w:hAnsi="Times New Roman" w:cs="Times New Roman"/>
          <w:iCs/>
          <w:color w:val="000000"/>
          <w:sz w:val="24"/>
          <w:szCs w:val="24"/>
          <w:lang w:eastAsia="ru-RU" w:bidi="ru-RU"/>
        </w:rPr>
        <w:tab/>
        <w:t xml:space="preserve">Формирование рейтинга осуществляется в соответствии с Постановлением Губернатора Ленинградской области от 11.02.2019 N 8-пг «О внесении изменений в постановление Губернатора Ленинградской области от 12 марта 2018 года </w:t>
      </w:r>
      <w:r w:rsidR="00507D2F" w:rsidRPr="006A3693">
        <w:rPr>
          <w:rFonts w:ascii="Times New Roman" w:eastAsia="Times New Roman" w:hAnsi="Times New Roman" w:cs="Times New Roman"/>
          <w:iCs/>
          <w:color w:val="000000"/>
          <w:sz w:val="24"/>
          <w:szCs w:val="24"/>
          <w:lang w:eastAsia="ru-RU" w:bidi="ru-RU"/>
        </w:rPr>
        <w:t>№</w:t>
      </w:r>
      <w:r w:rsidRPr="006A3693">
        <w:rPr>
          <w:rFonts w:ascii="Times New Roman" w:eastAsia="Times New Roman" w:hAnsi="Times New Roman" w:cs="Times New Roman"/>
          <w:iCs/>
          <w:color w:val="000000"/>
          <w:sz w:val="24"/>
          <w:szCs w:val="24"/>
          <w:lang w:eastAsia="ru-RU" w:bidi="ru-RU"/>
        </w:rPr>
        <w:t xml:space="preserve"> 10-пг «Об утверждении перечня показателей оценки результативности деятельности глав администраций муниципальных районов и городског</w:t>
      </w:r>
      <w:r w:rsidR="00507D2F" w:rsidRPr="006A3693">
        <w:rPr>
          <w:rFonts w:ascii="Times New Roman" w:eastAsia="Times New Roman" w:hAnsi="Times New Roman" w:cs="Times New Roman"/>
          <w:iCs/>
          <w:color w:val="000000"/>
          <w:sz w:val="24"/>
          <w:szCs w:val="24"/>
          <w:lang w:eastAsia="ru-RU" w:bidi="ru-RU"/>
        </w:rPr>
        <w:t>о округа Ленинградской области «</w:t>
      </w:r>
      <w:r w:rsidRPr="006A3693">
        <w:rPr>
          <w:rFonts w:ascii="Times New Roman" w:eastAsia="Times New Roman" w:hAnsi="Times New Roman" w:cs="Times New Roman"/>
          <w:iCs/>
          <w:color w:val="000000"/>
          <w:sz w:val="24"/>
          <w:szCs w:val="24"/>
          <w:lang w:eastAsia="ru-RU" w:bidi="ru-RU"/>
        </w:rPr>
        <w:t xml:space="preserve">Рейтинг 47». Информация размещена по ссылке </w:t>
      </w:r>
      <w:hyperlink r:id="rId12" w:history="1">
        <w:r w:rsidR="00A262C3" w:rsidRPr="003412CA">
          <w:rPr>
            <w:rStyle w:val="a6"/>
            <w:rFonts w:ascii="Times New Roman" w:eastAsia="Times New Roman" w:hAnsi="Times New Roman" w:cs="Times New Roman"/>
            <w:iCs/>
            <w:sz w:val="24"/>
            <w:szCs w:val="24"/>
            <w:lang w:eastAsia="ru-RU" w:bidi="ru-RU"/>
          </w:rPr>
          <w:t>https://lenobl.ru/ru/informaciya/rating47/</w:t>
        </w:r>
      </w:hyperlink>
    </w:p>
    <w:p w:rsidR="00B46050" w:rsidRPr="006A3693" w:rsidRDefault="000824A7" w:rsidP="0011063F">
      <w:pPr>
        <w:widowControl w:val="0"/>
        <w:tabs>
          <w:tab w:val="right" w:pos="9726"/>
        </w:tabs>
        <w:spacing w:after="0" w:line="360" w:lineRule="auto"/>
        <w:ind w:firstLine="709"/>
        <w:jc w:val="both"/>
        <w:rPr>
          <w:rFonts w:ascii="Times New Roman" w:eastAsia="Times New Roman" w:hAnsi="Times New Roman" w:cs="Times New Roman"/>
          <w:iCs/>
          <w:color w:val="000000"/>
          <w:sz w:val="24"/>
          <w:szCs w:val="24"/>
          <w:lang w:eastAsia="ru-RU" w:bidi="ru-RU"/>
        </w:rPr>
      </w:pPr>
      <w:r w:rsidRPr="006A3693">
        <w:rPr>
          <w:rFonts w:ascii="Times New Roman" w:eastAsia="Times New Roman" w:hAnsi="Times New Roman" w:cs="Times New Roman"/>
          <w:iCs/>
          <w:color w:val="000000"/>
          <w:sz w:val="24"/>
          <w:szCs w:val="24"/>
          <w:lang w:eastAsia="ru-RU" w:bidi="ru-RU"/>
        </w:rPr>
        <w:t xml:space="preserve">Система поощрений муниципальных образований утверждена </w:t>
      </w:r>
      <w:r w:rsidR="00B46050" w:rsidRPr="006A3693">
        <w:rPr>
          <w:rFonts w:ascii="Times New Roman" w:eastAsia="Times New Roman" w:hAnsi="Times New Roman" w:cs="Times New Roman"/>
          <w:iCs/>
          <w:color w:val="000000"/>
          <w:sz w:val="24"/>
          <w:szCs w:val="24"/>
          <w:lang w:eastAsia="ru-RU" w:bidi="ru-RU"/>
        </w:rPr>
        <w:t xml:space="preserve">Постановлением Правительства Ленинградской области от 28.09.2020 </w:t>
      </w:r>
      <w:r w:rsidR="00C348C0" w:rsidRPr="006A3693">
        <w:rPr>
          <w:rFonts w:ascii="Times New Roman" w:eastAsia="Times New Roman" w:hAnsi="Times New Roman" w:cs="Times New Roman"/>
          <w:iCs/>
          <w:color w:val="000000"/>
          <w:sz w:val="24"/>
          <w:szCs w:val="24"/>
          <w:lang w:eastAsia="ru-RU" w:bidi="ru-RU"/>
        </w:rPr>
        <w:t>№</w:t>
      </w:r>
      <w:r w:rsidR="00B46050" w:rsidRPr="006A3693">
        <w:rPr>
          <w:rFonts w:ascii="Times New Roman" w:eastAsia="Times New Roman" w:hAnsi="Times New Roman" w:cs="Times New Roman"/>
          <w:iCs/>
          <w:color w:val="000000"/>
          <w:sz w:val="24"/>
          <w:szCs w:val="24"/>
          <w:lang w:eastAsia="ru-RU" w:bidi="ru-RU"/>
        </w:rPr>
        <w:t xml:space="preserve"> 644 «Об утверждении Методики распределения между муниципальными образованиями Ленинградской области дотаций (грантов) на поощрение достижения наилучших значений показателей эффективности деятельности органов местного самоуправления муниципальных районов и городского округа Ленинградской области и правил их предоставления, а также признании утратившими силу отдельных постановлений Правительства Ленинградской области»</w:t>
      </w:r>
      <w:r w:rsidR="00C348C0" w:rsidRPr="006A3693">
        <w:rPr>
          <w:rFonts w:ascii="Times New Roman" w:eastAsia="Times New Roman" w:hAnsi="Times New Roman" w:cs="Times New Roman"/>
          <w:iCs/>
          <w:color w:val="000000"/>
          <w:sz w:val="24"/>
          <w:szCs w:val="24"/>
          <w:lang w:eastAsia="ru-RU" w:bidi="ru-RU"/>
        </w:rPr>
        <w:t>.</w:t>
      </w:r>
    </w:p>
    <w:p w:rsidR="00C348C0" w:rsidRPr="006A3693" w:rsidRDefault="00C348C0" w:rsidP="006A3693">
      <w:pPr>
        <w:widowControl w:val="0"/>
        <w:tabs>
          <w:tab w:val="right" w:pos="9726"/>
        </w:tabs>
        <w:spacing w:after="0" w:line="360" w:lineRule="auto"/>
        <w:ind w:firstLine="709"/>
        <w:jc w:val="both"/>
        <w:rPr>
          <w:rFonts w:ascii="Times New Roman" w:eastAsia="Times New Roman" w:hAnsi="Times New Roman" w:cs="Times New Roman"/>
          <w:iCs/>
          <w:color w:val="000000"/>
          <w:sz w:val="24"/>
          <w:szCs w:val="24"/>
          <w:lang w:eastAsia="ru-RU" w:bidi="ru-RU"/>
        </w:rPr>
      </w:pPr>
      <w:r w:rsidRPr="006A3693">
        <w:rPr>
          <w:rFonts w:ascii="Times New Roman" w:eastAsia="Times New Roman" w:hAnsi="Times New Roman" w:cs="Times New Roman"/>
          <w:iCs/>
          <w:color w:val="000000"/>
          <w:sz w:val="24"/>
          <w:szCs w:val="24"/>
          <w:lang w:eastAsia="ru-RU" w:bidi="ru-RU"/>
        </w:rPr>
        <w:t>Система поощрений заключается в получении дотаций (грантов) органами местного самоуправления муниципальных районов и городского округа Ленинградской области.</w:t>
      </w:r>
    </w:p>
    <w:p w:rsidR="000824A7" w:rsidRPr="00F538AA" w:rsidRDefault="000824A7" w:rsidP="00080A73">
      <w:pPr>
        <w:pStyle w:val="a4"/>
        <w:widowControl w:val="0"/>
        <w:numPr>
          <w:ilvl w:val="1"/>
          <w:numId w:val="7"/>
        </w:numPr>
        <w:spacing w:after="0" w:line="360" w:lineRule="auto"/>
        <w:ind w:left="0" w:firstLine="709"/>
        <w:jc w:val="both"/>
        <w:rPr>
          <w:rFonts w:ascii="Times New Roman" w:eastAsia="Times New Roman" w:hAnsi="Times New Roman" w:cs="Times New Roman"/>
          <w:b/>
          <w:color w:val="000000"/>
          <w:sz w:val="24"/>
          <w:szCs w:val="24"/>
          <w:lang w:eastAsia="ru-RU" w:bidi="ru-RU"/>
        </w:rPr>
      </w:pPr>
      <w:r w:rsidRPr="00F538AA">
        <w:rPr>
          <w:rFonts w:ascii="Times New Roman" w:eastAsia="Times New Roman" w:hAnsi="Times New Roman" w:cs="Times New Roman"/>
          <w:b/>
          <w:color w:val="000000"/>
          <w:sz w:val="24"/>
          <w:szCs w:val="24"/>
          <w:lang w:eastAsia="ru-RU" w:bidi="ru-RU"/>
        </w:rPr>
        <w:t>Формирование коллегиального органа при высшем должностном лице субъекта Российской Федерации по вопросам содействия развитию конкуренции (далее - Коллегиальный орган).</w:t>
      </w:r>
    </w:p>
    <w:p w:rsidR="000824A7" w:rsidRPr="006A3693" w:rsidRDefault="000824A7" w:rsidP="006A3693">
      <w:pPr>
        <w:widowControl w:val="0"/>
        <w:spacing w:after="0" w:line="360" w:lineRule="auto"/>
        <w:ind w:firstLine="709"/>
        <w:jc w:val="both"/>
        <w:rPr>
          <w:rFonts w:ascii="Times New Roman" w:eastAsia="Times New Roman" w:hAnsi="Times New Roman" w:cs="Times New Roman"/>
          <w:iCs/>
          <w:color w:val="000000"/>
          <w:sz w:val="24"/>
          <w:szCs w:val="24"/>
          <w:lang w:eastAsia="ru-RU" w:bidi="ru-RU"/>
        </w:rPr>
      </w:pPr>
      <w:r w:rsidRPr="006A3693">
        <w:rPr>
          <w:rFonts w:ascii="Times New Roman" w:eastAsia="Times New Roman" w:hAnsi="Times New Roman" w:cs="Times New Roman"/>
          <w:iCs/>
          <w:color w:val="000000"/>
          <w:sz w:val="24"/>
          <w:szCs w:val="24"/>
          <w:lang w:eastAsia="ru-RU" w:bidi="ru-RU"/>
        </w:rPr>
        <w:lastRenderedPageBreak/>
        <w:t>По вопросам содействия развитию конкуренции при Губернаторе Ленинградской области создан Совет по улучшению инвестиционного климата в Ленинградской области. Коллегиальный орган утвержден Распоряжением Губернатора Ленинградской</w:t>
      </w:r>
      <w:r w:rsidR="003B5BF2" w:rsidRPr="006A3693">
        <w:rPr>
          <w:rFonts w:ascii="Times New Roman" w:eastAsia="Times New Roman" w:hAnsi="Times New Roman" w:cs="Times New Roman"/>
          <w:iCs/>
          <w:color w:val="000000"/>
          <w:sz w:val="24"/>
          <w:szCs w:val="24"/>
          <w:lang w:eastAsia="ru-RU" w:bidi="ru-RU"/>
        </w:rPr>
        <w:t xml:space="preserve"> области от 17.03.2016 № 147-рг.</w:t>
      </w:r>
    </w:p>
    <w:p w:rsidR="000824A7" w:rsidRPr="006A3693" w:rsidRDefault="000824A7" w:rsidP="006A3693">
      <w:pPr>
        <w:widowControl w:val="0"/>
        <w:spacing w:after="0" w:line="360" w:lineRule="auto"/>
        <w:ind w:firstLine="709"/>
        <w:jc w:val="both"/>
        <w:rPr>
          <w:rFonts w:ascii="Times New Roman" w:eastAsia="Times New Roman" w:hAnsi="Times New Roman" w:cs="Times New Roman"/>
          <w:iCs/>
          <w:color w:val="000000"/>
          <w:sz w:val="24"/>
          <w:szCs w:val="24"/>
          <w:lang w:eastAsia="ru-RU" w:bidi="ru-RU"/>
        </w:rPr>
      </w:pPr>
      <w:r w:rsidRPr="006A3693">
        <w:rPr>
          <w:rFonts w:ascii="Times New Roman" w:eastAsia="Times New Roman" w:hAnsi="Times New Roman" w:cs="Times New Roman"/>
          <w:iCs/>
          <w:color w:val="000000"/>
          <w:sz w:val="24"/>
          <w:szCs w:val="24"/>
          <w:lang w:eastAsia="ru-RU" w:bidi="ru-RU"/>
        </w:rPr>
        <w:t>В целях организации взаимодействия органов исполнительной власти Ленинградской области, субъектов инвестиционной деятельности Ленинградской области, общественных и иных организаций Ленинградской области при Коллегиальном органе создана специализированная рабочая группа по вопросам развития конкуренции.</w:t>
      </w:r>
    </w:p>
    <w:p w:rsidR="00C07BBB" w:rsidRDefault="000824A7" w:rsidP="00123328">
      <w:pPr>
        <w:widowControl w:val="0"/>
        <w:spacing w:after="0" w:line="360" w:lineRule="auto"/>
        <w:ind w:firstLine="709"/>
        <w:jc w:val="both"/>
        <w:rPr>
          <w:rFonts w:ascii="Times New Roman" w:hAnsi="Times New Roman" w:cs="Times New Roman"/>
          <w:sz w:val="24"/>
          <w:szCs w:val="24"/>
        </w:rPr>
      </w:pPr>
      <w:r w:rsidRPr="007D6F38">
        <w:rPr>
          <w:rFonts w:ascii="Times New Roman" w:eastAsia="Times New Roman" w:hAnsi="Times New Roman" w:cs="Times New Roman"/>
          <w:iCs/>
          <w:color w:val="000000"/>
          <w:sz w:val="24"/>
          <w:szCs w:val="24"/>
          <w:lang w:eastAsia="ru-RU" w:bidi="ru-RU"/>
        </w:rPr>
        <w:t>Распоряжением Комитета экономического развития и инвестиционной деятельн</w:t>
      </w:r>
      <w:r w:rsidR="00C07BBB" w:rsidRPr="007D6F38">
        <w:rPr>
          <w:rFonts w:ascii="Times New Roman" w:eastAsia="Times New Roman" w:hAnsi="Times New Roman" w:cs="Times New Roman"/>
          <w:iCs/>
          <w:color w:val="000000"/>
          <w:sz w:val="24"/>
          <w:szCs w:val="24"/>
          <w:lang w:eastAsia="ru-RU" w:bidi="ru-RU"/>
        </w:rPr>
        <w:t>ости Ленинградской области от 15.02.2021 № 29</w:t>
      </w:r>
      <w:r w:rsidR="00123328">
        <w:rPr>
          <w:rFonts w:ascii="Times New Roman" w:eastAsia="Times New Roman" w:hAnsi="Times New Roman" w:cs="Times New Roman"/>
          <w:iCs/>
          <w:color w:val="000000"/>
          <w:sz w:val="24"/>
          <w:szCs w:val="24"/>
          <w:lang w:eastAsia="ru-RU" w:bidi="ru-RU"/>
        </w:rPr>
        <w:t xml:space="preserve"> утвержден</w:t>
      </w:r>
      <w:r w:rsidR="007011CA" w:rsidRPr="007D6F38">
        <w:rPr>
          <w:rFonts w:ascii="Times New Roman" w:eastAsia="Times New Roman" w:hAnsi="Times New Roman" w:cs="Times New Roman"/>
          <w:iCs/>
          <w:color w:val="000000"/>
          <w:sz w:val="24"/>
          <w:szCs w:val="24"/>
          <w:lang w:eastAsia="ru-RU" w:bidi="ru-RU"/>
        </w:rPr>
        <w:t xml:space="preserve"> состав рабочей группы. </w:t>
      </w:r>
    </w:p>
    <w:p w:rsidR="000824A7" w:rsidRPr="006A3693" w:rsidRDefault="000824A7" w:rsidP="006A3693">
      <w:pPr>
        <w:widowControl w:val="0"/>
        <w:spacing w:after="0" w:line="360" w:lineRule="auto"/>
        <w:ind w:firstLine="709"/>
        <w:jc w:val="both"/>
        <w:rPr>
          <w:rFonts w:ascii="Times New Roman" w:eastAsia="Times New Roman" w:hAnsi="Times New Roman" w:cs="Times New Roman"/>
          <w:iCs/>
          <w:color w:val="000000"/>
          <w:sz w:val="24"/>
          <w:szCs w:val="24"/>
          <w:lang w:eastAsia="ru-RU" w:bidi="ru-RU"/>
        </w:rPr>
      </w:pPr>
      <w:r w:rsidRPr="006A3693">
        <w:rPr>
          <w:rFonts w:ascii="Times New Roman" w:eastAsia="Times New Roman" w:hAnsi="Times New Roman" w:cs="Times New Roman"/>
          <w:iCs/>
          <w:color w:val="000000"/>
          <w:sz w:val="24"/>
          <w:szCs w:val="24"/>
          <w:lang w:eastAsia="ru-RU" w:bidi="ru-RU"/>
        </w:rPr>
        <w:t>Согласно требования</w:t>
      </w:r>
      <w:r w:rsidR="00507D2F" w:rsidRPr="006A3693">
        <w:rPr>
          <w:rFonts w:ascii="Times New Roman" w:eastAsia="Times New Roman" w:hAnsi="Times New Roman" w:cs="Times New Roman"/>
          <w:iCs/>
          <w:color w:val="000000"/>
          <w:sz w:val="24"/>
          <w:szCs w:val="24"/>
          <w:lang w:eastAsia="ru-RU" w:bidi="ru-RU"/>
        </w:rPr>
        <w:t>м</w:t>
      </w:r>
      <w:r w:rsidRPr="006A3693">
        <w:rPr>
          <w:rFonts w:ascii="Times New Roman" w:eastAsia="Times New Roman" w:hAnsi="Times New Roman" w:cs="Times New Roman"/>
          <w:iCs/>
          <w:color w:val="000000"/>
          <w:sz w:val="24"/>
          <w:szCs w:val="24"/>
          <w:lang w:eastAsia="ru-RU" w:bidi="ru-RU"/>
        </w:rPr>
        <w:t xml:space="preserve"> пункта 14 Стандарта в состав входят представители следующих организаций:</w:t>
      </w:r>
    </w:p>
    <w:p w:rsidR="000824A7" w:rsidRPr="006A3693" w:rsidRDefault="000824A7" w:rsidP="006A3693">
      <w:pPr>
        <w:widowControl w:val="0"/>
        <w:spacing w:after="0" w:line="360" w:lineRule="auto"/>
        <w:ind w:firstLine="709"/>
        <w:jc w:val="both"/>
        <w:rPr>
          <w:rFonts w:ascii="Times New Roman" w:eastAsia="Times New Roman" w:hAnsi="Times New Roman" w:cs="Times New Roman"/>
          <w:iCs/>
          <w:color w:val="000000"/>
          <w:sz w:val="24"/>
          <w:szCs w:val="24"/>
          <w:lang w:eastAsia="ru-RU" w:bidi="ru-RU"/>
        </w:rPr>
      </w:pPr>
      <w:r w:rsidRPr="006A3693">
        <w:rPr>
          <w:rFonts w:ascii="Times New Roman" w:eastAsia="Times New Roman" w:hAnsi="Times New Roman" w:cs="Times New Roman"/>
          <w:iCs/>
          <w:color w:val="000000"/>
          <w:sz w:val="24"/>
          <w:szCs w:val="24"/>
          <w:lang w:eastAsia="ru-RU" w:bidi="ru-RU"/>
        </w:rPr>
        <w:t>а) Комитет экономического развития и инвестиционной деятельности Ленинградской области, комитет по топливно-энергетическому комплексу Ленинградской области, комитет по труду и занятости населения Ленинградской области, комитет по природным ресурсам Ленинградской области, комитет общего и профессионального обра</w:t>
      </w:r>
      <w:r w:rsidR="00D13402">
        <w:rPr>
          <w:rFonts w:ascii="Times New Roman" w:eastAsia="Times New Roman" w:hAnsi="Times New Roman" w:cs="Times New Roman"/>
          <w:iCs/>
          <w:color w:val="000000"/>
          <w:sz w:val="24"/>
          <w:szCs w:val="24"/>
          <w:lang w:eastAsia="ru-RU" w:bidi="ru-RU"/>
        </w:rPr>
        <w:t>зования Ленинградской области, к</w:t>
      </w:r>
      <w:r w:rsidRPr="006A3693">
        <w:rPr>
          <w:rFonts w:ascii="Times New Roman" w:eastAsia="Times New Roman" w:hAnsi="Times New Roman" w:cs="Times New Roman"/>
          <w:iCs/>
          <w:color w:val="000000"/>
          <w:sz w:val="24"/>
          <w:szCs w:val="24"/>
          <w:lang w:eastAsia="ru-RU" w:bidi="ru-RU"/>
        </w:rPr>
        <w:t xml:space="preserve">омитет государственного заказа Ленинградской области, комитет по местному самоуправлению, межнациональным и межконфессиональным отношениям Ленинградской области, </w:t>
      </w:r>
      <w:r w:rsidR="00D13402">
        <w:rPr>
          <w:rFonts w:ascii="Times New Roman" w:eastAsia="Times New Roman" w:hAnsi="Times New Roman" w:cs="Times New Roman"/>
          <w:iCs/>
          <w:color w:val="000000"/>
          <w:sz w:val="24"/>
          <w:szCs w:val="24"/>
          <w:lang w:eastAsia="ru-RU" w:bidi="ru-RU"/>
        </w:rPr>
        <w:t>комитет</w:t>
      </w:r>
      <w:r w:rsidRPr="006A3693">
        <w:rPr>
          <w:rFonts w:ascii="Times New Roman" w:eastAsia="Times New Roman" w:hAnsi="Times New Roman" w:cs="Times New Roman"/>
          <w:iCs/>
          <w:color w:val="000000"/>
          <w:sz w:val="24"/>
          <w:szCs w:val="24"/>
          <w:lang w:eastAsia="ru-RU" w:bidi="ru-RU"/>
        </w:rPr>
        <w:t xml:space="preserve"> Ленинградской области по транспорту, комитет по социальной защите населения Ленинградской области, комитет по развитию малого, среднего бизнеса и потребительского рынка Ленинградской области, комитет градостроительной политики, комитет по печати Ленинградской области, комитет по жилищно-коммунальному хозяйству Ленинградской области, комитет по строительству Ленинградской области, Ленинградский областной комитет по управлению государственным имуществом;</w:t>
      </w:r>
    </w:p>
    <w:p w:rsidR="000824A7" w:rsidRPr="006A3693" w:rsidRDefault="000824A7" w:rsidP="006A3693">
      <w:pPr>
        <w:widowControl w:val="0"/>
        <w:spacing w:after="0" w:line="360" w:lineRule="auto"/>
        <w:ind w:firstLine="709"/>
        <w:jc w:val="both"/>
        <w:rPr>
          <w:rFonts w:ascii="Times New Roman" w:eastAsia="Times New Roman" w:hAnsi="Times New Roman" w:cs="Times New Roman"/>
          <w:iCs/>
          <w:color w:val="000000"/>
          <w:sz w:val="24"/>
          <w:szCs w:val="24"/>
          <w:lang w:eastAsia="ru-RU" w:bidi="ru-RU"/>
        </w:rPr>
      </w:pPr>
      <w:r w:rsidRPr="006A3693">
        <w:rPr>
          <w:rFonts w:ascii="Times New Roman" w:eastAsia="Times New Roman" w:hAnsi="Times New Roman" w:cs="Times New Roman"/>
          <w:iCs/>
          <w:color w:val="000000"/>
          <w:sz w:val="24"/>
          <w:szCs w:val="24"/>
          <w:lang w:eastAsia="ru-RU" w:bidi="ru-RU"/>
        </w:rPr>
        <w:t>б) Администрация Приладожского городского поселения Кировского муниципального района Ленинградской области (представитель Ассоциации «Совет муниципальных образований Ленинградской области»);</w:t>
      </w:r>
    </w:p>
    <w:p w:rsidR="000824A7" w:rsidRPr="006A3693" w:rsidRDefault="00460B14" w:rsidP="006A3693">
      <w:pPr>
        <w:widowControl w:val="0"/>
        <w:spacing w:after="0" w:line="360" w:lineRule="auto"/>
        <w:ind w:firstLine="709"/>
        <w:jc w:val="both"/>
        <w:rPr>
          <w:rFonts w:ascii="Times New Roman" w:eastAsia="Times New Roman" w:hAnsi="Times New Roman" w:cs="Times New Roman"/>
          <w:iCs/>
          <w:color w:val="000000"/>
          <w:sz w:val="24"/>
          <w:szCs w:val="24"/>
          <w:lang w:eastAsia="ru-RU" w:bidi="ru-RU"/>
        </w:rPr>
      </w:pPr>
      <w:r>
        <w:rPr>
          <w:rFonts w:ascii="Times New Roman" w:eastAsia="Times New Roman" w:hAnsi="Times New Roman" w:cs="Times New Roman"/>
          <w:iCs/>
          <w:color w:val="000000"/>
          <w:sz w:val="24"/>
          <w:szCs w:val="24"/>
          <w:lang w:eastAsia="ru-RU" w:bidi="ru-RU"/>
        </w:rPr>
        <w:t>в) Региональное объединение</w:t>
      </w:r>
      <w:r w:rsidR="000824A7" w:rsidRPr="006A3693">
        <w:rPr>
          <w:rFonts w:ascii="Times New Roman" w:eastAsia="Times New Roman" w:hAnsi="Times New Roman" w:cs="Times New Roman"/>
          <w:iCs/>
          <w:color w:val="000000"/>
          <w:sz w:val="24"/>
          <w:szCs w:val="24"/>
          <w:lang w:eastAsia="ru-RU" w:bidi="ru-RU"/>
        </w:rPr>
        <w:t xml:space="preserve"> работодателей «Союз промышленников и предпринимателей Ленинградской области»</w:t>
      </w:r>
      <w:r w:rsidR="00E962A0">
        <w:rPr>
          <w:rFonts w:ascii="Times New Roman" w:eastAsia="Times New Roman" w:hAnsi="Times New Roman" w:cs="Times New Roman"/>
          <w:iCs/>
          <w:color w:val="000000"/>
          <w:sz w:val="24"/>
          <w:szCs w:val="24"/>
          <w:lang w:eastAsia="ru-RU" w:bidi="ru-RU"/>
        </w:rPr>
        <w:t xml:space="preserve">, </w:t>
      </w:r>
      <w:r w:rsidR="000824A7" w:rsidRPr="006A3693">
        <w:rPr>
          <w:rFonts w:ascii="Times New Roman" w:eastAsia="Times New Roman" w:hAnsi="Times New Roman" w:cs="Times New Roman"/>
          <w:iCs/>
          <w:color w:val="000000"/>
          <w:sz w:val="24"/>
          <w:szCs w:val="24"/>
          <w:lang w:eastAsia="ru-RU" w:bidi="ru-RU"/>
        </w:rPr>
        <w:t>Региональное отделение Общероссийской общественной организации малого и среднего предпринимательства «ОПОРА России» по Ленинградской области</w:t>
      </w:r>
      <w:r w:rsidR="00E962A0">
        <w:rPr>
          <w:rFonts w:ascii="Times New Roman" w:eastAsia="Times New Roman" w:hAnsi="Times New Roman" w:cs="Times New Roman"/>
          <w:iCs/>
          <w:color w:val="000000"/>
          <w:sz w:val="24"/>
          <w:szCs w:val="24"/>
          <w:lang w:eastAsia="ru-RU" w:bidi="ru-RU"/>
        </w:rPr>
        <w:t xml:space="preserve">, </w:t>
      </w:r>
      <w:r w:rsidR="000824A7" w:rsidRPr="006A3693">
        <w:rPr>
          <w:rFonts w:ascii="Times New Roman" w:eastAsia="Times New Roman" w:hAnsi="Times New Roman" w:cs="Times New Roman"/>
          <w:iCs/>
          <w:color w:val="000000"/>
          <w:sz w:val="24"/>
          <w:szCs w:val="24"/>
          <w:lang w:eastAsia="ru-RU" w:bidi="ru-RU"/>
        </w:rPr>
        <w:t>Ассоциация «Ленинградская областная торгово-промышленная палата»</w:t>
      </w:r>
      <w:r w:rsidR="00E962A0">
        <w:rPr>
          <w:rFonts w:ascii="Times New Roman" w:eastAsia="Times New Roman" w:hAnsi="Times New Roman" w:cs="Times New Roman"/>
          <w:iCs/>
          <w:color w:val="000000"/>
          <w:sz w:val="24"/>
          <w:szCs w:val="24"/>
          <w:lang w:eastAsia="ru-RU" w:bidi="ru-RU"/>
        </w:rPr>
        <w:t xml:space="preserve">, </w:t>
      </w:r>
      <w:r w:rsidR="000824A7" w:rsidRPr="006A3693">
        <w:rPr>
          <w:rFonts w:ascii="Times New Roman" w:eastAsia="Times New Roman" w:hAnsi="Times New Roman" w:cs="Times New Roman"/>
          <w:iCs/>
          <w:color w:val="000000"/>
          <w:sz w:val="24"/>
          <w:szCs w:val="24"/>
          <w:lang w:eastAsia="ru-RU" w:bidi="ru-RU"/>
        </w:rPr>
        <w:t>Ленинградское областное региональное отделение Общероссийской общественной организации «Деловая Россия»</w:t>
      </w:r>
      <w:r w:rsidR="00E962A0">
        <w:rPr>
          <w:rFonts w:ascii="Times New Roman" w:eastAsia="Times New Roman" w:hAnsi="Times New Roman" w:cs="Times New Roman"/>
          <w:iCs/>
          <w:color w:val="000000"/>
          <w:sz w:val="24"/>
          <w:szCs w:val="24"/>
          <w:lang w:eastAsia="ru-RU" w:bidi="ru-RU"/>
        </w:rPr>
        <w:t xml:space="preserve">, </w:t>
      </w:r>
      <w:r w:rsidR="000824A7" w:rsidRPr="006A3693">
        <w:rPr>
          <w:rFonts w:ascii="Times New Roman" w:eastAsia="Times New Roman" w:hAnsi="Times New Roman" w:cs="Times New Roman"/>
          <w:iCs/>
          <w:color w:val="000000"/>
          <w:sz w:val="24"/>
          <w:szCs w:val="24"/>
          <w:lang w:eastAsia="ru-RU" w:bidi="ru-RU"/>
        </w:rPr>
        <w:t>Уполномоченный по защите прав предпринимателей в Ленинградской области</w:t>
      </w:r>
      <w:r>
        <w:rPr>
          <w:rFonts w:ascii="Times New Roman" w:eastAsia="Times New Roman" w:hAnsi="Times New Roman" w:cs="Times New Roman"/>
          <w:iCs/>
          <w:color w:val="000000"/>
          <w:sz w:val="24"/>
          <w:szCs w:val="24"/>
          <w:lang w:eastAsia="ru-RU" w:bidi="ru-RU"/>
        </w:rPr>
        <w:t>;</w:t>
      </w:r>
      <w:r w:rsidR="00E962A0">
        <w:rPr>
          <w:rFonts w:ascii="Times New Roman" w:eastAsia="Times New Roman" w:hAnsi="Times New Roman" w:cs="Times New Roman"/>
          <w:iCs/>
          <w:color w:val="000000"/>
          <w:sz w:val="24"/>
          <w:szCs w:val="24"/>
          <w:lang w:eastAsia="ru-RU" w:bidi="ru-RU"/>
        </w:rPr>
        <w:t xml:space="preserve"> </w:t>
      </w:r>
      <w:r w:rsidR="000824A7" w:rsidRPr="006A3693">
        <w:rPr>
          <w:rFonts w:ascii="Times New Roman" w:eastAsia="Times New Roman" w:hAnsi="Times New Roman" w:cs="Times New Roman"/>
          <w:iCs/>
          <w:color w:val="000000"/>
          <w:sz w:val="24"/>
          <w:szCs w:val="24"/>
          <w:lang w:eastAsia="ru-RU" w:bidi="ru-RU"/>
        </w:rPr>
        <w:t>Санкт-Петербургское представительство Американской торговой палаты в России</w:t>
      </w:r>
      <w:r>
        <w:rPr>
          <w:rFonts w:ascii="Times New Roman" w:eastAsia="Times New Roman" w:hAnsi="Times New Roman" w:cs="Times New Roman"/>
          <w:iCs/>
          <w:color w:val="000000"/>
          <w:sz w:val="24"/>
          <w:szCs w:val="24"/>
          <w:lang w:eastAsia="ru-RU" w:bidi="ru-RU"/>
        </w:rPr>
        <w:t>;</w:t>
      </w:r>
    </w:p>
    <w:p w:rsidR="000824A7" w:rsidRPr="006A3693" w:rsidRDefault="000824A7" w:rsidP="006A3693">
      <w:pPr>
        <w:widowControl w:val="0"/>
        <w:spacing w:after="0" w:line="360" w:lineRule="auto"/>
        <w:ind w:firstLine="709"/>
        <w:jc w:val="both"/>
        <w:rPr>
          <w:rFonts w:ascii="Times New Roman" w:eastAsia="Times New Roman" w:hAnsi="Times New Roman" w:cs="Times New Roman"/>
          <w:iCs/>
          <w:color w:val="000000"/>
          <w:sz w:val="24"/>
          <w:szCs w:val="24"/>
          <w:lang w:eastAsia="ru-RU" w:bidi="ru-RU"/>
        </w:rPr>
      </w:pPr>
      <w:r w:rsidRPr="006A3693">
        <w:rPr>
          <w:rFonts w:ascii="Times New Roman" w:eastAsia="Times New Roman" w:hAnsi="Times New Roman" w:cs="Times New Roman"/>
          <w:iCs/>
          <w:color w:val="000000"/>
          <w:sz w:val="24"/>
          <w:szCs w:val="24"/>
          <w:lang w:eastAsia="ru-RU" w:bidi="ru-RU"/>
        </w:rPr>
        <w:t>г) Комитет ф</w:t>
      </w:r>
      <w:r w:rsidR="00D13402">
        <w:rPr>
          <w:rFonts w:ascii="Times New Roman" w:eastAsia="Times New Roman" w:hAnsi="Times New Roman" w:cs="Times New Roman"/>
          <w:iCs/>
          <w:color w:val="000000"/>
          <w:sz w:val="24"/>
          <w:szCs w:val="24"/>
          <w:lang w:eastAsia="ru-RU" w:bidi="ru-RU"/>
        </w:rPr>
        <w:t>инансов Ленинградской области, к</w:t>
      </w:r>
      <w:r w:rsidRPr="006A3693">
        <w:rPr>
          <w:rFonts w:ascii="Times New Roman" w:eastAsia="Times New Roman" w:hAnsi="Times New Roman" w:cs="Times New Roman"/>
          <w:iCs/>
          <w:color w:val="000000"/>
          <w:sz w:val="24"/>
          <w:szCs w:val="24"/>
          <w:lang w:eastAsia="ru-RU" w:bidi="ru-RU"/>
        </w:rPr>
        <w:t xml:space="preserve">омитет экономического развития и </w:t>
      </w:r>
      <w:r w:rsidRPr="006A3693">
        <w:rPr>
          <w:rFonts w:ascii="Times New Roman" w:eastAsia="Times New Roman" w:hAnsi="Times New Roman" w:cs="Times New Roman"/>
          <w:iCs/>
          <w:color w:val="000000"/>
          <w:sz w:val="24"/>
          <w:szCs w:val="24"/>
          <w:lang w:eastAsia="ru-RU" w:bidi="ru-RU"/>
        </w:rPr>
        <w:lastRenderedPageBreak/>
        <w:t>инвестицион</w:t>
      </w:r>
      <w:r w:rsidR="00460B14">
        <w:rPr>
          <w:rFonts w:ascii="Times New Roman" w:eastAsia="Times New Roman" w:hAnsi="Times New Roman" w:cs="Times New Roman"/>
          <w:iCs/>
          <w:color w:val="000000"/>
          <w:sz w:val="24"/>
          <w:szCs w:val="24"/>
          <w:lang w:eastAsia="ru-RU" w:bidi="ru-RU"/>
        </w:rPr>
        <w:t xml:space="preserve">ной деятельности Ленинградской </w:t>
      </w:r>
      <w:r w:rsidRPr="006A3693">
        <w:rPr>
          <w:rFonts w:ascii="Times New Roman" w:eastAsia="Times New Roman" w:hAnsi="Times New Roman" w:cs="Times New Roman"/>
          <w:iCs/>
          <w:color w:val="000000"/>
          <w:sz w:val="24"/>
          <w:szCs w:val="24"/>
          <w:lang w:eastAsia="ru-RU" w:bidi="ru-RU"/>
        </w:rPr>
        <w:t>области</w:t>
      </w:r>
      <w:r w:rsidR="00460B14">
        <w:rPr>
          <w:rFonts w:ascii="Times New Roman" w:eastAsia="Times New Roman" w:hAnsi="Times New Roman" w:cs="Times New Roman"/>
          <w:iCs/>
          <w:color w:val="000000"/>
          <w:sz w:val="24"/>
          <w:szCs w:val="24"/>
          <w:lang w:eastAsia="ru-RU" w:bidi="ru-RU"/>
        </w:rPr>
        <w:t>;</w:t>
      </w:r>
    </w:p>
    <w:p w:rsidR="000824A7" w:rsidRPr="006A3693" w:rsidRDefault="000824A7" w:rsidP="006A3693">
      <w:pPr>
        <w:widowControl w:val="0"/>
        <w:spacing w:after="0" w:line="360" w:lineRule="auto"/>
        <w:ind w:firstLine="709"/>
        <w:jc w:val="both"/>
        <w:rPr>
          <w:rFonts w:ascii="Times New Roman" w:eastAsia="Times New Roman" w:hAnsi="Times New Roman" w:cs="Times New Roman"/>
          <w:iCs/>
          <w:color w:val="000000"/>
          <w:sz w:val="24"/>
          <w:szCs w:val="24"/>
          <w:lang w:eastAsia="ru-RU" w:bidi="ru-RU"/>
        </w:rPr>
      </w:pPr>
      <w:r w:rsidRPr="006A3693">
        <w:rPr>
          <w:rFonts w:ascii="Times New Roman" w:eastAsia="Times New Roman" w:hAnsi="Times New Roman" w:cs="Times New Roman"/>
          <w:iCs/>
          <w:color w:val="000000"/>
          <w:sz w:val="24"/>
          <w:szCs w:val="24"/>
          <w:lang w:eastAsia="ru-RU" w:bidi="ru-RU"/>
        </w:rPr>
        <w:t>д) Ленинградский  государственный университет им. А.С. Пушкина</w:t>
      </w:r>
      <w:r w:rsidR="00E962A0">
        <w:rPr>
          <w:rFonts w:ascii="Times New Roman" w:eastAsia="Times New Roman" w:hAnsi="Times New Roman" w:cs="Times New Roman"/>
          <w:iCs/>
          <w:color w:val="000000"/>
          <w:sz w:val="24"/>
          <w:szCs w:val="24"/>
          <w:lang w:eastAsia="ru-RU" w:bidi="ru-RU"/>
        </w:rPr>
        <w:t xml:space="preserve">, </w:t>
      </w:r>
      <w:r w:rsidRPr="006A3693">
        <w:rPr>
          <w:rFonts w:ascii="Times New Roman" w:eastAsia="Times New Roman" w:hAnsi="Times New Roman" w:cs="Times New Roman"/>
          <w:iCs/>
          <w:color w:val="000000"/>
          <w:sz w:val="24"/>
          <w:szCs w:val="24"/>
          <w:lang w:eastAsia="ru-RU" w:bidi="ru-RU"/>
        </w:rPr>
        <w:t>Северо-Западный институт управления Российской академии народного хозяйства и государственной службы при Президенте Российской Федерации</w:t>
      </w:r>
      <w:r w:rsidR="00460B14">
        <w:rPr>
          <w:rFonts w:ascii="Times New Roman" w:eastAsia="Times New Roman" w:hAnsi="Times New Roman" w:cs="Times New Roman"/>
          <w:iCs/>
          <w:color w:val="000000"/>
          <w:sz w:val="24"/>
          <w:szCs w:val="24"/>
          <w:lang w:eastAsia="ru-RU" w:bidi="ru-RU"/>
        </w:rPr>
        <w:t>;</w:t>
      </w:r>
    </w:p>
    <w:p w:rsidR="000824A7" w:rsidRPr="006A3693" w:rsidRDefault="000824A7" w:rsidP="006A3693">
      <w:pPr>
        <w:widowControl w:val="0"/>
        <w:spacing w:after="0" w:line="360" w:lineRule="auto"/>
        <w:ind w:firstLine="709"/>
        <w:jc w:val="both"/>
        <w:rPr>
          <w:rFonts w:ascii="Times New Roman" w:eastAsia="Times New Roman" w:hAnsi="Times New Roman" w:cs="Times New Roman"/>
          <w:iCs/>
          <w:color w:val="000000"/>
          <w:sz w:val="24"/>
          <w:szCs w:val="24"/>
          <w:lang w:eastAsia="ru-RU" w:bidi="ru-RU"/>
        </w:rPr>
      </w:pPr>
      <w:r w:rsidRPr="006A3693">
        <w:rPr>
          <w:rFonts w:ascii="Times New Roman" w:eastAsia="Times New Roman" w:hAnsi="Times New Roman" w:cs="Times New Roman"/>
          <w:iCs/>
          <w:color w:val="000000"/>
          <w:sz w:val="24"/>
          <w:szCs w:val="24"/>
          <w:lang w:eastAsia="ru-RU" w:bidi="ru-RU"/>
        </w:rPr>
        <w:t>е) Ленинградское областное региональное отделение Общероссийской общественной организации «Деловая Россия», ООО «Микроканальные системы»</w:t>
      </w:r>
      <w:r w:rsidR="00460B14">
        <w:rPr>
          <w:rFonts w:ascii="Times New Roman" w:eastAsia="Times New Roman" w:hAnsi="Times New Roman" w:cs="Times New Roman"/>
          <w:iCs/>
          <w:color w:val="000000"/>
          <w:sz w:val="24"/>
          <w:szCs w:val="24"/>
          <w:lang w:eastAsia="ru-RU" w:bidi="ru-RU"/>
        </w:rPr>
        <w:t>;</w:t>
      </w:r>
    </w:p>
    <w:p w:rsidR="000824A7" w:rsidRPr="006A3693" w:rsidRDefault="000824A7" w:rsidP="006A3693">
      <w:pPr>
        <w:widowControl w:val="0"/>
        <w:spacing w:after="0" w:line="360" w:lineRule="auto"/>
        <w:ind w:firstLine="709"/>
        <w:jc w:val="both"/>
        <w:rPr>
          <w:rFonts w:ascii="Times New Roman" w:eastAsia="Times New Roman" w:hAnsi="Times New Roman" w:cs="Times New Roman"/>
          <w:iCs/>
          <w:color w:val="000000"/>
          <w:sz w:val="24"/>
          <w:szCs w:val="24"/>
          <w:lang w:eastAsia="ru-RU" w:bidi="ru-RU"/>
        </w:rPr>
      </w:pPr>
      <w:r w:rsidRPr="006A3693">
        <w:rPr>
          <w:rFonts w:ascii="Times New Roman" w:eastAsia="Times New Roman" w:hAnsi="Times New Roman" w:cs="Times New Roman"/>
          <w:iCs/>
          <w:color w:val="000000"/>
          <w:sz w:val="24"/>
          <w:szCs w:val="24"/>
          <w:lang w:eastAsia="ru-RU" w:bidi="ru-RU"/>
        </w:rPr>
        <w:t>ж) Ассоциация крестьянских (фермерских), личных подсобных хозяйств и кооперативов Ленинградской области и Санкт-Петербурга</w:t>
      </w:r>
      <w:r w:rsidR="00460B14">
        <w:rPr>
          <w:rFonts w:ascii="Times New Roman" w:eastAsia="Times New Roman" w:hAnsi="Times New Roman" w:cs="Times New Roman"/>
          <w:iCs/>
          <w:color w:val="000000"/>
          <w:sz w:val="24"/>
          <w:szCs w:val="24"/>
          <w:lang w:eastAsia="ru-RU" w:bidi="ru-RU"/>
        </w:rPr>
        <w:t>;</w:t>
      </w:r>
    </w:p>
    <w:p w:rsidR="000824A7" w:rsidRPr="006A3693" w:rsidRDefault="000824A7" w:rsidP="006A3693">
      <w:pPr>
        <w:widowControl w:val="0"/>
        <w:spacing w:after="0" w:line="360" w:lineRule="auto"/>
        <w:ind w:firstLine="709"/>
        <w:jc w:val="both"/>
        <w:rPr>
          <w:rFonts w:ascii="Times New Roman" w:eastAsia="Times New Roman" w:hAnsi="Times New Roman" w:cs="Times New Roman"/>
          <w:iCs/>
          <w:color w:val="000000"/>
          <w:sz w:val="24"/>
          <w:szCs w:val="24"/>
          <w:lang w:eastAsia="ru-RU" w:bidi="ru-RU"/>
        </w:rPr>
      </w:pPr>
      <w:r w:rsidRPr="006A3693">
        <w:rPr>
          <w:rFonts w:ascii="Times New Roman" w:eastAsia="Times New Roman" w:hAnsi="Times New Roman" w:cs="Times New Roman"/>
          <w:iCs/>
          <w:color w:val="000000"/>
          <w:sz w:val="24"/>
          <w:szCs w:val="24"/>
          <w:lang w:eastAsia="ru-RU" w:bidi="ru-RU"/>
        </w:rPr>
        <w:t>з) ООО «СХП «Кузнечное»</w:t>
      </w:r>
      <w:r w:rsidR="00460B14">
        <w:rPr>
          <w:rFonts w:ascii="Times New Roman" w:eastAsia="Times New Roman" w:hAnsi="Times New Roman" w:cs="Times New Roman"/>
          <w:iCs/>
          <w:color w:val="000000"/>
          <w:sz w:val="24"/>
          <w:szCs w:val="24"/>
          <w:lang w:eastAsia="ru-RU" w:bidi="ru-RU"/>
        </w:rPr>
        <w:t>;</w:t>
      </w:r>
    </w:p>
    <w:p w:rsidR="000824A7" w:rsidRPr="006A3693" w:rsidRDefault="000824A7" w:rsidP="006A3693">
      <w:pPr>
        <w:widowControl w:val="0"/>
        <w:spacing w:after="0" w:line="360" w:lineRule="auto"/>
        <w:ind w:firstLine="709"/>
        <w:jc w:val="both"/>
        <w:rPr>
          <w:rFonts w:ascii="Times New Roman" w:eastAsia="Times New Roman" w:hAnsi="Times New Roman" w:cs="Times New Roman"/>
          <w:iCs/>
          <w:color w:val="000000"/>
          <w:sz w:val="24"/>
          <w:szCs w:val="24"/>
          <w:lang w:eastAsia="ru-RU" w:bidi="ru-RU"/>
        </w:rPr>
      </w:pPr>
      <w:r w:rsidRPr="006A3693">
        <w:rPr>
          <w:rFonts w:ascii="Times New Roman" w:eastAsia="Times New Roman" w:hAnsi="Times New Roman" w:cs="Times New Roman"/>
          <w:iCs/>
          <w:color w:val="000000"/>
          <w:sz w:val="24"/>
          <w:szCs w:val="24"/>
          <w:lang w:eastAsia="ru-RU" w:bidi="ru-RU"/>
        </w:rPr>
        <w:t>и) Фонд содействия инновационному развитию и кадровому обеспечению экономики Ленинградской области</w:t>
      </w:r>
      <w:r w:rsidR="00460B14">
        <w:rPr>
          <w:rFonts w:ascii="Times New Roman" w:eastAsia="Times New Roman" w:hAnsi="Times New Roman" w:cs="Times New Roman"/>
          <w:iCs/>
          <w:color w:val="000000"/>
          <w:sz w:val="24"/>
          <w:szCs w:val="24"/>
          <w:lang w:eastAsia="ru-RU" w:bidi="ru-RU"/>
        </w:rPr>
        <w:t>;</w:t>
      </w:r>
      <w:r w:rsidR="00E962A0">
        <w:rPr>
          <w:rFonts w:ascii="Times New Roman" w:eastAsia="Times New Roman" w:hAnsi="Times New Roman" w:cs="Times New Roman"/>
          <w:iCs/>
          <w:color w:val="000000"/>
          <w:sz w:val="24"/>
          <w:szCs w:val="24"/>
          <w:lang w:eastAsia="ru-RU" w:bidi="ru-RU"/>
        </w:rPr>
        <w:t xml:space="preserve"> </w:t>
      </w:r>
      <w:r w:rsidRPr="006A3693">
        <w:rPr>
          <w:rFonts w:ascii="Times New Roman" w:eastAsia="Times New Roman" w:hAnsi="Times New Roman" w:cs="Times New Roman"/>
          <w:iCs/>
          <w:color w:val="000000"/>
          <w:sz w:val="24"/>
          <w:szCs w:val="24"/>
          <w:lang w:eastAsia="ru-RU" w:bidi="ru-RU"/>
        </w:rPr>
        <w:t>АНО «Центр развития промышленности Ленинградской области»</w:t>
      </w:r>
      <w:r w:rsidR="00460B14">
        <w:rPr>
          <w:rFonts w:ascii="Times New Roman" w:eastAsia="Times New Roman" w:hAnsi="Times New Roman" w:cs="Times New Roman"/>
          <w:iCs/>
          <w:color w:val="000000"/>
          <w:sz w:val="24"/>
          <w:szCs w:val="24"/>
          <w:lang w:eastAsia="ru-RU" w:bidi="ru-RU"/>
        </w:rPr>
        <w:t>;</w:t>
      </w:r>
    </w:p>
    <w:p w:rsidR="000824A7" w:rsidRPr="006A3693" w:rsidRDefault="000824A7" w:rsidP="006A3693">
      <w:pPr>
        <w:widowControl w:val="0"/>
        <w:spacing w:after="0" w:line="360" w:lineRule="auto"/>
        <w:ind w:firstLine="709"/>
        <w:jc w:val="both"/>
        <w:rPr>
          <w:rFonts w:ascii="Times New Roman" w:eastAsia="Times New Roman" w:hAnsi="Times New Roman" w:cs="Times New Roman"/>
          <w:iCs/>
          <w:color w:val="000000"/>
          <w:sz w:val="24"/>
          <w:szCs w:val="24"/>
          <w:lang w:eastAsia="ru-RU" w:bidi="ru-RU"/>
        </w:rPr>
      </w:pPr>
      <w:r w:rsidRPr="006A3693">
        <w:rPr>
          <w:rFonts w:ascii="Times New Roman" w:eastAsia="Times New Roman" w:hAnsi="Times New Roman" w:cs="Times New Roman"/>
          <w:iCs/>
          <w:color w:val="000000"/>
          <w:sz w:val="24"/>
          <w:szCs w:val="24"/>
          <w:lang w:eastAsia="ru-RU" w:bidi="ru-RU"/>
        </w:rPr>
        <w:t>к) ООО «ПГ «Фосфорит»</w:t>
      </w:r>
      <w:r w:rsidR="00460B14">
        <w:rPr>
          <w:rFonts w:ascii="Times New Roman" w:eastAsia="Times New Roman" w:hAnsi="Times New Roman" w:cs="Times New Roman"/>
          <w:iCs/>
          <w:color w:val="000000"/>
          <w:sz w:val="24"/>
          <w:szCs w:val="24"/>
          <w:lang w:eastAsia="ru-RU" w:bidi="ru-RU"/>
        </w:rPr>
        <w:t>;</w:t>
      </w:r>
    </w:p>
    <w:p w:rsidR="000824A7" w:rsidRPr="006A3693" w:rsidRDefault="00460B14" w:rsidP="006A3693">
      <w:pPr>
        <w:widowControl w:val="0"/>
        <w:spacing w:after="0" w:line="360" w:lineRule="auto"/>
        <w:ind w:firstLine="709"/>
        <w:jc w:val="both"/>
        <w:rPr>
          <w:rFonts w:ascii="Times New Roman" w:eastAsia="Times New Roman" w:hAnsi="Times New Roman" w:cs="Times New Roman"/>
          <w:iCs/>
          <w:color w:val="000000"/>
          <w:sz w:val="24"/>
          <w:szCs w:val="24"/>
          <w:lang w:eastAsia="ru-RU" w:bidi="ru-RU"/>
        </w:rPr>
      </w:pPr>
      <w:r>
        <w:rPr>
          <w:rFonts w:ascii="Times New Roman" w:eastAsia="Times New Roman" w:hAnsi="Times New Roman" w:cs="Times New Roman"/>
          <w:iCs/>
          <w:color w:val="000000"/>
          <w:sz w:val="24"/>
          <w:szCs w:val="24"/>
          <w:lang w:eastAsia="ru-RU" w:bidi="ru-RU"/>
        </w:rPr>
        <w:t>л) ООО «</w:t>
      </w:r>
      <w:r w:rsidR="000824A7" w:rsidRPr="006A3693">
        <w:rPr>
          <w:rFonts w:ascii="Times New Roman" w:eastAsia="Times New Roman" w:hAnsi="Times New Roman" w:cs="Times New Roman"/>
          <w:iCs/>
          <w:color w:val="000000"/>
          <w:sz w:val="24"/>
          <w:szCs w:val="24"/>
          <w:lang w:eastAsia="ru-RU" w:bidi="ru-RU"/>
        </w:rPr>
        <w:t>Северо-Запа</w:t>
      </w:r>
      <w:r>
        <w:rPr>
          <w:rFonts w:ascii="Times New Roman" w:eastAsia="Times New Roman" w:hAnsi="Times New Roman" w:cs="Times New Roman"/>
          <w:iCs/>
          <w:color w:val="000000"/>
          <w:sz w:val="24"/>
          <w:szCs w:val="24"/>
          <w:lang w:eastAsia="ru-RU" w:bidi="ru-RU"/>
        </w:rPr>
        <w:t>дный центр трансфера технологий»;</w:t>
      </w:r>
    </w:p>
    <w:p w:rsidR="000824A7" w:rsidRPr="006A3693" w:rsidRDefault="000824A7" w:rsidP="006A3693">
      <w:pPr>
        <w:widowControl w:val="0"/>
        <w:spacing w:after="0" w:line="360" w:lineRule="auto"/>
        <w:ind w:firstLine="709"/>
        <w:jc w:val="both"/>
        <w:rPr>
          <w:rFonts w:ascii="Times New Roman" w:eastAsia="Times New Roman" w:hAnsi="Times New Roman" w:cs="Times New Roman"/>
          <w:iCs/>
          <w:color w:val="000000"/>
          <w:sz w:val="24"/>
          <w:szCs w:val="24"/>
          <w:lang w:eastAsia="ru-RU" w:bidi="ru-RU"/>
        </w:rPr>
      </w:pPr>
      <w:r w:rsidRPr="006A3693">
        <w:rPr>
          <w:rFonts w:ascii="Times New Roman" w:eastAsia="Times New Roman" w:hAnsi="Times New Roman" w:cs="Times New Roman"/>
          <w:iCs/>
          <w:color w:val="000000"/>
          <w:sz w:val="24"/>
          <w:szCs w:val="24"/>
          <w:lang w:eastAsia="ru-RU" w:bidi="ru-RU"/>
        </w:rPr>
        <w:t>м) Региональный Центр общественного контроля ЖКХ Ленинградской области</w:t>
      </w:r>
      <w:r w:rsidR="00E962A0">
        <w:rPr>
          <w:rFonts w:ascii="Times New Roman" w:eastAsia="Times New Roman" w:hAnsi="Times New Roman" w:cs="Times New Roman"/>
          <w:iCs/>
          <w:color w:val="000000"/>
          <w:sz w:val="24"/>
          <w:szCs w:val="24"/>
          <w:lang w:eastAsia="ru-RU" w:bidi="ru-RU"/>
        </w:rPr>
        <w:t xml:space="preserve">, </w:t>
      </w:r>
      <w:r w:rsidRPr="006A3693">
        <w:rPr>
          <w:rFonts w:ascii="Times New Roman" w:eastAsia="Times New Roman" w:hAnsi="Times New Roman" w:cs="Times New Roman"/>
          <w:iCs/>
          <w:color w:val="000000"/>
          <w:sz w:val="24"/>
          <w:szCs w:val="24"/>
          <w:lang w:eastAsia="ru-RU" w:bidi="ru-RU"/>
        </w:rPr>
        <w:t>Союз «Ленинградская областная торгово-промышленная палата»</w:t>
      </w:r>
      <w:r w:rsidR="00E962A0">
        <w:rPr>
          <w:rFonts w:ascii="Times New Roman" w:eastAsia="Times New Roman" w:hAnsi="Times New Roman" w:cs="Times New Roman"/>
          <w:iCs/>
          <w:color w:val="000000"/>
          <w:sz w:val="24"/>
          <w:szCs w:val="24"/>
          <w:lang w:eastAsia="ru-RU" w:bidi="ru-RU"/>
        </w:rPr>
        <w:t xml:space="preserve">, </w:t>
      </w:r>
      <w:r w:rsidRPr="006A3693">
        <w:rPr>
          <w:rFonts w:ascii="Times New Roman" w:eastAsia="Times New Roman" w:hAnsi="Times New Roman" w:cs="Times New Roman"/>
          <w:iCs/>
          <w:color w:val="000000"/>
          <w:sz w:val="24"/>
          <w:szCs w:val="24"/>
          <w:lang w:eastAsia="ru-RU" w:bidi="ru-RU"/>
        </w:rPr>
        <w:t>Региональное объединение работодателей «Союз промышленников и предпринимателей Ленинградской области».</w:t>
      </w:r>
    </w:p>
    <w:p w:rsidR="000824A7" w:rsidRPr="006A3693" w:rsidRDefault="000824A7" w:rsidP="006A3693">
      <w:pPr>
        <w:widowControl w:val="0"/>
        <w:spacing w:after="0" w:line="360" w:lineRule="auto"/>
        <w:ind w:firstLine="709"/>
        <w:jc w:val="both"/>
        <w:rPr>
          <w:rFonts w:ascii="Times New Roman" w:eastAsia="Times New Roman" w:hAnsi="Times New Roman" w:cs="Times New Roman"/>
          <w:iCs/>
          <w:color w:val="000000"/>
          <w:sz w:val="24"/>
          <w:szCs w:val="24"/>
          <w:lang w:eastAsia="ru-RU" w:bidi="ru-RU"/>
        </w:rPr>
      </w:pPr>
      <w:r w:rsidRPr="006A3693">
        <w:rPr>
          <w:rFonts w:ascii="Times New Roman" w:eastAsia="Times New Roman" w:hAnsi="Times New Roman" w:cs="Times New Roman"/>
          <w:iCs/>
          <w:color w:val="000000"/>
          <w:sz w:val="24"/>
          <w:szCs w:val="24"/>
          <w:lang w:eastAsia="ru-RU" w:bidi="ru-RU"/>
        </w:rPr>
        <w:t>Согласно пункту 16 Стандарта в состав входит Уполномоченный по защите прав предпринимателей Ленинградской области.</w:t>
      </w:r>
    </w:p>
    <w:p w:rsidR="007011CA" w:rsidRPr="00123328" w:rsidRDefault="000824A7" w:rsidP="00123328">
      <w:pPr>
        <w:widowControl w:val="0"/>
        <w:spacing w:after="0" w:line="360" w:lineRule="auto"/>
        <w:ind w:firstLine="709"/>
        <w:jc w:val="both"/>
        <w:rPr>
          <w:rFonts w:ascii="Times New Roman" w:eastAsia="Times New Roman" w:hAnsi="Times New Roman" w:cs="Times New Roman"/>
          <w:iCs/>
          <w:color w:val="0000FF" w:themeColor="hyperlink"/>
          <w:sz w:val="24"/>
          <w:szCs w:val="24"/>
          <w:u w:val="single"/>
          <w:lang w:eastAsia="ru-RU" w:bidi="ru-RU"/>
        </w:rPr>
      </w:pPr>
      <w:r w:rsidRPr="00D12537">
        <w:rPr>
          <w:rFonts w:ascii="Times New Roman" w:eastAsia="Times New Roman" w:hAnsi="Times New Roman" w:cs="Times New Roman"/>
          <w:iCs/>
          <w:color w:val="000000"/>
          <w:sz w:val="24"/>
          <w:szCs w:val="24"/>
          <w:lang w:eastAsia="ru-RU" w:bidi="ru-RU"/>
        </w:rPr>
        <w:t xml:space="preserve">В отчетном периоде прошло </w:t>
      </w:r>
      <w:r w:rsidR="00D565E2" w:rsidRPr="00D12537">
        <w:rPr>
          <w:rFonts w:ascii="Times New Roman" w:eastAsia="Times New Roman" w:hAnsi="Times New Roman" w:cs="Times New Roman"/>
          <w:iCs/>
          <w:color w:val="000000"/>
          <w:sz w:val="24"/>
          <w:szCs w:val="24"/>
          <w:lang w:eastAsia="ru-RU" w:bidi="ru-RU"/>
        </w:rPr>
        <w:t>4</w:t>
      </w:r>
      <w:r w:rsidR="00D13402" w:rsidRPr="00D12537">
        <w:rPr>
          <w:rFonts w:ascii="Times New Roman" w:eastAsia="Times New Roman" w:hAnsi="Times New Roman" w:cs="Times New Roman"/>
          <w:iCs/>
          <w:color w:val="000000"/>
          <w:sz w:val="24"/>
          <w:szCs w:val="24"/>
          <w:lang w:eastAsia="ru-RU" w:bidi="ru-RU"/>
        </w:rPr>
        <w:t xml:space="preserve"> заседани</w:t>
      </w:r>
      <w:r w:rsidR="00D565E2" w:rsidRPr="00D12537">
        <w:rPr>
          <w:rFonts w:ascii="Times New Roman" w:eastAsia="Times New Roman" w:hAnsi="Times New Roman" w:cs="Times New Roman"/>
          <w:iCs/>
          <w:color w:val="000000"/>
          <w:sz w:val="24"/>
          <w:szCs w:val="24"/>
          <w:lang w:eastAsia="ru-RU" w:bidi="ru-RU"/>
        </w:rPr>
        <w:t>я</w:t>
      </w:r>
      <w:r w:rsidR="00D13402" w:rsidRPr="00D12537">
        <w:rPr>
          <w:rFonts w:ascii="Times New Roman" w:eastAsia="Times New Roman" w:hAnsi="Times New Roman" w:cs="Times New Roman"/>
          <w:iCs/>
          <w:color w:val="000000"/>
          <w:sz w:val="24"/>
          <w:szCs w:val="24"/>
          <w:lang w:eastAsia="ru-RU" w:bidi="ru-RU"/>
        </w:rPr>
        <w:t xml:space="preserve"> рабочей группы по конкуренции при Совете по улучшению инве</w:t>
      </w:r>
      <w:r w:rsidR="00FE101B" w:rsidRPr="00D12537">
        <w:rPr>
          <w:rFonts w:ascii="Times New Roman" w:eastAsia="Times New Roman" w:hAnsi="Times New Roman" w:cs="Times New Roman"/>
          <w:iCs/>
          <w:color w:val="000000"/>
          <w:sz w:val="24"/>
          <w:szCs w:val="24"/>
          <w:lang w:eastAsia="ru-RU" w:bidi="ru-RU"/>
        </w:rPr>
        <w:t xml:space="preserve">стиционного климата, </w:t>
      </w:r>
      <w:r w:rsidR="007D6F38">
        <w:rPr>
          <w:rFonts w:ascii="Times New Roman" w:eastAsia="Times New Roman" w:hAnsi="Times New Roman" w:cs="Times New Roman"/>
          <w:iCs/>
          <w:color w:val="000000"/>
          <w:sz w:val="24"/>
          <w:szCs w:val="24"/>
          <w:lang w:eastAsia="ru-RU" w:bidi="ru-RU"/>
        </w:rPr>
        <w:t>о</w:t>
      </w:r>
      <w:r w:rsidR="00D13402" w:rsidRPr="00D12537">
        <w:rPr>
          <w:rFonts w:ascii="Times New Roman" w:eastAsia="Times New Roman" w:hAnsi="Times New Roman" w:cs="Times New Roman"/>
          <w:iCs/>
          <w:color w:val="000000"/>
          <w:sz w:val="24"/>
          <w:szCs w:val="24"/>
          <w:lang w:eastAsia="ru-RU" w:bidi="ru-RU"/>
        </w:rPr>
        <w:t>рганизовано 1</w:t>
      </w:r>
      <w:r w:rsidRPr="00D12537">
        <w:rPr>
          <w:rFonts w:ascii="Times New Roman" w:eastAsia="Times New Roman" w:hAnsi="Times New Roman" w:cs="Times New Roman"/>
          <w:iCs/>
          <w:color w:val="000000"/>
          <w:sz w:val="24"/>
          <w:szCs w:val="24"/>
          <w:lang w:eastAsia="ru-RU" w:bidi="ru-RU"/>
        </w:rPr>
        <w:t xml:space="preserve"> заседани</w:t>
      </w:r>
      <w:r w:rsidR="00D13402" w:rsidRPr="00D12537">
        <w:rPr>
          <w:rFonts w:ascii="Times New Roman" w:eastAsia="Times New Roman" w:hAnsi="Times New Roman" w:cs="Times New Roman"/>
          <w:iCs/>
          <w:color w:val="000000"/>
          <w:sz w:val="24"/>
          <w:szCs w:val="24"/>
          <w:lang w:eastAsia="ru-RU" w:bidi="ru-RU"/>
        </w:rPr>
        <w:t>е</w:t>
      </w:r>
      <w:r w:rsidRPr="00D12537">
        <w:rPr>
          <w:rFonts w:ascii="Times New Roman" w:eastAsia="Times New Roman" w:hAnsi="Times New Roman" w:cs="Times New Roman"/>
          <w:iCs/>
          <w:color w:val="000000"/>
          <w:sz w:val="24"/>
          <w:szCs w:val="24"/>
          <w:lang w:eastAsia="ru-RU" w:bidi="ru-RU"/>
        </w:rPr>
        <w:t xml:space="preserve"> Совет</w:t>
      </w:r>
      <w:r w:rsidR="00507D2F" w:rsidRPr="00D12537">
        <w:rPr>
          <w:rFonts w:ascii="Times New Roman" w:eastAsia="Times New Roman" w:hAnsi="Times New Roman" w:cs="Times New Roman"/>
          <w:iCs/>
          <w:color w:val="000000"/>
          <w:sz w:val="24"/>
          <w:szCs w:val="24"/>
          <w:lang w:eastAsia="ru-RU" w:bidi="ru-RU"/>
        </w:rPr>
        <w:t xml:space="preserve">а по улучшению инвестиционного </w:t>
      </w:r>
      <w:r w:rsidR="00D13402" w:rsidRPr="00D12537">
        <w:rPr>
          <w:rFonts w:ascii="Times New Roman" w:eastAsia="Times New Roman" w:hAnsi="Times New Roman" w:cs="Times New Roman"/>
          <w:iCs/>
          <w:color w:val="000000"/>
          <w:sz w:val="24"/>
          <w:szCs w:val="24"/>
          <w:lang w:eastAsia="ru-RU" w:bidi="ru-RU"/>
        </w:rPr>
        <w:t>климата в Ленинградской области.</w:t>
      </w:r>
    </w:p>
    <w:p w:rsidR="000824A7" w:rsidRPr="007671E9" w:rsidRDefault="000824A7" w:rsidP="00080A73">
      <w:pPr>
        <w:pStyle w:val="a4"/>
        <w:numPr>
          <w:ilvl w:val="0"/>
          <w:numId w:val="7"/>
        </w:numPr>
        <w:spacing w:after="0" w:line="360" w:lineRule="auto"/>
        <w:ind w:left="0" w:firstLine="709"/>
        <w:jc w:val="both"/>
        <w:rPr>
          <w:rFonts w:ascii="Times New Roman" w:eastAsia="Times New Roman" w:hAnsi="Times New Roman" w:cs="Times New Roman"/>
          <w:b/>
          <w:sz w:val="24"/>
          <w:szCs w:val="24"/>
        </w:rPr>
      </w:pPr>
      <w:r w:rsidRPr="007671E9">
        <w:rPr>
          <w:rFonts w:ascii="Times New Roman" w:eastAsia="Times New Roman" w:hAnsi="Times New Roman" w:cs="Times New Roman"/>
          <w:b/>
          <w:sz w:val="24"/>
          <w:szCs w:val="24"/>
        </w:rPr>
        <w:t>Результаты ежегодного мониторинга состояния и развития конкуренции на товарных рынка</w:t>
      </w:r>
      <w:r w:rsidR="00F538AA" w:rsidRPr="007671E9">
        <w:rPr>
          <w:rFonts w:ascii="Times New Roman" w:eastAsia="Times New Roman" w:hAnsi="Times New Roman" w:cs="Times New Roman"/>
          <w:b/>
          <w:sz w:val="24"/>
          <w:szCs w:val="24"/>
        </w:rPr>
        <w:t>х субъекта Российской Федерации</w:t>
      </w:r>
      <w:r w:rsidR="007671E9">
        <w:rPr>
          <w:rFonts w:ascii="Times New Roman" w:eastAsia="Times New Roman" w:hAnsi="Times New Roman" w:cs="Times New Roman"/>
          <w:b/>
          <w:sz w:val="24"/>
          <w:szCs w:val="24"/>
        </w:rPr>
        <w:t>.</w:t>
      </w:r>
    </w:p>
    <w:p w:rsidR="00AE38C0" w:rsidRDefault="00AE38C0" w:rsidP="00D12537">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В отчетном периоде Уполномоченным органом</w:t>
      </w:r>
      <w:r w:rsidRPr="00AE38C0">
        <w:rPr>
          <w:rFonts w:ascii="Times New Roman" w:eastAsia="Times New Roman" w:hAnsi="Times New Roman" w:cs="Times New Roman"/>
          <w:color w:val="000000"/>
          <w:sz w:val="24"/>
          <w:szCs w:val="24"/>
          <w:lang w:eastAsia="ru-RU" w:bidi="ru-RU"/>
        </w:rPr>
        <w:t xml:space="preserve"> проведен открытый конкурс в электронной форме на оказание услуг проведения анализа, исследования и мониторинга состояния и развития конкурентной среды на рынках товаров, работ и услуг Ленинградской области, по итогам которого заключен государственный контракт №35/2022-КЭРИИД от 19.07.2022.</w:t>
      </w:r>
      <w:r>
        <w:rPr>
          <w:rFonts w:ascii="Times New Roman" w:eastAsia="Times New Roman" w:hAnsi="Times New Roman" w:cs="Times New Roman"/>
          <w:color w:val="000000"/>
          <w:sz w:val="24"/>
          <w:szCs w:val="24"/>
          <w:lang w:eastAsia="ru-RU" w:bidi="ru-RU"/>
        </w:rPr>
        <w:t xml:space="preserve"> Исполнитель контракта - </w:t>
      </w:r>
      <w:r w:rsidRPr="00AE38C0">
        <w:rPr>
          <w:rFonts w:ascii="Times New Roman" w:eastAsia="Times New Roman" w:hAnsi="Times New Roman" w:cs="Times New Roman"/>
          <w:color w:val="000000"/>
          <w:sz w:val="24"/>
          <w:szCs w:val="24"/>
          <w:lang w:eastAsia="ru-RU" w:bidi="ru-RU"/>
        </w:rPr>
        <w:t xml:space="preserve"> ООО «Маграм МР»</w:t>
      </w:r>
      <w:r>
        <w:rPr>
          <w:rFonts w:ascii="Times New Roman" w:eastAsia="Times New Roman" w:hAnsi="Times New Roman" w:cs="Times New Roman"/>
          <w:color w:val="000000"/>
          <w:sz w:val="24"/>
          <w:szCs w:val="24"/>
          <w:lang w:eastAsia="ru-RU" w:bidi="ru-RU"/>
        </w:rPr>
        <w:t>.</w:t>
      </w:r>
    </w:p>
    <w:p w:rsidR="00D12537" w:rsidRDefault="000824A7" w:rsidP="00CD0F1A">
      <w:pPr>
        <w:widowControl w:val="0"/>
        <w:spacing w:after="0" w:line="360" w:lineRule="auto"/>
        <w:ind w:firstLine="709"/>
        <w:jc w:val="both"/>
        <w:rPr>
          <w:rStyle w:val="a6"/>
          <w:rFonts w:ascii="Times New Roman" w:eastAsia="Times New Roman" w:hAnsi="Times New Roman" w:cs="Times New Roman"/>
          <w:sz w:val="24"/>
          <w:szCs w:val="24"/>
          <w:lang w:eastAsia="ru-RU" w:bidi="ru-RU"/>
        </w:rPr>
      </w:pPr>
      <w:r w:rsidRPr="00D12537">
        <w:rPr>
          <w:rFonts w:ascii="Times New Roman" w:eastAsia="Times New Roman" w:hAnsi="Times New Roman" w:cs="Times New Roman"/>
          <w:color w:val="000000"/>
          <w:sz w:val="24"/>
          <w:szCs w:val="24"/>
          <w:lang w:eastAsia="ru-RU" w:bidi="ru-RU"/>
        </w:rPr>
        <w:t xml:space="preserve">Отчёт </w:t>
      </w:r>
      <w:r w:rsidR="00AE38C0">
        <w:rPr>
          <w:rFonts w:ascii="Times New Roman" w:eastAsia="Times New Roman" w:hAnsi="Times New Roman" w:cs="Times New Roman"/>
          <w:color w:val="000000"/>
          <w:sz w:val="24"/>
          <w:szCs w:val="24"/>
          <w:lang w:eastAsia="ru-RU" w:bidi="ru-RU"/>
        </w:rPr>
        <w:t xml:space="preserve">об оказании услуг </w:t>
      </w:r>
      <w:r w:rsidRPr="00D12537">
        <w:rPr>
          <w:rFonts w:ascii="Times New Roman" w:eastAsia="Times New Roman" w:hAnsi="Times New Roman" w:cs="Times New Roman"/>
          <w:color w:val="000000"/>
          <w:sz w:val="24"/>
          <w:szCs w:val="24"/>
          <w:lang w:eastAsia="ru-RU" w:bidi="ru-RU"/>
        </w:rPr>
        <w:t xml:space="preserve">«Анализ, исследования и мониторинг состояния и развития конкурентной среды на рынках товаров, работ и услуг Ленинградской области» размещен </w:t>
      </w:r>
      <w:hyperlink r:id="rId13" w:history="1">
        <w:r w:rsidR="00D12537" w:rsidRPr="00D12537">
          <w:rPr>
            <w:rStyle w:val="a6"/>
            <w:rFonts w:ascii="Times New Roman" w:eastAsia="Times New Roman" w:hAnsi="Times New Roman" w:cs="Times New Roman"/>
            <w:sz w:val="24"/>
            <w:szCs w:val="24"/>
            <w:lang w:eastAsia="ru-RU" w:bidi="ru-RU"/>
          </w:rPr>
          <w:t>https://econ.lenobl.ru/ru/budget/competition/standard/monitoringa-sostoyaniya-i-razvitiya-konkurentnoj-sredy-na-rynkah-tovar/</w:t>
        </w:r>
      </w:hyperlink>
    </w:p>
    <w:p w:rsidR="00F80F42" w:rsidRPr="00D12537" w:rsidRDefault="00F80F42" w:rsidP="00D12537">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p>
    <w:p w:rsidR="00F80F42" w:rsidRPr="00F80F42" w:rsidRDefault="007671E9" w:rsidP="00F80F42">
      <w:pPr>
        <w:spacing w:after="0" w:line="360" w:lineRule="auto"/>
        <w:ind w:firstLine="709"/>
        <w:jc w:val="both"/>
        <w:rPr>
          <w:rFonts w:ascii="Times New Roman" w:eastAsia="Times New Roman" w:hAnsi="Times New Roman" w:cs="Times New Roman"/>
          <w:b/>
          <w:color w:val="000000"/>
          <w:sz w:val="24"/>
          <w:szCs w:val="24"/>
          <w:lang w:eastAsia="ru-RU" w:bidi="ru-RU"/>
        </w:rPr>
      </w:pPr>
      <w:r w:rsidRPr="003B5308">
        <w:rPr>
          <w:rFonts w:ascii="Times New Roman" w:hAnsi="Times New Roman" w:cs="Times New Roman"/>
          <w:b/>
          <w:sz w:val="24"/>
          <w:szCs w:val="24"/>
        </w:rPr>
        <w:t>3.1.</w:t>
      </w:r>
      <w:r>
        <w:rPr>
          <w:rFonts w:ascii="Times New Roman" w:hAnsi="Times New Roman" w:cs="Times New Roman"/>
          <w:sz w:val="24"/>
          <w:szCs w:val="24"/>
        </w:rPr>
        <w:t xml:space="preserve"> </w:t>
      </w:r>
      <w:r w:rsidRPr="007671E9">
        <w:rPr>
          <w:rFonts w:ascii="Times New Roman" w:hAnsi="Times New Roman" w:cs="Times New Roman"/>
          <w:b/>
          <w:sz w:val="24"/>
          <w:szCs w:val="24"/>
        </w:rPr>
        <w:t>Мониторинг наличия (отсутствия)</w:t>
      </w:r>
      <w:r w:rsidR="00D86D70" w:rsidRPr="007671E9">
        <w:rPr>
          <w:rFonts w:ascii="Times New Roman" w:eastAsia="Times New Roman" w:hAnsi="Times New Roman" w:cs="Times New Roman"/>
          <w:b/>
          <w:color w:val="000000"/>
          <w:sz w:val="24"/>
          <w:szCs w:val="24"/>
          <w:lang w:eastAsia="ru-RU" w:bidi="ru-RU"/>
        </w:rPr>
        <w:t xml:space="preserve"> административных барьеров</w:t>
      </w:r>
      <w:r w:rsidR="00D86D70" w:rsidRPr="006A3693">
        <w:rPr>
          <w:rFonts w:ascii="Times New Roman" w:eastAsia="Times New Roman" w:hAnsi="Times New Roman" w:cs="Times New Roman"/>
          <w:b/>
          <w:color w:val="000000"/>
          <w:sz w:val="24"/>
          <w:szCs w:val="24"/>
          <w:lang w:eastAsia="ru-RU" w:bidi="ru-RU"/>
        </w:rPr>
        <w:t xml:space="preserve"> и оценки состояния конкурентной среды субъектами предпринимательской деятельности</w:t>
      </w:r>
    </w:p>
    <w:p w:rsidR="003B5308" w:rsidRDefault="003B5308" w:rsidP="003B5308">
      <w:pPr>
        <w:widowControl w:val="0"/>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3.1.1. </w:t>
      </w:r>
      <w:r w:rsidRPr="003B5308">
        <w:rPr>
          <w:rFonts w:ascii="Times New Roman" w:eastAsia="Calibri" w:hAnsi="Times New Roman" w:cs="Times New Roman"/>
          <w:b/>
          <w:sz w:val="24"/>
          <w:szCs w:val="24"/>
        </w:rPr>
        <w:t>О структуре субъектов малого и среднего предпринимательства, а также крупного бизнеса по видам деятельности, о состоянии конкурентной среды и его изменения во времени в отношении субъекта Российской Федерации и сегментов бизнеса</w:t>
      </w:r>
    </w:p>
    <w:p w:rsidR="00F80F42" w:rsidRPr="003B5308" w:rsidRDefault="00F80F42" w:rsidP="003B5308">
      <w:pPr>
        <w:widowControl w:val="0"/>
        <w:spacing w:after="0" w:line="360" w:lineRule="auto"/>
        <w:jc w:val="center"/>
        <w:rPr>
          <w:rFonts w:ascii="Times New Roman" w:eastAsia="Calibri" w:hAnsi="Times New Roman" w:cs="Times New Roman"/>
          <w:b/>
          <w:sz w:val="24"/>
          <w:szCs w:val="24"/>
        </w:rPr>
      </w:pPr>
    </w:p>
    <w:p w:rsidR="00CD0F1A" w:rsidRPr="00CD0F1A" w:rsidRDefault="00CD0F1A" w:rsidP="00CD0F1A">
      <w:pPr>
        <w:spacing w:after="0" w:line="360" w:lineRule="auto"/>
        <w:ind w:firstLine="709"/>
        <w:jc w:val="both"/>
        <w:rPr>
          <w:rFonts w:ascii="Times New Roman" w:eastAsia="Calibri" w:hAnsi="Times New Roman" w:cs="Times New Roman"/>
          <w:sz w:val="24"/>
          <w:szCs w:val="24"/>
        </w:rPr>
      </w:pPr>
      <w:r w:rsidRPr="00CD0F1A">
        <w:rPr>
          <w:rFonts w:ascii="Times New Roman" w:eastAsia="Calibri" w:hAnsi="Times New Roman" w:cs="Times New Roman"/>
          <w:sz w:val="24"/>
          <w:szCs w:val="24"/>
        </w:rPr>
        <w:t>Количество субъектов малого и среднего предпринимательства (далее – субъекты МСП) в Ленинградской области по состоянию на 10 января 2023 года</w:t>
      </w:r>
      <w:r w:rsidRPr="00CD0F1A">
        <w:rPr>
          <w:rFonts w:ascii="Times New Roman" w:eastAsia="Calibri" w:hAnsi="Times New Roman" w:cs="Times New Roman"/>
          <w:sz w:val="24"/>
          <w:szCs w:val="24"/>
        </w:rPr>
        <w:br/>
        <w:t>в соответствии с единым реестром субъектов малого и среднего предпринимательства составляет 72 655 единицы (прирост к значению 2021 года составил 4,7%). В целом по Российской Федерации количество субъектов МСП</w:t>
      </w:r>
      <w:r w:rsidR="00B05945">
        <w:rPr>
          <w:rFonts w:ascii="Times New Roman" w:eastAsia="Calibri" w:hAnsi="Times New Roman" w:cs="Times New Roman"/>
          <w:sz w:val="24"/>
          <w:szCs w:val="24"/>
        </w:rPr>
        <w:t xml:space="preserve"> </w:t>
      </w:r>
      <w:r w:rsidRPr="00CD0F1A">
        <w:rPr>
          <w:rFonts w:ascii="Times New Roman" w:eastAsia="Calibri" w:hAnsi="Times New Roman" w:cs="Times New Roman"/>
          <w:sz w:val="24"/>
          <w:szCs w:val="24"/>
        </w:rPr>
        <w:t>за 2021 год увеличилось на 2,1 %; в Ленинградской области основной рост количества субъектов МСП произошел в разрезе микропредприятий. Распределение субъектов МСП по типам представлено в нижеследующей таблице.</w:t>
      </w:r>
    </w:p>
    <w:p w:rsidR="00CD0F1A" w:rsidRPr="00CD0F1A" w:rsidRDefault="00CD0F1A" w:rsidP="00CD0F1A">
      <w:pPr>
        <w:spacing w:after="0" w:line="240" w:lineRule="auto"/>
        <w:ind w:firstLine="709"/>
        <w:jc w:val="both"/>
        <w:rPr>
          <w:rFonts w:ascii="Times New Roman" w:eastAsia="Calibri" w:hAnsi="Times New Roman" w:cs="Times New Roman"/>
          <w:sz w:val="28"/>
          <w:szCs w:val="28"/>
        </w:rPr>
      </w:pPr>
    </w:p>
    <w:p w:rsidR="00CD0F1A" w:rsidRPr="00CD0F1A" w:rsidRDefault="00CD0F1A" w:rsidP="00CD0F1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Таблица 1</w:t>
      </w:r>
      <w:r w:rsidR="00FF7557">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CD0F1A">
        <w:rPr>
          <w:rFonts w:ascii="Times New Roman" w:eastAsia="Calibri" w:hAnsi="Times New Roman" w:cs="Times New Roman"/>
          <w:sz w:val="24"/>
          <w:szCs w:val="24"/>
        </w:rPr>
        <w:t>Распределение субъектов МСП Ленинградской области по типам по состоянию на 10.01.2023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4493"/>
        <w:gridCol w:w="4799"/>
      </w:tblGrid>
      <w:tr w:rsidR="00CD0F1A" w:rsidRPr="00CD0F1A" w:rsidTr="002B4C67">
        <w:trPr>
          <w:tblHeader/>
        </w:trPr>
        <w:tc>
          <w:tcPr>
            <w:tcW w:w="880" w:type="dxa"/>
            <w:shd w:val="clear" w:color="auto" w:fill="auto"/>
          </w:tcPr>
          <w:p w:rsidR="00CD0F1A" w:rsidRPr="00CD0F1A" w:rsidRDefault="00CD0F1A" w:rsidP="00CD0F1A">
            <w:pPr>
              <w:spacing w:after="0" w:line="240" w:lineRule="auto"/>
              <w:jc w:val="center"/>
              <w:rPr>
                <w:rFonts w:ascii="Times New Roman" w:eastAsia="Calibri" w:hAnsi="Times New Roman" w:cs="Times New Roman"/>
                <w:b/>
                <w:sz w:val="28"/>
              </w:rPr>
            </w:pPr>
            <w:r w:rsidRPr="00CD0F1A">
              <w:rPr>
                <w:rFonts w:ascii="Times New Roman" w:eastAsia="Calibri" w:hAnsi="Times New Roman" w:cs="Times New Roman"/>
                <w:b/>
                <w:sz w:val="28"/>
              </w:rPr>
              <w:t>№ п/п</w:t>
            </w:r>
          </w:p>
        </w:tc>
        <w:tc>
          <w:tcPr>
            <w:tcW w:w="4507" w:type="dxa"/>
            <w:shd w:val="clear" w:color="auto" w:fill="auto"/>
          </w:tcPr>
          <w:p w:rsidR="00CD0F1A" w:rsidRPr="00CD0F1A" w:rsidRDefault="00CD0F1A" w:rsidP="00CD0F1A">
            <w:pPr>
              <w:spacing w:after="0" w:line="240" w:lineRule="auto"/>
              <w:jc w:val="center"/>
              <w:rPr>
                <w:rFonts w:ascii="Times New Roman" w:eastAsia="Calibri" w:hAnsi="Times New Roman" w:cs="Times New Roman"/>
                <w:b/>
              </w:rPr>
            </w:pPr>
            <w:r w:rsidRPr="00CD0F1A">
              <w:rPr>
                <w:rFonts w:ascii="Times New Roman" w:eastAsia="Calibri" w:hAnsi="Times New Roman" w:cs="Times New Roman"/>
                <w:b/>
              </w:rPr>
              <w:t>Тип субъектов МСП</w:t>
            </w:r>
          </w:p>
        </w:tc>
        <w:tc>
          <w:tcPr>
            <w:tcW w:w="4819" w:type="dxa"/>
            <w:shd w:val="clear" w:color="auto" w:fill="auto"/>
          </w:tcPr>
          <w:p w:rsidR="00CD0F1A" w:rsidRPr="00CD0F1A" w:rsidRDefault="00CD0F1A" w:rsidP="00CD0F1A">
            <w:pPr>
              <w:spacing w:after="0" w:line="240" w:lineRule="auto"/>
              <w:jc w:val="center"/>
              <w:rPr>
                <w:rFonts w:ascii="Times New Roman" w:eastAsia="Calibri" w:hAnsi="Times New Roman" w:cs="Times New Roman"/>
                <w:b/>
              </w:rPr>
            </w:pPr>
            <w:r w:rsidRPr="00CD0F1A">
              <w:rPr>
                <w:rFonts w:ascii="Times New Roman" w:eastAsia="Calibri" w:hAnsi="Times New Roman" w:cs="Times New Roman"/>
                <w:b/>
              </w:rPr>
              <w:t>Количество</w:t>
            </w:r>
            <w:r w:rsidRPr="00CD0F1A">
              <w:rPr>
                <w:rFonts w:ascii="Times New Roman" w:eastAsia="Calibri" w:hAnsi="Times New Roman" w:cs="Times New Roman"/>
              </w:rPr>
              <w:t xml:space="preserve"> </w:t>
            </w:r>
            <w:r w:rsidRPr="00CD0F1A">
              <w:rPr>
                <w:rFonts w:ascii="Times New Roman" w:eastAsia="Calibri" w:hAnsi="Times New Roman" w:cs="Times New Roman"/>
                <w:b/>
              </w:rPr>
              <w:t>субъектов МСП, единиц</w:t>
            </w:r>
          </w:p>
        </w:tc>
      </w:tr>
      <w:tr w:rsidR="00CD0F1A" w:rsidRPr="00CD0F1A" w:rsidTr="002B4C67">
        <w:tc>
          <w:tcPr>
            <w:tcW w:w="10206" w:type="dxa"/>
            <w:gridSpan w:val="3"/>
            <w:shd w:val="clear" w:color="auto" w:fill="auto"/>
          </w:tcPr>
          <w:p w:rsidR="00CD0F1A" w:rsidRPr="00CD0F1A" w:rsidRDefault="00CD0F1A" w:rsidP="00CD0F1A">
            <w:pPr>
              <w:spacing w:after="0" w:line="240" w:lineRule="auto"/>
              <w:jc w:val="center"/>
              <w:rPr>
                <w:rFonts w:ascii="Times New Roman" w:eastAsia="Calibri" w:hAnsi="Times New Roman" w:cs="Times New Roman"/>
                <w:b/>
              </w:rPr>
            </w:pPr>
            <w:r w:rsidRPr="00CD0F1A">
              <w:rPr>
                <w:rFonts w:ascii="Times New Roman" w:eastAsia="Calibri" w:hAnsi="Times New Roman" w:cs="Times New Roman"/>
                <w:b/>
              </w:rPr>
              <w:t>1. Юридические лица</w:t>
            </w:r>
          </w:p>
        </w:tc>
      </w:tr>
      <w:tr w:rsidR="00CD0F1A" w:rsidRPr="00CD0F1A" w:rsidTr="002B4C67">
        <w:tc>
          <w:tcPr>
            <w:tcW w:w="880" w:type="dxa"/>
            <w:shd w:val="clear" w:color="auto" w:fill="auto"/>
          </w:tcPr>
          <w:p w:rsidR="00CD0F1A" w:rsidRPr="00CD0F1A" w:rsidRDefault="00CD0F1A" w:rsidP="00CD0F1A">
            <w:pPr>
              <w:spacing w:after="0" w:line="240" w:lineRule="auto"/>
              <w:jc w:val="center"/>
              <w:rPr>
                <w:rFonts w:ascii="Times New Roman" w:eastAsia="Calibri" w:hAnsi="Times New Roman" w:cs="Times New Roman"/>
                <w:b/>
                <w:sz w:val="28"/>
              </w:rPr>
            </w:pPr>
            <w:r w:rsidRPr="00CD0F1A">
              <w:rPr>
                <w:rFonts w:ascii="Times New Roman" w:eastAsia="Calibri" w:hAnsi="Times New Roman" w:cs="Times New Roman"/>
                <w:b/>
                <w:sz w:val="28"/>
              </w:rPr>
              <w:t>1.1</w:t>
            </w:r>
          </w:p>
        </w:tc>
        <w:tc>
          <w:tcPr>
            <w:tcW w:w="4507" w:type="dxa"/>
            <w:shd w:val="clear" w:color="auto" w:fill="auto"/>
          </w:tcPr>
          <w:p w:rsidR="00CD0F1A" w:rsidRPr="00CD0F1A" w:rsidRDefault="00CD0F1A" w:rsidP="00CD0F1A">
            <w:pPr>
              <w:spacing w:after="0" w:line="240" w:lineRule="auto"/>
              <w:jc w:val="both"/>
              <w:rPr>
                <w:rFonts w:ascii="Times New Roman" w:eastAsia="Calibri" w:hAnsi="Times New Roman" w:cs="Times New Roman"/>
              </w:rPr>
            </w:pPr>
            <w:r w:rsidRPr="00CD0F1A">
              <w:rPr>
                <w:rFonts w:ascii="Times New Roman" w:eastAsia="Calibri" w:hAnsi="Times New Roman" w:cs="Times New Roman"/>
              </w:rPr>
              <w:t>Среднее предприятие</w:t>
            </w:r>
          </w:p>
        </w:tc>
        <w:tc>
          <w:tcPr>
            <w:tcW w:w="4819" w:type="dxa"/>
            <w:shd w:val="clear" w:color="auto" w:fill="auto"/>
          </w:tcPr>
          <w:p w:rsidR="00CD0F1A" w:rsidRPr="00CD0F1A" w:rsidRDefault="00CD0F1A" w:rsidP="00CD0F1A">
            <w:pPr>
              <w:spacing w:after="0" w:line="240" w:lineRule="auto"/>
              <w:jc w:val="center"/>
              <w:rPr>
                <w:rFonts w:ascii="Times New Roman" w:eastAsia="Calibri" w:hAnsi="Times New Roman" w:cs="Times New Roman"/>
              </w:rPr>
            </w:pPr>
            <w:r w:rsidRPr="00CD0F1A">
              <w:rPr>
                <w:rFonts w:ascii="Times New Roman" w:eastAsia="Calibri" w:hAnsi="Times New Roman" w:cs="Times New Roman"/>
              </w:rPr>
              <w:t>228</w:t>
            </w:r>
          </w:p>
        </w:tc>
      </w:tr>
      <w:tr w:rsidR="00CD0F1A" w:rsidRPr="00CD0F1A" w:rsidTr="002B4C67">
        <w:tc>
          <w:tcPr>
            <w:tcW w:w="880" w:type="dxa"/>
            <w:shd w:val="clear" w:color="auto" w:fill="auto"/>
          </w:tcPr>
          <w:p w:rsidR="00CD0F1A" w:rsidRPr="00CD0F1A" w:rsidRDefault="00CD0F1A" w:rsidP="00CD0F1A">
            <w:pPr>
              <w:spacing w:after="0" w:line="240" w:lineRule="auto"/>
              <w:jc w:val="center"/>
              <w:rPr>
                <w:rFonts w:ascii="Times New Roman" w:eastAsia="Calibri" w:hAnsi="Times New Roman" w:cs="Times New Roman"/>
                <w:b/>
                <w:sz w:val="28"/>
              </w:rPr>
            </w:pPr>
            <w:r w:rsidRPr="00CD0F1A">
              <w:rPr>
                <w:rFonts w:ascii="Times New Roman" w:eastAsia="Calibri" w:hAnsi="Times New Roman" w:cs="Times New Roman"/>
                <w:b/>
                <w:sz w:val="28"/>
              </w:rPr>
              <w:t>1.2</w:t>
            </w:r>
          </w:p>
        </w:tc>
        <w:tc>
          <w:tcPr>
            <w:tcW w:w="4507" w:type="dxa"/>
            <w:shd w:val="clear" w:color="auto" w:fill="auto"/>
          </w:tcPr>
          <w:p w:rsidR="00CD0F1A" w:rsidRPr="00CD0F1A" w:rsidRDefault="00CD0F1A" w:rsidP="00CD0F1A">
            <w:pPr>
              <w:spacing w:after="0" w:line="240" w:lineRule="auto"/>
              <w:jc w:val="both"/>
              <w:rPr>
                <w:rFonts w:ascii="Times New Roman" w:eastAsia="Calibri" w:hAnsi="Times New Roman" w:cs="Times New Roman"/>
              </w:rPr>
            </w:pPr>
            <w:r w:rsidRPr="00CD0F1A">
              <w:rPr>
                <w:rFonts w:ascii="Times New Roman" w:eastAsia="Calibri" w:hAnsi="Times New Roman" w:cs="Times New Roman"/>
              </w:rPr>
              <w:t>Малое предприятие</w:t>
            </w:r>
          </w:p>
        </w:tc>
        <w:tc>
          <w:tcPr>
            <w:tcW w:w="4819" w:type="dxa"/>
            <w:shd w:val="clear" w:color="auto" w:fill="auto"/>
          </w:tcPr>
          <w:p w:rsidR="00CD0F1A" w:rsidRPr="00CD0F1A" w:rsidRDefault="00CD0F1A" w:rsidP="00CD0F1A">
            <w:pPr>
              <w:spacing w:after="0" w:line="240" w:lineRule="auto"/>
              <w:jc w:val="center"/>
              <w:rPr>
                <w:rFonts w:ascii="Times New Roman" w:eastAsia="Calibri" w:hAnsi="Times New Roman" w:cs="Times New Roman"/>
              </w:rPr>
            </w:pPr>
            <w:r w:rsidRPr="00CD0F1A">
              <w:rPr>
                <w:rFonts w:ascii="Times New Roman" w:eastAsia="Calibri" w:hAnsi="Times New Roman" w:cs="Times New Roman"/>
              </w:rPr>
              <w:t>1 766</w:t>
            </w:r>
          </w:p>
        </w:tc>
      </w:tr>
      <w:tr w:rsidR="00CD0F1A" w:rsidRPr="00CD0F1A" w:rsidTr="002B4C67">
        <w:tc>
          <w:tcPr>
            <w:tcW w:w="880" w:type="dxa"/>
            <w:shd w:val="clear" w:color="auto" w:fill="auto"/>
          </w:tcPr>
          <w:p w:rsidR="00CD0F1A" w:rsidRPr="00CD0F1A" w:rsidRDefault="00CD0F1A" w:rsidP="00CD0F1A">
            <w:pPr>
              <w:spacing w:after="0" w:line="240" w:lineRule="auto"/>
              <w:jc w:val="center"/>
              <w:rPr>
                <w:rFonts w:ascii="Times New Roman" w:eastAsia="Calibri" w:hAnsi="Times New Roman" w:cs="Times New Roman"/>
                <w:b/>
                <w:sz w:val="28"/>
              </w:rPr>
            </w:pPr>
            <w:r w:rsidRPr="00CD0F1A">
              <w:rPr>
                <w:rFonts w:ascii="Times New Roman" w:eastAsia="Calibri" w:hAnsi="Times New Roman" w:cs="Times New Roman"/>
                <w:b/>
                <w:sz w:val="28"/>
              </w:rPr>
              <w:t>1.3</w:t>
            </w:r>
          </w:p>
        </w:tc>
        <w:tc>
          <w:tcPr>
            <w:tcW w:w="4507" w:type="dxa"/>
            <w:shd w:val="clear" w:color="auto" w:fill="auto"/>
          </w:tcPr>
          <w:p w:rsidR="00CD0F1A" w:rsidRPr="00CD0F1A" w:rsidRDefault="00CD0F1A" w:rsidP="00CD0F1A">
            <w:pPr>
              <w:spacing w:after="0" w:line="240" w:lineRule="auto"/>
              <w:jc w:val="both"/>
              <w:rPr>
                <w:rFonts w:ascii="Times New Roman" w:eastAsia="Calibri" w:hAnsi="Times New Roman" w:cs="Times New Roman"/>
              </w:rPr>
            </w:pPr>
            <w:r w:rsidRPr="00CD0F1A">
              <w:rPr>
                <w:rFonts w:ascii="Times New Roman" w:eastAsia="Calibri" w:hAnsi="Times New Roman" w:cs="Times New Roman"/>
              </w:rPr>
              <w:t>Микропредприятие</w:t>
            </w:r>
          </w:p>
        </w:tc>
        <w:tc>
          <w:tcPr>
            <w:tcW w:w="4819" w:type="dxa"/>
            <w:shd w:val="clear" w:color="auto" w:fill="auto"/>
          </w:tcPr>
          <w:p w:rsidR="00CD0F1A" w:rsidRPr="00CD0F1A" w:rsidRDefault="00CD0F1A" w:rsidP="00CD0F1A">
            <w:pPr>
              <w:spacing w:after="0" w:line="240" w:lineRule="auto"/>
              <w:jc w:val="center"/>
              <w:rPr>
                <w:rFonts w:ascii="Times New Roman" w:eastAsia="Calibri" w:hAnsi="Times New Roman" w:cs="Times New Roman"/>
              </w:rPr>
            </w:pPr>
            <w:r w:rsidRPr="00CD0F1A">
              <w:rPr>
                <w:rFonts w:ascii="Times New Roman" w:eastAsia="Calibri" w:hAnsi="Times New Roman" w:cs="Times New Roman"/>
              </w:rPr>
              <w:t>18 071</w:t>
            </w:r>
          </w:p>
        </w:tc>
      </w:tr>
      <w:tr w:rsidR="00CD0F1A" w:rsidRPr="00CD0F1A" w:rsidTr="002B4C67">
        <w:tc>
          <w:tcPr>
            <w:tcW w:w="5387" w:type="dxa"/>
            <w:gridSpan w:val="2"/>
            <w:shd w:val="clear" w:color="auto" w:fill="auto"/>
          </w:tcPr>
          <w:p w:rsidR="00CD0F1A" w:rsidRPr="00CD0F1A" w:rsidRDefault="00CD0F1A" w:rsidP="00CD0F1A">
            <w:pPr>
              <w:spacing w:after="0" w:line="240" w:lineRule="auto"/>
              <w:jc w:val="both"/>
              <w:rPr>
                <w:rFonts w:ascii="Times New Roman" w:eastAsia="Calibri" w:hAnsi="Times New Roman" w:cs="Times New Roman"/>
                <w:b/>
              </w:rPr>
            </w:pPr>
            <w:r w:rsidRPr="00CD0F1A">
              <w:rPr>
                <w:rFonts w:ascii="Times New Roman" w:eastAsia="Calibri" w:hAnsi="Times New Roman" w:cs="Times New Roman"/>
                <w:b/>
              </w:rPr>
              <w:t>Всего по п. 1</w:t>
            </w:r>
          </w:p>
        </w:tc>
        <w:tc>
          <w:tcPr>
            <w:tcW w:w="4819" w:type="dxa"/>
            <w:shd w:val="clear" w:color="auto" w:fill="auto"/>
          </w:tcPr>
          <w:p w:rsidR="00CD0F1A" w:rsidRPr="00CD0F1A" w:rsidRDefault="00CD0F1A" w:rsidP="00CD0F1A">
            <w:pPr>
              <w:spacing w:after="0" w:line="240" w:lineRule="auto"/>
              <w:jc w:val="center"/>
              <w:rPr>
                <w:rFonts w:ascii="Times New Roman" w:eastAsia="Calibri" w:hAnsi="Times New Roman" w:cs="Times New Roman"/>
              </w:rPr>
            </w:pPr>
            <w:r w:rsidRPr="00CD0F1A">
              <w:rPr>
                <w:rFonts w:ascii="Times New Roman" w:eastAsia="Calibri" w:hAnsi="Times New Roman" w:cs="Times New Roman"/>
              </w:rPr>
              <w:t xml:space="preserve">20 065 </w:t>
            </w:r>
          </w:p>
        </w:tc>
      </w:tr>
      <w:tr w:rsidR="00CD0F1A" w:rsidRPr="00CD0F1A" w:rsidTr="002B4C67">
        <w:tc>
          <w:tcPr>
            <w:tcW w:w="10206" w:type="dxa"/>
            <w:gridSpan w:val="3"/>
            <w:shd w:val="clear" w:color="auto" w:fill="auto"/>
          </w:tcPr>
          <w:p w:rsidR="00CD0F1A" w:rsidRPr="00CD0F1A" w:rsidRDefault="00CD0F1A" w:rsidP="00CD0F1A">
            <w:pPr>
              <w:tabs>
                <w:tab w:val="left" w:pos="795"/>
                <w:tab w:val="center" w:pos="3848"/>
              </w:tabs>
              <w:spacing w:after="0" w:line="240" w:lineRule="auto"/>
              <w:jc w:val="center"/>
              <w:rPr>
                <w:rFonts w:ascii="Times New Roman" w:eastAsia="Calibri" w:hAnsi="Times New Roman" w:cs="Times New Roman"/>
                <w:b/>
              </w:rPr>
            </w:pPr>
            <w:r w:rsidRPr="00CD0F1A">
              <w:rPr>
                <w:rFonts w:ascii="Times New Roman" w:eastAsia="Calibri" w:hAnsi="Times New Roman" w:cs="Times New Roman"/>
                <w:b/>
              </w:rPr>
              <w:t>2. Индивидуальные предприниматели</w:t>
            </w:r>
          </w:p>
        </w:tc>
      </w:tr>
      <w:tr w:rsidR="00CD0F1A" w:rsidRPr="00CD0F1A" w:rsidTr="002B4C67">
        <w:tc>
          <w:tcPr>
            <w:tcW w:w="880" w:type="dxa"/>
            <w:shd w:val="clear" w:color="auto" w:fill="auto"/>
          </w:tcPr>
          <w:p w:rsidR="00CD0F1A" w:rsidRPr="00CD0F1A" w:rsidRDefault="00CD0F1A" w:rsidP="00CD0F1A">
            <w:pPr>
              <w:spacing w:after="0" w:line="240" w:lineRule="auto"/>
              <w:jc w:val="center"/>
              <w:rPr>
                <w:rFonts w:ascii="Times New Roman" w:eastAsia="Calibri" w:hAnsi="Times New Roman" w:cs="Times New Roman"/>
                <w:b/>
                <w:sz w:val="28"/>
              </w:rPr>
            </w:pPr>
            <w:r w:rsidRPr="00CD0F1A">
              <w:rPr>
                <w:rFonts w:ascii="Times New Roman" w:eastAsia="Calibri" w:hAnsi="Times New Roman" w:cs="Times New Roman"/>
                <w:b/>
                <w:sz w:val="28"/>
              </w:rPr>
              <w:t>2.1</w:t>
            </w:r>
          </w:p>
        </w:tc>
        <w:tc>
          <w:tcPr>
            <w:tcW w:w="4507" w:type="dxa"/>
            <w:shd w:val="clear" w:color="auto" w:fill="auto"/>
          </w:tcPr>
          <w:p w:rsidR="00CD0F1A" w:rsidRPr="00CD0F1A" w:rsidRDefault="00CD0F1A" w:rsidP="00CD0F1A">
            <w:pPr>
              <w:spacing w:after="0" w:line="240" w:lineRule="auto"/>
              <w:jc w:val="both"/>
              <w:rPr>
                <w:rFonts w:ascii="Times New Roman" w:eastAsia="Calibri" w:hAnsi="Times New Roman" w:cs="Times New Roman"/>
              </w:rPr>
            </w:pPr>
            <w:r w:rsidRPr="00CD0F1A">
              <w:rPr>
                <w:rFonts w:ascii="Times New Roman" w:eastAsia="Calibri" w:hAnsi="Times New Roman" w:cs="Times New Roman"/>
              </w:rPr>
              <w:t>Среднее предприятие</w:t>
            </w:r>
          </w:p>
        </w:tc>
        <w:tc>
          <w:tcPr>
            <w:tcW w:w="4819" w:type="dxa"/>
            <w:shd w:val="clear" w:color="auto" w:fill="auto"/>
          </w:tcPr>
          <w:p w:rsidR="00CD0F1A" w:rsidRPr="00CD0F1A" w:rsidRDefault="00CD0F1A" w:rsidP="00CD0F1A">
            <w:pPr>
              <w:spacing w:after="0" w:line="240" w:lineRule="auto"/>
              <w:jc w:val="center"/>
              <w:rPr>
                <w:rFonts w:ascii="Times New Roman" w:eastAsia="Calibri" w:hAnsi="Times New Roman" w:cs="Times New Roman"/>
              </w:rPr>
            </w:pPr>
            <w:r w:rsidRPr="00CD0F1A">
              <w:rPr>
                <w:rFonts w:ascii="Times New Roman" w:eastAsia="Calibri" w:hAnsi="Times New Roman" w:cs="Times New Roman"/>
              </w:rPr>
              <w:t>4</w:t>
            </w:r>
          </w:p>
        </w:tc>
      </w:tr>
      <w:tr w:rsidR="00CD0F1A" w:rsidRPr="00CD0F1A" w:rsidTr="002B4C67">
        <w:tc>
          <w:tcPr>
            <w:tcW w:w="880" w:type="dxa"/>
            <w:shd w:val="clear" w:color="auto" w:fill="auto"/>
          </w:tcPr>
          <w:p w:rsidR="00CD0F1A" w:rsidRPr="00CD0F1A" w:rsidRDefault="00CD0F1A" w:rsidP="00CD0F1A">
            <w:pPr>
              <w:spacing w:after="0" w:line="240" w:lineRule="auto"/>
              <w:jc w:val="center"/>
              <w:rPr>
                <w:rFonts w:ascii="Times New Roman" w:eastAsia="Calibri" w:hAnsi="Times New Roman" w:cs="Times New Roman"/>
                <w:b/>
                <w:sz w:val="28"/>
              </w:rPr>
            </w:pPr>
            <w:r w:rsidRPr="00CD0F1A">
              <w:rPr>
                <w:rFonts w:ascii="Times New Roman" w:eastAsia="Calibri" w:hAnsi="Times New Roman" w:cs="Times New Roman"/>
                <w:b/>
                <w:sz w:val="28"/>
              </w:rPr>
              <w:t>2.2</w:t>
            </w:r>
          </w:p>
        </w:tc>
        <w:tc>
          <w:tcPr>
            <w:tcW w:w="4507" w:type="dxa"/>
            <w:shd w:val="clear" w:color="auto" w:fill="auto"/>
          </w:tcPr>
          <w:p w:rsidR="00CD0F1A" w:rsidRPr="00CD0F1A" w:rsidRDefault="00CD0F1A" w:rsidP="00CD0F1A">
            <w:pPr>
              <w:spacing w:after="0" w:line="240" w:lineRule="auto"/>
              <w:jc w:val="both"/>
              <w:rPr>
                <w:rFonts w:ascii="Times New Roman" w:eastAsia="Calibri" w:hAnsi="Times New Roman" w:cs="Times New Roman"/>
              </w:rPr>
            </w:pPr>
            <w:r w:rsidRPr="00CD0F1A">
              <w:rPr>
                <w:rFonts w:ascii="Times New Roman" w:eastAsia="Calibri" w:hAnsi="Times New Roman" w:cs="Times New Roman"/>
              </w:rPr>
              <w:t>Малое предприятие</w:t>
            </w:r>
          </w:p>
        </w:tc>
        <w:tc>
          <w:tcPr>
            <w:tcW w:w="4819" w:type="dxa"/>
            <w:shd w:val="clear" w:color="auto" w:fill="auto"/>
          </w:tcPr>
          <w:p w:rsidR="00CD0F1A" w:rsidRPr="00CD0F1A" w:rsidRDefault="00CD0F1A" w:rsidP="00CD0F1A">
            <w:pPr>
              <w:spacing w:after="0" w:line="240" w:lineRule="auto"/>
              <w:jc w:val="center"/>
              <w:rPr>
                <w:rFonts w:ascii="Times New Roman" w:eastAsia="Calibri" w:hAnsi="Times New Roman" w:cs="Times New Roman"/>
              </w:rPr>
            </w:pPr>
            <w:r w:rsidRPr="00CD0F1A">
              <w:rPr>
                <w:rFonts w:ascii="Times New Roman" w:eastAsia="Calibri" w:hAnsi="Times New Roman" w:cs="Times New Roman"/>
              </w:rPr>
              <w:t>342</w:t>
            </w:r>
          </w:p>
        </w:tc>
      </w:tr>
      <w:tr w:rsidR="00CD0F1A" w:rsidRPr="00CD0F1A" w:rsidTr="002B4C67">
        <w:tc>
          <w:tcPr>
            <w:tcW w:w="880" w:type="dxa"/>
            <w:shd w:val="clear" w:color="auto" w:fill="auto"/>
          </w:tcPr>
          <w:p w:rsidR="00CD0F1A" w:rsidRPr="00CD0F1A" w:rsidRDefault="00CD0F1A" w:rsidP="00CD0F1A">
            <w:pPr>
              <w:spacing w:after="0" w:line="240" w:lineRule="auto"/>
              <w:jc w:val="center"/>
              <w:rPr>
                <w:rFonts w:ascii="Times New Roman" w:eastAsia="Calibri" w:hAnsi="Times New Roman" w:cs="Times New Roman"/>
                <w:b/>
                <w:sz w:val="28"/>
              </w:rPr>
            </w:pPr>
            <w:r w:rsidRPr="00CD0F1A">
              <w:rPr>
                <w:rFonts w:ascii="Times New Roman" w:eastAsia="Calibri" w:hAnsi="Times New Roman" w:cs="Times New Roman"/>
                <w:b/>
                <w:sz w:val="28"/>
              </w:rPr>
              <w:t>2.3</w:t>
            </w:r>
          </w:p>
        </w:tc>
        <w:tc>
          <w:tcPr>
            <w:tcW w:w="4507" w:type="dxa"/>
            <w:shd w:val="clear" w:color="auto" w:fill="auto"/>
          </w:tcPr>
          <w:p w:rsidR="00CD0F1A" w:rsidRPr="00CD0F1A" w:rsidRDefault="00CD0F1A" w:rsidP="00CD0F1A">
            <w:pPr>
              <w:spacing w:after="0" w:line="240" w:lineRule="auto"/>
              <w:jc w:val="both"/>
              <w:rPr>
                <w:rFonts w:ascii="Times New Roman" w:eastAsia="Calibri" w:hAnsi="Times New Roman" w:cs="Times New Roman"/>
              </w:rPr>
            </w:pPr>
            <w:r w:rsidRPr="00CD0F1A">
              <w:rPr>
                <w:rFonts w:ascii="Times New Roman" w:eastAsia="Calibri" w:hAnsi="Times New Roman" w:cs="Times New Roman"/>
              </w:rPr>
              <w:t>Микропредприятие</w:t>
            </w:r>
          </w:p>
        </w:tc>
        <w:tc>
          <w:tcPr>
            <w:tcW w:w="4819" w:type="dxa"/>
            <w:shd w:val="clear" w:color="auto" w:fill="auto"/>
          </w:tcPr>
          <w:p w:rsidR="00CD0F1A" w:rsidRPr="00CD0F1A" w:rsidRDefault="00CD0F1A" w:rsidP="00CD0F1A">
            <w:pPr>
              <w:spacing w:after="0" w:line="240" w:lineRule="auto"/>
              <w:jc w:val="center"/>
              <w:rPr>
                <w:rFonts w:ascii="Times New Roman" w:eastAsia="Calibri" w:hAnsi="Times New Roman" w:cs="Times New Roman"/>
              </w:rPr>
            </w:pPr>
            <w:r w:rsidRPr="00CD0F1A">
              <w:rPr>
                <w:rFonts w:ascii="Times New Roman" w:eastAsia="Calibri" w:hAnsi="Times New Roman" w:cs="Times New Roman"/>
              </w:rPr>
              <w:t>52 244</w:t>
            </w:r>
          </w:p>
        </w:tc>
      </w:tr>
      <w:tr w:rsidR="00CD0F1A" w:rsidRPr="00CD0F1A" w:rsidTr="002B4C67">
        <w:tc>
          <w:tcPr>
            <w:tcW w:w="5387" w:type="dxa"/>
            <w:gridSpan w:val="2"/>
            <w:shd w:val="clear" w:color="auto" w:fill="auto"/>
          </w:tcPr>
          <w:p w:rsidR="00CD0F1A" w:rsidRPr="00CD0F1A" w:rsidRDefault="00CD0F1A" w:rsidP="00CD0F1A">
            <w:pPr>
              <w:spacing w:after="0" w:line="240" w:lineRule="auto"/>
              <w:jc w:val="both"/>
              <w:rPr>
                <w:rFonts w:ascii="Times New Roman" w:eastAsia="Calibri" w:hAnsi="Times New Roman" w:cs="Times New Roman"/>
                <w:b/>
              </w:rPr>
            </w:pPr>
            <w:r w:rsidRPr="00CD0F1A">
              <w:rPr>
                <w:rFonts w:ascii="Times New Roman" w:eastAsia="Calibri" w:hAnsi="Times New Roman" w:cs="Times New Roman"/>
                <w:b/>
              </w:rPr>
              <w:t>Всего по пю 2</w:t>
            </w:r>
          </w:p>
        </w:tc>
        <w:tc>
          <w:tcPr>
            <w:tcW w:w="4819" w:type="dxa"/>
            <w:shd w:val="clear" w:color="auto" w:fill="auto"/>
          </w:tcPr>
          <w:p w:rsidR="00CD0F1A" w:rsidRPr="00CD0F1A" w:rsidRDefault="00CD0F1A" w:rsidP="00CD0F1A">
            <w:pPr>
              <w:spacing w:after="0" w:line="240" w:lineRule="auto"/>
              <w:jc w:val="center"/>
              <w:rPr>
                <w:rFonts w:ascii="Times New Roman" w:eastAsia="Calibri" w:hAnsi="Times New Roman" w:cs="Times New Roman"/>
              </w:rPr>
            </w:pPr>
            <w:r w:rsidRPr="00CD0F1A">
              <w:rPr>
                <w:rFonts w:ascii="Times New Roman" w:eastAsia="Calibri" w:hAnsi="Times New Roman" w:cs="Times New Roman"/>
              </w:rPr>
              <w:t>52 590</w:t>
            </w:r>
          </w:p>
        </w:tc>
      </w:tr>
      <w:tr w:rsidR="00CD0F1A" w:rsidRPr="00CD0F1A" w:rsidTr="002B4C67">
        <w:tc>
          <w:tcPr>
            <w:tcW w:w="5387" w:type="dxa"/>
            <w:gridSpan w:val="2"/>
            <w:shd w:val="clear" w:color="auto" w:fill="auto"/>
          </w:tcPr>
          <w:p w:rsidR="00CD0F1A" w:rsidRPr="00CD0F1A" w:rsidRDefault="00CD0F1A" w:rsidP="00CD0F1A">
            <w:pPr>
              <w:spacing w:after="0" w:line="240" w:lineRule="auto"/>
              <w:jc w:val="both"/>
              <w:rPr>
                <w:rFonts w:ascii="Times New Roman" w:eastAsia="Calibri" w:hAnsi="Times New Roman" w:cs="Times New Roman"/>
                <w:b/>
              </w:rPr>
            </w:pPr>
            <w:r w:rsidRPr="00CD0F1A">
              <w:rPr>
                <w:rFonts w:ascii="Times New Roman" w:eastAsia="Calibri" w:hAnsi="Times New Roman" w:cs="Times New Roman"/>
                <w:b/>
              </w:rPr>
              <w:t>ИТОГО МСП</w:t>
            </w:r>
          </w:p>
        </w:tc>
        <w:tc>
          <w:tcPr>
            <w:tcW w:w="4819" w:type="dxa"/>
            <w:shd w:val="clear" w:color="auto" w:fill="auto"/>
          </w:tcPr>
          <w:p w:rsidR="00CD0F1A" w:rsidRPr="00CD0F1A" w:rsidRDefault="00CD0F1A" w:rsidP="00CD0F1A">
            <w:pPr>
              <w:spacing w:after="0" w:line="240" w:lineRule="auto"/>
              <w:jc w:val="center"/>
              <w:rPr>
                <w:rFonts w:ascii="Times New Roman" w:eastAsia="Calibri" w:hAnsi="Times New Roman" w:cs="Times New Roman"/>
                <w:b/>
              </w:rPr>
            </w:pPr>
            <w:r w:rsidRPr="00CD0F1A">
              <w:rPr>
                <w:rFonts w:ascii="Times New Roman" w:eastAsia="Calibri" w:hAnsi="Times New Roman" w:cs="Times New Roman"/>
                <w:b/>
              </w:rPr>
              <w:t>72 655</w:t>
            </w:r>
          </w:p>
        </w:tc>
      </w:tr>
    </w:tbl>
    <w:p w:rsidR="00CD0F1A" w:rsidRPr="00CD0F1A" w:rsidRDefault="00CD0F1A" w:rsidP="00CD0F1A">
      <w:pPr>
        <w:spacing w:after="0" w:line="240" w:lineRule="auto"/>
        <w:ind w:firstLine="709"/>
        <w:jc w:val="both"/>
        <w:rPr>
          <w:rFonts w:ascii="Times New Roman" w:eastAsia="Calibri" w:hAnsi="Times New Roman" w:cs="Times New Roman"/>
          <w:sz w:val="28"/>
          <w:szCs w:val="28"/>
        </w:rPr>
      </w:pPr>
    </w:p>
    <w:p w:rsidR="00CD0F1A" w:rsidRPr="00CD0F1A" w:rsidRDefault="00CD0F1A" w:rsidP="00CD0F1A">
      <w:pPr>
        <w:spacing w:after="0" w:line="360" w:lineRule="auto"/>
        <w:ind w:firstLine="709"/>
        <w:jc w:val="both"/>
        <w:rPr>
          <w:rFonts w:ascii="Times New Roman" w:eastAsia="Calibri" w:hAnsi="Times New Roman" w:cs="Times New Roman"/>
          <w:sz w:val="24"/>
          <w:szCs w:val="24"/>
        </w:rPr>
      </w:pPr>
      <w:r w:rsidRPr="00CD0F1A">
        <w:rPr>
          <w:rFonts w:ascii="Times New Roman" w:eastAsia="Calibri" w:hAnsi="Times New Roman" w:cs="Times New Roman"/>
          <w:sz w:val="24"/>
          <w:szCs w:val="24"/>
        </w:rPr>
        <w:t>Количество вновь созданных субъектов МСП на указанную отчетную дату составило 14 109, в том числе юридических лиц – 2 166 и индивидуальных предпринимателей – 11 943. Сведения о наиболее распространенных видах деятельности вновь созданных субъектов МСП по итогам 2022</w:t>
      </w:r>
      <w:r w:rsidR="00FF7557">
        <w:rPr>
          <w:rFonts w:ascii="Times New Roman" w:eastAsia="Calibri" w:hAnsi="Times New Roman" w:cs="Times New Roman"/>
          <w:sz w:val="24"/>
          <w:szCs w:val="24"/>
        </w:rPr>
        <w:t xml:space="preserve"> года приводятся </w:t>
      </w:r>
      <w:r w:rsidRPr="00CD0F1A">
        <w:rPr>
          <w:rFonts w:ascii="Times New Roman" w:eastAsia="Calibri" w:hAnsi="Times New Roman" w:cs="Times New Roman"/>
          <w:sz w:val="24"/>
          <w:szCs w:val="24"/>
        </w:rPr>
        <w:t>в нижеследующей таблице.</w:t>
      </w:r>
    </w:p>
    <w:p w:rsidR="00CD0F1A" w:rsidRPr="00CD0F1A" w:rsidRDefault="00CD0F1A" w:rsidP="00CD0F1A">
      <w:pPr>
        <w:spacing w:after="0" w:line="240" w:lineRule="auto"/>
        <w:ind w:firstLine="709"/>
        <w:jc w:val="both"/>
        <w:rPr>
          <w:rFonts w:ascii="Times New Roman" w:eastAsia="Calibri" w:hAnsi="Times New Roman" w:cs="Times New Roman"/>
          <w:sz w:val="28"/>
          <w:szCs w:val="28"/>
        </w:rPr>
      </w:pPr>
    </w:p>
    <w:p w:rsidR="00CD0F1A" w:rsidRPr="00CD0F1A" w:rsidRDefault="00FF7557" w:rsidP="00CD0F1A">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 xml:space="preserve">Таблица 2. </w:t>
      </w:r>
      <w:r w:rsidR="00CD0F1A" w:rsidRPr="00CD0F1A">
        <w:rPr>
          <w:rFonts w:ascii="Times New Roman" w:eastAsia="SimSun" w:hAnsi="Times New Roman" w:cs="Times New Roman"/>
          <w:sz w:val="24"/>
          <w:szCs w:val="24"/>
        </w:rPr>
        <w:t xml:space="preserve">Наиболее </w:t>
      </w:r>
      <w:r w:rsidR="00CD0F1A" w:rsidRPr="00CD0F1A">
        <w:rPr>
          <w:rFonts w:ascii="Times New Roman" w:eastAsia="Calibri" w:hAnsi="Times New Roman" w:cs="Times New Roman"/>
          <w:sz w:val="24"/>
          <w:szCs w:val="24"/>
        </w:rPr>
        <w:t>распространенные виды деятельности вновь созданных субъектов МСП</w:t>
      </w:r>
      <w:r w:rsidR="00CD0F1A" w:rsidRPr="00CD0F1A">
        <w:rPr>
          <w:rFonts w:ascii="Times New Roman" w:eastAsia="Calibri" w:hAnsi="Times New Roman" w:cs="Times New Roman"/>
          <w:sz w:val="24"/>
          <w:szCs w:val="24"/>
        </w:rPr>
        <w:br/>
        <w:t>по итогам 2022 года (в разрезе кодов ОКВЭД)</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5778"/>
        <w:gridCol w:w="1713"/>
        <w:gridCol w:w="1815"/>
      </w:tblGrid>
      <w:tr w:rsidR="00CD0F1A" w:rsidRPr="00CD0F1A" w:rsidTr="00FF7557">
        <w:trPr>
          <w:tblHeader/>
        </w:trPr>
        <w:tc>
          <w:tcPr>
            <w:tcW w:w="617" w:type="dxa"/>
            <w:vMerge w:val="restart"/>
            <w:shd w:val="clear" w:color="auto" w:fill="auto"/>
            <w:vAlign w:val="center"/>
          </w:tcPr>
          <w:p w:rsidR="00CD0F1A" w:rsidRPr="00CD0F1A" w:rsidRDefault="00CD0F1A" w:rsidP="00CD0F1A">
            <w:pPr>
              <w:spacing w:after="0" w:line="240" w:lineRule="auto"/>
              <w:jc w:val="center"/>
              <w:rPr>
                <w:rFonts w:ascii="Times New Roman" w:eastAsia="Calibri" w:hAnsi="Times New Roman" w:cs="Times New Roman"/>
                <w:b/>
              </w:rPr>
            </w:pPr>
            <w:r w:rsidRPr="00CD0F1A">
              <w:rPr>
                <w:rFonts w:ascii="Times New Roman" w:eastAsia="Calibri" w:hAnsi="Times New Roman" w:cs="Times New Roman"/>
                <w:b/>
              </w:rPr>
              <w:t>№ п/п</w:t>
            </w:r>
          </w:p>
        </w:tc>
        <w:tc>
          <w:tcPr>
            <w:tcW w:w="5778" w:type="dxa"/>
            <w:vMerge w:val="restart"/>
            <w:shd w:val="clear" w:color="auto" w:fill="auto"/>
            <w:vAlign w:val="center"/>
          </w:tcPr>
          <w:p w:rsidR="00CD0F1A" w:rsidRPr="00CD0F1A" w:rsidRDefault="00CD0F1A" w:rsidP="00CD0F1A">
            <w:pPr>
              <w:spacing w:after="0" w:line="240" w:lineRule="auto"/>
              <w:jc w:val="center"/>
              <w:rPr>
                <w:rFonts w:ascii="Times New Roman" w:eastAsia="Calibri" w:hAnsi="Times New Roman" w:cs="Times New Roman"/>
                <w:b/>
              </w:rPr>
            </w:pPr>
            <w:r w:rsidRPr="00CD0F1A">
              <w:rPr>
                <w:rFonts w:ascii="Times New Roman" w:eastAsia="Calibri" w:hAnsi="Times New Roman" w:cs="Times New Roman"/>
                <w:b/>
              </w:rPr>
              <w:t>Код ОКВЭД</w:t>
            </w:r>
          </w:p>
        </w:tc>
        <w:tc>
          <w:tcPr>
            <w:tcW w:w="3528" w:type="dxa"/>
            <w:gridSpan w:val="2"/>
            <w:shd w:val="clear" w:color="auto" w:fill="auto"/>
          </w:tcPr>
          <w:p w:rsidR="00CD0F1A" w:rsidRPr="00CD0F1A" w:rsidRDefault="00CD0F1A" w:rsidP="00CD0F1A">
            <w:pPr>
              <w:spacing w:after="0" w:line="240" w:lineRule="auto"/>
              <w:jc w:val="center"/>
              <w:rPr>
                <w:rFonts w:ascii="Times New Roman" w:eastAsia="Calibri" w:hAnsi="Times New Roman" w:cs="Times New Roman"/>
                <w:b/>
              </w:rPr>
            </w:pPr>
            <w:r w:rsidRPr="00CD0F1A">
              <w:rPr>
                <w:rFonts w:ascii="Times New Roman" w:eastAsia="Calibri" w:hAnsi="Times New Roman" w:cs="Times New Roman"/>
                <w:b/>
              </w:rPr>
              <w:t>По итогам 2022 года</w:t>
            </w:r>
          </w:p>
        </w:tc>
      </w:tr>
      <w:tr w:rsidR="00CD0F1A" w:rsidRPr="00CD0F1A" w:rsidTr="00FF7557">
        <w:trPr>
          <w:tblHeader/>
        </w:trPr>
        <w:tc>
          <w:tcPr>
            <w:tcW w:w="617" w:type="dxa"/>
            <w:vMerge/>
            <w:shd w:val="clear" w:color="auto" w:fill="auto"/>
            <w:vAlign w:val="center"/>
          </w:tcPr>
          <w:p w:rsidR="00CD0F1A" w:rsidRPr="00CD0F1A" w:rsidRDefault="00CD0F1A" w:rsidP="00CD0F1A">
            <w:pPr>
              <w:spacing w:after="0" w:line="240" w:lineRule="auto"/>
              <w:jc w:val="center"/>
              <w:rPr>
                <w:rFonts w:ascii="Times New Roman" w:eastAsia="Calibri" w:hAnsi="Times New Roman" w:cs="Times New Roman"/>
                <w:b/>
              </w:rPr>
            </w:pPr>
          </w:p>
        </w:tc>
        <w:tc>
          <w:tcPr>
            <w:tcW w:w="5778" w:type="dxa"/>
            <w:vMerge/>
            <w:shd w:val="clear" w:color="auto" w:fill="auto"/>
            <w:vAlign w:val="center"/>
          </w:tcPr>
          <w:p w:rsidR="00CD0F1A" w:rsidRPr="00CD0F1A" w:rsidRDefault="00CD0F1A" w:rsidP="00CD0F1A">
            <w:pPr>
              <w:spacing w:after="0" w:line="240" w:lineRule="auto"/>
              <w:jc w:val="center"/>
              <w:rPr>
                <w:rFonts w:ascii="Times New Roman" w:eastAsia="Calibri" w:hAnsi="Times New Roman" w:cs="Times New Roman"/>
                <w:b/>
              </w:rPr>
            </w:pPr>
          </w:p>
        </w:tc>
        <w:tc>
          <w:tcPr>
            <w:tcW w:w="1713" w:type="dxa"/>
            <w:shd w:val="clear" w:color="auto" w:fill="auto"/>
            <w:vAlign w:val="center"/>
          </w:tcPr>
          <w:p w:rsidR="00CD0F1A" w:rsidRPr="00CD0F1A" w:rsidRDefault="00CD0F1A" w:rsidP="00CD0F1A">
            <w:pPr>
              <w:spacing w:after="0" w:line="240" w:lineRule="auto"/>
              <w:jc w:val="center"/>
              <w:rPr>
                <w:rFonts w:ascii="Times New Roman" w:eastAsia="Calibri" w:hAnsi="Times New Roman" w:cs="Times New Roman"/>
                <w:b/>
              </w:rPr>
            </w:pPr>
            <w:r w:rsidRPr="00CD0F1A">
              <w:rPr>
                <w:rFonts w:ascii="Times New Roman" w:eastAsia="Calibri" w:hAnsi="Times New Roman" w:cs="Times New Roman"/>
                <w:b/>
              </w:rPr>
              <w:t>Количество вновь созданных, ед.</w:t>
            </w:r>
          </w:p>
        </w:tc>
        <w:tc>
          <w:tcPr>
            <w:tcW w:w="1815" w:type="dxa"/>
            <w:shd w:val="clear" w:color="auto" w:fill="auto"/>
            <w:vAlign w:val="center"/>
          </w:tcPr>
          <w:p w:rsidR="00CD0F1A" w:rsidRPr="00CD0F1A" w:rsidRDefault="00CD0F1A" w:rsidP="00CD0F1A">
            <w:pPr>
              <w:spacing w:after="0" w:line="240" w:lineRule="auto"/>
              <w:jc w:val="center"/>
              <w:rPr>
                <w:rFonts w:ascii="Times New Roman" w:eastAsia="Calibri" w:hAnsi="Times New Roman" w:cs="Times New Roman"/>
                <w:b/>
              </w:rPr>
            </w:pPr>
            <w:r w:rsidRPr="00CD0F1A">
              <w:rPr>
                <w:rFonts w:ascii="Times New Roman" w:eastAsia="Calibri" w:hAnsi="Times New Roman" w:cs="Times New Roman"/>
                <w:b/>
              </w:rPr>
              <w:t>Доля от общего количества вновь созданных МСП, %</w:t>
            </w:r>
          </w:p>
        </w:tc>
      </w:tr>
      <w:tr w:rsidR="00CD0F1A" w:rsidRPr="00CD0F1A" w:rsidTr="00FF7557">
        <w:tc>
          <w:tcPr>
            <w:tcW w:w="617" w:type="dxa"/>
            <w:shd w:val="clear" w:color="auto" w:fill="auto"/>
            <w:vAlign w:val="center"/>
          </w:tcPr>
          <w:p w:rsidR="00CD0F1A" w:rsidRPr="00CD0F1A" w:rsidRDefault="00CD0F1A" w:rsidP="00CD0F1A">
            <w:pPr>
              <w:spacing w:after="0" w:line="240" w:lineRule="auto"/>
              <w:jc w:val="center"/>
              <w:rPr>
                <w:rFonts w:ascii="Times New Roman" w:eastAsia="Calibri" w:hAnsi="Times New Roman" w:cs="Times New Roman"/>
              </w:rPr>
            </w:pPr>
            <w:r w:rsidRPr="00CD0F1A">
              <w:rPr>
                <w:rFonts w:ascii="Times New Roman" w:eastAsia="Calibri" w:hAnsi="Times New Roman" w:cs="Times New Roman"/>
              </w:rPr>
              <w:t>1</w:t>
            </w:r>
          </w:p>
        </w:tc>
        <w:tc>
          <w:tcPr>
            <w:tcW w:w="5778" w:type="dxa"/>
            <w:shd w:val="clear" w:color="auto" w:fill="auto"/>
            <w:vAlign w:val="center"/>
          </w:tcPr>
          <w:p w:rsidR="00CD0F1A" w:rsidRPr="00CD0F1A" w:rsidRDefault="00CD0F1A" w:rsidP="00CD0F1A">
            <w:pPr>
              <w:spacing w:after="0" w:line="240" w:lineRule="auto"/>
              <w:rPr>
                <w:rFonts w:ascii="Times New Roman" w:eastAsia="Calibri" w:hAnsi="Times New Roman" w:cs="Times New Roman"/>
              </w:rPr>
            </w:pPr>
            <w:r w:rsidRPr="00CD0F1A">
              <w:rPr>
                <w:rFonts w:ascii="Times New Roman" w:eastAsia="Calibri" w:hAnsi="Times New Roman" w:cs="Times New Roman"/>
              </w:rPr>
              <w:t>Торговля оптовая и розничная; ремонт автотранспортных средств и мотоциклов</w:t>
            </w:r>
          </w:p>
        </w:tc>
        <w:tc>
          <w:tcPr>
            <w:tcW w:w="1713" w:type="dxa"/>
            <w:shd w:val="clear" w:color="auto" w:fill="auto"/>
            <w:vAlign w:val="center"/>
          </w:tcPr>
          <w:p w:rsidR="00CD0F1A" w:rsidRPr="00CD0F1A" w:rsidRDefault="00CD0F1A" w:rsidP="00CD0F1A">
            <w:pPr>
              <w:spacing w:after="0" w:line="240" w:lineRule="auto"/>
              <w:jc w:val="center"/>
              <w:rPr>
                <w:rFonts w:ascii="Times New Roman" w:eastAsia="Calibri" w:hAnsi="Times New Roman" w:cs="Times New Roman"/>
              </w:rPr>
            </w:pPr>
            <w:r w:rsidRPr="00CD0F1A">
              <w:rPr>
                <w:rFonts w:ascii="Times New Roman" w:eastAsia="Calibri" w:hAnsi="Times New Roman" w:cs="Times New Roman"/>
              </w:rPr>
              <w:t>5183</w:t>
            </w:r>
          </w:p>
        </w:tc>
        <w:tc>
          <w:tcPr>
            <w:tcW w:w="1815" w:type="dxa"/>
            <w:shd w:val="clear" w:color="auto" w:fill="auto"/>
            <w:vAlign w:val="center"/>
          </w:tcPr>
          <w:p w:rsidR="00CD0F1A" w:rsidRPr="00CD0F1A" w:rsidRDefault="00CD0F1A" w:rsidP="00CD0F1A">
            <w:pPr>
              <w:spacing w:after="0" w:line="240" w:lineRule="auto"/>
              <w:jc w:val="center"/>
              <w:rPr>
                <w:rFonts w:ascii="Times New Roman" w:eastAsia="Calibri" w:hAnsi="Times New Roman" w:cs="Times New Roman"/>
              </w:rPr>
            </w:pPr>
            <w:r w:rsidRPr="00CD0F1A">
              <w:rPr>
                <w:rFonts w:ascii="Times New Roman" w:eastAsia="Calibri" w:hAnsi="Times New Roman" w:cs="Times New Roman"/>
              </w:rPr>
              <w:t>36,7</w:t>
            </w:r>
          </w:p>
        </w:tc>
      </w:tr>
      <w:tr w:rsidR="00CD0F1A" w:rsidRPr="00CD0F1A" w:rsidTr="00FF7557">
        <w:tc>
          <w:tcPr>
            <w:tcW w:w="617" w:type="dxa"/>
            <w:shd w:val="clear" w:color="auto" w:fill="auto"/>
            <w:vAlign w:val="center"/>
          </w:tcPr>
          <w:p w:rsidR="00CD0F1A" w:rsidRPr="00CD0F1A" w:rsidRDefault="00CD0F1A" w:rsidP="00CD0F1A">
            <w:pPr>
              <w:spacing w:after="0" w:line="240" w:lineRule="auto"/>
              <w:jc w:val="center"/>
              <w:rPr>
                <w:rFonts w:ascii="Times New Roman" w:eastAsia="Calibri" w:hAnsi="Times New Roman" w:cs="Times New Roman"/>
              </w:rPr>
            </w:pPr>
            <w:r w:rsidRPr="00CD0F1A">
              <w:rPr>
                <w:rFonts w:ascii="Times New Roman" w:eastAsia="Calibri" w:hAnsi="Times New Roman" w:cs="Times New Roman"/>
              </w:rPr>
              <w:lastRenderedPageBreak/>
              <w:t>2</w:t>
            </w:r>
          </w:p>
        </w:tc>
        <w:tc>
          <w:tcPr>
            <w:tcW w:w="5778" w:type="dxa"/>
            <w:shd w:val="clear" w:color="auto" w:fill="auto"/>
            <w:vAlign w:val="center"/>
          </w:tcPr>
          <w:p w:rsidR="00CD0F1A" w:rsidRPr="00CD0F1A" w:rsidRDefault="008C32C6" w:rsidP="00CD0F1A">
            <w:pPr>
              <w:spacing w:after="0" w:line="240" w:lineRule="auto"/>
              <w:rPr>
                <w:rFonts w:ascii="Times New Roman" w:eastAsia="Calibri" w:hAnsi="Times New Roman" w:cs="Times New Roman"/>
              </w:rPr>
            </w:pPr>
            <w:hyperlink r:id="rId14" w:history="1">
              <w:r w:rsidR="00CD0F1A" w:rsidRPr="00CD0F1A">
                <w:rPr>
                  <w:rFonts w:ascii="Times New Roman" w:eastAsia="Calibri" w:hAnsi="Times New Roman" w:cs="Times New Roman"/>
                </w:rPr>
                <w:t>Строительство</w:t>
              </w:r>
            </w:hyperlink>
          </w:p>
        </w:tc>
        <w:tc>
          <w:tcPr>
            <w:tcW w:w="1713" w:type="dxa"/>
            <w:shd w:val="clear" w:color="auto" w:fill="auto"/>
            <w:vAlign w:val="center"/>
          </w:tcPr>
          <w:p w:rsidR="00CD0F1A" w:rsidRPr="00CD0F1A" w:rsidRDefault="00CD0F1A" w:rsidP="00CD0F1A">
            <w:pPr>
              <w:spacing w:after="0" w:line="240" w:lineRule="auto"/>
              <w:jc w:val="center"/>
              <w:rPr>
                <w:rFonts w:ascii="Times New Roman" w:eastAsia="Calibri" w:hAnsi="Times New Roman" w:cs="Times New Roman"/>
              </w:rPr>
            </w:pPr>
            <w:r w:rsidRPr="00CD0F1A">
              <w:rPr>
                <w:rFonts w:ascii="Times New Roman" w:eastAsia="Calibri" w:hAnsi="Times New Roman" w:cs="Times New Roman"/>
              </w:rPr>
              <w:t>1974</w:t>
            </w:r>
          </w:p>
        </w:tc>
        <w:tc>
          <w:tcPr>
            <w:tcW w:w="1815" w:type="dxa"/>
            <w:shd w:val="clear" w:color="auto" w:fill="auto"/>
            <w:vAlign w:val="center"/>
          </w:tcPr>
          <w:p w:rsidR="00CD0F1A" w:rsidRPr="00CD0F1A" w:rsidRDefault="00CD0F1A" w:rsidP="00CD0F1A">
            <w:pPr>
              <w:spacing w:after="0" w:line="240" w:lineRule="auto"/>
              <w:jc w:val="center"/>
              <w:rPr>
                <w:rFonts w:ascii="Times New Roman" w:eastAsia="Calibri" w:hAnsi="Times New Roman" w:cs="Times New Roman"/>
              </w:rPr>
            </w:pPr>
            <w:r w:rsidRPr="00CD0F1A">
              <w:rPr>
                <w:rFonts w:ascii="Times New Roman" w:eastAsia="Calibri" w:hAnsi="Times New Roman" w:cs="Times New Roman"/>
              </w:rPr>
              <w:t>14,0</w:t>
            </w:r>
          </w:p>
        </w:tc>
      </w:tr>
      <w:tr w:rsidR="00CD0F1A" w:rsidRPr="00CD0F1A" w:rsidTr="00FF7557">
        <w:tc>
          <w:tcPr>
            <w:tcW w:w="617" w:type="dxa"/>
            <w:shd w:val="clear" w:color="auto" w:fill="auto"/>
            <w:vAlign w:val="center"/>
          </w:tcPr>
          <w:p w:rsidR="00CD0F1A" w:rsidRPr="00CD0F1A" w:rsidRDefault="00CD0F1A" w:rsidP="00CD0F1A">
            <w:pPr>
              <w:spacing w:after="0" w:line="240" w:lineRule="auto"/>
              <w:jc w:val="center"/>
              <w:rPr>
                <w:rFonts w:ascii="Times New Roman" w:eastAsia="Calibri" w:hAnsi="Times New Roman" w:cs="Times New Roman"/>
              </w:rPr>
            </w:pPr>
            <w:r w:rsidRPr="00CD0F1A">
              <w:rPr>
                <w:rFonts w:ascii="Times New Roman" w:eastAsia="Calibri" w:hAnsi="Times New Roman" w:cs="Times New Roman"/>
              </w:rPr>
              <w:t>3</w:t>
            </w:r>
          </w:p>
        </w:tc>
        <w:tc>
          <w:tcPr>
            <w:tcW w:w="5778" w:type="dxa"/>
            <w:shd w:val="clear" w:color="auto" w:fill="auto"/>
            <w:vAlign w:val="center"/>
          </w:tcPr>
          <w:p w:rsidR="00CD0F1A" w:rsidRPr="00CD0F1A" w:rsidRDefault="008C32C6" w:rsidP="00CD0F1A">
            <w:pPr>
              <w:spacing w:after="0" w:line="240" w:lineRule="auto"/>
              <w:rPr>
                <w:rFonts w:ascii="Times New Roman" w:eastAsia="Calibri" w:hAnsi="Times New Roman" w:cs="Times New Roman"/>
              </w:rPr>
            </w:pPr>
            <w:hyperlink r:id="rId15" w:history="1">
              <w:r w:rsidR="00CD0F1A" w:rsidRPr="00CD0F1A">
                <w:rPr>
                  <w:rFonts w:ascii="Times New Roman" w:eastAsia="Calibri" w:hAnsi="Times New Roman" w:cs="Times New Roman"/>
                </w:rPr>
                <w:t>Транспортировка и хранение</w:t>
              </w:r>
            </w:hyperlink>
          </w:p>
        </w:tc>
        <w:tc>
          <w:tcPr>
            <w:tcW w:w="1713" w:type="dxa"/>
            <w:shd w:val="clear" w:color="auto" w:fill="auto"/>
            <w:vAlign w:val="center"/>
          </w:tcPr>
          <w:p w:rsidR="00CD0F1A" w:rsidRPr="00CD0F1A" w:rsidRDefault="00CD0F1A" w:rsidP="00CD0F1A">
            <w:pPr>
              <w:spacing w:after="0" w:line="240" w:lineRule="auto"/>
              <w:jc w:val="center"/>
              <w:rPr>
                <w:rFonts w:ascii="Times New Roman" w:eastAsia="Calibri" w:hAnsi="Times New Roman" w:cs="Times New Roman"/>
              </w:rPr>
            </w:pPr>
            <w:r w:rsidRPr="00CD0F1A">
              <w:rPr>
                <w:rFonts w:ascii="Times New Roman" w:eastAsia="Calibri" w:hAnsi="Times New Roman" w:cs="Times New Roman"/>
              </w:rPr>
              <w:t>1406</w:t>
            </w:r>
          </w:p>
        </w:tc>
        <w:tc>
          <w:tcPr>
            <w:tcW w:w="1815" w:type="dxa"/>
            <w:shd w:val="clear" w:color="auto" w:fill="auto"/>
            <w:vAlign w:val="center"/>
          </w:tcPr>
          <w:p w:rsidR="00CD0F1A" w:rsidRPr="00CD0F1A" w:rsidRDefault="00CD0F1A" w:rsidP="00CD0F1A">
            <w:pPr>
              <w:spacing w:after="0" w:line="240" w:lineRule="auto"/>
              <w:jc w:val="center"/>
              <w:rPr>
                <w:rFonts w:ascii="Times New Roman" w:eastAsia="Calibri" w:hAnsi="Times New Roman" w:cs="Times New Roman"/>
              </w:rPr>
            </w:pPr>
            <w:r w:rsidRPr="00CD0F1A">
              <w:rPr>
                <w:rFonts w:ascii="Times New Roman" w:eastAsia="Calibri" w:hAnsi="Times New Roman" w:cs="Times New Roman"/>
              </w:rPr>
              <w:t>10,0</w:t>
            </w:r>
          </w:p>
        </w:tc>
      </w:tr>
      <w:tr w:rsidR="00CD0F1A" w:rsidRPr="00CD0F1A" w:rsidTr="00FF7557">
        <w:tc>
          <w:tcPr>
            <w:tcW w:w="617" w:type="dxa"/>
            <w:shd w:val="clear" w:color="auto" w:fill="auto"/>
            <w:vAlign w:val="center"/>
          </w:tcPr>
          <w:p w:rsidR="00CD0F1A" w:rsidRPr="00CD0F1A" w:rsidRDefault="00CD0F1A" w:rsidP="00CD0F1A">
            <w:pPr>
              <w:spacing w:after="0" w:line="240" w:lineRule="auto"/>
              <w:jc w:val="center"/>
              <w:rPr>
                <w:rFonts w:ascii="Times New Roman" w:eastAsia="Calibri" w:hAnsi="Times New Roman" w:cs="Times New Roman"/>
              </w:rPr>
            </w:pPr>
            <w:r w:rsidRPr="00CD0F1A">
              <w:rPr>
                <w:rFonts w:ascii="Times New Roman" w:eastAsia="Calibri" w:hAnsi="Times New Roman" w:cs="Times New Roman"/>
              </w:rPr>
              <w:t>4</w:t>
            </w:r>
          </w:p>
        </w:tc>
        <w:tc>
          <w:tcPr>
            <w:tcW w:w="5778" w:type="dxa"/>
            <w:shd w:val="clear" w:color="auto" w:fill="auto"/>
            <w:vAlign w:val="center"/>
          </w:tcPr>
          <w:p w:rsidR="00CD0F1A" w:rsidRPr="00CD0F1A" w:rsidRDefault="008C32C6" w:rsidP="00CD0F1A">
            <w:pPr>
              <w:spacing w:after="0" w:line="240" w:lineRule="auto"/>
              <w:rPr>
                <w:rFonts w:ascii="Times New Roman" w:eastAsia="Calibri" w:hAnsi="Times New Roman" w:cs="Times New Roman"/>
              </w:rPr>
            </w:pPr>
            <w:hyperlink r:id="rId16" w:history="1">
              <w:r w:rsidR="00CD0F1A" w:rsidRPr="00CD0F1A">
                <w:rPr>
                  <w:rFonts w:ascii="Times New Roman" w:eastAsia="Calibri" w:hAnsi="Times New Roman" w:cs="Times New Roman"/>
                </w:rPr>
                <w:t>Обрабатывающие производства</w:t>
              </w:r>
            </w:hyperlink>
          </w:p>
        </w:tc>
        <w:tc>
          <w:tcPr>
            <w:tcW w:w="1713" w:type="dxa"/>
            <w:shd w:val="clear" w:color="auto" w:fill="auto"/>
            <w:vAlign w:val="center"/>
          </w:tcPr>
          <w:p w:rsidR="00CD0F1A" w:rsidRPr="00CD0F1A" w:rsidRDefault="00CD0F1A" w:rsidP="00CD0F1A">
            <w:pPr>
              <w:spacing w:after="0" w:line="240" w:lineRule="auto"/>
              <w:jc w:val="center"/>
              <w:rPr>
                <w:rFonts w:ascii="Times New Roman" w:eastAsia="Calibri" w:hAnsi="Times New Roman" w:cs="Times New Roman"/>
              </w:rPr>
            </w:pPr>
            <w:r w:rsidRPr="00CD0F1A">
              <w:rPr>
                <w:rFonts w:ascii="Times New Roman" w:eastAsia="Calibri" w:hAnsi="Times New Roman" w:cs="Times New Roman"/>
              </w:rPr>
              <w:t>869</w:t>
            </w:r>
          </w:p>
        </w:tc>
        <w:tc>
          <w:tcPr>
            <w:tcW w:w="1815" w:type="dxa"/>
            <w:shd w:val="clear" w:color="auto" w:fill="auto"/>
            <w:vAlign w:val="center"/>
          </w:tcPr>
          <w:p w:rsidR="00CD0F1A" w:rsidRPr="00CD0F1A" w:rsidRDefault="00CD0F1A" w:rsidP="00CD0F1A">
            <w:pPr>
              <w:spacing w:after="0" w:line="240" w:lineRule="auto"/>
              <w:jc w:val="center"/>
              <w:rPr>
                <w:rFonts w:ascii="Times New Roman" w:eastAsia="Calibri" w:hAnsi="Times New Roman" w:cs="Times New Roman"/>
              </w:rPr>
            </w:pPr>
            <w:r w:rsidRPr="00CD0F1A">
              <w:rPr>
                <w:rFonts w:ascii="Times New Roman" w:eastAsia="Calibri" w:hAnsi="Times New Roman" w:cs="Times New Roman"/>
              </w:rPr>
              <w:t>6,2</w:t>
            </w:r>
          </w:p>
        </w:tc>
      </w:tr>
      <w:tr w:rsidR="00CD0F1A" w:rsidRPr="00CD0F1A" w:rsidTr="00FF7557">
        <w:tc>
          <w:tcPr>
            <w:tcW w:w="617" w:type="dxa"/>
            <w:shd w:val="clear" w:color="auto" w:fill="auto"/>
            <w:vAlign w:val="center"/>
          </w:tcPr>
          <w:p w:rsidR="00CD0F1A" w:rsidRPr="00CD0F1A" w:rsidRDefault="00CD0F1A" w:rsidP="00CD0F1A">
            <w:pPr>
              <w:spacing w:after="0" w:line="240" w:lineRule="auto"/>
              <w:jc w:val="center"/>
              <w:rPr>
                <w:rFonts w:ascii="Times New Roman" w:eastAsia="Calibri" w:hAnsi="Times New Roman" w:cs="Times New Roman"/>
              </w:rPr>
            </w:pPr>
            <w:r w:rsidRPr="00CD0F1A">
              <w:rPr>
                <w:rFonts w:ascii="Times New Roman" w:eastAsia="Calibri" w:hAnsi="Times New Roman" w:cs="Times New Roman"/>
              </w:rPr>
              <w:t>5</w:t>
            </w:r>
          </w:p>
        </w:tc>
        <w:tc>
          <w:tcPr>
            <w:tcW w:w="5778" w:type="dxa"/>
            <w:shd w:val="clear" w:color="auto" w:fill="auto"/>
            <w:vAlign w:val="center"/>
          </w:tcPr>
          <w:p w:rsidR="00CD0F1A" w:rsidRPr="00CD0F1A" w:rsidRDefault="008C32C6" w:rsidP="00CD0F1A">
            <w:pPr>
              <w:spacing w:after="0" w:line="240" w:lineRule="auto"/>
              <w:rPr>
                <w:rFonts w:ascii="Times New Roman" w:eastAsia="Calibri" w:hAnsi="Times New Roman" w:cs="Times New Roman"/>
              </w:rPr>
            </w:pPr>
            <w:hyperlink r:id="rId17" w:history="1">
              <w:r w:rsidR="00CD0F1A" w:rsidRPr="00CD0F1A">
                <w:rPr>
                  <w:rFonts w:ascii="Times New Roman" w:eastAsia="Calibri" w:hAnsi="Times New Roman" w:cs="Times New Roman"/>
                </w:rPr>
                <w:t>Деятельность гостиниц и предприятий общественного питания</w:t>
              </w:r>
            </w:hyperlink>
          </w:p>
        </w:tc>
        <w:tc>
          <w:tcPr>
            <w:tcW w:w="1713" w:type="dxa"/>
            <w:shd w:val="clear" w:color="auto" w:fill="auto"/>
            <w:vAlign w:val="center"/>
          </w:tcPr>
          <w:p w:rsidR="00CD0F1A" w:rsidRPr="00CD0F1A" w:rsidRDefault="00CD0F1A" w:rsidP="00CD0F1A">
            <w:pPr>
              <w:spacing w:after="0" w:line="240" w:lineRule="auto"/>
              <w:jc w:val="center"/>
              <w:rPr>
                <w:rFonts w:ascii="Times New Roman" w:eastAsia="Calibri" w:hAnsi="Times New Roman" w:cs="Times New Roman"/>
              </w:rPr>
            </w:pPr>
            <w:r w:rsidRPr="00CD0F1A">
              <w:rPr>
                <w:rFonts w:ascii="Times New Roman" w:eastAsia="Calibri" w:hAnsi="Times New Roman" w:cs="Times New Roman"/>
              </w:rPr>
              <w:t>654</w:t>
            </w:r>
          </w:p>
        </w:tc>
        <w:tc>
          <w:tcPr>
            <w:tcW w:w="1815" w:type="dxa"/>
            <w:shd w:val="clear" w:color="auto" w:fill="auto"/>
            <w:vAlign w:val="center"/>
          </w:tcPr>
          <w:p w:rsidR="00CD0F1A" w:rsidRPr="00CD0F1A" w:rsidRDefault="00CD0F1A" w:rsidP="00CD0F1A">
            <w:pPr>
              <w:spacing w:after="0" w:line="240" w:lineRule="auto"/>
              <w:jc w:val="center"/>
              <w:rPr>
                <w:rFonts w:ascii="Times New Roman" w:eastAsia="Calibri" w:hAnsi="Times New Roman" w:cs="Times New Roman"/>
              </w:rPr>
            </w:pPr>
            <w:r w:rsidRPr="00CD0F1A">
              <w:rPr>
                <w:rFonts w:ascii="Times New Roman" w:eastAsia="Calibri" w:hAnsi="Times New Roman" w:cs="Times New Roman"/>
              </w:rPr>
              <w:t>4,6</w:t>
            </w:r>
          </w:p>
        </w:tc>
      </w:tr>
      <w:tr w:rsidR="00CD0F1A" w:rsidRPr="00CD0F1A" w:rsidTr="00FF7557">
        <w:tc>
          <w:tcPr>
            <w:tcW w:w="617" w:type="dxa"/>
            <w:shd w:val="clear" w:color="auto" w:fill="auto"/>
            <w:vAlign w:val="center"/>
          </w:tcPr>
          <w:p w:rsidR="00CD0F1A" w:rsidRPr="00CD0F1A" w:rsidRDefault="00CD0F1A" w:rsidP="00CD0F1A">
            <w:pPr>
              <w:spacing w:after="0" w:line="240" w:lineRule="auto"/>
              <w:jc w:val="center"/>
              <w:rPr>
                <w:rFonts w:ascii="Times New Roman" w:eastAsia="Calibri" w:hAnsi="Times New Roman" w:cs="Times New Roman"/>
              </w:rPr>
            </w:pPr>
            <w:r w:rsidRPr="00CD0F1A">
              <w:rPr>
                <w:rFonts w:ascii="Times New Roman" w:eastAsia="Calibri" w:hAnsi="Times New Roman" w:cs="Times New Roman"/>
              </w:rPr>
              <w:t>6</w:t>
            </w:r>
          </w:p>
        </w:tc>
        <w:tc>
          <w:tcPr>
            <w:tcW w:w="5778" w:type="dxa"/>
            <w:shd w:val="clear" w:color="auto" w:fill="auto"/>
            <w:vAlign w:val="center"/>
          </w:tcPr>
          <w:p w:rsidR="00CD0F1A" w:rsidRPr="00CD0F1A" w:rsidRDefault="008C32C6" w:rsidP="00CD0F1A">
            <w:pPr>
              <w:spacing w:after="0" w:line="240" w:lineRule="auto"/>
              <w:rPr>
                <w:rFonts w:ascii="Times New Roman" w:eastAsia="Calibri" w:hAnsi="Times New Roman" w:cs="Times New Roman"/>
              </w:rPr>
            </w:pPr>
            <w:hyperlink r:id="rId18" w:history="1">
              <w:r w:rsidR="00CD0F1A" w:rsidRPr="00CD0F1A">
                <w:rPr>
                  <w:rFonts w:ascii="Times New Roman" w:eastAsia="Calibri" w:hAnsi="Times New Roman" w:cs="Times New Roman"/>
                </w:rPr>
                <w:t>Деятельность в области информации и связи</w:t>
              </w:r>
            </w:hyperlink>
          </w:p>
        </w:tc>
        <w:tc>
          <w:tcPr>
            <w:tcW w:w="1713" w:type="dxa"/>
            <w:shd w:val="clear" w:color="auto" w:fill="auto"/>
            <w:vAlign w:val="center"/>
          </w:tcPr>
          <w:p w:rsidR="00CD0F1A" w:rsidRPr="00CD0F1A" w:rsidRDefault="00CD0F1A" w:rsidP="00CD0F1A">
            <w:pPr>
              <w:spacing w:after="0" w:line="240" w:lineRule="auto"/>
              <w:jc w:val="center"/>
              <w:rPr>
                <w:rFonts w:ascii="Times New Roman" w:eastAsia="Calibri" w:hAnsi="Times New Roman" w:cs="Times New Roman"/>
              </w:rPr>
            </w:pPr>
            <w:r w:rsidRPr="00CD0F1A">
              <w:rPr>
                <w:rFonts w:ascii="Times New Roman" w:eastAsia="Calibri" w:hAnsi="Times New Roman" w:cs="Times New Roman"/>
              </w:rPr>
              <w:t>596</w:t>
            </w:r>
          </w:p>
        </w:tc>
        <w:tc>
          <w:tcPr>
            <w:tcW w:w="1815" w:type="dxa"/>
            <w:shd w:val="clear" w:color="auto" w:fill="auto"/>
            <w:vAlign w:val="center"/>
          </w:tcPr>
          <w:p w:rsidR="00CD0F1A" w:rsidRPr="00CD0F1A" w:rsidRDefault="00CD0F1A" w:rsidP="00CD0F1A">
            <w:pPr>
              <w:spacing w:after="0" w:line="240" w:lineRule="auto"/>
              <w:jc w:val="center"/>
              <w:rPr>
                <w:rFonts w:ascii="Times New Roman" w:eastAsia="Calibri" w:hAnsi="Times New Roman" w:cs="Times New Roman"/>
              </w:rPr>
            </w:pPr>
            <w:r w:rsidRPr="00CD0F1A">
              <w:rPr>
                <w:rFonts w:ascii="Times New Roman" w:eastAsia="Calibri" w:hAnsi="Times New Roman" w:cs="Times New Roman"/>
              </w:rPr>
              <w:t>4,2</w:t>
            </w:r>
          </w:p>
        </w:tc>
      </w:tr>
      <w:tr w:rsidR="00CD0F1A" w:rsidRPr="00CD0F1A" w:rsidTr="00FF7557">
        <w:tc>
          <w:tcPr>
            <w:tcW w:w="617" w:type="dxa"/>
            <w:shd w:val="clear" w:color="auto" w:fill="auto"/>
            <w:vAlign w:val="center"/>
          </w:tcPr>
          <w:p w:rsidR="00CD0F1A" w:rsidRPr="00CD0F1A" w:rsidRDefault="00CD0F1A" w:rsidP="00CD0F1A">
            <w:pPr>
              <w:spacing w:after="0" w:line="240" w:lineRule="auto"/>
              <w:jc w:val="center"/>
              <w:rPr>
                <w:rFonts w:ascii="Times New Roman" w:eastAsia="Calibri" w:hAnsi="Times New Roman" w:cs="Times New Roman"/>
              </w:rPr>
            </w:pPr>
            <w:r w:rsidRPr="00CD0F1A">
              <w:rPr>
                <w:rFonts w:ascii="Times New Roman" w:eastAsia="Calibri" w:hAnsi="Times New Roman" w:cs="Times New Roman"/>
              </w:rPr>
              <w:t>7</w:t>
            </w:r>
          </w:p>
        </w:tc>
        <w:tc>
          <w:tcPr>
            <w:tcW w:w="5778" w:type="dxa"/>
            <w:shd w:val="clear" w:color="auto" w:fill="auto"/>
            <w:vAlign w:val="bottom"/>
          </w:tcPr>
          <w:p w:rsidR="00CD0F1A" w:rsidRPr="00CD0F1A" w:rsidRDefault="00CD0F1A" w:rsidP="00CD0F1A">
            <w:pPr>
              <w:spacing w:after="0" w:line="240" w:lineRule="auto"/>
              <w:rPr>
                <w:rFonts w:ascii="Times New Roman" w:eastAsia="Calibri" w:hAnsi="Times New Roman" w:cs="Times New Roman"/>
              </w:rPr>
            </w:pPr>
            <w:r w:rsidRPr="00CD0F1A">
              <w:rPr>
                <w:rFonts w:ascii="Times New Roman" w:eastAsia="Calibri" w:hAnsi="Times New Roman" w:cs="Times New Roman"/>
              </w:rPr>
              <w:t>Образование</w:t>
            </w:r>
          </w:p>
        </w:tc>
        <w:tc>
          <w:tcPr>
            <w:tcW w:w="1713" w:type="dxa"/>
            <w:shd w:val="clear" w:color="auto" w:fill="auto"/>
            <w:vAlign w:val="center"/>
          </w:tcPr>
          <w:p w:rsidR="00CD0F1A" w:rsidRPr="00CD0F1A" w:rsidRDefault="00CD0F1A" w:rsidP="00CD0F1A">
            <w:pPr>
              <w:spacing w:after="0" w:line="240" w:lineRule="auto"/>
              <w:jc w:val="center"/>
              <w:rPr>
                <w:rFonts w:ascii="Times New Roman" w:eastAsia="Calibri" w:hAnsi="Times New Roman" w:cs="Times New Roman"/>
              </w:rPr>
            </w:pPr>
            <w:r w:rsidRPr="00CD0F1A">
              <w:rPr>
                <w:rFonts w:ascii="Times New Roman" w:eastAsia="Calibri" w:hAnsi="Times New Roman" w:cs="Times New Roman"/>
              </w:rPr>
              <w:t>252</w:t>
            </w:r>
          </w:p>
        </w:tc>
        <w:tc>
          <w:tcPr>
            <w:tcW w:w="1815" w:type="dxa"/>
            <w:shd w:val="clear" w:color="auto" w:fill="auto"/>
            <w:vAlign w:val="center"/>
          </w:tcPr>
          <w:p w:rsidR="00CD0F1A" w:rsidRPr="00CD0F1A" w:rsidRDefault="00CD0F1A" w:rsidP="00CD0F1A">
            <w:pPr>
              <w:spacing w:after="0" w:line="240" w:lineRule="auto"/>
              <w:jc w:val="center"/>
              <w:rPr>
                <w:rFonts w:ascii="Times New Roman" w:eastAsia="Calibri" w:hAnsi="Times New Roman" w:cs="Times New Roman"/>
              </w:rPr>
            </w:pPr>
            <w:r w:rsidRPr="00CD0F1A">
              <w:rPr>
                <w:rFonts w:ascii="Times New Roman" w:eastAsia="Calibri" w:hAnsi="Times New Roman" w:cs="Times New Roman"/>
              </w:rPr>
              <w:t>1,8</w:t>
            </w:r>
          </w:p>
        </w:tc>
      </w:tr>
      <w:tr w:rsidR="00CD0F1A" w:rsidRPr="00CD0F1A" w:rsidTr="00FF7557">
        <w:tc>
          <w:tcPr>
            <w:tcW w:w="617" w:type="dxa"/>
            <w:shd w:val="clear" w:color="auto" w:fill="auto"/>
            <w:vAlign w:val="center"/>
          </w:tcPr>
          <w:p w:rsidR="00CD0F1A" w:rsidRPr="00CD0F1A" w:rsidRDefault="00CD0F1A" w:rsidP="00CD0F1A">
            <w:pPr>
              <w:spacing w:after="0" w:line="240" w:lineRule="auto"/>
              <w:jc w:val="center"/>
              <w:rPr>
                <w:rFonts w:ascii="Times New Roman" w:eastAsia="Calibri" w:hAnsi="Times New Roman" w:cs="Times New Roman"/>
              </w:rPr>
            </w:pPr>
            <w:r w:rsidRPr="00CD0F1A">
              <w:rPr>
                <w:rFonts w:ascii="Times New Roman" w:eastAsia="Calibri" w:hAnsi="Times New Roman" w:cs="Times New Roman"/>
              </w:rPr>
              <w:t>8</w:t>
            </w:r>
          </w:p>
        </w:tc>
        <w:tc>
          <w:tcPr>
            <w:tcW w:w="5778" w:type="dxa"/>
            <w:shd w:val="clear" w:color="auto" w:fill="auto"/>
            <w:vAlign w:val="bottom"/>
          </w:tcPr>
          <w:p w:rsidR="00CD0F1A" w:rsidRPr="00CD0F1A" w:rsidRDefault="008C32C6" w:rsidP="00CD0F1A">
            <w:pPr>
              <w:spacing w:after="0" w:line="240" w:lineRule="auto"/>
              <w:rPr>
                <w:rFonts w:ascii="Times New Roman" w:eastAsia="Calibri" w:hAnsi="Times New Roman" w:cs="Times New Roman"/>
              </w:rPr>
            </w:pPr>
            <w:hyperlink r:id="rId19" w:history="1">
              <w:r w:rsidR="00CD0F1A" w:rsidRPr="00CD0F1A">
                <w:rPr>
                  <w:rFonts w:ascii="Times New Roman" w:eastAsia="Calibri" w:hAnsi="Times New Roman" w:cs="Times New Roman"/>
                </w:rPr>
                <w:t>Деятельность в области культуры, спорта, организации досуга и развлечений</w:t>
              </w:r>
            </w:hyperlink>
          </w:p>
        </w:tc>
        <w:tc>
          <w:tcPr>
            <w:tcW w:w="1713" w:type="dxa"/>
            <w:shd w:val="clear" w:color="auto" w:fill="auto"/>
            <w:vAlign w:val="center"/>
          </w:tcPr>
          <w:p w:rsidR="00CD0F1A" w:rsidRPr="00CD0F1A" w:rsidRDefault="00CD0F1A" w:rsidP="00CD0F1A">
            <w:pPr>
              <w:spacing w:after="0" w:line="240" w:lineRule="auto"/>
              <w:jc w:val="center"/>
              <w:rPr>
                <w:rFonts w:ascii="Times New Roman" w:eastAsia="Calibri" w:hAnsi="Times New Roman" w:cs="Times New Roman"/>
              </w:rPr>
            </w:pPr>
            <w:r w:rsidRPr="00CD0F1A">
              <w:rPr>
                <w:rFonts w:ascii="Times New Roman" w:eastAsia="Calibri" w:hAnsi="Times New Roman" w:cs="Times New Roman"/>
              </w:rPr>
              <w:t>215</w:t>
            </w:r>
          </w:p>
        </w:tc>
        <w:tc>
          <w:tcPr>
            <w:tcW w:w="1815" w:type="dxa"/>
            <w:shd w:val="clear" w:color="auto" w:fill="auto"/>
            <w:vAlign w:val="center"/>
          </w:tcPr>
          <w:p w:rsidR="00CD0F1A" w:rsidRPr="00CD0F1A" w:rsidRDefault="00CD0F1A" w:rsidP="00CD0F1A">
            <w:pPr>
              <w:spacing w:after="0" w:line="240" w:lineRule="auto"/>
              <w:jc w:val="center"/>
              <w:rPr>
                <w:rFonts w:ascii="Times New Roman" w:eastAsia="Calibri" w:hAnsi="Times New Roman" w:cs="Times New Roman"/>
              </w:rPr>
            </w:pPr>
            <w:r w:rsidRPr="00CD0F1A">
              <w:rPr>
                <w:rFonts w:ascii="Times New Roman" w:eastAsia="Calibri" w:hAnsi="Times New Roman" w:cs="Times New Roman"/>
              </w:rPr>
              <w:t>1,5</w:t>
            </w:r>
          </w:p>
        </w:tc>
      </w:tr>
      <w:tr w:rsidR="00CD0F1A" w:rsidRPr="00CD0F1A" w:rsidTr="00FF7557">
        <w:tc>
          <w:tcPr>
            <w:tcW w:w="617" w:type="dxa"/>
            <w:shd w:val="clear" w:color="auto" w:fill="auto"/>
            <w:vAlign w:val="center"/>
          </w:tcPr>
          <w:p w:rsidR="00CD0F1A" w:rsidRPr="00CD0F1A" w:rsidRDefault="00CD0F1A" w:rsidP="00CD0F1A">
            <w:pPr>
              <w:spacing w:after="0" w:line="240" w:lineRule="auto"/>
              <w:jc w:val="center"/>
              <w:rPr>
                <w:rFonts w:ascii="Times New Roman" w:eastAsia="Calibri" w:hAnsi="Times New Roman" w:cs="Times New Roman"/>
              </w:rPr>
            </w:pPr>
            <w:r w:rsidRPr="00CD0F1A">
              <w:rPr>
                <w:rFonts w:ascii="Times New Roman" w:eastAsia="Calibri" w:hAnsi="Times New Roman" w:cs="Times New Roman"/>
              </w:rPr>
              <w:t>9</w:t>
            </w:r>
          </w:p>
        </w:tc>
        <w:tc>
          <w:tcPr>
            <w:tcW w:w="5778" w:type="dxa"/>
            <w:shd w:val="clear" w:color="auto" w:fill="auto"/>
            <w:vAlign w:val="center"/>
          </w:tcPr>
          <w:p w:rsidR="00CD0F1A" w:rsidRPr="00CD0F1A" w:rsidRDefault="008C32C6" w:rsidP="00CD0F1A">
            <w:pPr>
              <w:spacing w:after="0" w:line="240" w:lineRule="auto"/>
              <w:rPr>
                <w:rFonts w:ascii="Times New Roman" w:eastAsia="Calibri" w:hAnsi="Times New Roman" w:cs="Times New Roman"/>
              </w:rPr>
            </w:pPr>
            <w:hyperlink r:id="rId20" w:history="1">
              <w:r w:rsidR="00CD0F1A" w:rsidRPr="00CD0F1A">
                <w:rPr>
                  <w:rFonts w:ascii="Times New Roman" w:eastAsia="Calibri" w:hAnsi="Times New Roman" w:cs="Times New Roman"/>
                </w:rPr>
                <w:t>Сельское, лесное хозяйство, охота, рыболовство и рыбоводство</w:t>
              </w:r>
            </w:hyperlink>
          </w:p>
        </w:tc>
        <w:tc>
          <w:tcPr>
            <w:tcW w:w="1713" w:type="dxa"/>
            <w:shd w:val="clear" w:color="auto" w:fill="auto"/>
            <w:vAlign w:val="center"/>
          </w:tcPr>
          <w:p w:rsidR="00CD0F1A" w:rsidRPr="00CD0F1A" w:rsidRDefault="00CD0F1A" w:rsidP="00CD0F1A">
            <w:pPr>
              <w:spacing w:after="0" w:line="240" w:lineRule="auto"/>
              <w:jc w:val="center"/>
              <w:rPr>
                <w:rFonts w:ascii="Times New Roman" w:eastAsia="Calibri" w:hAnsi="Times New Roman" w:cs="Times New Roman"/>
              </w:rPr>
            </w:pPr>
            <w:r w:rsidRPr="00CD0F1A">
              <w:rPr>
                <w:rFonts w:ascii="Times New Roman" w:eastAsia="Calibri" w:hAnsi="Times New Roman" w:cs="Times New Roman"/>
              </w:rPr>
              <w:t>203</w:t>
            </w:r>
          </w:p>
        </w:tc>
        <w:tc>
          <w:tcPr>
            <w:tcW w:w="1815" w:type="dxa"/>
            <w:shd w:val="clear" w:color="auto" w:fill="auto"/>
            <w:vAlign w:val="center"/>
          </w:tcPr>
          <w:p w:rsidR="00CD0F1A" w:rsidRPr="00CD0F1A" w:rsidRDefault="00CD0F1A" w:rsidP="00CD0F1A">
            <w:pPr>
              <w:spacing w:after="0" w:line="240" w:lineRule="auto"/>
              <w:jc w:val="center"/>
              <w:rPr>
                <w:rFonts w:ascii="Times New Roman" w:eastAsia="Calibri" w:hAnsi="Times New Roman" w:cs="Times New Roman"/>
              </w:rPr>
            </w:pPr>
            <w:r w:rsidRPr="00CD0F1A">
              <w:rPr>
                <w:rFonts w:ascii="Times New Roman" w:eastAsia="Calibri" w:hAnsi="Times New Roman" w:cs="Times New Roman"/>
              </w:rPr>
              <w:t>1,4</w:t>
            </w:r>
          </w:p>
        </w:tc>
      </w:tr>
      <w:tr w:rsidR="00CD0F1A" w:rsidRPr="00CD0F1A" w:rsidTr="00FF7557">
        <w:tc>
          <w:tcPr>
            <w:tcW w:w="617" w:type="dxa"/>
            <w:shd w:val="clear" w:color="auto" w:fill="auto"/>
            <w:vAlign w:val="center"/>
          </w:tcPr>
          <w:p w:rsidR="00CD0F1A" w:rsidRPr="00CD0F1A" w:rsidRDefault="00CD0F1A" w:rsidP="00CD0F1A">
            <w:pPr>
              <w:spacing w:after="0" w:line="240" w:lineRule="auto"/>
              <w:jc w:val="center"/>
              <w:rPr>
                <w:rFonts w:ascii="Times New Roman" w:eastAsia="Calibri" w:hAnsi="Times New Roman" w:cs="Times New Roman"/>
              </w:rPr>
            </w:pPr>
            <w:r w:rsidRPr="00CD0F1A">
              <w:rPr>
                <w:rFonts w:ascii="Times New Roman" w:eastAsia="Calibri" w:hAnsi="Times New Roman" w:cs="Times New Roman"/>
              </w:rPr>
              <w:t>10</w:t>
            </w:r>
          </w:p>
        </w:tc>
        <w:tc>
          <w:tcPr>
            <w:tcW w:w="5778" w:type="dxa"/>
            <w:shd w:val="clear" w:color="auto" w:fill="auto"/>
            <w:vAlign w:val="bottom"/>
          </w:tcPr>
          <w:p w:rsidR="00CD0F1A" w:rsidRPr="00CD0F1A" w:rsidRDefault="008C32C6" w:rsidP="00CD0F1A">
            <w:pPr>
              <w:spacing w:after="0" w:line="240" w:lineRule="auto"/>
              <w:rPr>
                <w:rFonts w:ascii="Times New Roman" w:eastAsia="Calibri" w:hAnsi="Times New Roman" w:cs="Times New Roman"/>
              </w:rPr>
            </w:pPr>
            <w:hyperlink r:id="rId21" w:history="1">
              <w:r w:rsidR="00CD0F1A" w:rsidRPr="00CD0F1A">
                <w:rPr>
                  <w:rFonts w:ascii="Times New Roman" w:eastAsia="Calibri" w:hAnsi="Times New Roman" w:cs="Times New Roman"/>
                </w:rPr>
                <w:t>Деятельность в области здравоохранения и социальных услуг</w:t>
              </w:r>
            </w:hyperlink>
          </w:p>
        </w:tc>
        <w:tc>
          <w:tcPr>
            <w:tcW w:w="1713" w:type="dxa"/>
            <w:shd w:val="clear" w:color="auto" w:fill="auto"/>
            <w:vAlign w:val="center"/>
          </w:tcPr>
          <w:p w:rsidR="00CD0F1A" w:rsidRPr="00CD0F1A" w:rsidRDefault="00CD0F1A" w:rsidP="00CD0F1A">
            <w:pPr>
              <w:spacing w:after="0" w:line="240" w:lineRule="auto"/>
              <w:jc w:val="center"/>
              <w:rPr>
                <w:rFonts w:ascii="Times New Roman" w:eastAsia="Calibri" w:hAnsi="Times New Roman" w:cs="Times New Roman"/>
                <w:color w:val="000000"/>
              </w:rPr>
            </w:pPr>
            <w:r w:rsidRPr="00CD0F1A">
              <w:rPr>
                <w:rFonts w:ascii="Times New Roman" w:eastAsia="Calibri" w:hAnsi="Times New Roman" w:cs="Times New Roman"/>
                <w:color w:val="000000"/>
              </w:rPr>
              <w:t>96</w:t>
            </w:r>
          </w:p>
        </w:tc>
        <w:tc>
          <w:tcPr>
            <w:tcW w:w="1815" w:type="dxa"/>
            <w:shd w:val="clear" w:color="auto" w:fill="auto"/>
            <w:vAlign w:val="center"/>
          </w:tcPr>
          <w:p w:rsidR="00CD0F1A" w:rsidRPr="00CD0F1A" w:rsidRDefault="00CD0F1A" w:rsidP="00CD0F1A">
            <w:pPr>
              <w:spacing w:after="0" w:line="240" w:lineRule="auto"/>
              <w:jc w:val="center"/>
              <w:rPr>
                <w:rFonts w:ascii="Times New Roman" w:eastAsia="Calibri" w:hAnsi="Times New Roman" w:cs="Times New Roman"/>
                <w:color w:val="000000"/>
              </w:rPr>
            </w:pPr>
            <w:r w:rsidRPr="00CD0F1A">
              <w:rPr>
                <w:rFonts w:ascii="Times New Roman" w:eastAsia="Calibri" w:hAnsi="Times New Roman" w:cs="Times New Roman"/>
                <w:color w:val="000000"/>
              </w:rPr>
              <w:t>0,7</w:t>
            </w:r>
          </w:p>
        </w:tc>
      </w:tr>
    </w:tbl>
    <w:p w:rsidR="00CD0F1A" w:rsidRPr="00CD0F1A" w:rsidRDefault="00CD0F1A" w:rsidP="00CD0F1A">
      <w:pPr>
        <w:spacing w:after="0" w:line="240" w:lineRule="auto"/>
        <w:ind w:firstLine="709"/>
        <w:jc w:val="both"/>
        <w:rPr>
          <w:rFonts w:ascii="Times New Roman" w:eastAsia="Calibri" w:hAnsi="Times New Roman" w:cs="Times New Roman"/>
          <w:sz w:val="28"/>
          <w:szCs w:val="28"/>
          <w:highlight w:val="yellow"/>
        </w:rPr>
      </w:pPr>
    </w:p>
    <w:p w:rsidR="00CD0F1A" w:rsidRPr="00CD0F1A" w:rsidRDefault="00CD0F1A" w:rsidP="00FF7557">
      <w:pPr>
        <w:spacing w:after="0" w:line="360" w:lineRule="auto"/>
        <w:ind w:firstLine="709"/>
        <w:jc w:val="both"/>
        <w:rPr>
          <w:rFonts w:ascii="Times New Roman" w:eastAsia="Calibri" w:hAnsi="Times New Roman" w:cs="Times New Roman"/>
          <w:sz w:val="24"/>
          <w:szCs w:val="24"/>
        </w:rPr>
      </w:pPr>
      <w:r w:rsidRPr="00CD0F1A">
        <w:rPr>
          <w:rFonts w:ascii="Times New Roman" w:eastAsia="Calibri" w:hAnsi="Times New Roman" w:cs="Times New Roman"/>
          <w:sz w:val="24"/>
          <w:szCs w:val="24"/>
        </w:rPr>
        <w:t>Наибольшее количество вновь созданных субъектов МСП было создано</w:t>
      </w:r>
      <w:r w:rsidRPr="00CD0F1A">
        <w:rPr>
          <w:rFonts w:ascii="Times New Roman" w:eastAsia="Calibri" w:hAnsi="Times New Roman" w:cs="Times New Roman"/>
          <w:sz w:val="24"/>
          <w:szCs w:val="24"/>
        </w:rPr>
        <w:br/>
        <w:t>в следующих муниципальных образованиях Ленинградской области:</w:t>
      </w:r>
    </w:p>
    <w:p w:rsidR="00CD0F1A" w:rsidRPr="00CD0F1A" w:rsidRDefault="00CD0F1A" w:rsidP="00080A73">
      <w:pPr>
        <w:widowControl w:val="0"/>
        <w:numPr>
          <w:ilvl w:val="0"/>
          <w:numId w:val="6"/>
        </w:numPr>
        <w:autoSpaceDE w:val="0"/>
        <w:autoSpaceDN w:val="0"/>
        <w:adjustRightInd w:val="0"/>
        <w:spacing w:after="0" w:line="360" w:lineRule="auto"/>
        <w:ind w:left="0" w:firstLine="709"/>
        <w:jc w:val="both"/>
        <w:rPr>
          <w:rFonts w:ascii="Times New Roman" w:eastAsia="Calibri" w:hAnsi="Times New Roman" w:cs="Times New Roman"/>
          <w:sz w:val="24"/>
          <w:szCs w:val="24"/>
        </w:rPr>
      </w:pPr>
      <w:r w:rsidRPr="00CD0F1A">
        <w:rPr>
          <w:rFonts w:ascii="Times New Roman" w:eastAsia="Calibri" w:hAnsi="Times New Roman" w:cs="Times New Roman"/>
          <w:sz w:val="24"/>
          <w:szCs w:val="24"/>
        </w:rPr>
        <w:t>Всеволожский район – 5 263 единиц;</w:t>
      </w:r>
    </w:p>
    <w:p w:rsidR="00CD0F1A" w:rsidRPr="00CD0F1A" w:rsidRDefault="00CD0F1A" w:rsidP="00080A73">
      <w:pPr>
        <w:widowControl w:val="0"/>
        <w:numPr>
          <w:ilvl w:val="0"/>
          <w:numId w:val="6"/>
        </w:numPr>
        <w:autoSpaceDE w:val="0"/>
        <w:autoSpaceDN w:val="0"/>
        <w:adjustRightInd w:val="0"/>
        <w:spacing w:after="0" w:line="360" w:lineRule="auto"/>
        <w:ind w:left="0" w:firstLine="709"/>
        <w:jc w:val="both"/>
        <w:rPr>
          <w:rFonts w:ascii="Times New Roman" w:eastAsia="Calibri" w:hAnsi="Times New Roman" w:cs="Times New Roman"/>
          <w:sz w:val="24"/>
          <w:szCs w:val="24"/>
        </w:rPr>
      </w:pPr>
      <w:r w:rsidRPr="00CD0F1A">
        <w:rPr>
          <w:rFonts w:ascii="Times New Roman" w:eastAsia="Calibri" w:hAnsi="Times New Roman" w:cs="Times New Roman"/>
          <w:sz w:val="24"/>
          <w:szCs w:val="24"/>
        </w:rPr>
        <w:t>Гатчинский район – 1 682 единиц;</w:t>
      </w:r>
    </w:p>
    <w:p w:rsidR="00CD0F1A" w:rsidRPr="00CD0F1A" w:rsidRDefault="00CD0F1A" w:rsidP="00080A73">
      <w:pPr>
        <w:widowControl w:val="0"/>
        <w:numPr>
          <w:ilvl w:val="0"/>
          <w:numId w:val="6"/>
        </w:numPr>
        <w:autoSpaceDE w:val="0"/>
        <w:autoSpaceDN w:val="0"/>
        <w:adjustRightInd w:val="0"/>
        <w:spacing w:after="0" w:line="360" w:lineRule="auto"/>
        <w:ind w:left="0" w:firstLine="709"/>
        <w:jc w:val="both"/>
        <w:rPr>
          <w:rFonts w:ascii="Times New Roman" w:eastAsia="Calibri" w:hAnsi="Times New Roman" w:cs="Times New Roman"/>
          <w:sz w:val="24"/>
          <w:szCs w:val="24"/>
        </w:rPr>
      </w:pPr>
      <w:r w:rsidRPr="00CD0F1A">
        <w:rPr>
          <w:rFonts w:ascii="Times New Roman" w:eastAsia="Calibri" w:hAnsi="Times New Roman" w:cs="Times New Roman"/>
          <w:sz w:val="24"/>
          <w:szCs w:val="24"/>
        </w:rPr>
        <w:t>Выборгский район – 1 036 единиц;</w:t>
      </w:r>
    </w:p>
    <w:p w:rsidR="00CD0F1A" w:rsidRPr="00CD0F1A" w:rsidRDefault="00CD0F1A" w:rsidP="00080A73">
      <w:pPr>
        <w:widowControl w:val="0"/>
        <w:numPr>
          <w:ilvl w:val="0"/>
          <w:numId w:val="6"/>
        </w:numPr>
        <w:autoSpaceDE w:val="0"/>
        <w:autoSpaceDN w:val="0"/>
        <w:adjustRightInd w:val="0"/>
        <w:spacing w:after="0" w:line="360" w:lineRule="auto"/>
        <w:ind w:left="0" w:firstLine="709"/>
        <w:jc w:val="both"/>
        <w:rPr>
          <w:rFonts w:ascii="Times New Roman" w:eastAsia="Calibri" w:hAnsi="Times New Roman" w:cs="Times New Roman"/>
          <w:sz w:val="24"/>
          <w:szCs w:val="24"/>
        </w:rPr>
      </w:pPr>
      <w:r w:rsidRPr="00CD0F1A">
        <w:rPr>
          <w:rFonts w:ascii="Times New Roman" w:eastAsia="Calibri" w:hAnsi="Times New Roman" w:cs="Times New Roman"/>
          <w:sz w:val="24"/>
          <w:szCs w:val="24"/>
        </w:rPr>
        <w:t>Ломоносовский район – 993 единиц;</w:t>
      </w:r>
    </w:p>
    <w:p w:rsidR="00CD0F1A" w:rsidRPr="00CD0F1A" w:rsidRDefault="00CD0F1A" w:rsidP="00080A73">
      <w:pPr>
        <w:widowControl w:val="0"/>
        <w:numPr>
          <w:ilvl w:val="0"/>
          <w:numId w:val="6"/>
        </w:numPr>
        <w:autoSpaceDE w:val="0"/>
        <w:autoSpaceDN w:val="0"/>
        <w:adjustRightInd w:val="0"/>
        <w:spacing w:after="0" w:line="360" w:lineRule="auto"/>
        <w:ind w:left="0" w:firstLine="709"/>
        <w:jc w:val="both"/>
        <w:rPr>
          <w:rFonts w:ascii="Times New Roman" w:eastAsia="Calibri" w:hAnsi="Times New Roman" w:cs="Times New Roman"/>
          <w:sz w:val="24"/>
          <w:szCs w:val="24"/>
        </w:rPr>
      </w:pPr>
      <w:r w:rsidRPr="00CD0F1A">
        <w:rPr>
          <w:rFonts w:ascii="Times New Roman" w:eastAsia="Calibri" w:hAnsi="Times New Roman" w:cs="Times New Roman"/>
          <w:sz w:val="24"/>
          <w:szCs w:val="24"/>
        </w:rPr>
        <w:t>Тосненский район – 823 единицы.</w:t>
      </w:r>
    </w:p>
    <w:p w:rsidR="00CD0F1A" w:rsidRPr="00CD0F1A" w:rsidRDefault="00CD0F1A" w:rsidP="00FF7557">
      <w:pPr>
        <w:spacing w:after="0" w:line="360" w:lineRule="auto"/>
        <w:ind w:firstLine="709"/>
        <w:jc w:val="both"/>
        <w:rPr>
          <w:rFonts w:ascii="Times New Roman" w:eastAsia="Calibri" w:hAnsi="Times New Roman" w:cs="Times New Roman"/>
          <w:sz w:val="24"/>
          <w:szCs w:val="24"/>
        </w:rPr>
      </w:pPr>
      <w:r w:rsidRPr="00CD0F1A">
        <w:rPr>
          <w:rFonts w:ascii="Times New Roman" w:eastAsia="Calibri" w:hAnsi="Times New Roman" w:cs="Times New Roman"/>
          <w:sz w:val="24"/>
          <w:szCs w:val="24"/>
        </w:rPr>
        <w:t>Численность занятых в сфере МСП составила более 310,5 тысяч человек,</w:t>
      </w:r>
      <w:r w:rsidRPr="00CD0F1A">
        <w:rPr>
          <w:rFonts w:ascii="Times New Roman" w:eastAsia="Calibri" w:hAnsi="Times New Roman" w:cs="Times New Roman"/>
          <w:sz w:val="24"/>
          <w:szCs w:val="24"/>
        </w:rPr>
        <w:br/>
        <w:t>что на 18,6 тысяч человек больше, чем в 2021 году. Рост численности занятых обеспечен, в том числе, благодаря введению специального налогового режима «Налог на профессиональный доход»; по итогам 2022 года количество зарегистрированных самозанятых составило 72,6 тысяч человек, что более чем в 1,5 раза больше, чем по итогам 2021 года.</w:t>
      </w:r>
    </w:p>
    <w:p w:rsidR="00CD0F1A" w:rsidRPr="00CD0F1A" w:rsidRDefault="00CD0F1A" w:rsidP="00FF7557">
      <w:pPr>
        <w:spacing w:after="0" w:line="360" w:lineRule="auto"/>
        <w:ind w:firstLine="709"/>
        <w:jc w:val="both"/>
        <w:rPr>
          <w:rFonts w:ascii="Times New Roman" w:eastAsia="Calibri" w:hAnsi="Times New Roman" w:cs="Times New Roman"/>
          <w:sz w:val="24"/>
          <w:szCs w:val="24"/>
        </w:rPr>
      </w:pPr>
      <w:r w:rsidRPr="00CD0F1A">
        <w:rPr>
          <w:rFonts w:ascii="Times New Roman" w:eastAsia="Calibri" w:hAnsi="Times New Roman" w:cs="Times New Roman"/>
          <w:sz w:val="24"/>
          <w:szCs w:val="24"/>
        </w:rPr>
        <w:t>Сумма налоговых платежей, поступившая в консолидированный бюджет Ленинградской области по специальным налоговым режимам для субъектов МСП, по итогам 10 месяцев 2022 года  составила 10,3 млрд. рублей (увеличение на 25,6% по отношению к 2021 году).</w:t>
      </w:r>
    </w:p>
    <w:p w:rsidR="00CD0F1A" w:rsidRPr="00CD0F1A" w:rsidRDefault="00CD0F1A" w:rsidP="00FF7557">
      <w:pPr>
        <w:spacing w:after="0" w:line="360" w:lineRule="auto"/>
        <w:ind w:firstLine="709"/>
        <w:jc w:val="both"/>
        <w:rPr>
          <w:rFonts w:ascii="Times New Roman" w:eastAsia="Calibri" w:hAnsi="Times New Roman" w:cs="Times New Roman"/>
          <w:sz w:val="24"/>
          <w:szCs w:val="24"/>
        </w:rPr>
      </w:pPr>
      <w:r w:rsidRPr="00CD0F1A">
        <w:rPr>
          <w:rFonts w:ascii="Times New Roman" w:eastAsia="Calibri" w:hAnsi="Times New Roman" w:cs="Times New Roman"/>
          <w:sz w:val="24"/>
          <w:szCs w:val="24"/>
        </w:rPr>
        <w:t>Также растет и доля налогов, поступающих от малого и среднего бизнеса, в общей сумме налогов (за 10 месяцев 2022 года доля увеличилась 19,2 % к показателю 2021 года)</w:t>
      </w:r>
    </w:p>
    <w:p w:rsidR="00CD0F1A" w:rsidRDefault="00CD0F1A" w:rsidP="00CD0F1A">
      <w:pPr>
        <w:widowControl w:val="0"/>
        <w:spacing w:after="0" w:line="360" w:lineRule="auto"/>
        <w:ind w:firstLine="284"/>
        <w:rPr>
          <w:rFonts w:ascii="Times New Roman" w:eastAsia="Calibri" w:hAnsi="Times New Roman" w:cs="Times New Roman"/>
          <w:sz w:val="24"/>
          <w:szCs w:val="24"/>
        </w:rPr>
      </w:pPr>
    </w:p>
    <w:p w:rsidR="003B5308" w:rsidRPr="003B5308" w:rsidRDefault="003B5308" w:rsidP="003B5308">
      <w:pPr>
        <w:widowControl w:val="0"/>
        <w:spacing w:after="0" w:line="360" w:lineRule="auto"/>
        <w:jc w:val="center"/>
        <w:rPr>
          <w:rFonts w:ascii="Times New Roman" w:eastAsia="Calibri" w:hAnsi="Times New Roman" w:cs="Times New Roman"/>
          <w:sz w:val="24"/>
          <w:szCs w:val="24"/>
        </w:rPr>
      </w:pPr>
      <w:r w:rsidRPr="003B5308">
        <w:rPr>
          <w:rFonts w:ascii="Times New Roman" w:eastAsia="Calibri" w:hAnsi="Times New Roman" w:cs="Times New Roman"/>
          <w:sz w:val="24"/>
          <w:szCs w:val="24"/>
        </w:rPr>
        <w:t xml:space="preserve">Таблица </w:t>
      </w:r>
      <w:r w:rsidR="00FF7557">
        <w:rPr>
          <w:rFonts w:ascii="Times New Roman" w:eastAsia="Calibri" w:hAnsi="Times New Roman" w:cs="Times New Roman"/>
          <w:sz w:val="24"/>
          <w:szCs w:val="24"/>
        </w:rPr>
        <w:t>3</w:t>
      </w:r>
      <w:r w:rsidR="00F80F42">
        <w:rPr>
          <w:rFonts w:ascii="Times New Roman" w:eastAsia="Calibri" w:hAnsi="Times New Roman" w:cs="Times New Roman"/>
          <w:sz w:val="24"/>
          <w:szCs w:val="24"/>
        </w:rPr>
        <w:t>.</w:t>
      </w:r>
      <w:r w:rsidRPr="003B5308">
        <w:rPr>
          <w:rFonts w:ascii="Times New Roman" w:eastAsia="Calibri" w:hAnsi="Times New Roman" w:cs="Times New Roman"/>
          <w:sz w:val="24"/>
          <w:szCs w:val="24"/>
        </w:rPr>
        <w:t xml:space="preserve"> </w:t>
      </w:r>
      <w:r w:rsidRPr="003B5308">
        <w:rPr>
          <w:rFonts w:ascii="Times New Roman" w:eastAsia="Calibri" w:hAnsi="Times New Roman" w:cs="Times New Roman"/>
          <w:bCs/>
          <w:sz w:val="24"/>
          <w:szCs w:val="24"/>
        </w:rPr>
        <w:t>Структура субъектов малого и среднего предпринимательства по категориям, единиц</w:t>
      </w:r>
    </w:p>
    <w:tbl>
      <w:tblPr>
        <w:tblW w:w="9781"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664"/>
        <w:gridCol w:w="1095"/>
        <w:gridCol w:w="1215"/>
        <w:gridCol w:w="1140"/>
        <w:gridCol w:w="1071"/>
        <w:gridCol w:w="6"/>
        <w:gridCol w:w="1077"/>
        <w:gridCol w:w="1513"/>
      </w:tblGrid>
      <w:tr w:rsidR="00F80F42" w:rsidRPr="00F80F42" w:rsidTr="00182FF1">
        <w:trPr>
          <w:trHeight w:val="20"/>
          <w:tblHeader/>
        </w:trPr>
        <w:tc>
          <w:tcPr>
            <w:tcW w:w="2664" w:type="dxa"/>
            <w:vMerge w:val="restart"/>
            <w:tcMar>
              <w:top w:w="40" w:type="dxa"/>
              <w:left w:w="40" w:type="dxa"/>
              <w:bottom w:w="40" w:type="dxa"/>
              <w:right w:w="40" w:type="dxa"/>
            </w:tcMar>
            <w:vAlign w:val="center"/>
          </w:tcPr>
          <w:p w:rsidR="00F80F42" w:rsidRPr="00182FF1" w:rsidRDefault="00F80F42" w:rsidP="00182FF1">
            <w:pPr>
              <w:widowControl w:val="0"/>
              <w:spacing w:before="120" w:after="120" w:line="269" w:lineRule="auto"/>
              <w:jc w:val="center"/>
              <w:rPr>
                <w:rFonts w:ascii="Times New Roman" w:eastAsia="Times New Roman" w:hAnsi="Times New Roman" w:cs="Times New Roman"/>
                <w:b/>
                <w:color w:val="000000"/>
              </w:rPr>
            </w:pPr>
            <w:r w:rsidRPr="00182FF1">
              <w:rPr>
                <w:rFonts w:ascii="Times New Roman" w:eastAsia="Times New Roman" w:hAnsi="Times New Roman" w:cs="Times New Roman"/>
                <w:b/>
                <w:color w:val="000000"/>
              </w:rPr>
              <w:t>Категория СМП</w:t>
            </w:r>
          </w:p>
        </w:tc>
        <w:tc>
          <w:tcPr>
            <w:tcW w:w="2310" w:type="dxa"/>
            <w:gridSpan w:val="2"/>
            <w:tcMar>
              <w:top w:w="40" w:type="dxa"/>
              <w:left w:w="40" w:type="dxa"/>
              <w:bottom w:w="40" w:type="dxa"/>
              <w:right w:w="40" w:type="dxa"/>
            </w:tcMar>
            <w:vAlign w:val="center"/>
          </w:tcPr>
          <w:p w:rsidR="00F80F42" w:rsidRPr="00182FF1" w:rsidRDefault="00F80F42" w:rsidP="00182FF1">
            <w:pPr>
              <w:widowControl w:val="0"/>
              <w:spacing w:before="120" w:after="120" w:line="269" w:lineRule="auto"/>
              <w:jc w:val="center"/>
              <w:rPr>
                <w:rFonts w:ascii="Times New Roman" w:eastAsia="Times New Roman" w:hAnsi="Times New Roman" w:cs="Times New Roman"/>
                <w:b/>
                <w:color w:val="000000"/>
              </w:rPr>
            </w:pPr>
            <w:r w:rsidRPr="00182FF1">
              <w:rPr>
                <w:rFonts w:ascii="Times New Roman" w:eastAsia="Times New Roman" w:hAnsi="Times New Roman" w:cs="Times New Roman"/>
                <w:b/>
                <w:color w:val="000000"/>
              </w:rPr>
              <w:t>Всего</w:t>
            </w:r>
          </w:p>
        </w:tc>
        <w:tc>
          <w:tcPr>
            <w:tcW w:w="2211" w:type="dxa"/>
            <w:gridSpan w:val="2"/>
            <w:shd w:val="clear" w:color="auto" w:fill="auto"/>
            <w:tcMar>
              <w:top w:w="40" w:type="dxa"/>
              <w:left w:w="40" w:type="dxa"/>
              <w:bottom w:w="40" w:type="dxa"/>
              <w:right w:w="40" w:type="dxa"/>
            </w:tcMar>
            <w:vAlign w:val="center"/>
          </w:tcPr>
          <w:p w:rsidR="00F80F42" w:rsidRPr="00182FF1" w:rsidRDefault="00F80F42" w:rsidP="00182FF1">
            <w:pPr>
              <w:widowControl w:val="0"/>
              <w:spacing w:before="120" w:after="120" w:line="269" w:lineRule="auto"/>
              <w:jc w:val="center"/>
              <w:rPr>
                <w:rFonts w:ascii="Times New Roman" w:eastAsia="Times New Roman" w:hAnsi="Times New Roman" w:cs="Times New Roman"/>
                <w:b/>
                <w:color w:val="000000"/>
              </w:rPr>
            </w:pPr>
            <w:r w:rsidRPr="00182FF1">
              <w:rPr>
                <w:rFonts w:ascii="Times New Roman" w:eastAsia="Times New Roman" w:hAnsi="Times New Roman" w:cs="Times New Roman"/>
                <w:b/>
                <w:color w:val="000000"/>
              </w:rPr>
              <w:t>юридических лиц</w:t>
            </w:r>
          </w:p>
        </w:tc>
        <w:tc>
          <w:tcPr>
            <w:tcW w:w="2596" w:type="dxa"/>
            <w:gridSpan w:val="3"/>
            <w:shd w:val="clear" w:color="auto" w:fill="auto"/>
            <w:tcMar>
              <w:top w:w="40" w:type="dxa"/>
              <w:left w:w="40" w:type="dxa"/>
              <w:bottom w:w="40" w:type="dxa"/>
              <w:right w:w="40" w:type="dxa"/>
            </w:tcMar>
            <w:vAlign w:val="center"/>
          </w:tcPr>
          <w:p w:rsidR="00F80F42" w:rsidRPr="00182FF1" w:rsidRDefault="00F80F42" w:rsidP="00182FF1">
            <w:pPr>
              <w:widowControl w:val="0"/>
              <w:spacing w:before="120" w:after="120" w:line="269" w:lineRule="auto"/>
              <w:jc w:val="center"/>
              <w:rPr>
                <w:rFonts w:ascii="Times New Roman" w:eastAsia="Times New Roman" w:hAnsi="Times New Roman" w:cs="Times New Roman"/>
                <w:b/>
                <w:color w:val="000000"/>
              </w:rPr>
            </w:pPr>
            <w:r w:rsidRPr="00182FF1">
              <w:rPr>
                <w:rFonts w:ascii="Times New Roman" w:eastAsia="Times New Roman" w:hAnsi="Times New Roman" w:cs="Times New Roman"/>
                <w:b/>
                <w:color w:val="000000"/>
              </w:rPr>
              <w:t>индивидуальных предпринимателей</w:t>
            </w:r>
          </w:p>
        </w:tc>
      </w:tr>
      <w:tr w:rsidR="00F80F42" w:rsidRPr="00F80F42" w:rsidTr="00182FF1">
        <w:trPr>
          <w:trHeight w:val="20"/>
          <w:tblHeader/>
        </w:trPr>
        <w:tc>
          <w:tcPr>
            <w:tcW w:w="2664" w:type="dxa"/>
            <w:vMerge/>
            <w:shd w:val="clear" w:color="auto" w:fill="auto"/>
            <w:tcMar>
              <w:top w:w="40" w:type="dxa"/>
              <w:left w:w="40" w:type="dxa"/>
              <w:bottom w:w="40" w:type="dxa"/>
              <w:right w:w="40" w:type="dxa"/>
            </w:tcMar>
            <w:vAlign w:val="center"/>
          </w:tcPr>
          <w:p w:rsidR="00F80F42" w:rsidRPr="00182FF1" w:rsidRDefault="00F80F42" w:rsidP="00182FF1">
            <w:pPr>
              <w:widowControl w:val="0"/>
              <w:spacing w:before="120" w:after="120" w:line="269" w:lineRule="auto"/>
              <w:jc w:val="center"/>
              <w:rPr>
                <w:rFonts w:ascii="Times New Roman" w:eastAsia="Times New Roman" w:hAnsi="Times New Roman" w:cs="Times New Roman"/>
                <w:b/>
                <w:color w:val="000000"/>
              </w:rPr>
            </w:pPr>
          </w:p>
        </w:tc>
        <w:tc>
          <w:tcPr>
            <w:tcW w:w="1095" w:type="dxa"/>
            <w:shd w:val="clear" w:color="auto" w:fill="auto"/>
            <w:tcMar>
              <w:top w:w="40" w:type="dxa"/>
              <w:left w:w="40" w:type="dxa"/>
              <w:bottom w:w="40" w:type="dxa"/>
              <w:right w:w="40" w:type="dxa"/>
            </w:tcMar>
            <w:vAlign w:val="center"/>
          </w:tcPr>
          <w:p w:rsidR="00F80F42" w:rsidRPr="00182FF1" w:rsidRDefault="00F80F42" w:rsidP="00182FF1">
            <w:pPr>
              <w:widowControl w:val="0"/>
              <w:spacing w:before="120" w:after="120" w:line="269" w:lineRule="auto"/>
              <w:jc w:val="center"/>
              <w:rPr>
                <w:rFonts w:ascii="Times New Roman" w:eastAsia="Times New Roman" w:hAnsi="Times New Roman" w:cs="Times New Roman"/>
                <w:b/>
                <w:color w:val="000000"/>
              </w:rPr>
            </w:pPr>
            <w:r w:rsidRPr="00182FF1">
              <w:rPr>
                <w:rFonts w:ascii="Times New Roman" w:eastAsia="Times New Roman" w:hAnsi="Times New Roman" w:cs="Times New Roman"/>
                <w:b/>
                <w:color w:val="000000"/>
              </w:rPr>
              <w:t>на 10.09.2022</w:t>
            </w:r>
          </w:p>
        </w:tc>
        <w:tc>
          <w:tcPr>
            <w:tcW w:w="1215" w:type="dxa"/>
            <w:shd w:val="clear" w:color="auto" w:fill="auto"/>
            <w:tcMar>
              <w:top w:w="40" w:type="dxa"/>
              <w:left w:w="40" w:type="dxa"/>
              <w:bottom w:w="40" w:type="dxa"/>
              <w:right w:w="40" w:type="dxa"/>
            </w:tcMar>
            <w:vAlign w:val="center"/>
          </w:tcPr>
          <w:p w:rsidR="00F80F42" w:rsidRPr="00182FF1" w:rsidRDefault="00F80F42" w:rsidP="00182FF1">
            <w:pPr>
              <w:widowControl w:val="0"/>
              <w:spacing w:before="120" w:after="120" w:line="269" w:lineRule="auto"/>
              <w:jc w:val="center"/>
              <w:rPr>
                <w:rFonts w:ascii="Times New Roman" w:eastAsia="Times New Roman" w:hAnsi="Times New Roman" w:cs="Times New Roman"/>
                <w:b/>
                <w:color w:val="000000"/>
              </w:rPr>
            </w:pPr>
            <w:r w:rsidRPr="00182FF1">
              <w:rPr>
                <w:rFonts w:ascii="Times New Roman" w:eastAsia="Times New Roman" w:hAnsi="Times New Roman" w:cs="Times New Roman"/>
                <w:b/>
                <w:color w:val="000000"/>
              </w:rPr>
              <w:t>на 10.01.2022</w:t>
            </w:r>
          </w:p>
        </w:tc>
        <w:tc>
          <w:tcPr>
            <w:tcW w:w="1140" w:type="dxa"/>
            <w:shd w:val="clear" w:color="auto" w:fill="auto"/>
            <w:tcMar>
              <w:top w:w="40" w:type="dxa"/>
              <w:left w:w="40" w:type="dxa"/>
              <w:bottom w:w="40" w:type="dxa"/>
              <w:right w:w="40" w:type="dxa"/>
            </w:tcMar>
            <w:vAlign w:val="center"/>
          </w:tcPr>
          <w:p w:rsidR="00F80F42" w:rsidRPr="00182FF1" w:rsidRDefault="00F80F42" w:rsidP="00182FF1">
            <w:pPr>
              <w:widowControl w:val="0"/>
              <w:spacing w:before="120" w:after="120" w:line="269" w:lineRule="auto"/>
              <w:jc w:val="center"/>
              <w:rPr>
                <w:rFonts w:ascii="Times New Roman" w:eastAsia="Times New Roman" w:hAnsi="Times New Roman" w:cs="Times New Roman"/>
                <w:b/>
                <w:color w:val="000000"/>
              </w:rPr>
            </w:pPr>
            <w:r w:rsidRPr="00182FF1">
              <w:rPr>
                <w:rFonts w:ascii="Times New Roman" w:eastAsia="Times New Roman" w:hAnsi="Times New Roman" w:cs="Times New Roman"/>
                <w:b/>
                <w:color w:val="000000"/>
              </w:rPr>
              <w:t>на 10.09.2022</w:t>
            </w:r>
          </w:p>
        </w:tc>
        <w:tc>
          <w:tcPr>
            <w:tcW w:w="1077" w:type="dxa"/>
            <w:gridSpan w:val="2"/>
            <w:shd w:val="clear" w:color="auto" w:fill="auto"/>
            <w:tcMar>
              <w:top w:w="40" w:type="dxa"/>
              <w:left w:w="40" w:type="dxa"/>
              <w:bottom w:w="40" w:type="dxa"/>
              <w:right w:w="40" w:type="dxa"/>
            </w:tcMar>
            <w:vAlign w:val="center"/>
          </w:tcPr>
          <w:p w:rsidR="00F80F42" w:rsidRPr="00182FF1" w:rsidRDefault="00F80F42" w:rsidP="00182FF1">
            <w:pPr>
              <w:widowControl w:val="0"/>
              <w:spacing w:before="120" w:after="120" w:line="269" w:lineRule="auto"/>
              <w:jc w:val="center"/>
              <w:rPr>
                <w:rFonts w:ascii="Times New Roman" w:eastAsia="Times New Roman" w:hAnsi="Times New Roman" w:cs="Times New Roman"/>
                <w:b/>
                <w:color w:val="000000"/>
              </w:rPr>
            </w:pPr>
            <w:r w:rsidRPr="00182FF1">
              <w:rPr>
                <w:rFonts w:ascii="Times New Roman" w:eastAsia="Times New Roman" w:hAnsi="Times New Roman" w:cs="Times New Roman"/>
                <w:b/>
                <w:color w:val="000000"/>
              </w:rPr>
              <w:t>на 10.01.2022</w:t>
            </w:r>
          </w:p>
        </w:tc>
        <w:tc>
          <w:tcPr>
            <w:tcW w:w="1077" w:type="dxa"/>
            <w:shd w:val="clear" w:color="auto" w:fill="auto"/>
            <w:tcMar>
              <w:top w:w="40" w:type="dxa"/>
              <w:left w:w="40" w:type="dxa"/>
              <w:bottom w:w="40" w:type="dxa"/>
              <w:right w:w="40" w:type="dxa"/>
            </w:tcMar>
            <w:vAlign w:val="center"/>
          </w:tcPr>
          <w:p w:rsidR="00F80F42" w:rsidRPr="00182FF1" w:rsidRDefault="00F80F42" w:rsidP="00182FF1">
            <w:pPr>
              <w:widowControl w:val="0"/>
              <w:spacing w:before="120" w:after="120" w:line="269" w:lineRule="auto"/>
              <w:jc w:val="center"/>
              <w:rPr>
                <w:rFonts w:ascii="Times New Roman" w:eastAsia="Times New Roman" w:hAnsi="Times New Roman" w:cs="Times New Roman"/>
                <w:b/>
                <w:color w:val="000000"/>
              </w:rPr>
            </w:pPr>
            <w:r w:rsidRPr="00182FF1">
              <w:rPr>
                <w:rFonts w:ascii="Times New Roman" w:eastAsia="Times New Roman" w:hAnsi="Times New Roman" w:cs="Times New Roman"/>
                <w:b/>
                <w:color w:val="000000"/>
              </w:rPr>
              <w:t>на 10.09.2022</w:t>
            </w:r>
          </w:p>
        </w:tc>
        <w:tc>
          <w:tcPr>
            <w:tcW w:w="1513" w:type="dxa"/>
            <w:shd w:val="clear" w:color="auto" w:fill="auto"/>
            <w:tcMar>
              <w:top w:w="40" w:type="dxa"/>
              <w:left w:w="40" w:type="dxa"/>
              <w:bottom w:w="40" w:type="dxa"/>
              <w:right w:w="40" w:type="dxa"/>
            </w:tcMar>
            <w:vAlign w:val="center"/>
          </w:tcPr>
          <w:p w:rsidR="00F80F42" w:rsidRPr="00182FF1" w:rsidRDefault="00F80F42" w:rsidP="00182FF1">
            <w:pPr>
              <w:widowControl w:val="0"/>
              <w:spacing w:before="120" w:after="120" w:line="269" w:lineRule="auto"/>
              <w:jc w:val="center"/>
              <w:rPr>
                <w:rFonts w:ascii="Times New Roman" w:eastAsia="Times New Roman" w:hAnsi="Times New Roman" w:cs="Times New Roman"/>
                <w:b/>
                <w:color w:val="000000"/>
              </w:rPr>
            </w:pPr>
            <w:r w:rsidRPr="00182FF1">
              <w:rPr>
                <w:rFonts w:ascii="Times New Roman" w:eastAsia="Times New Roman" w:hAnsi="Times New Roman" w:cs="Times New Roman"/>
                <w:b/>
                <w:color w:val="000000"/>
              </w:rPr>
              <w:t>на 10.01.2022</w:t>
            </w:r>
          </w:p>
        </w:tc>
      </w:tr>
      <w:tr w:rsidR="00F80F42" w:rsidRPr="00F80F42" w:rsidTr="00182FF1">
        <w:trPr>
          <w:trHeight w:val="20"/>
        </w:trPr>
        <w:tc>
          <w:tcPr>
            <w:tcW w:w="2664"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Всего</w:t>
            </w:r>
          </w:p>
        </w:tc>
        <w:tc>
          <w:tcPr>
            <w:tcW w:w="1095"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70 192</w:t>
            </w:r>
          </w:p>
        </w:tc>
        <w:tc>
          <w:tcPr>
            <w:tcW w:w="1215"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69 392</w:t>
            </w:r>
          </w:p>
        </w:tc>
        <w:tc>
          <w:tcPr>
            <w:tcW w:w="1140"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19 335</w:t>
            </w:r>
          </w:p>
        </w:tc>
        <w:tc>
          <w:tcPr>
            <w:tcW w:w="1077" w:type="dxa"/>
            <w:gridSpan w:val="2"/>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19 837</w:t>
            </w:r>
          </w:p>
        </w:tc>
        <w:tc>
          <w:tcPr>
            <w:tcW w:w="1077"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50 857</w:t>
            </w:r>
          </w:p>
        </w:tc>
        <w:tc>
          <w:tcPr>
            <w:tcW w:w="1513"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49 555</w:t>
            </w:r>
          </w:p>
        </w:tc>
      </w:tr>
      <w:tr w:rsidR="00F80F42" w:rsidRPr="00F80F42" w:rsidTr="00182FF1">
        <w:trPr>
          <w:trHeight w:val="20"/>
        </w:trPr>
        <w:tc>
          <w:tcPr>
            <w:tcW w:w="2664" w:type="dxa"/>
            <w:shd w:val="clear" w:color="auto" w:fill="FFFFFF"/>
            <w:tcMar>
              <w:top w:w="40" w:type="dxa"/>
              <w:left w:w="40" w:type="dxa"/>
              <w:bottom w:w="40" w:type="dxa"/>
              <w:right w:w="40" w:type="dxa"/>
            </w:tcMar>
            <w:vAlign w:val="center"/>
          </w:tcPr>
          <w:p w:rsidR="00F80F42" w:rsidRPr="00F80F42" w:rsidRDefault="00F80F42" w:rsidP="008D7368">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 xml:space="preserve">в т.ч. Имеющие признак </w:t>
            </w:r>
            <w:r w:rsidR="008D7368">
              <w:rPr>
                <w:rFonts w:ascii="Times New Roman" w:eastAsia="Times New Roman" w:hAnsi="Times New Roman" w:cs="Times New Roman"/>
                <w:color w:val="000000"/>
              </w:rPr>
              <w:t>«</w:t>
            </w:r>
            <w:r w:rsidRPr="00F80F42">
              <w:rPr>
                <w:rFonts w:ascii="Times New Roman" w:eastAsia="Times New Roman" w:hAnsi="Times New Roman" w:cs="Times New Roman"/>
                <w:color w:val="000000"/>
              </w:rPr>
              <w:t>вновь созданные</w:t>
            </w:r>
            <w:r w:rsidR="008D7368">
              <w:rPr>
                <w:rFonts w:ascii="Times New Roman" w:eastAsia="Times New Roman" w:hAnsi="Times New Roman" w:cs="Times New Roman"/>
                <w:color w:val="000000"/>
              </w:rPr>
              <w:t>»</w:t>
            </w:r>
          </w:p>
        </w:tc>
        <w:tc>
          <w:tcPr>
            <w:tcW w:w="1095"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10 464</w:t>
            </w:r>
          </w:p>
        </w:tc>
        <w:tc>
          <w:tcPr>
            <w:tcW w:w="1215"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13 949</w:t>
            </w:r>
          </w:p>
        </w:tc>
        <w:tc>
          <w:tcPr>
            <w:tcW w:w="1140"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1 467</w:t>
            </w:r>
          </w:p>
        </w:tc>
        <w:tc>
          <w:tcPr>
            <w:tcW w:w="1077" w:type="dxa"/>
            <w:gridSpan w:val="2"/>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2 009</w:t>
            </w:r>
          </w:p>
        </w:tc>
        <w:tc>
          <w:tcPr>
            <w:tcW w:w="1077"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8 997</w:t>
            </w:r>
          </w:p>
        </w:tc>
        <w:tc>
          <w:tcPr>
            <w:tcW w:w="1513" w:type="dxa"/>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11 940</w:t>
            </w:r>
          </w:p>
        </w:tc>
      </w:tr>
      <w:tr w:rsidR="00F80F42" w:rsidRPr="00F80F42" w:rsidTr="00182FF1">
        <w:trPr>
          <w:trHeight w:val="20"/>
        </w:trPr>
        <w:tc>
          <w:tcPr>
            <w:tcW w:w="2664"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Сумма среднесписочной численности</w:t>
            </w:r>
          </w:p>
        </w:tc>
        <w:tc>
          <w:tcPr>
            <w:tcW w:w="1095"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165 273</w:t>
            </w:r>
          </w:p>
        </w:tc>
        <w:tc>
          <w:tcPr>
            <w:tcW w:w="1215"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158 469</w:t>
            </w:r>
          </w:p>
        </w:tc>
        <w:tc>
          <w:tcPr>
            <w:tcW w:w="1140"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131 875</w:t>
            </w:r>
          </w:p>
        </w:tc>
        <w:tc>
          <w:tcPr>
            <w:tcW w:w="1077" w:type="dxa"/>
            <w:gridSpan w:val="2"/>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128 004</w:t>
            </w:r>
          </w:p>
        </w:tc>
        <w:tc>
          <w:tcPr>
            <w:tcW w:w="1077"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33 398</w:t>
            </w:r>
          </w:p>
        </w:tc>
        <w:tc>
          <w:tcPr>
            <w:tcW w:w="1513"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30 465</w:t>
            </w:r>
          </w:p>
        </w:tc>
      </w:tr>
      <w:tr w:rsidR="00F80F42" w:rsidRPr="00F80F42" w:rsidTr="00182FF1">
        <w:trPr>
          <w:trHeight w:val="20"/>
        </w:trPr>
        <w:tc>
          <w:tcPr>
            <w:tcW w:w="2664"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i/>
                <w:color w:val="000000"/>
              </w:rPr>
            </w:pPr>
            <w:r w:rsidRPr="00F80F42">
              <w:rPr>
                <w:rFonts w:ascii="Times New Roman" w:eastAsia="Times New Roman" w:hAnsi="Times New Roman" w:cs="Times New Roman"/>
                <w:i/>
                <w:color w:val="000000"/>
              </w:rPr>
              <w:t>в т.ч. микропредприятия</w:t>
            </w:r>
          </w:p>
        </w:tc>
        <w:tc>
          <w:tcPr>
            <w:tcW w:w="1095"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67 854</w:t>
            </w:r>
          </w:p>
        </w:tc>
        <w:tc>
          <w:tcPr>
            <w:tcW w:w="1215"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67 060</w:t>
            </w:r>
          </w:p>
        </w:tc>
        <w:tc>
          <w:tcPr>
            <w:tcW w:w="1140"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17 341</w:t>
            </w:r>
          </w:p>
        </w:tc>
        <w:tc>
          <w:tcPr>
            <w:tcW w:w="1077" w:type="dxa"/>
            <w:gridSpan w:val="2"/>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17 804</w:t>
            </w:r>
          </w:p>
        </w:tc>
        <w:tc>
          <w:tcPr>
            <w:tcW w:w="1077"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50 513</w:t>
            </w:r>
          </w:p>
        </w:tc>
        <w:tc>
          <w:tcPr>
            <w:tcW w:w="1513"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49 256</w:t>
            </w:r>
          </w:p>
        </w:tc>
      </w:tr>
      <w:tr w:rsidR="00F80F42" w:rsidRPr="00F80F42" w:rsidTr="00182FF1">
        <w:trPr>
          <w:trHeight w:val="20"/>
        </w:trPr>
        <w:tc>
          <w:tcPr>
            <w:tcW w:w="2664" w:type="dxa"/>
            <w:shd w:val="clear" w:color="auto" w:fill="FFFFFF"/>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 xml:space="preserve">в т.ч. Имеющие признак </w:t>
            </w:r>
            <w:r w:rsidR="008D7368">
              <w:rPr>
                <w:rFonts w:ascii="Times New Roman" w:eastAsia="Times New Roman" w:hAnsi="Times New Roman" w:cs="Times New Roman"/>
                <w:color w:val="000000"/>
              </w:rPr>
              <w:t>«</w:t>
            </w:r>
            <w:r w:rsidR="008D7368" w:rsidRPr="00F80F42">
              <w:rPr>
                <w:rFonts w:ascii="Times New Roman" w:eastAsia="Times New Roman" w:hAnsi="Times New Roman" w:cs="Times New Roman"/>
                <w:color w:val="000000"/>
              </w:rPr>
              <w:t>вновь созданные</w:t>
            </w:r>
            <w:r w:rsidR="008D7368">
              <w:rPr>
                <w:rFonts w:ascii="Times New Roman" w:eastAsia="Times New Roman" w:hAnsi="Times New Roman" w:cs="Times New Roman"/>
                <w:color w:val="000000"/>
              </w:rPr>
              <w:t>»</w:t>
            </w:r>
          </w:p>
        </w:tc>
        <w:tc>
          <w:tcPr>
            <w:tcW w:w="1095"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10 464</w:t>
            </w:r>
          </w:p>
        </w:tc>
        <w:tc>
          <w:tcPr>
            <w:tcW w:w="1215"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13 949</w:t>
            </w:r>
          </w:p>
        </w:tc>
        <w:tc>
          <w:tcPr>
            <w:tcW w:w="1140"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1 467</w:t>
            </w:r>
          </w:p>
        </w:tc>
        <w:tc>
          <w:tcPr>
            <w:tcW w:w="1077" w:type="dxa"/>
            <w:gridSpan w:val="2"/>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2 009</w:t>
            </w:r>
          </w:p>
        </w:tc>
        <w:tc>
          <w:tcPr>
            <w:tcW w:w="1077"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8 997</w:t>
            </w:r>
          </w:p>
        </w:tc>
        <w:tc>
          <w:tcPr>
            <w:tcW w:w="1513"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11 940</w:t>
            </w:r>
          </w:p>
        </w:tc>
      </w:tr>
      <w:tr w:rsidR="00F80F42" w:rsidRPr="00F80F42" w:rsidTr="00182FF1">
        <w:trPr>
          <w:trHeight w:val="20"/>
        </w:trPr>
        <w:tc>
          <w:tcPr>
            <w:tcW w:w="2664"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Сумма среднесписочной численности</w:t>
            </w:r>
          </w:p>
        </w:tc>
        <w:tc>
          <w:tcPr>
            <w:tcW w:w="1095"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75 340</w:t>
            </w:r>
          </w:p>
        </w:tc>
        <w:tc>
          <w:tcPr>
            <w:tcW w:w="1215"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69 163</w:t>
            </w:r>
          </w:p>
        </w:tc>
        <w:tc>
          <w:tcPr>
            <w:tcW w:w="1140"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49 959</w:t>
            </w:r>
          </w:p>
        </w:tc>
        <w:tc>
          <w:tcPr>
            <w:tcW w:w="1077" w:type="dxa"/>
            <w:gridSpan w:val="2"/>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46 765</w:t>
            </w:r>
          </w:p>
        </w:tc>
        <w:tc>
          <w:tcPr>
            <w:tcW w:w="1077"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25 381</w:t>
            </w:r>
          </w:p>
        </w:tc>
        <w:tc>
          <w:tcPr>
            <w:tcW w:w="1513"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22 398</w:t>
            </w:r>
          </w:p>
        </w:tc>
      </w:tr>
      <w:tr w:rsidR="00F80F42" w:rsidRPr="00F80F42" w:rsidTr="00182FF1">
        <w:trPr>
          <w:trHeight w:val="20"/>
        </w:trPr>
        <w:tc>
          <w:tcPr>
            <w:tcW w:w="2664"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i/>
                <w:color w:val="000000"/>
              </w:rPr>
            </w:pPr>
            <w:r w:rsidRPr="00F80F42">
              <w:rPr>
                <w:rFonts w:ascii="Times New Roman" w:eastAsia="Times New Roman" w:hAnsi="Times New Roman" w:cs="Times New Roman"/>
                <w:i/>
                <w:color w:val="000000"/>
              </w:rPr>
              <w:t>малые предприятия</w:t>
            </w:r>
          </w:p>
        </w:tc>
        <w:tc>
          <w:tcPr>
            <w:tcW w:w="1095"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2 105</w:t>
            </w:r>
          </w:p>
        </w:tc>
        <w:tc>
          <w:tcPr>
            <w:tcW w:w="1215"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2 089</w:t>
            </w:r>
          </w:p>
        </w:tc>
        <w:tc>
          <w:tcPr>
            <w:tcW w:w="1140"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1 765</w:t>
            </w:r>
          </w:p>
        </w:tc>
        <w:tc>
          <w:tcPr>
            <w:tcW w:w="1077" w:type="dxa"/>
            <w:gridSpan w:val="2"/>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1 794</w:t>
            </w:r>
          </w:p>
        </w:tc>
        <w:tc>
          <w:tcPr>
            <w:tcW w:w="1077"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340</w:t>
            </w:r>
          </w:p>
        </w:tc>
        <w:tc>
          <w:tcPr>
            <w:tcW w:w="1513"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295</w:t>
            </w:r>
          </w:p>
        </w:tc>
      </w:tr>
      <w:tr w:rsidR="00F80F42" w:rsidRPr="00F80F42" w:rsidTr="00182FF1">
        <w:trPr>
          <w:trHeight w:val="20"/>
        </w:trPr>
        <w:tc>
          <w:tcPr>
            <w:tcW w:w="2664" w:type="dxa"/>
            <w:shd w:val="clear" w:color="auto" w:fill="FFFFFF"/>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 xml:space="preserve">в т.ч. Имеющие признак </w:t>
            </w:r>
            <w:r w:rsidR="008D7368">
              <w:rPr>
                <w:rFonts w:ascii="Times New Roman" w:eastAsia="Times New Roman" w:hAnsi="Times New Roman" w:cs="Times New Roman"/>
                <w:color w:val="000000"/>
              </w:rPr>
              <w:t>«</w:t>
            </w:r>
            <w:r w:rsidR="008D7368" w:rsidRPr="00F80F42">
              <w:rPr>
                <w:rFonts w:ascii="Times New Roman" w:eastAsia="Times New Roman" w:hAnsi="Times New Roman" w:cs="Times New Roman"/>
                <w:color w:val="000000"/>
              </w:rPr>
              <w:t>вновь созданные</w:t>
            </w:r>
            <w:r w:rsidR="008D7368">
              <w:rPr>
                <w:rFonts w:ascii="Times New Roman" w:eastAsia="Times New Roman" w:hAnsi="Times New Roman" w:cs="Times New Roman"/>
                <w:color w:val="000000"/>
              </w:rPr>
              <w:t>»</w:t>
            </w:r>
          </w:p>
        </w:tc>
        <w:tc>
          <w:tcPr>
            <w:tcW w:w="1095"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0</w:t>
            </w:r>
          </w:p>
        </w:tc>
        <w:tc>
          <w:tcPr>
            <w:tcW w:w="1215"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0</w:t>
            </w:r>
          </w:p>
        </w:tc>
        <w:tc>
          <w:tcPr>
            <w:tcW w:w="1140"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0</w:t>
            </w:r>
          </w:p>
        </w:tc>
        <w:tc>
          <w:tcPr>
            <w:tcW w:w="1077" w:type="dxa"/>
            <w:gridSpan w:val="2"/>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0</w:t>
            </w:r>
          </w:p>
        </w:tc>
        <w:tc>
          <w:tcPr>
            <w:tcW w:w="1077"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0</w:t>
            </w:r>
          </w:p>
        </w:tc>
        <w:tc>
          <w:tcPr>
            <w:tcW w:w="1513"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0</w:t>
            </w:r>
          </w:p>
        </w:tc>
      </w:tr>
      <w:tr w:rsidR="00F80F42" w:rsidRPr="00F80F42" w:rsidTr="00182FF1">
        <w:trPr>
          <w:trHeight w:val="20"/>
        </w:trPr>
        <w:tc>
          <w:tcPr>
            <w:tcW w:w="2664"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Сумма среднесписочной численности</w:t>
            </w:r>
          </w:p>
        </w:tc>
        <w:tc>
          <w:tcPr>
            <w:tcW w:w="1095"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62 946</w:t>
            </w:r>
          </w:p>
        </w:tc>
        <w:tc>
          <w:tcPr>
            <w:tcW w:w="1215"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61 455</w:t>
            </w:r>
          </w:p>
        </w:tc>
        <w:tc>
          <w:tcPr>
            <w:tcW w:w="1140"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55 258</w:t>
            </w:r>
          </w:p>
        </w:tc>
        <w:tc>
          <w:tcPr>
            <w:tcW w:w="1077" w:type="dxa"/>
            <w:gridSpan w:val="2"/>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53 834</w:t>
            </w:r>
          </w:p>
        </w:tc>
        <w:tc>
          <w:tcPr>
            <w:tcW w:w="1077"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7 688</w:t>
            </w:r>
          </w:p>
        </w:tc>
        <w:tc>
          <w:tcPr>
            <w:tcW w:w="1513"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7 621</w:t>
            </w:r>
          </w:p>
        </w:tc>
      </w:tr>
      <w:tr w:rsidR="00F80F42" w:rsidRPr="00F80F42" w:rsidTr="00182FF1">
        <w:trPr>
          <w:trHeight w:val="20"/>
        </w:trPr>
        <w:tc>
          <w:tcPr>
            <w:tcW w:w="2664"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i/>
                <w:color w:val="000000"/>
              </w:rPr>
            </w:pPr>
            <w:r w:rsidRPr="00F80F42">
              <w:rPr>
                <w:rFonts w:ascii="Times New Roman" w:eastAsia="Times New Roman" w:hAnsi="Times New Roman" w:cs="Times New Roman"/>
                <w:i/>
                <w:color w:val="000000"/>
              </w:rPr>
              <w:t>средние предприятия</w:t>
            </w:r>
          </w:p>
        </w:tc>
        <w:tc>
          <w:tcPr>
            <w:tcW w:w="1095"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233</w:t>
            </w:r>
          </w:p>
        </w:tc>
        <w:tc>
          <w:tcPr>
            <w:tcW w:w="1215"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243</w:t>
            </w:r>
          </w:p>
        </w:tc>
        <w:tc>
          <w:tcPr>
            <w:tcW w:w="1140"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229</w:t>
            </w:r>
          </w:p>
        </w:tc>
        <w:tc>
          <w:tcPr>
            <w:tcW w:w="1077" w:type="dxa"/>
            <w:gridSpan w:val="2"/>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239</w:t>
            </w:r>
          </w:p>
        </w:tc>
        <w:tc>
          <w:tcPr>
            <w:tcW w:w="1077"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4</w:t>
            </w:r>
          </w:p>
        </w:tc>
        <w:tc>
          <w:tcPr>
            <w:tcW w:w="1513"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4</w:t>
            </w:r>
          </w:p>
        </w:tc>
      </w:tr>
      <w:tr w:rsidR="00F80F42" w:rsidRPr="00F80F42" w:rsidTr="00182FF1">
        <w:trPr>
          <w:trHeight w:val="20"/>
        </w:trPr>
        <w:tc>
          <w:tcPr>
            <w:tcW w:w="2664" w:type="dxa"/>
            <w:shd w:val="clear" w:color="auto" w:fill="FFFFFF"/>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 xml:space="preserve">в т.ч. Имеющие признак </w:t>
            </w:r>
            <w:r w:rsidR="008D7368">
              <w:rPr>
                <w:rFonts w:ascii="Times New Roman" w:eastAsia="Times New Roman" w:hAnsi="Times New Roman" w:cs="Times New Roman"/>
                <w:color w:val="000000"/>
              </w:rPr>
              <w:t>«</w:t>
            </w:r>
            <w:r w:rsidR="008D7368" w:rsidRPr="00F80F42">
              <w:rPr>
                <w:rFonts w:ascii="Times New Roman" w:eastAsia="Times New Roman" w:hAnsi="Times New Roman" w:cs="Times New Roman"/>
                <w:color w:val="000000"/>
              </w:rPr>
              <w:t>вновь созданные</w:t>
            </w:r>
            <w:r w:rsidR="008D7368">
              <w:rPr>
                <w:rFonts w:ascii="Times New Roman" w:eastAsia="Times New Roman" w:hAnsi="Times New Roman" w:cs="Times New Roman"/>
                <w:color w:val="000000"/>
              </w:rPr>
              <w:t>»</w:t>
            </w:r>
          </w:p>
        </w:tc>
        <w:tc>
          <w:tcPr>
            <w:tcW w:w="1095"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0</w:t>
            </w:r>
          </w:p>
        </w:tc>
        <w:tc>
          <w:tcPr>
            <w:tcW w:w="1215"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0</w:t>
            </w:r>
          </w:p>
        </w:tc>
        <w:tc>
          <w:tcPr>
            <w:tcW w:w="1140"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0</w:t>
            </w:r>
          </w:p>
        </w:tc>
        <w:tc>
          <w:tcPr>
            <w:tcW w:w="1077" w:type="dxa"/>
            <w:gridSpan w:val="2"/>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0</w:t>
            </w:r>
          </w:p>
        </w:tc>
        <w:tc>
          <w:tcPr>
            <w:tcW w:w="1077"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0</w:t>
            </w:r>
          </w:p>
        </w:tc>
        <w:tc>
          <w:tcPr>
            <w:tcW w:w="1513"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0</w:t>
            </w:r>
          </w:p>
        </w:tc>
      </w:tr>
      <w:tr w:rsidR="00F80F42" w:rsidRPr="00F80F42" w:rsidTr="00182FF1">
        <w:trPr>
          <w:trHeight w:val="20"/>
        </w:trPr>
        <w:tc>
          <w:tcPr>
            <w:tcW w:w="2664"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Сумма среднесписочной численности</w:t>
            </w:r>
          </w:p>
        </w:tc>
        <w:tc>
          <w:tcPr>
            <w:tcW w:w="1095"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26 987</w:t>
            </w:r>
          </w:p>
        </w:tc>
        <w:tc>
          <w:tcPr>
            <w:tcW w:w="1215"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27 851</w:t>
            </w:r>
          </w:p>
        </w:tc>
        <w:tc>
          <w:tcPr>
            <w:tcW w:w="1140"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26 658</w:t>
            </w:r>
          </w:p>
        </w:tc>
        <w:tc>
          <w:tcPr>
            <w:tcW w:w="1077" w:type="dxa"/>
            <w:gridSpan w:val="2"/>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27 405</w:t>
            </w:r>
          </w:p>
        </w:tc>
        <w:tc>
          <w:tcPr>
            <w:tcW w:w="1077"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329</w:t>
            </w:r>
          </w:p>
        </w:tc>
        <w:tc>
          <w:tcPr>
            <w:tcW w:w="1513" w:type="dxa"/>
            <w:shd w:val="clear" w:color="auto" w:fill="auto"/>
            <w:tcMar>
              <w:top w:w="40" w:type="dxa"/>
              <w:left w:w="40" w:type="dxa"/>
              <w:bottom w:w="40" w:type="dxa"/>
              <w:right w:w="40" w:type="dxa"/>
            </w:tcMar>
            <w:vAlign w:val="center"/>
          </w:tcPr>
          <w:p w:rsidR="00F80F42" w:rsidRPr="00F80F42" w:rsidRDefault="00F80F42" w:rsidP="00182FF1">
            <w:pPr>
              <w:widowControl w:val="0"/>
              <w:spacing w:before="120" w:after="120" w:line="269" w:lineRule="auto"/>
              <w:jc w:val="center"/>
              <w:rPr>
                <w:rFonts w:ascii="Times New Roman" w:eastAsia="Times New Roman" w:hAnsi="Times New Roman" w:cs="Times New Roman"/>
                <w:color w:val="000000"/>
              </w:rPr>
            </w:pPr>
            <w:r w:rsidRPr="00F80F42">
              <w:rPr>
                <w:rFonts w:ascii="Times New Roman" w:eastAsia="Times New Roman" w:hAnsi="Times New Roman" w:cs="Times New Roman"/>
                <w:color w:val="000000"/>
              </w:rPr>
              <w:t>446</w:t>
            </w:r>
          </w:p>
        </w:tc>
      </w:tr>
    </w:tbl>
    <w:p w:rsidR="003B5308" w:rsidRPr="003B5308" w:rsidRDefault="003B5308" w:rsidP="003B5308">
      <w:pPr>
        <w:widowControl w:val="0"/>
        <w:spacing w:after="0" w:line="360" w:lineRule="auto"/>
        <w:jc w:val="both"/>
        <w:rPr>
          <w:rFonts w:ascii="Times New Roman" w:eastAsia="Calibri" w:hAnsi="Times New Roman" w:cs="Times New Roman"/>
          <w:sz w:val="24"/>
          <w:szCs w:val="24"/>
        </w:rPr>
      </w:pPr>
    </w:p>
    <w:p w:rsidR="003B5308" w:rsidRPr="003B5308" w:rsidRDefault="003B5308" w:rsidP="00F80F42">
      <w:pPr>
        <w:widowControl w:val="0"/>
        <w:spacing w:after="0" w:line="360" w:lineRule="auto"/>
        <w:jc w:val="center"/>
        <w:rPr>
          <w:rFonts w:ascii="Times New Roman" w:eastAsia="Calibri" w:hAnsi="Times New Roman" w:cs="Times New Roman"/>
          <w:sz w:val="24"/>
          <w:szCs w:val="24"/>
        </w:rPr>
      </w:pPr>
      <w:r w:rsidRPr="003B5308">
        <w:rPr>
          <w:rFonts w:ascii="Times New Roman" w:eastAsia="Calibri" w:hAnsi="Times New Roman" w:cs="Times New Roman"/>
          <w:sz w:val="24"/>
          <w:szCs w:val="24"/>
        </w:rPr>
        <w:t>Таблица</w:t>
      </w:r>
      <w:r w:rsidR="00F80F42">
        <w:rPr>
          <w:rFonts w:ascii="Times New Roman" w:eastAsia="Calibri" w:hAnsi="Times New Roman" w:cs="Times New Roman"/>
          <w:sz w:val="24"/>
          <w:szCs w:val="24"/>
        </w:rPr>
        <w:t xml:space="preserve"> </w:t>
      </w:r>
      <w:r w:rsidR="00FF7557">
        <w:rPr>
          <w:rFonts w:ascii="Times New Roman" w:eastAsia="Calibri" w:hAnsi="Times New Roman" w:cs="Times New Roman"/>
          <w:sz w:val="24"/>
          <w:szCs w:val="24"/>
        </w:rPr>
        <w:t>3</w:t>
      </w:r>
      <w:r w:rsidRPr="003B5308">
        <w:rPr>
          <w:rFonts w:ascii="Times New Roman" w:eastAsia="Calibri" w:hAnsi="Times New Roman" w:cs="Times New Roman"/>
          <w:sz w:val="24"/>
          <w:szCs w:val="24"/>
        </w:rPr>
        <w:t>.</w:t>
      </w:r>
      <w:r w:rsidR="000420C6">
        <w:rPr>
          <w:rFonts w:ascii="Times New Roman" w:eastAsia="Calibri" w:hAnsi="Times New Roman" w:cs="Times New Roman"/>
          <w:sz w:val="24"/>
          <w:szCs w:val="24"/>
        </w:rPr>
        <w:t>1.</w:t>
      </w:r>
      <w:r w:rsidRPr="003B5308">
        <w:rPr>
          <w:rFonts w:ascii="Times New Roman" w:eastAsia="Calibri" w:hAnsi="Times New Roman" w:cs="Times New Roman"/>
          <w:sz w:val="24"/>
          <w:szCs w:val="24"/>
        </w:rPr>
        <w:t xml:space="preserve"> </w:t>
      </w:r>
      <w:r w:rsidRPr="003B5308">
        <w:rPr>
          <w:rFonts w:ascii="Times New Roman" w:eastAsia="Calibri" w:hAnsi="Times New Roman" w:cs="Times New Roman"/>
          <w:bCs/>
          <w:sz w:val="24"/>
          <w:szCs w:val="24"/>
        </w:rPr>
        <w:t>Структура субъектов малого и среднего предпринимательства по видам деятельности, единиц</w:t>
      </w:r>
    </w:p>
    <w:tbl>
      <w:tblPr>
        <w:tblW w:w="9781"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5670"/>
        <w:gridCol w:w="1323"/>
        <w:gridCol w:w="1323"/>
        <w:gridCol w:w="1465"/>
      </w:tblGrid>
      <w:tr w:rsidR="00F80F42" w:rsidRPr="00F80F42" w:rsidTr="00182FF1">
        <w:trPr>
          <w:tblHeader/>
        </w:trPr>
        <w:tc>
          <w:tcPr>
            <w:tcW w:w="56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182FF1" w:rsidRDefault="00F80F42" w:rsidP="00182FF1">
            <w:pPr>
              <w:widowControl w:val="0"/>
              <w:spacing w:after="0" w:line="360" w:lineRule="auto"/>
              <w:jc w:val="center"/>
              <w:rPr>
                <w:rFonts w:ascii="Times New Roman" w:eastAsia="Calibri" w:hAnsi="Times New Roman" w:cs="Times New Roman"/>
                <w:b/>
              </w:rPr>
            </w:pPr>
            <w:r w:rsidRPr="00182FF1">
              <w:rPr>
                <w:rFonts w:ascii="Times New Roman" w:eastAsia="Calibri" w:hAnsi="Times New Roman" w:cs="Times New Roman"/>
                <w:b/>
              </w:rPr>
              <w:t>Вид деятельности</w:t>
            </w:r>
          </w:p>
        </w:tc>
        <w:tc>
          <w:tcPr>
            <w:tcW w:w="13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182FF1" w:rsidRDefault="00F80F42" w:rsidP="00182FF1">
            <w:pPr>
              <w:widowControl w:val="0"/>
              <w:spacing w:after="0" w:line="360" w:lineRule="auto"/>
              <w:jc w:val="center"/>
              <w:rPr>
                <w:rFonts w:ascii="Times New Roman" w:eastAsia="Calibri" w:hAnsi="Times New Roman" w:cs="Times New Roman"/>
                <w:b/>
              </w:rPr>
            </w:pPr>
            <w:r w:rsidRPr="00182FF1">
              <w:rPr>
                <w:rFonts w:ascii="Times New Roman" w:eastAsia="Calibri" w:hAnsi="Times New Roman" w:cs="Times New Roman"/>
                <w:b/>
              </w:rPr>
              <w:t>Число субъектов МСП на 10.09.2022</w:t>
            </w:r>
          </w:p>
        </w:tc>
        <w:tc>
          <w:tcPr>
            <w:tcW w:w="13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182FF1" w:rsidRDefault="00F80F42" w:rsidP="00182FF1">
            <w:pPr>
              <w:widowControl w:val="0"/>
              <w:spacing w:after="0" w:line="360" w:lineRule="auto"/>
              <w:jc w:val="center"/>
              <w:rPr>
                <w:rFonts w:ascii="Times New Roman" w:eastAsia="Calibri" w:hAnsi="Times New Roman" w:cs="Times New Roman"/>
                <w:b/>
              </w:rPr>
            </w:pPr>
            <w:r w:rsidRPr="00182FF1">
              <w:rPr>
                <w:rFonts w:ascii="Times New Roman" w:eastAsia="Calibri" w:hAnsi="Times New Roman" w:cs="Times New Roman"/>
                <w:b/>
              </w:rPr>
              <w:t>Число субъектов МСП на 10.01.2022</w:t>
            </w:r>
          </w:p>
        </w:tc>
        <w:tc>
          <w:tcPr>
            <w:tcW w:w="146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182FF1" w:rsidRDefault="00F80F42" w:rsidP="00182FF1">
            <w:pPr>
              <w:widowControl w:val="0"/>
              <w:spacing w:after="0" w:line="360" w:lineRule="auto"/>
              <w:jc w:val="center"/>
              <w:rPr>
                <w:rFonts w:ascii="Times New Roman" w:eastAsia="Calibri" w:hAnsi="Times New Roman" w:cs="Times New Roman"/>
                <w:b/>
              </w:rPr>
            </w:pPr>
            <w:r w:rsidRPr="00182FF1">
              <w:rPr>
                <w:rFonts w:ascii="Times New Roman" w:eastAsia="Calibri" w:hAnsi="Times New Roman" w:cs="Times New Roman"/>
                <w:b/>
              </w:rPr>
              <w:t>Число субъектов МСП на 10.01.2021</w:t>
            </w:r>
          </w:p>
        </w:tc>
      </w:tr>
      <w:tr w:rsidR="00F80F42" w:rsidRPr="00F80F42" w:rsidTr="00182FF1">
        <w:tc>
          <w:tcPr>
            <w:tcW w:w="5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Торговля розничная, кроме торговли автотранспортными средствами и мотоциклами</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15119</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14595</w:t>
            </w:r>
          </w:p>
        </w:tc>
        <w:tc>
          <w:tcPr>
            <w:tcW w:w="1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14595</w:t>
            </w:r>
          </w:p>
        </w:tc>
      </w:tr>
      <w:tr w:rsidR="00F80F42" w:rsidRPr="00F80F42" w:rsidTr="00182FF1">
        <w:tc>
          <w:tcPr>
            <w:tcW w:w="5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lastRenderedPageBreak/>
              <w:t>Деятельность сухопутного и трубопроводного транспорта</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7485</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7716</w:t>
            </w:r>
          </w:p>
        </w:tc>
        <w:tc>
          <w:tcPr>
            <w:tcW w:w="1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7617</w:t>
            </w:r>
          </w:p>
        </w:tc>
      </w:tr>
      <w:tr w:rsidR="00F80F42" w:rsidRPr="00F80F42" w:rsidTr="00182FF1">
        <w:tc>
          <w:tcPr>
            <w:tcW w:w="5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Операции с недвижимым имуществом</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5003</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4934</w:t>
            </w:r>
          </w:p>
        </w:tc>
        <w:tc>
          <w:tcPr>
            <w:tcW w:w="1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4625</w:t>
            </w:r>
          </w:p>
        </w:tc>
      </w:tr>
      <w:tr w:rsidR="00F80F42" w:rsidRPr="00F80F42" w:rsidTr="00182FF1">
        <w:tc>
          <w:tcPr>
            <w:tcW w:w="5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Торговля оптовая, кроме оптовой торговли автотранспортными средствами и мотоциклами</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4387</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4403</w:t>
            </w:r>
          </w:p>
        </w:tc>
        <w:tc>
          <w:tcPr>
            <w:tcW w:w="1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4344</w:t>
            </w:r>
          </w:p>
        </w:tc>
      </w:tr>
      <w:tr w:rsidR="00F80F42" w:rsidRPr="00F80F42" w:rsidTr="00182FF1">
        <w:tc>
          <w:tcPr>
            <w:tcW w:w="5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Работы строительные специализированные</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4014</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4060</w:t>
            </w:r>
          </w:p>
        </w:tc>
        <w:tc>
          <w:tcPr>
            <w:tcW w:w="1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3906</w:t>
            </w:r>
          </w:p>
        </w:tc>
      </w:tr>
      <w:tr w:rsidR="00F80F42" w:rsidRPr="00F80F42" w:rsidTr="00182FF1">
        <w:tc>
          <w:tcPr>
            <w:tcW w:w="5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Строительство зданий</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2485</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2466</w:t>
            </w:r>
          </w:p>
        </w:tc>
        <w:tc>
          <w:tcPr>
            <w:tcW w:w="1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2361</w:t>
            </w:r>
          </w:p>
        </w:tc>
      </w:tr>
      <w:tr w:rsidR="00F80F42" w:rsidRPr="00F80F42" w:rsidTr="00182FF1">
        <w:tc>
          <w:tcPr>
            <w:tcW w:w="5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Деятельность по предоставлению прочих персональных услуг</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2430</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2473</w:t>
            </w:r>
          </w:p>
        </w:tc>
        <w:tc>
          <w:tcPr>
            <w:tcW w:w="1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2580</w:t>
            </w:r>
          </w:p>
        </w:tc>
      </w:tr>
      <w:tr w:rsidR="00F80F42" w:rsidRPr="00F80F42" w:rsidTr="00182FF1">
        <w:tc>
          <w:tcPr>
            <w:tcW w:w="5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Торговля оптовая и розничная автотранспортными средствами и мотоциклами и их ремонт</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2318</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2298</w:t>
            </w:r>
          </w:p>
        </w:tc>
        <w:tc>
          <w:tcPr>
            <w:tcW w:w="1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2279</w:t>
            </w:r>
          </w:p>
        </w:tc>
      </w:tr>
      <w:tr w:rsidR="00F80F42" w:rsidRPr="00F80F42" w:rsidTr="00182FF1">
        <w:tc>
          <w:tcPr>
            <w:tcW w:w="5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Деятельность по предоставлению продуктов питания и напитков</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2129</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2072</w:t>
            </w:r>
          </w:p>
        </w:tc>
        <w:tc>
          <w:tcPr>
            <w:tcW w:w="1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1895</w:t>
            </w:r>
          </w:p>
        </w:tc>
      </w:tr>
      <w:tr w:rsidR="00F80F42" w:rsidRPr="00F80F42" w:rsidTr="00182FF1">
        <w:tc>
          <w:tcPr>
            <w:tcW w:w="5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Разработка компьютерного программного обеспечения, консультационные услуги в данной области и другие сопутствующие услуги</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1692</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1642</w:t>
            </w:r>
          </w:p>
        </w:tc>
        <w:tc>
          <w:tcPr>
            <w:tcW w:w="1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1384</w:t>
            </w:r>
          </w:p>
        </w:tc>
      </w:tr>
      <w:tr w:rsidR="00F80F42" w:rsidRPr="00F80F42" w:rsidTr="00182FF1">
        <w:tc>
          <w:tcPr>
            <w:tcW w:w="5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Складское хозяйство и вспомогательная транспортная деятельность</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1346</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1368</w:t>
            </w:r>
          </w:p>
        </w:tc>
        <w:tc>
          <w:tcPr>
            <w:tcW w:w="1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1409</w:t>
            </w:r>
          </w:p>
        </w:tc>
      </w:tr>
      <w:tr w:rsidR="00F80F42" w:rsidRPr="00F80F42" w:rsidTr="00182FF1">
        <w:tc>
          <w:tcPr>
            <w:tcW w:w="5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Деятельность в области права и бухгалтерского учета</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1295</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1293</w:t>
            </w:r>
          </w:p>
        </w:tc>
        <w:tc>
          <w:tcPr>
            <w:tcW w:w="1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1230</w:t>
            </w:r>
          </w:p>
        </w:tc>
      </w:tr>
      <w:tr w:rsidR="00F80F42" w:rsidRPr="00F80F42" w:rsidTr="00182FF1">
        <w:tc>
          <w:tcPr>
            <w:tcW w:w="5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Деятельность в области архитектуры и инженерно-технического проектирования; технических испытаний, исследований и анализа</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1223</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1262</w:t>
            </w:r>
          </w:p>
        </w:tc>
        <w:tc>
          <w:tcPr>
            <w:tcW w:w="1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1153</w:t>
            </w:r>
          </w:p>
        </w:tc>
      </w:tr>
      <w:tr w:rsidR="00F80F42" w:rsidRPr="00F80F42" w:rsidTr="00182FF1">
        <w:tc>
          <w:tcPr>
            <w:tcW w:w="5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Растениеводство и животноводство, охота и предоставление соответствующих услуг в этих областях</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1195</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1198</w:t>
            </w:r>
          </w:p>
        </w:tc>
        <w:tc>
          <w:tcPr>
            <w:tcW w:w="1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1198</w:t>
            </w:r>
          </w:p>
        </w:tc>
      </w:tr>
      <w:tr w:rsidR="00F80F42" w:rsidRPr="00F80F42" w:rsidTr="00182FF1">
        <w:tc>
          <w:tcPr>
            <w:tcW w:w="5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Ремонт компьютеров, предметов личного потребления и хозяйственно-бытового назначения</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938</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965</w:t>
            </w:r>
          </w:p>
        </w:tc>
        <w:tc>
          <w:tcPr>
            <w:tcW w:w="1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1037</w:t>
            </w:r>
          </w:p>
        </w:tc>
      </w:tr>
      <w:tr w:rsidR="00F80F42" w:rsidRPr="00F80F42" w:rsidTr="00182FF1">
        <w:tc>
          <w:tcPr>
            <w:tcW w:w="5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Деятельность рекламная и исследование конъюнктуры рынка</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867</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897</w:t>
            </w:r>
          </w:p>
        </w:tc>
        <w:tc>
          <w:tcPr>
            <w:tcW w:w="1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841</w:t>
            </w:r>
          </w:p>
        </w:tc>
      </w:tr>
      <w:tr w:rsidR="00F80F42" w:rsidRPr="00F80F42" w:rsidTr="00182FF1">
        <w:tc>
          <w:tcPr>
            <w:tcW w:w="5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Деятельность в области здравоохранения</w:t>
            </w:r>
          </w:p>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и по уходу с обеспечением проживания</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790</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779</w:t>
            </w:r>
          </w:p>
        </w:tc>
        <w:tc>
          <w:tcPr>
            <w:tcW w:w="1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733</w:t>
            </w:r>
          </w:p>
        </w:tc>
      </w:tr>
      <w:tr w:rsidR="00F80F42" w:rsidRPr="00F80F42" w:rsidTr="00182FF1">
        <w:tc>
          <w:tcPr>
            <w:tcW w:w="5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lastRenderedPageBreak/>
              <w:t>Обработка древесины и производство изделий из дерева и пробки, кроме мебели, производство изделий из соломки и материалов для плетения</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778</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773</w:t>
            </w:r>
          </w:p>
        </w:tc>
        <w:tc>
          <w:tcPr>
            <w:tcW w:w="1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754</w:t>
            </w:r>
          </w:p>
        </w:tc>
      </w:tr>
      <w:tr w:rsidR="00F80F42" w:rsidRPr="00F80F42" w:rsidTr="00182FF1">
        <w:tc>
          <w:tcPr>
            <w:tcW w:w="5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Производство готовых металлических изделий, кроме машин и оборудования</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762</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755</w:t>
            </w:r>
          </w:p>
        </w:tc>
        <w:tc>
          <w:tcPr>
            <w:tcW w:w="1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724</w:t>
            </w:r>
          </w:p>
        </w:tc>
      </w:tr>
      <w:tr w:rsidR="00F80F42" w:rsidRPr="00F80F42" w:rsidTr="00182FF1">
        <w:tc>
          <w:tcPr>
            <w:tcW w:w="5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Деятельность головных офисов; консультирование по вопросам управления</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750</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763</w:t>
            </w:r>
          </w:p>
        </w:tc>
        <w:tc>
          <w:tcPr>
            <w:tcW w:w="1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742</w:t>
            </w:r>
          </w:p>
        </w:tc>
      </w:tr>
      <w:tr w:rsidR="00F80F42" w:rsidRPr="00F80F42" w:rsidTr="00182FF1">
        <w:tc>
          <w:tcPr>
            <w:tcW w:w="5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Образование</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750</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891</w:t>
            </w:r>
          </w:p>
        </w:tc>
        <w:tc>
          <w:tcPr>
            <w:tcW w:w="1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750</w:t>
            </w:r>
          </w:p>
        </w:tc>
      </w:tr>
      <w:tr w:rsidR="00F80F42" w:rsidRPr="00F80F42" w:rsidTr="00182FF1">
        <w:tc>
          <w:tcPr>
            <w:tcW w:w="5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Аренда и лизинг</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739</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717</w:t>
            </w:r>
          </w:p>
        </w:tc>
        <w:tc>
          <w:tcPr>
            <w:tcW w:w="1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650</w:t>
            </w:r>
          </w:p>
        </w:tc>
      </w:tr>
      <w:tr w:rsidR="00F80F42" w:rsidRPr="00F80F42" w:rsidTr="00182FF1">
        <w:tc>
          <w:tcPr>
            <w:tcW w:w="5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Деятельность в области спорта, отдыха и развлечений</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685</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680</w:t>
            </w:r>
          </w:p>
        </w:tc>
        <w:tc>
          <w:tcPr>
            <w:tcW w:w="1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628</w:t>
            </w:r>
          </w:p>
        </w:tc>
      </w:tr>
      <w:tr w:rsidR="00F80F42" w:rsidRPr="00F80F42" w:rsidTr="00182FF1">
        <w:tc>
          <w:tcPr>
            <w:tcW w:w="5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Деятельность по обслуживанию зданий и территорий</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678</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651</w:t>
            </w:r>
          </w:p>
        </w:tc>
        <w:tc>
          <w:tcPr>
            <w:tcW w:w="1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584</w:t>
            </w:r>
          </w:p>
        </w:tc>
      </w:tr>
      <w:tr w:rsidR="00F80F42" w:rsidRPr="00F80F42" w:rsidTr="00182FF1">
        <w:tc>
          <w:tcPr>
            <w:tcW w:w="5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Деятельность профессиональная научная и техническая прочая</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646</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636</w:t>
            </w:r>
          </w:p>
        </w:tc>
        <w:tc>
          <w:tcPr>
            <w:tcW w:w="1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570</w:t>
            </w:r>
          </w:p>
        </w:tc>
      </w:tr>
      <w:tr w:rsidR="00F80F42" w:rsidRPr="00F80F42" w:rsidTr="00182FF1">
        <w:tc>
          <w:tcPr>
            <w:tcW w:w="5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Деятельность административно-хозяйственная, вспомогательная деятельность по обеспечению функционирования организации, деятельность по предоставлению прочих вспомогательных услуг для бизнеса</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567</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552</w:t>
            </w:r>
          </w:p>
        </w:tc>
        <w:tc>
          <w:tcPr>
            <w:tcW w:w="1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514</w:t>
            </w:r>
          </w:p>
        </w:tc>
      </w:tr>
      <w:tr w:rsidR="00F80F42" w:rsidRPr="00F80F42" w:rsidTr="00182FF1">
        <w:tc>
          <w:tcPr>
            <w:tcW w:w="5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Производство пищевых продуктов</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558</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538</w:t>
            </w:r>
          </w:p>
        </w:tc>
        <w:tc>
          <w:tcPr>
            <w:tcW w:w="1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512</w:t>
            </w:r>
          </w:p>
        </w:tc>
      </w:tr>
      <w:tr w:rsidR="00F80F42" w:rsidRPr="00F80F42" w:rsidTr="00182FF1">
        <w:tc>
          <w:tcPr>
            <w:tcW w:w="5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Строительство инженерных сооружений</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533</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522</w:t>
            </w:r>
          </w:p>
        </w:tc>
        <w:tc>
          <w:tcPr>
            <w:tcW w:w="1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469</w:t>
            </w:r>
          </w:p>
        </w:tc>
      </w:tr>
      <w:tr w:rsidR="00F80F42" w:rsidRPr="00F80F42" w:rsidTr="00182FF1">
        <w:tc>
          <w:tcPr>
            <w:tcW w:w="5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Ремонт и монтаж машин и оборудования</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493</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498</w:t>
            </w:r>
          </w:p>
        </w:tc>
        <w:tc>
          <w:tcPr>
            <w:tcW w:w="1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472</w:t>
            </w:r>
          </w:p>
        </w:tc>
      </w:tr>
      <w:tr w:rsidR="00F80F42" w:rsidRPr="00F80F42" w:rsidTr="00182FF1">
        <w:tc>
          <w:tcPr>
            <w:tcW w:w="5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Деятельность туристических агентств и прочих организаций, предоставляющих услуги в сфере туризма</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440</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448</w:t>
            </w:r>
          </w:p>
        </w:tc>
        <w:tc>
          <w:tcPr>
            <w:tcW w:w="1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450</w:t>
            </w:r>
          </w:p>
        </w:tc>
      </w:tr>
      <w:tr w:rsidR="00F80F42" w:rsidRPr="00F80F42" w:rsidTr="00182FF1">
        <w:tc>
          <w:tcPr>
            <w:tcW w:w="5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Деятельность по предоставлению мест для временного проживания</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434</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443</w:t>
            </w:r>
          </w:p>
        </w:tc>
        <w:tc>
          <w:tcPr>
            <w:tcW w:w="1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417</w:t>
            </w:r>
          </w:p>
        </w:tc>
      </w:tr>
      <w:tr w:rsidR="00F80F42" w:rsidRPr="00F80F42" w:rsidTr="00182FF1">
        <w:tc>
          <w:tcPr>
            <w:tcW w:w="5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Производство мебели</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432</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444</w:t>
            </w:r>
          </w:p>
        </w:tc>
        <w:tc>
          <w:tcPr>
            <w:tcW w:w="1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421</w:t>
            </w:r>
          </w:p>
        </w:tc>
      </w:tr>
      <w:tr w:rsidR="00F80F42" w:rsidRPr="00F80F42" w:rsidTr="00182FF1">
        <w:tc>
          <w:tcPr>
            <w:tcW w:w="5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Деятельность в области информационных технологий</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429</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393</w:t>
            </w:r>
          </w:p>
        </w:tc>
        <w:tc>
          <w:tcPr>
            <w:tcW w:w="1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330</w:t>
            </w:r>
          </w:p>
        </w:tc>
      </w:tr>
      <w:tr w:rsidR="00F80F42" w:rsidRPr="00F80F42" w:rsidTr="00182FF1">
        <w:tc>
          <w:tcPr>
            <w:tcW w:w="5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Лесоводство и лесозаготовки</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414</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430</w:t>
            </w:r>
          </w:p>
        </w:tc>
        <w:tc>
          <w:tcPr>
            <w:tcW w:w="1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430</w:t>
            </w:r>
          </w:p>
        </w:tc>
      </w:tr>
      <w:tr w:rsidR="00F80F42" w:rsidRPr="00F80F42" w:rsidTr="00182FF1">
        <w:tc>
          <w:tcPr>
            <w:tcW w:w="5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Прочие виды деятельности</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5388</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5337</w:t>
            </w:r>
          </w:p>
        </w:tc>
        <w:tc>
          <w:tcPr>
            <w:tcW w:w="1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3063</w:t>
            </w:r>
          </w:p>
        </w:tc>
      </w:tr>
      <w:tr w:rsidR="00F80F42" w:rsidRPr="00F80F42" w:rsidTr="00182FF1">
        <w:tc>
          <w:tcPr>
            <w:tcW w:w="56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lastRenderedPageBreak/>
              <w:t>Итого по реестру:</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70192</w:t>
            </w:r>
          </w:p>
        </w:tc>
        <w:tc>
          <w:tcPr>
            <w:tcW w:w="13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69892</w:t>
            </w:r>
          </w:p>
        </w:tc>
        <w:tc>
          <w:tcPr>
            <w:tcW w:w="14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F80F42" w:rsidRPr="008B1214" w:rsidRDefault="00F80F42" w:rsidP="00182FF1">
            <w:pPr>
              <w:widowControl w:val="0"/>
              <w:spacing w:after="0" w:line="360" w:lineRule="auto"/>
              <w:jc w:val="center"/>
              <w:rPr>
                <w:rFonts w:ascii="Times New Roman" w:eastAsia="Calibri" w:hAnsi="Times New Roman" w:cs="Times New Roman"/>
              </w:rPr>
            </w:pPr>
            <w:r w:rsidRPr="008B1214">
              <w:rPr>
                <w:rFonts w:ascii="Times New Roman" w:eastAsia="Calibri" w:hAnsi="Times New Roman" w:cs="Times New Roman"/>
              </w:rPr>
              <w:t>65667</w:t>
            </w:r>
          </w:p>
        </w:tc>
      </w:tr>
    </w:tbl>
    <w:p w:rsidR="003B5308" w:rsidRDefault="003B5308" w:rsidP="003B5308">
      <w:pPr>
        <w:widowControl w:val="0"/>
        <w:spacing w:after="0" w:line="360" w:lineRule="auto"/>
        <w:jc w:val="both"/>
        <w:rPr>
          <w:rFonts w:ascii="Times New Roman" w:eastAsia="Calibri" w:hAnsi="Times New Roman" w:cs="Times New Roman"/>
          <w:sz w:val="24"/>
          <w:szCs w:val="24"/>
        </w:rPr>
      </w:pPr>
    </w:p>
    <w:p w:rsidR="00F80F42" w:rsidRPr="00F80F42" w:rsidRDefault="00F80F42" w:rsidP="00F80F42">
      <w:pPr>
        <w:widowControl w:val="0"/>
        <w:spacing w:after="0" w:line="360" w:lineRule="auto"/>
        <w:ind w:firstLine="709"/>
        <w:jc w:val="center"/>
        <w:rPr>
          <w:rFonts w:ascii="Times New Roman" w:eastAsia="Calibri" w:hAnsi="Times New Roman" w:cs="Times New Roman"/>
          <w:sz w:val="24"/>
          <w:szCs w:val="24"/>
        </w:rPr>
      </w:pPr>
      <w:r w:rsidRPr="00F80F42">
        <w:rPr>
          <w:rFonts w:ascii="Times New Roman" w:eastAsia="Calibri" w:hAnsi="Times New Roman" w:cs="Times New Roman"/>
          <w:b/>
          <w:sz w:val="24"/>
          <w:szCs w:val="24"/>
        </w:rPr>
        <w:t>3.1.2.</w:t>
      </w:r>
      <w:r>
        <w:rPr>
          <w:rFonts w:ascii="Times New Roman" w:eastAsia="Calibri" w:hAnsi="Times New Roman" w:cs="Times New Roman"/>
          <w:sz w:val="24"/>
          <w:szCs w:val="24"/>
        </w:rPr>
        <w:t xml:space="preserve"> </w:t>
      </w:r>
      <w:r w:rsidRPr="00F80F42">
        <w:rPr>
          <w:rFonts w:ascii="Times New Roman" w:eastAsia="Arial" w:hAnsi="Times New Roman" w:cs="Times New Roman"/>
          <w:b/>
          <w:color w:val="000000" w:themeColor="text1"/>
          <w:sz w:val="24"/>
          <w:szCs w:val="24"/>
        </w:rPr>
        <w:t>О структуре товарных рынков по категориям бизнеса по размеру в соответствии с величиной годовой выручки от реализации товаров (работ, услуг)</w:t>
      </w:r>
    </w:p>
    <w:p w:rsidR="00F80F42" w:rsidRPr="00F80F42" w:rsidRDefault="00F80F42" w:rsidP="00F80F42">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F80F42">
        <w:rPr>
          <w:rFonts w:ascii="Times New Roman" w:hAnsi="Times New Roman" w:cs="Times New Roman"/>
          <w:color w:val="000000" w:themeColor="text1"/>
          <w:sz w:val="24"/>
          <w:szCs w:val="24"/>
        </w:rPr>
        <w:t xml:space="preserve">Список товарных рынков для проведения опроса предпринимателей содержит 36 рынков, 33 из которых </w:t>
      </w:r>
      <w:r w:rsidRPr="00F80F42">
        <w:rPr>
          <w:rFonts w:ascii="Times New Roman" w:eastAsia="Times New Roman" w:hAnsi="Times New Roman" w:cs="Times New Roman"/>
          <w:color w:val="000000" w:themeColor="text1"/>
          <w:sz w:val="24"/>
          <w:szCs w:val="24"/>
          <w:lang w:eastAsia="ru-RU"/>
        </w:rPr>
        <w:t xml:space="preserve">включены в дорожную карту по содействию развитию конкуренции на рынках товаров, работ и услуг Ленинградской области на 2022-2025 </w:t>
      </w:r>
      <w:r>
        <w:rPr>
          <w:rFonts w:ascii="Times New Roman" w:eastAsia="Times New Roman" w:hAnsi="Times New Roman" w:cs="Times New Roman"/>
          <w:color w:val="000000" w:themeColor="text1"/>
          <w:sz w:val="24"/>
          <w:szCs w:val="24"/>
          <w:lang w:eastAsia="ru-RU"/>
        </w:rPr>
        <w:t xml:space="preserve">годы. </w:t>
      </w:r>
      <w:r w:rsidRPr="00F80F42">
        <w:rPr>
          <w:rFonts w:ascii="Times New Roman" w:eastAsia="Times New Roman" w:hAnsi="Times New Roman" w:cs="Times New Roman"/>
          <w:color w:val="000000" w:themeColor="text1"/>
          <w:sz w:val="24"/>
          <w:szCs w:val="24"/>
          <w:lang w:eastAsia="ru-RU"/>
        </w:rPr>
        <w:t xml:space="preserve">Кроме того, с целью получения более широкой картины о состоянии конкуренции в Ленинградской области, а также расширения перечня потенциальных рынков для включения в дорожную карту, в список оцениваемых в рамках опроса рынков было включено несколько дополнительных видов деятельности: ритуальные услуги, медицинские услуги и услуги жилищно-коммунального хозяйства. </w:t>
      </w:r>
    </w:p>
    <w:p w:rsidR="00F80F42" w:rsidRPr="00F80F42" w:rsidRDefault="00F80F42" w:rsidP="00F80F42">
      <w:pPr>
        <w:spacing w:after="0" w:line="360" w:lineRule="auto"/>
        <w:ind w:firstLine="709"/>
        <w:jc w:val="both"/>
        <w:rPr>
          <w:rFonts w:ascii="Times New Roman" w:eastAsia="Arial" w:hAnsi="Times New Roman" w:cs="Times New Roman"/>
          <w:b/>
          <w:color w:val="000000" w:themeColor="text1"/>
          <w:sz w:val="24"/>
          <w:szCs w:val="24"/>
          <w:lang w:eastAsia="ru-RU"/>
        </w:rPr>
      </w:pPr>
      <w:r w:rsidRPr="00F80F42">
        <w:rPr>
          <w:rFonts w:ascii="Times New Roman" w:eastAsia="Times New Roman" w:hAnsi="Times New Roman" w:cs="Times New Roman"/>
          <w:color w:val="000000" w:themeColor="text1"/>
          <w:sz w:val="24"/>
          <w:szCs w:val="24"/>
          <w:lang w:eastAsia="ru-RU"/>
        </w:rPr>
        <w:t>В Таблице</w:t>
      </w:r>
      <w:r>
        <w:rPr>
          <w:rFonts w:ascii="Times New Roman" w:eastAsia="Times New Roman" w:hAnsi="Times New Roman" w:cs="Times New Roman"/>
          <w:color w:val="000000" w:themeColor="text1"/>
          <w:sz w:val="24"/>
          <w:szCs w:val="24"/>
          <w:lang w:eastAsia="ru-RU"/>
        </w:rPr>
        <w:t xml:space="preserve"> </w:t>
      </w:r>
      <w:r w:rsidR="000420C6">
        <w:rPr>
          <w:rFonts w:ascii="Times New Roman" w:eastAsia="Times New Roman" w:hAnsi="Times New Roman" w:cs="Times New Roman"/>
          <w:color w:val="000000" w:themeColor="text1"/>
          <w:sz w:val="24"/>
          <w:szCs w:val="24"/>
          <w:lang w:eastAsia="ru-RU"/>
        </w:rPr>
        <w:t>4</w:t>
      </w:r>
      <w:r w:rsidRPr="00F80F42">
        <w:rPr>
          <w:rFonts w:ascii="Times New Roman" w:eastAsia="Times New Roman" w:hAnsi="Times New Roman" w:cs="Times New Roman"/>
          <w:color w:val="000000" w:themeColor="text1"/>
          <w:sz w:val="24"/>
          <w:szCs w:val="24"/>
          <w:lang w:eastAsia="ru-RU"/>
        </w:rPr>
        <w:t xml:space="preserve"> представлена структура товарных рынков Ленинградской области по размеру бизнеса в соответствии с величиной годовой выручки на основании данных опроса предпринимателей.</w:t>
      </w:r>
    </w:p>
    <w:p w:rsidR="00F80F42" w:rsidRPr="00250D73" w:rsidRDefault="00F80F42" w:rsidP="00F80F42">
      <w:pPr>
        <w:keepNext/>
        <w:keepLines/>
        <w:spacing w:before="120" w:after="120" w:line="240" w:lineRule="auto"/>
        <w:jc w:val="center"/>
        <w:rPr>
          <w:rFonts w:ascii="Times New Roman" w:hAnsi="Times New Roman" w:cs="Times New Roman"/>
          <w:color w:val="000000" w:themeColor="text1"/>
          <w:sz w:val="24"/>
          <w:szCs w:val="24"/>
        </w:rPr>
      </w:pPr>
      <w:r w:rsidRPr="00250D73">
        <w:rPr>
          <w:rFonts w:ascii="Times New Roman" w:hAnsi="Times New Roman" w:cs="Times New Roman"/>
          <w:iCs/>
          <w:color w:val="000000" w:themeColor="text1"/>
          <w:sz w:val="24"/>
          <w:szCs w:val="28"/>
        </w:rPr>
        <w:t>Таблица</w:t>
      </w:r>
      <w:r>
        <w:rPr>
          <w:rFonts w:ascii="Times New Roman" w:hAnsi="Times New Roman" w:cs="Times New Roman"/>
          <w:iCs/>
          <w:color w:val="000000" w:themeColor="text1"/>
          <w:sz w:val="24"/>
          <w:szCs w:val="28"/>
        </w:rPr>
        <w:t xml:space="preserve"> </w:t>
      </w:r>
      <w:r w:rsidR="00FF7557">
        <w:rPr>
          <w:rFonts w:ascii="Times New Roman" w:hAnsi="Times New Roman" w:cs="Times New Roman"/>
          <w:iCs/>
          <w:color w:val="000000" w:themeColor="text1"/>
          <w:sz w:val="24"/>
          <w:szCs w:val="28"/>
        </w:rPr>
        <w:t>4</w:t>
      </w:r>
      <w:r>
        <w:rPr>
          <w:rFonts w:ascii="Times New Roman" w:hAnsi="Times New Roman" w:cs="Times New Roman"/>
          <w:iCs/>
          <w:color w:val="000000" w:themeColor="text1"/>
          <w:sz w:val="24"/>
          <w:szCs w:val="28"/>
        </w:rPr>
        <w:t xml:space="preserve">. </w:t>
      </w:r>
      <w:r w:rsidRPr="00C557A3">
        <w:rPr>
          <w:rFonts w:ascii="Times New Roman" w:hAnsi="Times New Roman" w:cs="Times New Roman"/>
          <w:iCs/>
          <w:color w:val="000000" w:themeColor="text1"/>
          <w:sz w:val="24"/>
          <w:szCs w:val="28"/>
        </w:rPr>
        <w:t>Структура товарных рынков Ленинградской области по размеру бизнеса в соответствии с величиной годовой выручки</w:t>
      </w:r>
      <w:r w:rsidRPr="00250D73">
        <w:rPr>
          <w:rFonts w:ascii="Times New Roman" w:hAnsi="Times New Roman" w:cs="Times New Roman"/>
          <w:b/>
          <w:iCs/>
          <w:color w:val="000000" w:themeColor="text1"/>
          <w:sz w:val="24"/>
          <w:szCs w:val="28"/>
        </w:rPr>
        <w:t xml:space="preserve"> </w:t>
      </w:r>
      <w:r w:rsidRPr="00250D73">
        <w:rPr>
          <w:rFonts w:ascii="Times New Roman" w:hAnsi="Times New Roman" w:cs="Times New Roman"/>
          <w:noProof/>
          <w:color w:val="000000" w:themeColor="text1"/>
          <w:sz w:val="24"/>
          <w:szCs w:val="24"/>
        </w:rPr>
        <w:t xml:space="preserve">(опрос предпринимателей, </w:t>
      </w:r>
      <w:r w:rsidRPr="00250D73">
        <w:rPr>
          <w:rFonts w:ascii="Times New Roman" w:hAnsi="Times New Roman" w:cs="Times New Roman"/>
          <w:color w:val="000000" w:themeColor="text1"/>
          <w:sz w:val="24"/>
          <w:szCs w:val="24"/>
        </w:rPr>
        <w:t>n=500, в разрезе по размеру бизнеса)</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9"/>
        <w:gridCol w:w="3612"/>
        <w:gridCol w:w="1163"/>
        <w:gridCol w:w="1163"/>
        <w:gridCol w:w="1163"/>
        <w:gridCol w:w="1163"/>
        <w:gridCol w:w="1130"/>
      </w:tblGrid>
      <w:tr w:rsidR="00F80F42" w:rsidRPr="00250D73" w:rsidTr="00FF7557">
        <w:trPr>
          <w:cantSplit/>
          <w:trHeight w:val="2176"/>
          <w:tblHeader/>
        </w:trPr>
        <w:tc>
          <w:tcPr>
            <w:tcW w:w="428" w:type="pct"/>
            <w:shd w:val="clear" w:color="auto" w:fill="auto"/>
            <w:noWrap/>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hAnsi="Times New Roman" w:cs="Times New Roman"/>
                <w:b/>
                <w:color w:val="000000" w:themeColor="text1"/>
              </w:rPr>
              <w:t>№ п/п</w:t>
            </w:r>
          </w:p>
        </w:tc>
        <w:tc>
          <w:tcPr>
            <w:tcW w:w="1757" w:type="pct"/>
            <w:shd w:val="clear" w:color="auto" w:fill="auto"/>
            <w:noWrap/>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b/>
                <w:bCs/>
                <w:color w:val="000000" w:themeColor="text1"/>
                <w:lang w:eastAsia="ru-RU"/>
              </w:rPr>
              <w:t>Наименование рынка</w:t>
            </w:r>
          </w:p>
        </w:tc>
        <w:tc>
          <w:tcPr>
            <w:tcW w:w="566" w:type="pct"/>
            <w:shd w:val="clear" w:color="auto" w:fill="auto"/>
            <w:textDirection w:val="btLr"/>
            <w:vAlign w:val="center"/>
          </w:tcPr>
          <w:p w:rsidR="00F80F42" w:rsidRPr="00F63F2E" w:rsidRDefault="00F80F42" w:rsidP="008B1214">
            <w:pPr>
              <w:spacing w:after="0"/>
              <w:jc w:val="center"/>
              <w:rPr>
                <w:rFonts w:ascii="Times New Roman" w:eastAsia="Times New Roman" w:hAnsi="Times New Roman" w:cs="Times New Roman"/>
                <w:b/>
                <w:bCs/>
                <w:color w:val="000000" w:themeColor="text1"/>
                <w:lang w:eastAsia="ru-RU"/>
              </w:rPr>
            </w:pPr>
            <w:r w:rsidRPr="00F63F2E">
              <w:rPr>
                <w:rFonts w:ascii="Times New Roman" w:eastAsia="Times New Roman" w:hAnsi="Times New Roman" w:cs="Times New Roman"/>
                <w:b/>
                <w:bCs/>
                <w:color w:val="000000" w:themeColor="text1"/>
                <w:lang w:eastAsia="ru-RU"/>
              </w:rPr>
              <w:t>До 120 млн. рублей (микропредприятие)</w:t>
            </w:r>
          </w:p>
        </w:tc>
        <w:tc>
          <w:tcPr>
            <w:tcW w:w="566" w:type="pct"/>
            <w:shd w:val="clear" w:color="auto" w:fill="auto"/>
            <w:textDirection w:val="btLr"/>
            <w:vAlign w:val="center"/>
          </w:tcPr>
          <w:p w:rsidR="00F80F42" w:rsidRPr="00F63F2E" w:rsidRDefault="00F80F42" w:rsidP="008B1214">
            <w:pPr>
              <w:spacing w:after="0"/>
              <w:jc w:val="center"/>
              <w:rPr>
                <w:rFonts w:ascii="Times New Roman" w:eastAsia="Times New Roman" w:hAnsi="Times New Roman" w:cs="Times New Roman"/>
                <w:b/>
                <w:bCs/>
                <w:color w:val="000000" w:themeColor="text1"/>
                <w:lang w:eastAsia="ru-RU"/>
              </w:rPr>
            </w:pPr>
            <w:r w:rsidRPr="00F63F2E">
              <w:rPr>
                <w:rFonts w:ascii="Times New Roman" w:eastAsia="Times New Roman" w:hAnsi="Times New Roman" w:cs="Times New Roman"/>
                <w:b/>
                <w:bCs/>
                <w:color w:val="000000" w:themeColor="text1"/>
                <w:lang w:eastAsia="ru-RU"/>
              </w:rPr>
              <w:t>От 120 до 800 млн. рублей (малое предприятие)</w:t>
            </w:r>
          </w:p>
        </w:tc>
        <w:tc>
          <w:tcPr>
            <w:tcW w:w="566" w:type="pct"/>
            <w:shd w:val="clear" w:color="auto" w:fill="auto"/>
            <w:textDirection w:val="btLr"/>
            <w:vAlign w:val="center"/>
          </w:tcPr>
          <w:p w:rsidR="00F80F42" w:rsidRPr="00F63F2E" w:rsidRDefault="00F80F42" w:rsidP="008B1214">
            <w:pPr>
              <w:spacing w:after="0"/>
              <w:jc w:val="center"/>
              <w:rPr>
                <w:rFonts w:ascii="Times New Roman" w:eastAsia="Times New Roman" w:hAnsi="Times New Roman" w:cs="Times New Roman"/>
                <w:b/>
                <w:bCs/>
                <w:color w:val="000000" w:themeColor="text1"/>
                <w:lang w:eastAsia="ru-RU"/>
              </w:rPr>
            </w:pPr>
            <w:r w:rsidRPr="00F63F2E">
              <w:rPr>
                <w:rFonts w:ascii="Times New Roman" w:eastAsia="Times New Roman" w:hAnsi="Times New Roman" w:cs="Times New Roman"/>
                <w:b/>
                <w:bCs/>
                <w:color w:val="000000" w:themeColor="text1"/>
                <w:lang w:eastAsia="ru-RU"/>
              </w:rPr>
              <w:t>От 800 до 2000 млн. рублей (среднее предприятие)</w:t>
            </w:r>
          </w:p>
        </w:tc>
        <w:tc>
          <w:tcPr>
            <w:tcW w:w="566" w:type="pct"/>
            <w:shd w:val="clear" w:color="auto" w:fill="auto"/>
            <w:textDirection w:val="btLr"/>
            <w:vAlign w:val="center"/>
          </w:tcPr>
          <w:p w:rsidR="00F80F42" w:rsidRPr="00F63F2E" w:rsidRDefault="00F80F42" w:rsidP="008B1214">
            <w:pPr>
              <w:spacing w:after="0"/>
              <w:jc w:val="center"/>
              <w:rPr>
                <w:rFonts w:ascii="Times New Roman" w:eastAsia="Times New Roman" w:hAnsi="Times New Roman" w:cs="Times New Roman"/>
                <w:b/>
                <w:bCs/>
                <w:color w:val="000000" w:themeColor="text1"/>
                <w:lang w:eastAsia="ru-RU"/>
              </w:rPr>
            </w:pPr>
            <w:r w:rsidRPr="00F63F2E">
              <w:rPr>
                <w:rFonts w:ascii="Times New Roman" w:eastAsia="Times New Roman" w:hAnsi="Times New Roman" w:cs="Times New Roman"/>
                <w:b/>
                <w:bCs/>
                <w:color w:val="000000" w:themeColor="text1"/>
                <w:lang w:eastAsia="ru-RU"/>
              </w:rPr>
              <w:t>Более 2000 млн. рублей (крупное предприятие)</w:t>
            </w:r>
          </w:p>
        </w:tc>
        <w:tc>
          <w:tcPr>
            <w:tcW w:w="551" w:type="pct"/>
            <w:shd w:val="clear" w:color="auto" w:fill="auto"/>
            <w:textDirection w:val="btLr"/>
            <w:vAlign w:val="center"/>
          </w:tcPr>
          <w:p w:rsidR="00F80F42" w:rsidRPr="00F63F2E" w:rsidRDefault="00F80F42" w:rsidP="008B1214">
            <w:pPr>
              <w:spacing w:after="0"/>
              <w:jc w:val="center"/>
              <w:rPr>
                <w:rFonts w:ascii="Times New Roman" w:eastAsia="Times New Roman" w:hAnsi="Times New Roman" w:cs="Times New Roman"/>
                <w:b/>
                <w:bCs/>
                <w:color w:val="000000" w:themeColor="text1"/>
                <w:lang w:eastAsia="ru-RU"/>
              </w:rPr>
            </w:pPr>
            <w:r w:rsidRPr="00F63F2E">
              <w:rPr>
                <w:rFonts w:ascii="Times New Roman" w:eastAsia="Times New Roman" w:hAnsi="Times New Roman" w:cs="Times New Roman"/>
                <w:b/>
                <w:bCs/>
                <w:color w:val="000000" w:themeColor="text1"/>
                <w:lang w:eastAsia="ru-RU"/>
              </w:rPr>
              <w:t>Затрудняюсь ответить</w:t>
            </w:r>
          </w:p>
        </w:tc>
      </w:tr>
      <w:tr w:rsidR="00F80F42" w:rsidRPr="00250D73" w:rsidTr="008B1214">
        <w:trPr>
          <w:trHeight w:val="20"/>
        </w:trPr>
        <w:tc>
          <w:tcPr>
            <w:tcW w:w="2186" w:type="pct"/>
            <w:gridSpan w:val="2"/>
            <w:shd w:val="clear" w:color="auto" w:fill="auto"/>
            <w:noWrap/>
            <w:vAlign w:val="center"/>
          </w:tcPr>
          <w:p w:rsidR="00F80F42" w:rsidRPr="00F63F2E" w:rsidRDefault="00F80F42" w:rsidP="008B1214">
            <w:pPr>
              <w:spacing w:after="0"/>
              <w:rPr>
                <w:rFonts w:ascii="Times New Roman" w:eastAsia="Times New Roman" w:hAnsi="Times New Roman" w:cs="Times New Roman"/>
                <w:b/>
                <w:bCs/>
                <w:color w:val="000000" w:themeColor="text1"/>
                <w:lang w:eastAsia="ru-RU"/>
              </w:rPr>
            </w:pPr>
            <w:r w:rsidRPr="00F63F2E">
              <w:rPr>
                <w:rFonts w:ascii="Times New Roman" w:eastAsia="Times New Roman" w:hAnsi="Times New Roman" w:cs="Times New Roman"/>
                <w:b/>
                <w:bCs/>
                <w:color w:val="000000" w:themeColor="text1"/>
                <w:lang w:eastAsia="ru-RU"/>
              </w:rPr>
              <w:t>В целом по изучаемым рынкам</w:t>
            </w:r>
          </w:p>
        </w:tc>
        <w:tc>
          <w:tcPr>
            <w:tcW w:w="566" w:type="pct"/>
            <w:vAlign w:val="center"/>
          </w:tcPr>
          <w:p w:rsidR="00F80F42" w:rsidRPr="00F63F2E" w:rsidRDefault="00F80F42" w:rsidP="008B1214">
            <w:pPr>
              <w:spacing w:after="0"/>
              <w:jc w:val="center"/>
              <w:rPr>
                <w:rFonts w:ascii="Times New Roman" w:eastAsia="Times New Roman" w:hAnsi="Times New Roman" w:cs="Times New Roman"/>
                <w:b/>
                <w:bCs/>
                <w:color w:val="000000" w:themeColor="text1"/>
                <w:lang w:eastAsia="ru-RU"/>
              </w:rPr>
            </w:pPr>
            <w:r w:rsidRPr="00F63F2E">
              <w:rPr>
                <w:rFonts w:ascii="Times New Roman" w:eastAsia="Times New Roman" w:hAnsi="Times New Roman" w:cs="Times New Roman"/>
                <w:b/>
                <w:bCs/>
                <w:color w:val="000000" w:themeColor="text1"/>
                <w:lang w:eastAsia="ru-RU"/>
              </w:rPr>
              <w:t>34%</w:t>
            </w:r>
          </w:p>
        </w:tc>
        <w:tc>
          <w:tcPr>
            <w:tcW w:w="566" w:type="pct"/>
            <w:vAlign w:val="center"/>
          </w:tcPr>
          <w:p w:rsidR="00F80F42" w:rsidRPr="00F63F2E" w:rsidRDefault="00F80F42" w:rsidP="008B1214">
            <w:pPr>
              <w:spacing w:after="0"/>
              <w:jc w:val="center"/>
              <w:rPr>
                <w:rFonts w:ascii="Times New Roman" w:eastAsia="Times New Roman" w:hAnsi="Times New Roman" w:cs="Times New Roman"/>
                <w:b/>
                <w:bCs/>
                <w:color w:val="000000" w:themeColor="text1"/>
                <w:lang w:eastAsia="ru-RU"/>
              </w:rPr>
            </w:pPr>
            <w:r w:rsidRPr="00F63F2E">
              <w:rPr>
                <w:rFonts w:ascii="Times New Roman" w:eastAsia="Times New Roman" w:hAnsi="Times New Roman" w:cs="Times New Roman"/>
                <w:b/>
                <w:bCs/>
                <w:color w:val="000000" w:themeColor="text1"/>
                <w:lang w:eastAsia="ru-RU"/>
              </w:rPr>
              <w:t>20%</w:t>
            </w:r>
          </w:p>
        </w:tc>
        <w:tc>
          <w:tcPr>
            <w:tcW w:w="566" w:type="pct"/>
            <w:vAlign w:val="center"/>
          </w:tcPr>
          <w:p w:rsidR="00F80F42" w:rsidRPr="00F63F2E" w:rsidRDefault="00F80F42" w:rsidP="008B1214">
            <w:pPr>
              <w:spacing w:after="0"/>
              <w:jc w:val="center"/>
              <w:rPr>
                <w:rFonts w:ascii="Times New Roman" w:eastAsia="Times New Roman" w:hAnsi="Times New Roman" w:cs="Times New Roman"/>
                <w:b/>
                <w:bCs/>
                <w:color w:val="000000" w:themeColor="text1"/>
                <w:lang w:eastAsia="ru-RU"/>
              </w:rPr>
            </w:pPr>
            <w:r w:rsidRPr="00F63F2E">
              <w:rPr>
                <w:rFonts w:ascii="Times New Roman" w:eastAsia="Times New Roman" w:hAnsi="Times New Roman" w:cs="Times New Roman"/>
                <w:b/>
                <w:bCs/>
                <w:color w:val="000000" w:themeColor="text1"/>
                <w:lang w:eastAsia="ru-RU"/>
              </w:rPr>
              <w:t>9%</w:t>
            </w:r>
          </w:p>
        </w:tc>
        <w:tc>
          <w:tcPr>
            <w:tcW w:w="566" w:type="pct"/>
            <w:vAlign w:val="center"/>
          </w:tcPr>
          <w:p w:rsidR="00F80F42" w:rsidRPr="00F63F2E" w:rsidRDefault="00F80F42" w:rsidP="008B1214">
            <w:pPr>
              <w:spacing w:after="0"/>
              <w:jc w:val="center"/>
              <w:rPr>
                <w:rFonts w:ascii="Times New Roman" w:eastAsia="Times New Roman" w:hAnsi="Times New Roman" w:cs="Times New Roman"/>
                <w:b/>
                <w:bCs/>
                <w:color w:val="000000" w:themeColor="text1"/>
                <w:lang w:eastAsia="ru-RU"/>
              </w:rPr>
            </w:pPr>
            <w:r w:rsidRPr="00F63F2E">
              <w:rPr>
                <w:rFonts w:ascii="Times New Roman" w:eastAsia="Times New Roman" w:hAnsi="Times New Roman" w:cs="Times New Roman"/>
                <w:b/>
                <w:bCs/>
                <w:color w:val="000000" w:themeColor="text1"/>
                <w:lang w:eastAsia="ru-RU"/>
              </w:rPr>
              <w:t>12%</w:t>
            </w:r>
          </w:p>
        </w:tc>
        <w:tc>
          <w:tcPr>
            <w:tcW w:w="551" w:type="pct"/>
            <w:vAlign w:val="center"/>
          </w:tcPr>
          <w:p w:rsidR="00F80F42" w:rsidRPr="00F63F2E" w:rsidRDefault="00F80F42" w:rsidP="008B1214">
            <w:pPr>
              <w:spacing w:after="0"/>
              <w:jc w:val="center"/>
              <w:rPr>
                <w:rFonts w:ascii="Times New Roman" w:eastAsia="Times New Roman" w:hAnsi="Times New Roman" w:cs="Times New Roman"/>
                <w:b/>
                <w:bCs/>
                <w:color w:val="000000" w:themeColor="text1"/>
                <w:lang w:eastAsia="ru-RU"/>
              </w:rPr>
            </w:pPr>
            <w:r w:rsidRPr="00F63F2E">
              <w:rPr>
                <w:rFonts w:ascii="Times New Roman" w:eastAsia="Times New Roman" w:hAnsi="Times New Roman" w:cs="Times New Roman"/>
                <w:b/>
                <w:bCs/>
                <w:color w:val="000000" w:themeColor="text1"/>
                <w:lang w:eastAsia="ru-RU"/>
              </w:rPr>
              <w:t>26%</w:t>
            </w:r>
          </w:p>
        </w:tc>
      </w:tr>
      <w:tr w:rsidR="00F80F42" w:rsidRPr="00250D73" w:rsidTr="008B1214">
        <w:trPr>
          <w:trHeight w:val="20"/>
        </w:trPr>
        <w:tc>
          <w:tcPr>
            <w:tcW w:w="428" w:type="pct"/>
            <w:shd w:val="clear" w:color="auto" w:fill="auto"/>
            <w:noWrap/>
            <w:vAlign w:val="center"/>
            <w:hideMark/>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w:t>
            </w:r>
          </w:p>
        </w:tc>
        <w:tc>
          <w:tcPr>
            <w:tcW w:w="1757" w:type="pct"/>
            <w:shd w:val="clear" w:color="auto" w:fill="auto"/>
            <w:vAlign w:val="bottom"/>
          </w:tcPr>
          <w:p w:rsidR="00F80F42" w:rsidRPr="00F63F2E" w:rsidRDefault="00F80F42" w:rsidP="008B1214">
            <w:pPr>
              <w:spacing w:after="0"/>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Рынок услуг дошкольного образования</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64%</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27%</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 </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 </w:t>
            </w:r>
          </w:p>
        </w:tc>
        <w:tc>
          <w:tcPr>
            <w:tcW w:w="551"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9%</w:t>
            </w:r>
          </w:p>
        </w:tc>
      </w:tr>
      <w:tr w:rsidR="00F80F42" w:rsidRPr="00250D73" w:rsidTr="008B1214">
        <w:trPr>
          <w:trHeight w:val="20"/>
        </w:trPr>
        <w:tc>
          <w:tcPr>
            <w:tcW w:w="428" w:type="pct"/>
            <w:shd w:val="clear" w:color="auto" w:fill="auto"/>
            <w:noWrap/>
            <w:vAlign w:val="center"/>
            <w:hideMark/>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w:t>
            </w:r>
          </w:p>
        </w:tc>
        <w:tc>
          <w:tcPr>
            <w:tcW w:w="1757" w:type="pct"/>
            <w:shd w:val="clear" w:color="auto" w:fill="auto"/>
            <w:vAlign w:val="bottom"/>
          </w:tcPr>
          <w:p w:rsidR="00F80F42" w:rsidRPr="00F63F2E" w:rsidRDefault="00F80F42" w:rsidP="008B1214">
            <w:pPr>
              <w:spacing w:after="0"/>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Рынок услуг общего образования</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30%</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20%</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10%</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20%</w:t>
            </w:r>
          </w:p>
        </w:tc>
        <w:tc>
          <w:tcPr>
            <w:tcW w:w="551"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20%</w:t>
            </w:r>
          </w:p>
        </w:tc>
      </w:tr>
      <w:tr w:rsidR="00F80F42" w:rsidRPr="00250D73" w:rsidTr="008B1214">
        <w:trPr>
          <w:trHeight w:val="20"/>
        </w:trPr>
        <w:tc>
          <w:tcPr>
            <w:tcW w:w="428" w:type="pct"/>
            <w:shd w:val="clear" w:color="auto" w:fill="auto"/>
            <w:noWrap/>
            <w:vAlign w:val="center"/>
            <w:hideMark/>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3</w:t>
            </w:r>
          </w:p>
        </w:tc>
        <w:tc>
          <w:tcPr>
            <w:tcW w:w="1757" w:type="pct"/>
            <w:shd w:val="clear" w:color="auto" w:fill="auto"/>
            <w:vAlign w:val="bottom"/>
          </w:tcPr>
          <w:p w:rsidR="00F80F42" w:rsidRPr="00F63F2E" w:rsidRDefault="00F80F42" w:rsidP="008B1214">
            <w:pPr>
              <w:spacing w:after="0"/>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Рынок услуг среднего профессионального образования</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30%</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50%</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 </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10%</w:t>
            </w:r>
          </w:p>
        </w:tc>
        <w:tc>
          <w:tcPr>
            <w:tcW w:w="551"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10%</w:t>
            </w:r>
          </w:p>
        </w:tc>
      </w:tr>
      <w:tr w:rsidR="00F80F42" w:rsidRPr="00250D73" w:rsidTr="008B1214">
        <w:trPr>
          <w:trHeight w:val="20"/>
        </w:trPr>
        <w:tc>
          <w:tcPr>
            <w:tcW w:w="428" w:type="pct"/>
            <w:shd w:val="clear" w:color="auto" w:fill="auto"/>
            <w:noWrap/>
            <w:vAlign w:val="center"/>
            <w:hideMark/>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4</w:t>
            </w:r>
          </w:p>
        </w:tc>
        <w:tc>
          <w:tcPr>
            <w:tcW w:w="1757" w:type="pct"/>
            <w:shd w:val="clear" w:color="auto" w:fill="auto"/>
            <w:vAlign w:val="bottom"/>
          </w:tcPr>
          <w:p w:rsidR="00F80F42" w:rsidRPr="00F63F2E" w:rsidRDefault="00F80F42" w:rsidP="008B1214">
            <w:pPr>
              <w:spacing w:after="0"/>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Рынок услуг дополнительного образования детей</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58%</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25%</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8%</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 </w:t>
            </w:r>
          </w:p>
        </w:tc>
        <w:tc>
          <w:tcPr>
            <w:tcW w:w="551"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8%</w:t>
            </w:r>
          </w:p>
        </w:tc>
      </w:tr>
      <w:tr w:rsidR="00F80F42" w:rsidRPr="00250D73" w:rsidTr="008B1214">
        <w:trPr>
          <w:trHeight w:val="20"/>
        </w:trPr>
        <w:tc>
          <w:tcPr>
            <w:tcW w:w="428" w:type="pct"/>
            <w:shd w:val="clear" w:color="auto" w:fill="auto"/>
            <w:noWrap/>
            <w:vAlign w:val="center"/>
            <w:hideMark/>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5</w:t>
            </w:r>
          </w:p>
        </w:tc>
        <w:tc>
          <w:tcPr>
            <w:tcW w:w="1757" w:type="pct"/>
            <w:shd w:val="clear" w:color="auto" w:fill="auto"/>
            <w:vAlign w:val="bottom"/>
          </w:tcPr>
          <w:p w:rsidR="00F80F42" w:rsidRPr="00F63F2E" w:rsidRDefault="00F80F42" w:rsidP="008B1214">
            <w:pPr>
              <w:spacing w:after="0"/>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Рынок услуг детского отдыха и оздоровления</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80%</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 </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10%</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 </w:t>
            </w:r>
          </w:p>
        </w:tc>
        <w:tc>
          <w:tcPr>
            <w:tcW w:w="551"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10%</w:t>
            </w:r>
          </w:p>
        </w:tc>
      </w:tr>
      <w:tr w:rsidR="00F80F42" w:rsidRPr="00250D73" w:rsidTr="008B1214">
        <w:trPr>
          <w:trHeight w:val="20"/>
        </w:trPr>
        <w:tc>
          <w:tcPr>
            <w:tcW w:w="428" w:type="pct"/>
            <w:shd w:val="clear" w:color="auto" w:fill="auto"/>
            <w:noWrap/>
            <w:vAlign w:val="center"/>
            <w:hideMark/>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6</w:t>
            </w:r>
          </w:p>
        </w:tc>
        <w:tc>
          <w:tcPr>
            <w:tcW w:w="1757" w:type="pct"/>
            <w:shd w:val="clear" w:color="auto" w:fill="auto"/>
            <w:vAlign w:val="bottom"/>
          </w:tcPr>
          <w:p w:rsidR="00F80F42" w:rsidRPr="00F63F2E" w:rsidRDefault="00F80F42" w:rsidP="008B1214">
            <w:pPr>
              <w:spacing w:after="0"/>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 xml:space="preserve">Рынок услуг розничной торговли </w:t>
            </w:r>
            <w:r w:rsidRPr="00F63F2E">
              <w:rPr>
                <w:rFonts w:ascii="Times New Roman" w:eastAsia="Times New Roman" w:hAnsi="Times New Roman" w:cs="Times New Roman"/>
                <w:color w:val="000000" w:themeColor="text1"/>
                <w:lang w:eastAsia="ru-RU"/>
              </w:rPr>
              <w:lastRenderedPageBreak/>
              <w:t>лекарственными препаратами, медицинскими изделиями и сопутствующими товарами</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lastRenderedPageBreak/>
              <w:t>27%</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14%</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14%</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18%</w:t>
            </w:r>
          </w:p>
        </w:tc>
        <w:tc>
          <w:tcPr>
            <w:tcW w:w="551"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27%</w:t>
            </w:r>
          </w:p>
        </w:tc>
      </w:tr>
      <w:tr w:rsidR="00F80F42" w:rsidRPr="00250D73" w:rsidTr="008B1214">
        <w:trPr>
          <w:trHeight w:val="20"/>
        </w:trPr>
        <w:tc>
          <w:tcPr>
            <w:tcW w:w="428" w:type="pct"/>
            <w:shd w:val="clear" w:color="auto" w:fill="auto"/>
            <w:noWrap/>
            <w:vAlign w:val="center"/>
            <w:hideMark/>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lastRenderedPageBreak/>
              <w:t>7</w:t>
            </w:r>
          </w:p>
        </w:tc>
        <w:tc>
          <w:tcPr>
            <w:tcW w:w="1757" w:type="pct"/>
            <w:shd w:val="clear" w:color="auto" w:fill="auto"/>
            <w:vAlign w:val="bottom"/>
          </w:tcPr>
          <w:p w:rsidR="00F80F42" w:rsidRPr="00F63F2E" w:rsidRDefault="00F80F42" w:rsidP="008B1214">
            <w:pPr>
              <w:spacing w:after="0"/>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Рынок социальных услуг</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47%</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19%</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3%</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14%</w:t>
            </w:r>
          </w:p>
        </w:tc>
        <w:tc>
          <w:tcPr>
            <w:tcW w:w="551"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17%</w:t>
            </w:r>
          </w:p>
        </w:tc>
      </w:tr>
      <w:tr w:rsidR="00F80F42" w:rsidRPr="00250D73" w:rsidTr="008B1214">
        <w:trPr>
          <w:trHeight w:val="20"/>
        </w:trPr>
        <w:tc>
          <w:tcPr>
            <w:tcW w:w="428" w:type="pct"/>
            <w:shd w:val="clear" w:color="auto" w:fill="auto"/>
            <w:noWrap/>
            <w:vAlign w:val="center"/>
            <w:hideMark/>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8</w:t>
            </w:r>
          </w:p>
        </w:tc>
        <w:tc>
          <w:tcPr>
            <w:tcW w:w="1757" w:type="pct"/>
            <w:shd w:val="clear" w:color="auto" w:fill="auto"/>
            <w:vAlign w:val="bottom"/>
          </w:tcPr>
          <w:p w:rsidR="00F80F42" w:rsidRPr="00F63F2E" w:rsidRDefault="00F80F42" w:rsidP="008B1214">
            <w:pPr>
              <w:spacing w:after="0"/>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Рынок теплоснабжения (производство тепловой энергии)</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 </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18%</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9%</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9%</w:t>
            </w:r>
          </w:p>
        </w:tc>
        <w:tc>
          <w:tcPr>
            <w:tcW w:w="551"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64%</w:t>
            </w:r>
          </w:p>
        </w:tc>
      </w:tr>
      <w:tr w:rsidR="00F80F42" w:rsidRPr="00250D73" w:rsidTr="008B1214">
        <w:trPr>
          <w:trHeight w:val="20"/>
        </w:trPr>
        <w:tc>
          <w:tcPr>
            <w:tcW w:w="428" w:type="pct"/>
            <w:shd w:val="clear" w:color="auto" w:fill="auto"/>
            <w:noWrap/>
            <w:vAlign w:val="center"/>
            <w:hideMark/>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9</w:t>
            </w:r>
          </w:p>
        </w:tc>
        <w:tc>
          <w:tcPr>
            <w:tcW w:w="1757" w:type="pct"/>
            <w:shd w:val="clear" w:color="auto" w:fill="auto"/>
            <w:vAlign w:val="bottom"/>
          </w:tcPr>
          <w:p w:rsidR="00F80F42" w:rsidRPr="00F63F2E" w:rsidRDefault="00F80F42" w:rsidP="008B1214">
            <w:pPr>
              <w:spacing w:after="0"/>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Рынок услуг по сбору и транспортированию твердых коммунальных отходов</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30%</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20%</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20%</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 </w:t>
            </w:r>
          </w:p>
        </w:tc>
        <w:tc>
          <w:tcPr>
            <w:tcW w:w="551"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30%</w:t>
            </w:r>
          </w:p>
        </w:tc>
      </w:tr>
      <w:tr w:rsidR="00F80F42" w:rsidRPr="00250D73" w:rsidTr="008B1214">
        <w:trPr>
          <w:trHeight w:val="20"/>
        </w:trPr>
        <w:tc>
          <w:tcPr>
            <w:tcW w:w="428" w:type="pct"/>
            <w:shd w:val="clear" w:color="auto" w:fill="auto"/>
            <w:noWrap/>
            <w:vAlign w:val="center"/>
            <w:hideMark/>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10</w:t>
            </w:r>
          </w:p>
        </w:tc>
        <w:tc>
          <w:tcPr>
            <w:tcW w:w="1757" w:type="pct"/>
            <w:shd w:val="clear" w:color="auto" w:fill="auto"/>
            <w:vAlign w:val="bottom"/>
          </w:tcPr>
          <w:p w:rsidR="00F80F42" w:rsidRPr="00F63F2E" w:rsidRDefault="00F80F42" w:rsidP="008B1214">
            <w:pPr>
              <w:spacing w:after="0"/>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Рынок выполнения работ по содержанию и текущему ремонту общего имущества собственников помещений в многоквартирном доме</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26%</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33%</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7%</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19%</w:t>
            </w:r>
          </w:p>
        </w:tc>
        <w:tc>
          <w:tcPr>
            <w:tcW w:w="551"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15%</w:t>
            </w:r>
          </w:p>
        </w:tc>
      </w:tr>
      <w:tr w:rsidR="00F80F42" w:rsidRPr="00250D73" w:rsidTr="008B1214">
        <w:trPr>
          <w:trHeight w:val="20"/>
        </w:trPr>
        <w:tc>
          <w:tcPr>
            <w:tcW w:w="428" w:type="pct"/>
            <w:shd w:val="clear" w:color="auto" w:fill="auto"/>
            <w:noWrap/>
            <w:vAlign w:val="center"/>
            <w:hideMark/>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11</w:t>
            </w:r>
          </w:p>
        </w:tc>
        <w:tc>
          <w:tcPr>
            <w:tcW w:w="1757" w:type="pct"/>
            <w:shd w:val="clear" w:color="auto" w:fill="auto"/>
            <w:vAlign w:val="bottom"/>
          </w:tcPr>
          <w:p w:rsidR="00F80F42" w:rsidRPr="00F63F2E" w:rsidRDefault="00F80F42" w:rsidP="008B1214">
            <w:pPr>
              <w:spacing w:after="0"/>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Рынок купли-продажи электрической энергии (мощности) на розничном рынке электрической энергии (мощности)</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 </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10%</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10%</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30%</w:t>
            </w:r>
          </w:p>
        </w:tc>
        <w:tc>
          <w:tcPr>
            <w:tcW w:w="551"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50%</w:t>
            </w:r>
          </w:p>
        </w:tc>
      </w:tr>
      <w:tr w:rsidR="00F80F42" w:rsidRPr="00250D73" w:rsidTr="008B1214">
        <w:trPr>
          <w:trHeight w:val="20"/>
        </w:trPr>
        <w:tc>
          <w:tcPr>
            <w:tcW w:w="428" w:type="pct"/>
            <w:shd w:val="clear" w:color="auto" w:fill="auto"/>
            <w:noWrap/>
            <w:vAlign w:val="center"/>
            <w:hideMark/>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12</w:t>
            </w:r>
          </w:p>
        </w:tc>
        <w:tc>
          <w:tcPr>
            <w:tcW w:w="1756" w:type="pct"/>
            <w:shd w:val="clear" w:color="auto" w:fill="auto"/>
            <w:vAlign w:val="bottom"/>
          </w:tcPr>
          <w:p w:rsidR="00F80F42" w:rsidRPr="00F63F2E" w:rsidRDefault="00F80F42" w:rsidP="008B1214">
            <w:pPr>
              <w:spacing w:after="0"/>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 </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20%</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20%</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30%</w:t>
            </w:r>
          </w:p>
        </w:tc>
        <w:tc>
          <w:tcPr>
            <w:tcW w:w="552"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30%</w:t>
            </w:r>
          </w:p>
        </w:tc>
      </w:tr>
      <w:tr w:rsidR="00F80F42" w:rsidRPr="00250D73" w:rsidTr="008B1214">
        <w:trPr>
          <w:trHeight w:val="20"/>
        </w:trPr>
        <w:tc>
          <w:tcPr>
            <w:tcW w:w="428" w:type="pct"/>
            <w:shd w:val="clear" w:color="auto" w:fill="auto"/>
            <w:noWrap/>
            <w:vAlign w:val="center"/>
            <w:hideMark/>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13</w:t>
            </w:r>
          </w:p>
        </w:tc>
        <w:tc>
          <w:tcPr>
            <w:tcW w:w="1756" w:type="pct"/>
            <w:shd w:val="clear" w:color="auto" w:fill="auto"/>
            <w:vAlign w:val="bottom"/>
          </w:tcPr>
          <w:p w:rsidR="00F80F42" w:rsidRPr="00F63F2E" w:rsidRDefault="00F80F42" w:rsidP="008B1214">
            <w:pPr>
              <w:spacing w:after="0"/>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Рынок оказания услуг по перевозке пассажиров автомобильным транспортом по муниципальным маршрутам регулярных перевозок</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27%</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9%</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 </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36%</w:t>
            </w:r>
          </w:p>
        </w:tc>
        <w:tc>
          <w:tcPr>
            <w:tcW w:w="552"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27%</w:t>
            </w:r>
          </w:p>
        </w:tc>
      </w:tr>
      <w:tr w:rsidR="00F80F42" w:rsidRPr="00250D73" w:rsidTr="008B1214">
        <w:trPr>
          <w:trHeight w:val="20"/>
        </w:trPr>
        <w:tc>
          <w:tcPr>
            <w:tcW w:w="428" w:type="pct"/>
            <w:shd w:val="clear" w:color="auto" w:fill="auto"/>
            <w:noWrap/>
            <w:vAlign w:val="center"/>
            <w:hideMark/>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14</w:t>
            </w:r>
          </w:p>
        </w:tc>
        <w:tc>
          <w:tcPr>
            <w:tcW w:w="1756" w:type="pct"/>
            <w:shd w:val="clear" w:color="auto" w:fill="auto"/>
            <w:vAlign w:val="bottom"/>
          </w:tcPr>
          <w:p w:rsidR="00F80F42" w:rsidRPr="00F63F2E" w:rsidRDefault="00F80F42" w:rsidP="008B1214">
            <w:pPr>
              <w:spacing w:after="0"/>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Рынок оказания услуг по перевозке пассажиров автомобильным транспортом по межмуниципальным маршрутам регулярных перевозок</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10%</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10%</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10%</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50%</w:t>
            </w:r>
          </w:p>
        </w:tc>
        <w:tc>
          <w:tcPr>
            <w:tcW w:w="552"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20%</w:t>
            </w:r>
          </w:p>
        </w:tc>
      </w:tr>
      <w:tr w:rsidR="00F80F42" w:rsidRPr="00250D73" w:rsidTr="008B1214">
        <w:trPr>
          <w:trHeight w:val="20"/>
        </w:trPr>
        <w:tc>
          <w:tcPr>
            <w:tcW w:w="428" w:type="pct"/>
            <w:shd w:val="clear" w:color="auto" w:fill="auto"/>
            <w:noWrap/>
            <w:vAlign w:val="center"/>
            <w:hideMark/>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15</w:t>
            </w:r>
          </w:p>
        </w:tc>
        <w:tc>
          <w:tcPr>
            <w:tcW w:w="1756" w:type="pct"/>
            <w:shd w:val="clear" w:color="auto" w:fill="auto"/>
            <w:vAlign w:val="bottom"/>
          </w:tcPr>
          <w:p w:rsidR="00F80F42" w:rsidRPr="00F63F2E" w:rsidRDefault="00F80F42" w:rsidP="008B1214">
            <w:pPr>
              <w:spacing w:after="0"/>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Рынок оказания услуг по перевозке пассажиров и багажа легковым такси на территории Ленинградской области</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36%</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 </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9%</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27%</w:t>
            </w:r>
          </w:p>
        </w:tc>
        <w:tc>
          <w:tcPr>
            <w:tcW w:w="552"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27%</w:t>
            </w:r>
          </w:p>
        </w:tc>
      </w:tr>
      <w:tr w:rsidR="00F80F42" w:rsidRPr="00250D73" w:rsidTr="008B1214">
        <w:trPr>
          <w:trHeight w:val="20"/>
        </w:trPr>
        <w:tc>
          <w:tcPr>
            <w:tcW w:w="428" w:type="pct"/>
            <w:shd w:val="clear" w:color="auto" w:fill="auto"/>
            <w:noWrap/>
            <w:vAlign w:val="center"/>
            <w:hideMark/>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16</w:t>
            </w:r>
          </w:p>
        </w:tc>
        <w:tc>
          <w:tcPr>
            <w:tcW w:w="1756" w:type="pct"/>
            <w:shd w:val="clear" w:color="auto" w:fill="auto"/>
            <w:vAlign w:val="bottom"/>
          </w:tcPr>
          <w:p w:rsidR="00F80F42" w:rsidRPr="00F63F2E" w:rsidRDefault="00F80F42" w:rsidP="008B1214">
            <w:pPr>
              <w:spacing w:after="0"/>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Рынок оказания услуг по ремонту автотранспортных средств</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19%</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16%</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13%</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13%</w:t>
            </w:r>
          </w:p>
        </w:tc>
        <w:tc>
          <w:tcPr>
            <w:tcW w:w="552"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41%</w:t>
            </w:r>
          </w:p>
        </w:tc>
      </w:tr>
      <w:tr w:rsidR="00F80F42" w:rsidRPr="00250D73" w:rsidTr="008B1214">
        <w:trPr>
          <w:trHeight w:val="20"/>
        </w:trPr>
        <w:tc>
          <w:tcPr>
            <w:tcW w:w="428" w:type="pct"/>
            <w:shd w:val="clear" w:color="auto" w:fill="auto"/>
            <w:noWrap/>
            <w:vAlign w:val="center"/>
            <w:hideMark/>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17</w:t>
            </w:r>
          </w:p>
        </w:tc>
        <w:tc>
          <w:tcPr>
            <w:tcW w:w="1756" w:type="pct"/>
            <w:shd w:val="clear" w:color="auto" w:fill="auto"/>
            <w:vAlign w:val="bottom"/>
          </w:tcPr>
          <w:p w:rsidR="00F80F42" w:rsidRPr="00F63F2E" w:rsidRDefault="00F80F42" w:rsidP="008D7368">
            <w:pPr>
              <w:spacing w:after="0"/>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 xml:space="preserve">Рынок услуг связи, в том числе услуг по предоставлению </w:t>
            </w:r>
            <w:r w:rsidRPr="00F63F2E">
              <w:rPr>
                <w:rFonts w:ascii="Times New Roman" w:eastAsia="Times New Roman" w:hAnsi="Times New Roman" w:cs="Times New Roman"/>
                <w:color w:val="000000" w:themeColor="text1"/>
                <w:lang w:eastAsia="ru-RU"/>
              </w:rPr>
              <w:lastRenderedPageBreak/>
              <w:t xml:space="preserve">широкополосного доступа к информационно-телекоммуникационной сети </w:t>
            </w:r>
            <w:r w:rsidR="008D7368">
              <w:rPr>
                <w:rFonts w:ascii="Times New Roman" w:eastAsia="Times New Roman" w:hAnsi="Times New Roman" w:cs="Times New Roman"/>
                <w:color w:val="000000" w:themeColor="text1"/>
                <w:lang w:eastAsia="ru-RU"/>
              </w:rPr>
              <w:t>«</w:t>
            </w:r>
            <w:r w:rsidRPr="00F63F2E">
              <w:rPr>
                <w:rFonts w:ascii="Times New Roman" w:eastAsia="Times New Roman" w:hAnsi="Times New Roman" w:cs="Times New Roman"/>
                <w:color w:val="000000" w:themeColor="text1"/>
                <w:lang w:eastAsia="ru-RU"/>
              </w:rPr>
              <w:t>Интернет</w:t>
            </w:r>
            <w:r w:rsidR="008D7368">
              <w:rPr>
                <w:rFonts w:ascii="Times New Roman" w:eastAsia="Times New Roman" w:hAnsi="Times New Roman" w:cs="Times New Roman"/>
                <w:color w:val="000000" w:themeColor="text1"/>
                <w:lang w:eastAsia="ru-RU"/>
              </w:rPr>
              <w:t>»</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lastRenderedPageBreak/>
              <w:t>19%</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12%</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19%</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15%</w:t>
            </w:r>
          </w:p>
        </w:tc>
        <w:tc>
          <w:tcPr>
            <w:tcW w:w="552"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35%</w:t>
            </w:r>
          </w:p>
        </w:tc>
      </w:tr>
      <w:tr w:rsidR="00F80F42" w:rsidRPr="00250D73" w:rsidTr="008B1214">
        <w:trPr>
          <w:trHeight w:val="20"/>
        </w:trPr>
        <w:tc>
          <w:tcPr>
            <w:tcW w:w="428" w:type="pct"/>
            <w:shd w:val="clear" w:color="auto" w:fill="auto"/>
            <w:noWrap/>
            <w:vAlign w:val="center"/>
            <w:hideMark/>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lastRenderedPageBreak/>
              <w:t>18</w:t>
            </w:r>
          </w:p>
        </w:tc>
        <w:tc>
          <w:tcPr>
            <w:tcW w:w="1756" w:type="pct"/>
            <w:shd w:val="clear" w:color="auto" w:fill="auto"/>
            <w:vAlign w:val="bottom"/>
          </w:tcPr>
          <w:p w:rsidR="00F80F42" w:rsidRPr="00F63F2E" w:rsidRDefault="00F80F42" w:rsidP="008B1214">
            <w:pPr>
              <w:spacing w:after="0"/>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Рынок жилищного строительства</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22%</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26%</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20%</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7%</w:t>
            </w:r>
          </w:p>
        </w:tc>
        <w:tc>
          <w:tcPr>
            <w:tcW w:w="552"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26%</w:t>
            </w:r>
          </w:p>
        </w:tc>
      </w:tr>
      <w:tr w:rsidR="00F80F42" w:rsidRPr="00250D73" w:rsidTr="008B1214">
        <w:trPr>
          <w:trHeight w:val="20"/>
        </w:trPr>
        <w:tc>
          <w:tcPr>
            <w:tcW w:w="428" w:type="pct"/>
            <w:shd w:val="clear" w:color="auto" w:fill="auto"/>
            <w:noWrap/>
            <w:vAlign w:val="center"/>
            <w:hideMark/>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19</w:t>
            </w:r>
          </w:p>
        </w:tc>
        <w:tc>
          <w:tcPr>
            <w:tcW w:w="1756" w:type="pct"/>
            <w:shd w:val="clear" w:color="auto" w:fill="auto"/>
            <w:vAlign w:val="bottom"/>
          </w:tcPr>
          <w:p w:rsidR="00F80F42" w:rsidRPr="00F63F2E" w:rsidRDefault="00F80F42" w:rsidP="008B1214">
            <w:pPr>
              <w:spacing w:after="0"/>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Рынок строительства объектов капитального строительства, за исключением жилищного и дорожного строительства</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23%</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38%</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9%</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4%</w:t>
            </w:r>
          </w:p>
        </w:tc>
        <w:tc>
          <w:tcPr>
            <w:tcW w:w="552"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26%</w:t>
            </w:r>
          </w:p>
        </w:tc>
      </w:tr>
      <w:tr w:rsidR="00F80F42" w:rsidRPr="00250D73" w:rsidTr="008B1214">
        <w:trPr>
          <w:trHeight w:val="20"/>
        </w:trPr>
        <w:tc>
          <w:tcPr>
            <w:tcW w:w="428" w:type="pct"/>
            <w:shd w:val="clear" w:color="auto" w:fill="auto"/>
            <w:noWrap/>
            <w:vAlign w:val="center"/>
            <w:hideMark/>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20</w:t>
            </w:r>
          </w:p>
        </w:tc>
        <w:tc>
          <w:tcPr>
            <w:tcW w:w="1756" w:type="pct"/>
            <w:shd w:val="clear" w:color="auto" w:fill="auto"/>
            <w:vAlign w:val="bottom"/>
          </w:tcPr>
          <w:p w:rsidR="00F80F42" w:rsidRPr="00F63F2E" w:rsidRDefault="00F80F42" w:rsidP="008B1214">
            <w:pPr>
              <w:spacing w:after="0"/>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Рынок архитектурно-строительного проектирования</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18%</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21%</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21%</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12%</w:t>
            </w:r>
          </w:p>
        </w:tc>
        <w:tc>
          <w:tcPr>
            <w:tcW w:w="552"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29%</w:t>
            </w:r>
          </w:p>
        </w:tc>
      </w:tr>
      <w:tr w:rsidR="00F80F42" w:rsidRPr="00250D73" w:rsidTr="008B1214">
        <w:trPr>
          <w:trHeight w:val="20"/>
        </w:trPr>
        <w:tc>
          <w:tcPr>
            <w:tcW w:w="428" w:type="pct"/>
            <w:shd w:val="clear" w:color="auto" w:fill="auto"/>
            <w:noWrap/>
            <w:vAlign w:val="center"/>
            <w:hideMark/>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21</w:t>
            </w:r>
          </w:p>
        </w:tc>
        <w:tc>
          <w:tcPr>
            <w:tcW w:w="1756" w:type="pct"/>
            <w:shd w:val="clear" w:color="auto" w:fill="auto"/>
            <w:vAlign w:val="bottom"/>
          </w:tcPr>
          <w:p w:rsidR="00F80F42" w:rsidRPr="00F63F2E" w:rsidRDefault="00F80F42" w:rsidP="008B1214">
            <w:pPr>
              <w:spacing w:after="0"/>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Рынок кадастровых и землеустроительных работ</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36%</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27%</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9%</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 </w:t>
            </w:r>
          </w:p>
        </w:tc>
        <w:tc>
          <w:tcPr>
            <w:tcW w:w="552"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27%</w:t>
            </w:r>
          </w:p>
        </w:tc>
      </w:tr>
      <w:tr w:rsidR="00F80F42" w:rsidRPr="00250D73" w:rsidTr="008B1214">
        <w:trPr>
          <w:trHeight w:val="20"/>
        </w:trPr>
        <w:tc>
          <w:tcPr>
            <w:tcW w:w="428" w:type="pct"/>
            <w:shd w:val="clear" w:color="auto" w:fill="auto"/>
            <w:noWrap/>
            <w:vAlign w:val="center"/>
            <w:hideMark/>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22</w:t>
            </w:r>
          </w:p>
        </w:tc>
        <w:tc>
          <w:tcPr>
            <w:tcW w:w="1756" w:type="pct"/>
            <w:shd w:val="clear" w:color="auto" w:fill="auto"/>
            <w:vAlign w:val="bottom"/>
          </w:tcPr>
          <w:p w:rsidR="00F80F42" w:rsidRPr="00F63F2E" w:rsidRDefault="00F80F42" w:rsidP="008B1214">
            <w:pPr>
              <w:spacing w:after="0"/>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Рынок племенного животноводства</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38%</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31%</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6%</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6%</w:t>
            </w:r>
          </w:p>
        </w:tc>
        <w:tc>
          <w:tcPr>
            <w:tcW w:w="552"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19%</w:t>
            </w:r>
          </w:p>
        </w:tc>
      </w:tr>
      <w:tr w:rsidR="00F80F42" w:rsidRPr="00250D73" w:rsidTr="008B1214">
        <w:trPr>
          <w:trHeight w:val="20"/>
        </w:trPr>
        <w:tc>
          <w:tcPr>
            <w:tcW w:w="428" w:type="pct"/>
            <w:shd w:val="clear" w:color="auto" w:fill="auto"/>
            <w:noWrap/>
            <w:vAlign w:val="center"/>
            <w:hideMark/>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23</w:t>
            </w:r>
          </w:p>
        </w:tc>
        <w:tc>
          <w:tcPr>
            <w:tcW w:w="1756" w:type="pct"/>
            <w:shd w:val="clear" w:color="auto" w:fill="auto"/>
            <w:vAlign w:val="bottom"/>
          </w:tcPr>
          <w:p w:rsidR="00F80F42" w:rsidRPr="00F63F2E" w:rsidRDefault="00F80F42" w:rsidP="008B1214">
            <w:pPr>
              <w:spacing w:after="0"/>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Рынок семеноводства</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50%</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7%</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14%</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7%</w:t>
            </w:r>
          </w:p>
        </w:tc>
        <w:tc>
          <w:tcPr>
            <w:tcW w:w="552"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21%</w:t>
            </w:r>
          </w:p>
        </w:tc>
      </w:tr>
      <w:tr w:rsidR="00F80F42" w:rsidRPr="00250D73" w:rsidTr="008B1214">
        <w:trPr>
          <w:trHeight w:val="20"/>
        </w:trPr>
        <w:tc>
          <w:tcPr>
            <w:tcW w:w="428" w:type="pct"/>
            <w:shd w:val="clear" w:color="auto" w:fill="auto"/>
            <w:noWrap/>
            <w:vAlign w:val="center"/>
            <w:hideMark/>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24</w:t>
            </w:r>
          </w:p>
        </w:tc>
        <w:tc>
          <w:tcPr>
            <w:tcW w:w="1756" w:type="pct"/>
            <w:shd w:val="clear" w:color="auto" w:fill="auto"/>
            <w:vAlign w:val="bottom"/>
          </w:tcPr>
          <w:p w:rsidR="00F80F42" w:rsidRPr="00F63F2E" w:rsidRDefault="00F80F42" w:rsidP="008B1214">
            <w:pPr>
              <w:spacing w:after="0"/>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Рынок вылова водных биоресурсов</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50%</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30%</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 </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 </w:t>
            </w:r>
          </w:p>
        </w:tc>
        <w:tc>
          <w:tcPr>
            <w:tcW w:w="552"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20%</w:t>
            </w:r>
          </w:p>
        </w:tc>
      </w:tr>
      <w:tr w:rsidR="00F80F42" w:rsidRPr="00250D73" w:rsidTr="008B1214">
        <w:trPr>
          <w:trHeight w:val="20"/>
        </w:trPr>
        <w:tc>
          <w:tcPr>
            <w:tcW w:w="428" w:type="pct"/>
            <w:shd w:val="clear" w:color="auto" w:fill="auto"/>
            <w:noWrap/>
            <w:vAlign w:val="center"/>
            <w:hideMark/>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25</w:t>
            </w:r>
          </w:p>
        </w:tc>
        <w:tc>
          <w:tcPr>
            <w:tcW w:w="1756" w:type="pct"/>
            <w:shd w:val="clear" w:color="auto" w:fill="auto"/>
            <w:vAlign w:val="bottom"/>
          </w:tcPr>
          <w:p w:rsidR="00F80F42" w:rsidRPr="00F63F2E" w:rsidRDefault="00F80F42" w:rsidP="008B1214">
            <w:pPr>
              <w:spacing w:after="0"/>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Рынок переработки водных биоресурсов</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80%</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 </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10%</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10%</w:t>
            </w:r>
          </w:p>
        </w:tc>
        <w:tc>
          <w:tcPr>
            <w:tcW w:w="552"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 </w:t>
            </w:r>
          </w:p>
        </w:tc>
      </w:tr>
      <w:tr w:rsidR="00F80F42" w:rsidRPr="00250D73" w:rsidTr="008B1214">
        <w:trPr>
          <w:trHeight w:val="20"/>
        </w:trPr>
        <w:tc>
          <w:tcPr>
            <w:tcW w:w="428" w:type="pct"/>
            <w:shd w:val="clear" w:color="auto" w:fill="auto"/>
            <w:noWrap/>
            <w:vAlign w:val="center"/>
            <w:hideMark/>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26</w:t>
            </w:r>
          </w:p>
        </w:tc>
        <w:tc>
          <w:tcPr>
            <w:tcW w:w="1756" w:type="pct"/>
            <w:shd w:val="clear" w:color="auto" w:fill="auto"/>
            <w:vAlign w:val="bottom"/>
          </w:tcPr>
          <w:p w:rsidR="00F80F42" w:rsidRPr="00F63F2E" w:rsidRDefault="00F80F42" w:rsidP="008B1214">
            <w:pPr>
              <w:spacing w:after="0"/>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Рынок товарной аквакультуры</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42%</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17%</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17%</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17%</w:t>
            </w:r>
          </w:p>
        </w:tc>
        <w:tc>
          <w:tcPr>
            <w:tcW w:w="552"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8%</w:t>
            </w:r>
          </w:p>
        </w:tc>
      </w:tr>
      <w:tr w:rsidR="00F80F42" w:rsidRPr="00250D73" w:rsidTr="008B1214">
        <w:trPr>
          <w:trHeight w:val="20"/>
        </w:trPr>
        <w:tc>
          <w:tcPr>
            <w:tcW w:w="428" w:type="pct"/>
            <w:shd w:val="clear" w:color="auto" w:fill="auto"/>
            <w:noWrap/>
            <w:vAlign w:val="center"/>
            <w:hideMark/>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27</w:t>
            </w:r>
          </w:p>
        </w:tc>
        <w:tc>
          <w:tcPr>
            <w:tcW w:w="1756" w:type="pct"/>
            <w:shd w:val="clear" w:color="auto" w:fill="auto"/>
            <w:vAlign w:val="bottom"/>
          </w:tcPr>
          <w:p w:rsidR="00F80F42" w:rsidRPr="00F63F2E" w:rsidRDefault="00F80F42" w:rsidP="008B1214">
            <w:pPr>
              <w:spacing w:after="0"/>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Рынок добычи общераспространенных полезных ископаемых на участках недр местного значения</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18%</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36%</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9%</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18%</w:t>
            </w:r>
          </w:p>
        </w:tc>
        <w:tc>
          <w:tcPr>
            <w:tcW w:w="552"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18%</w:t>
            </w:r>
          </w:p>
        </w:tc>
      </w:tr>
      <w:tr w:rsidR="00F80F42" w:rsidRPr="00250D73" w:rsidTr="008B1214">
        <w:trPr>
          <w:trHeight w:val="20"/>
        </w:trPr>
        <w:tc>
          <w:tcPr>
            <w:tcW w:w="428" w:type="pct"/>
            <w:shd w:val="clear" w:color="auto" w:fill="auto"/>
            <w:noWrap/>
            <w:vAlign w:val="center"/>
            <w:hideMark/>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28</w:t>
            </w:r>
          </w:p>
        </w:tc>
        <w:tc>
          <w:tcPr>
            <w:tcW w:w="1756" w:type="pct"/>
            <w:shd w:val="clear" w:color="auto" w:fill="auto"/>
            <w:vAlign w:val="bottom"/>
          </w:tcPr>
          <w:p w:rsidR="00F80F42" w:rsidRPr="00F63F2E" w:rsidRDefault="00F80F42" w:rsidP="008B1214">
            <w:pPr>
              <w:spacing w:after="0"/>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Рынок нефтепродуктов</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 </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 </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27%</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27%</w:t>
            </w:r>
          </w:p>
        </w:tc>
        <w:tc>
          <w:tcPr>
            <w:tcW w:w="552"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45%</w:t>
            </w:r>
          </w:p>
        </w:tc>
      </w:tr>
      <w:tr w:rsidR="00F80F42" w:rsidRPr="00250D73" w:rsidTr="008B1214">
        <w:trPr>
          <w:trHeight w:val="20"/>
        </w:trPr>
        <w:tc>
          <w:tcPr>
            <w:tcW w:w="428" w:type="pct"/>
            <w:shd w:val="clear" w:color="auto" w:fill="auto"/>
            <w:noWrap/>
            <w:vAlign w:val="center"/>
            <w:hideMark/>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29</w:t>
            </w:r>
          </w:p>
        </w:tc>
        <w:tc>
          <w:tcPr>
            <w:tcW w:w="1756" w:type="pct"/>
            <w:shd w:val="clear" w:color="auto" w:fill="auto"/>
            <w:vAlign w:val="bottom"/>
          </w:tcPr>
          <w:p w:rsidR="00F80F42" w:rsidRPr="00F63F2E" w:rsidRDefault="00F80F42" w:rsidP="008B1214">
            <w:pPr>
              <w:spacing w:after="0"/>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Рынок легкой промышленности</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29%</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20%</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5%</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15%</w:t>
            </w:r>
          </w:p>
        </w:tc>
        <w:tc>
          <w:tcPr>
            <w:tcW w:w="552"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32%</w:t>
            </w:r>
          </w:p>
        </w:tc>
      </w:tr>
      <w:tr w:rsidR="00F80F42" w:rsidRPr="00250D73" w:rsidTr="008B1214">
        <w:trPr>
          <w:trHeight w:val="20"/>
        </w:trPr>
        <w:tc>
          <w:tcPr>
            <w:tcW w:w="428" w:type="pct"/>
            <w:shd w:val="clear" w:color="auto" w:fill="auto"/>
            <w:noWrap/>
            <w:vAlign w:val="center"/>
            <w:hideMark/>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30</w:t>
            </w:r>
          </w:p>
        </w:tc>
        <w:tc>
          <w:tcPr>
            <w:tcW w:w="1756" w:type="pct"/>
            <w:shd w:val="clear" w:color="auto" w:fill="auto"/>
            <w:vAlign w:val="bottom"/>
          </w:tcPr>
          <w:p w:rsidR="00F80F42" w:rsidRPr="00F63F2E" w:rsidRDefault="00F80F42" w:rsidP="008B1214">
            <w:pPr>
              <w:spacing w:after="0"/>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Рынок обработки древесины и производства изделий из дерева</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43%</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20%</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9%</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11%</w:t>
            </w:r>
          </w:p>
        </w:tc>
        <w:tc>
          <w:tcPr>
            <w:tcW w:w="552"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17%</w:t>
            </w:r>
          </w:p>
        </w:tc>
      </w:tr>
      <w:tr w:rsidR="00F80F42" w:rsidRPr="00250D73" w:rsidTr="008B1214">
        <w:trPr>
          <w:trHeight w:val="20"/>
        </w:trPr>
        <w:tc>
          <w:tcPr>
            <w:tcW w:w="428" w:type="pct"/>
            <w:shd w:val="clear" w:color="auto" w:fill="auto"/>
            <w:noWrap/>
            <w:vAlign w:val="center"/>
            <w:hideMark/>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31</w:t>
            </w:r>
          </w:p>
        </w:tc>
        <w:tc>
          <w:tcPr>
            <w:tcW w:w="1756" w:type="pct"/>
            <w:shd w:val="clear" w:color="auto" w:fill="auto"/>
            <w:vAlign w:val="bottom"/>
          </w:tcPr>
          <w:p w:rsidR="00F80F42" w:rsidRPr="00F63F2E" w:rsidRDefault="00F80F42" w:rsidP="008B1214">
            <w:pPr>
              <w:spacing w:after="0"/>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Рынок производства кирпича</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17%</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50%</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 </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 </w:t>
            </w:r>
          </w:p>
        </w:tc>
        <w:tc>
          <w:tcPr>
            <w:tcW w:w="552"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33%</w:t>
            </w:r>
          </w:p>
        </w:tc>
      </w:tr>
      <w:tr w:rsidR="00F80F42" w:rsidRPr="00250D73" w:rsidTr="008B1214">
        <w:trPr>
          <w:trHeight w:val="20"/>
        </w:trPr>
        <w:tc>
          <w:tcPr>
            <w:tcW w:w="428" w:type="pct"/>
            <w:shd w:val="clear" w:color="auto" w:fill="auto"/>
            <w:noWrap/>
            <w:vAlign w:val="center"/>
            <w:hideMark/>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32</w:t>
            </w:r>
          </w:p>
        </w:tc>
        <w:tc>
          <w:tcPr>
            <w:tcW w:w="1756" w:type="pct"/>
            <w:shd w:val="clear" w:color="auto" w:fill="auto"/>
            <w:vAlign w:val="bottom"/>
          </w:tcPr>
          <w:p w:rsidR="00F80F42" w:rsidRPr="00F63F2E" w:rsidRDefault="00F80F42" w:rsidP="008B1214">
            <w:pPr>
              <w:spacing w:after="0"/>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Рынок производства бетона</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33%</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33%</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8%</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8%</w:t>
            </w:r>
          </w:p>
        </w:tc>
        <w:tc>
          <w:tcPr>
            <w:tcW w:w="552"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17%</w:t>
            </w:r>
          </w:p>
        </w:tc>
      </w:tr>
      <w:tr w:rsidR="00F80F42" w:rsidRPr="00250D73" w:rsidTr="008B1214">
        <w:trPr>
          <w:trHeight w:val="20"/>
        </w:trPr>
        <w:tc>
          <w:tcPr>
            <w:tcW w:w="428" w:type="pct"/>
            <w:shd w:val="clear" w:color="auto" w:fill="auto"/>
            <w:noWrap/>
            <w:vAlign w:val="center"/>
            <w:hideMark/>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33</w:t>
            </w:r>
          </w:p>
        </w:tc>
        <w:tc>
          <w:tcPr>
            <w:tcW w:w="1756" w:type="pct"/>
            <w:shd w:val="clear" w:color="auto" w:fill="auto"/>
            <w:vAlign w:val="bottom"/>
          </w:tcPr>
          <w:p w:rsidR="00F80F42" w:rsidRPr="00F63F2E" w:rsidRDefault="00F80F42" w:rsidP="008B1214">
            <w:pPr>
              <w:spacing w:after="0"/>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Сфера наружной рекламы</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73%</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 </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 </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18%</w:t>
            </w:r>
          </w:p>
        </w:tc>
        <w:tc>
          <w:tcPr>
            <w:tcW w:w="552"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9%</w:t>
            </w:r>
          </w:p>
        </w:tc>
      </w:tr>
      <w:tr w:rsidR="00F80F42" w:rsidRPr="00250D73" w:rsidTr="008B1214">
        <w:trPr>
          <w:trHeight w:val="20"/>
        </w:trPr>
        <w:tc>
          <w:tcPr>
            <w:tcW w:w="428" w:type="pct"/>
            <w:shd w:val="clear" w:color="auto" w:fill="auto"/>
            <w:noWrap/>
            <w:vAlign w:val="center"/>
            <w:hideMark/>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34</w:t>
            </w:r>
          </w:p>
        </w:tc>
        <w:tc>
          <w:tcPr>
            <w:tcW w:w="1756" w:type="pct"/>
            <w:shd w:val="clear" w:color="auto" w:fill="auto"/>
            <w:vAlign w:val="bottom"/>
          </w:tcPr>
          <w:p w:rsidR="00F80F42" w:rsidRPr="00F63F2E" w:rsidRDefault="00F80F42" w:rsidP="008B1214">
            <w:pPr>
              <w:spacing w:after="0"/>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Рынок услуг жилищно-коммунального хозяйства</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7%</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13%</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13%</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13%</w:t>
            </w:r>
          </w:p>
        </w:tc>
        <w:tc>
          <w:tcPr>
            <w:tcW w:w="552"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53%</w:t>
            </w:r>
          </w:p>
        </w:tc>
      </w:tr>
      <w:tr w:rsidR="00F80F42" w:rsidRPr="00250D73" w:rsidTr="008B1214">
        <w:trPr>
          <w:trHeight w:val="20"/>
        </w:trPr>
        <w:tc>
          <w:tcPr>
            <w:tcW w:w="428" w:type="pct"/>
            <w:shd w:val="clear" w:color="auto" w:fill="auto"/>
            <w:noWrap/>
            <w:vAlign w:val="center"/>
            <w:hideMark/>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35</w:t>
            </w:r>
          </w:p>
        </w:tc>
        <w:tc>
          <w:tcPr>
            <w:tcW w:w="1756" w:type="pct"/>
            <w:shd w:val="clear" w:color="auto" w:fill="auto"/>
            <w:vAlign w:val="bottom"/>
          </w:tcPr>
          <w:p w:rsidR="00F80F42" w:rsidRPr="00F63F2E" w:rsidRDefault="00F80F42" w:rsidP="008B1214">
            <w:pPr>
              <w:spacing w:after="0"/>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Рынок медицинских услуг</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47%</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20%</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 </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 </w:t>
            </w:r>
          </w:p>
        </w:tc>
        <w:tc>
          <w:tcPr>
            <w:tcW w:w="552"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33%</w:t>
            </w:r>
          </w:p>
        </w:tc>
      </w:tr>
      <w:tr w:rsidR="00F80F42" w:rsidRPr="00250D73" w:rsidTr="008B1214">
        <w:trPr>
          <w:trHeight w:val="20"/>
        </w:trPr>
        <w:tc>
          <w:tcPr>
            <w:tcW w:w="428" w:type="pct"/>
            <w:shd w:val="clear" w:color="auto" w:fill="auto"/>
            <w:noWrap/>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36</w:t>
            </w:r>
          </w:p>
        </w:tc>
        <w:tc>
          <w:tcPr>
            <w:tcW w:w="1756" w:type="pct"/>
            <w:shd w:val="clear" w:color="auto" w:fill="auto"/>
            <w:vAlign w:val="bottom"/>
          </w:tcPr>
          <w:p w:rsidR="00F80F42" w:rsidRPr="00F63F2E" w:rsidRDefault="00F80F42" w:rsidP="008B1214">
            <w:pPr>
              <w:spacing w:after="0"/>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Рынок ритуальных услуг</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50%</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30%</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 </w:t>
            </w:r>
          </w:p>
        </w:tc>
        <w:tc>
          <w:tcPr>
            <w:tcW w:w="566"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 </w:t>
            </w:r>
          </w:p>
        </w:tc>
        <w:tc>
          <w:tcPr>
            <w:tcW w:w="552" w:type="pct"/>
            <w:vAlign w:val="center"/>
          </w:tcPr>
          <w:p w:rsidR="00F80F42" w:rsidRPr="00F63F2E" w:rsidRDefault="00F80F42" w:rsidP="008B1214">
            <w:pPr>
              <w:spacing w:after="0"/>
              <w:jc w:val="center"/>
              <w:rPr>
                <w:rFonts w:ascii="Times New Roman" w:eastAsia="Times New Roman" w:hAnsi="Times New Roman" w:cs="Times New Roman"/>
                <w:color w:val="000000" w:themeColor="text1"/>
                <w:lang w:eastAsia="ru-RU"/>
              </w:rPr>
            </w:pPr>
            <w:r w:rsidRPr="00F63F2E">
              <w:rPr>
                <w:rFonts w:ascii="Times New Roman" w:eastAsia="Times New Roman" w:hAnsi="Times New Roman" w:cs="Times New Roman"/>
                <w:color w:val="000000" w:themeColor="text1"/>
                <w:lang w:eastAsia="ru-RU"/>
              </w:rPr>
              <w:t>20%</w:t>
            </w:r>
          </w:p>
        </w:tc>
      </w:tr>
    </w:tbl>
    <w:p w:rsidR="00F80F42" w:rsidRPr="00250D73" w:rsidRDefault="00F80F42" w:rsidP="00F80F42">
      <w:pPr>
        <w:rPr>
          <w:rFonts w:ascii="Times New Roman" w:hAnsi="Times New Roman" w:cs="Times New Roman"/>
          <w:iCs/>
          <w:color w:val="000000" w:themeColor="text1"/>
          <w:sz w:val="24"/>
          <w:szCs w:val="28"/>
        </w:rPr>
      </w:pPr>
    </w:p>
    <w:p w:rsidR="00F80F42" w:rsidRPr="008B1214" w:rsidRDefault="00F80F42" w:rsidP="00F80F42">
      <w:pPr>
        <w:spacing w:after="0" w:line="360" w:lineRule="auto"/>
        <w:ind w:firstLine="709"/>
        <w:jc w:val="both"/>
        <w:rPr>
          <w:rFonts w:ascii="Times New Roman" w:hAnsi="Times New Roman" w:cs="Times New Roman"/>
          <w:color w:val="000000" w:themeColor="text1"/>
          <w:sz w:val="24"/>
          <w:szCs w:val="24"/>
        </w:rPr>
      </w:pPr>
      <w:r w:rsidRPr="008B1214">
        <w:rPr>
          <w:rFonts w:ascii="Times New Roman" w:eastAsia="Times New Roman" w:hAnsi="Times New Roman" w:cs="Times New Roman"/>
          <w:color w:val="000000" w:themeColor="text1"/>
          <w:sz w:val="24"/>
          <w:szCs w:val="24"/>
          <w:lang w:eastAsia="ru-RU"/>
        </w:rPr>
        <w:t xml:space="preserve">Данные, полученные по результатам опроса предпринимателей, демонстрируют, что 34% </w:t>
      </w:r>
      <w:r w:rsidRPr="008B1214">
        <w:rPr>
          <w:rFonts w:ascii="Times New Roman" w:eastAsia="Arial" w:hAnsi="Times New Roman" w:cs="Times New Roman"/>
          <w:color w:val="000000" w:themeColor="text1"/>
          <w:sz w:val="24"/>
          <w:szCs w:val="24"/>
          <w:lang w:eastAsia="ru-RU"/>
        </w:rPr>
        <w:t>опрошенных компаний отнесли свою организацию к сегменту микробизнеса, указав, что величина их годового оборота не превышает 120 млн. рублей. Доля сегмента малого бизнеса в выборке составила 20% (</w:t>
      </w:r>
      <w:r w:rsidRPr="008B1214">
        <w:rPr>
          <w:rFonts w:ascii="Times New Roman" w:hAnsi="Times New Roman" w:cs="Times New Roman"/>
          <w:color w:val="000000" w:themeColor="text1"/>
          <w:sz w:val="24"/>
          <w:szCs w:val="24"/>
        </w:rPr>
        <w:t xml:space="preserve">годовой доход от 120 млн. рублей до 800 млн. рублей). К среднему </w:t>
      </w:r>
      <w:r w:rsidRPr="008B1214">
        <w:rPr>
          <w:rFonts w:ascii="Times New Roman" w:hAnsi="Times New Roman" w:cs="Times New Roman"/>
          <w:color w:val="000000" w:themeColor="text1"/>
          <w:sz w:val="24"/>
          <w:szCs w:val="24"/>
        </w:rPr>
        <w:lastRenderedPageBreak/>
        <w:t xml:space="preserve">бизнесу свои компании отнесли 9% опрошенных субъектов предпринимательской деятельности, отметив, что годовой оборот их организаций составляет от 800 млн. рублей до 2 млрд. рублей. Сегмент крупного бизнеса в выборке составил 12% (величина годового оборота более 2 млрд. рублей). </w:t>
      </w:r>
    </w:p>
    <w:p w:rsidR="00F80F42" w:rsidRPr="008B1214" w:rsidRDefault="00F80F42" w:rsidP="00F80F42">
      <w:pPr>
        <w:spacing w:after="0" w:line="360" w:lineRule="auto"/>
        <w:ind w:firstLine="709"/>
        <w:jc w:val="both"/>
        <w:rPr>
          <w:rFonts w:ascii="Times New Roman" w:hAnsi="Times New Roman" w:cs="Times New Roman"/>
          <w:color w:val="000000" w:themeColor="text1"/>
          <w:sz w:val="24"/>
          <w:szCs w:val="24"/>
        </w:rPr>
      </w:pPr>
      <w:r w:rsidRPr="008B1214">
        <w:rPr>
          <w:rFonts w:ascii="Times New Roman" w:hAnsi="Times New Roman" w:cs="Times New Roman"/>
          <w:color w:val="000000" w:themeColor="text1"/>
          <w:sz w:val="24"/>
          <w:szCs w:val="24"/>
        </w:rPr>
        <w:t>На основании данных опроса можно отметить, что на следующих рынках преобладают организации из категории микробизнеса с годовым оборотом до 120 млн. руб. (от 50% и более респондентов):</w:t>
      </w:r>
    </w:p>
    <w:p w:rsidR="00F80F42" w:rsidRPr="008B1214" w:rsidRDefault="00F80F42" w:rsidP="00080A73">
      <w:pPr>
        <w:pStyle w:val="a4"/>
        <w:numPr>
          <w:ilvl w:val="0"/>
          <w:numId w:val="8"/>
        </w:numPr>
        <w:spacing w:after="0" w:line="360" w:lineRule="auto"/>
        <w:ind w:left="709" w:firstLine="0"/>
        <w:jc w:val="both"/>
        <w:rPr>
          <w:rFonts w:ascii="Times New Roman" w:hAnsi="Times New Roman" w:cs="Times New Roman"/>
          <w:color w:val="000000" w:themeColor="text1"/>
          <w:sz w:val="24"/>
          <w:szCs w:val="24"/>
        </w:rPr>
      </w:pPr>
      <w:r w:rsidRPr="008B1214">
        <w:rPr>
          <w:rFonts w:ascii="Times New Roman" w:hAnsi="Times New Roman" w:cs="Times New Roman"/>
          <w:color w:val="000000" w:themeColor="text1"/>
          <w:sz w:val="24"/>
          <w:szCs w:val="24"/>
        </w:rPr>
        <w:t>Рынок переработки водных биоресурсов (80%);</w:t>
      </w:r>
    </w:p>
    <w:p w:rsidR="00F80F42" w:rsidRPr="008B1214" w:rsidRDefault="00F80F42" w:rsidP="00080A73">
      <w:pPr>
        <w:pStyle w:val="a4"/>
        <w:numPr>
          <w:ilvl w:val="0"/>
          <w:numId w:val="8"/>
        </w:numPr>
        <w:spacing w:after="0" w:line="360" w:lineRule="auto"/>
        <w:ind w:left="709" w:firstLine="0"/>
        <w:jc w:val="both"/>
        <w:rPr>
          <w:rFonts w:ascii="Times New Roman" w:hAnsi="Times New Roman" w:cs="Times New Roman"/>
          <w:color w:val="000000" w:themeColor="text1"/>
          <w:sz w:val="24"/>
          <w:szCs w:val="24"/>
        </w:rPr>
      </w:pPr>
      <w:r w:rsidRPr="008B1214">
        <w:rPr>
          <w:rFonts w:ascii="Times New Roman" w:hAnsi="Times New Roman" w:cs="Times New Roman"/>
          <w:color w:val="000000" w:themeColor="text1"/>
          <w:sz w:val="24"/>
          <w:szCs w:val="24"/>
        </w:rPr>
        <w:t>Рынок услуг детского отдыха и оздоровления (80%);</w:t>
      </w:r>
    </w:p>
    <w:p w:rsidR="00F80F42" w:rsidRPr="008B1214" w:rsidRDefault="00F80F42" w:rsidP="00080A73">
      <w:pPr>
        <w:pStyle w:val="a4"/>
        <w:numPr>
          <w:ilvl w:val="0"/>
          <w:numId w:val="8"/>
        </w:numPr>
        <w:spacing w:after="0" w:line="360" w:lineRule="auto"/>
        <w:ind w:left="709" w:firstLine="0"/>
        <w:jc w:val="both"/>
        <w:rPr>
          <w:rFonts w:ascii="Times New Roman" w:hAnsi="Times New Roman" w:cs="Times New Roman"/>
          <w:color w:val="000000" w:themeColor="text1"/>
          <w:sz w:val="24"/>
          <w:szCs w:val="24"/>
        </w:rPr>
      </w:pPr>
      <w:r w:rsidRPr="008B1214">
        <w:rPr>
          <w:rFonts w:ascii="Times New Roman" w:hAnsi="Times New Roman" w:cs="Times New Roman"/>
          <w:color w:val="000000" w:themeColor="text1"/>
          <w:sz w:val="24"/>
          <w:szCs w:val="24"/>
        </w:rPr>
        <w:t>Сфера наружной рекламы (73%);</w:t>
      </w:r>
    </w:p>
    <w:p w:rsidR="00F80F42" w:rsidRPr="008B1214" w:rsidRDefault="00F80F42" w:rsidP="00080A73">
      <w:pPr>
        <w:pStyle w:val="a4"/>
        <w:numPr>
          <w:ilvl w:val="0"/>
          <w:numId w:val="8"/>
        </w:numPr>
        <w:spacing w:after="0" w:line="360" w:lineRule="auto"/>
        <w:ind w:left="709" w:firstLine="0"/>
        <w:jc w:val="both"/>
        <w:rPr>
          <w:rFonts w:ascii="Times New Roman" w:hAnsi="Times New Roman" w:cs="Times New Roman"/>
          <w:color w:val="000000" w:themeColor="text1"/>
          <w:sz w:val="24"/>
          <w:szCs w:val="24"/>
        </w:rPr>
      </w:pPr>
      <w:r w:rsidRPr="008B1214">
        <w:rPr>
          <w:rFonts w:ascii="Times New Roman" w:hAnsi="Times New Roman" w:cs="Times New Roman"/>
          <w:color w:val="000000" w:themeColor="text1"/>
          <w:sz w:val="24"/>
          <w:szCs w:val="24"/>
        </w:rPr>
        <w:t>Рынок услуг дошкольного образования (64%);</w:t>
      </w:r>
    </w:p>
    <w:p w:rsidR="00F80F42" w:rsidRPr="008B1214" w:rsidRDefault="00F80F42" w:rsidP="00080A73">
      <w:pPr>
        <w:pStyle w:val="a4"/>
        <w:numPr>
          <w:ilvl w:val="0"/>
          <w:numId w:val="8"/>
        </w:numPr>
        <w:spacing w:after="0" w:line="360" w:lineRule="auto"/>
        <w:ind w:left="709" w:firstLine="0"/>
        <w:jc w:val="both"/>
        <w:rPr>
          <w:rFonts w:ascii="Times New Roman" w:hAnsi="Times New Roman" w:cs="Times New Roman"/>
          <w:color w:val="000000" w:themeColor="text1"/>
          <w:sz w:val="24"/>
          <w:szCs w:val="24"/>
        </w:rPr>
      </w:pPr>
      <w:r w:rsidRPr="008B1214">
        <w:rPr>
          <w:rFonts w:ascii="Times New Roman" w:hAnsi="Times New Roman" w:cs="Times New Roman"/>
          <w:color w:val="000000" w:themeColor="text1"/>
          <w:sz w:val="24"/>
          <w:szCs w:val="24"/>
        </w:rPr>
        <w:t>Рынок услуг дополнительного образования детей (58%);</w:t>
      </w:r>
    </w:p>
    <w:p w:rsidR="00F80F42" w:rsidRPr="008B1214" w:rsidRDefault="00F80F42" w:rsidP="00080A73">
      <w:pPr>
        <w:pStyle w:val="a4"/>
        <w:numPr>
          <w:ilvl w:val="0"/>
          <w:numId w:val="8"/>
        </w:numPr>
        <w:spacing w:after="0" w:line="360" w:lineRule="auto"/>
        <w:ind w:left="709" w:firstLine="0"/>
        <w:jc w:val="both"/>
        <w:rPr>
          <w:rFonts w:ascii="Times New Roman" w:hAnsi="Times New Roman" w:cs="Times New Roman"/>
          <w:color w:val="000000" w:themeColor="text1"/>
          <w:sz w:val="24"/>
          <w:szCs w:val="24"/>
        </w:rPr>
      </w:pPr>
      <w:r w:rsidRPr="008B1214">
        <w:rPr>
          <w:rFonts w:ascii="Times New Roman" w:hAnsi="Times New Roman" w:cs="Times New Roman"/>
          <w:color w:val="000000" w:themeColor="text1"/>
          <w:sz w:val="24"/>
          <w:szCs w:val="24"/>
        </w:rPr>
        <w:t>Рынок вылова водных биоресурсов (50%);</w:t>
      </w:r>
    </w:p>
    <w:p w:rsidR="00F80F42" w:rsidRPr="008B1214" w:rsidRDefault="00F80F42" w:rsidP="00080A73">
      <w:pPr>
        <w:pStyle w:val="a4"/>
        <w:numPr>
          <w:ilvl w:val="0"/>
          <w:numId w:val="8"/>
        </w:numPr>
        <w:spacing w:after="0" w:line="360" w:lineRule="auto"/>
        <w:ind w:left="709" w:firstLine="0"/>
        <w:jc w:val="both"/>
        <w:rPr>
          <w:rFonts w:ascii="Times New Roman" w:hAnsi="Times New Roman" w:cs="Times New Roman"/>
          <w:color w:val="000000" w:themeColor="text1"/>
          <w:sz w:val="24"/>
          <w:szCs w:val="24"/>
        </w:rPr>
      </w:pPr>
      <w:r w:rsidRPr="008B1214">
        <w:rPr>
          <w:rFonts w:ascii="Times New Roman" w:hAnsi="Times New Roman" w:cs="Times New Roman"/>
          <w:color w:val="000000" w:themeColor="text1"/>
          <w:sz w:val="24"/>
          <w:szCs w:val="24"/>
        </w:rPr>
        <w:t>Рынок ритуальных услуг (50%);</w:t>
      </w:r>
    </w:p>
    <w:p w:rsidR="00F80F42" w:rsidRPr="008B1214" w:rsidRDefault="00F80F42" w:rsidP="00080A73">
      <w:pPr>
        <w:pStyle w:val="a4"/>
        <w:numPr>
          <w:ilvl w:val="0"/>
          <w:numId w:val="8"/>
        </w:numPr>
        <w:spacing w:after="0" w:line="360" w:lineRule="auto"/>
        <w:ind w:left="709" w:firstLine="0"/>
        <w:jc w:val="both"/>
        <w:rPr>
          <w:rFonts w:ascii="Times New Roman" w:hAnsi="Times New Roman" w:cs="Times New Roman"/>
          <w:color w:val="000000" w:themeColor="text1"/>
          <w:sz w:val="24"/>
          <w:szCs w:val="24"/>
        </w:rPr>
      </w:pPr>
      <w:r w:rsidRPr="008B1214">
        <w:rPr>
          <w:rFonts w:ascii="Times New Roman" w:hAnsi="Times New Roman" w:cs="Times New Roman"/>
          <w:color w:val="000000" w:themeColor="text1"/>
          <w:sz w:val="24"/>
          <w:szCs w:val="24"/>
        </w:rPr>
        <w:t>Рынок семеноводства (50%).</w:t>
      </w:r>
    </w:p>
    <w:p w:rsidR="00F80F42" w:rsidRPr="008B1214" w:rsidRDefault="00F80F42" w:rsidP="00F80F42">
      <w:pPr>
        <w:spacing w:after="0" w:line="360" w:lineRule="auto"/>
        <w:ind w:firstLine="709"/>
        <w:jc w:val="both"/>
        <w:rPr>
          <w:rFonts w:ascii="Times New Roman" w:hAnsi="Times New Roman" w:cs="Times New Roman"/>
          <w:color w:val="000000" w:themeColor="text1"/>
          <w:sz w:val="24"/>
          <w:szCs w:val="24"/>
        </w:rPr>
      </w:pPr>
      <w:r w:rsidRPr="008B1214">
        <w:rPr>
          <w:rFonts w:ascii="Times New Roman" w:hAnsi="Times New Roman" w:cs="Times New Roman"/>
          <w:color w:val="000000" w:themeColor="text1"/>
          <w:sz w:val="24"/>
          <w:szCs w:val="24"/>
        </w:rPr>
        <w:t>Преобладание малых предприятий (г</w:t>
      </w:r>
      <w:r w:rsidR="00182FF1">
        <w:rPr>
          <w:rFonts w:ascii="Times New Roman" w:hAnsi="Times New Roman" w:cs="Times New Roman"/>
          <w:color w:val="000000" w:themeColor="text1"/>
          <w:sz w:val="24"/>
          <w:szCs w:val="24"/>
        </w:rPr>
        <w:t xml:space="preserve">одовой оборот от 120 до 800 млн </w:t>
      </w:r>
      <w:r w:rsidRPr="008B1214">
        <w:rPr>
          <w:rFonts w:ascii="Times New Roman" w:hAnsi="Times New Roman" w:cs="Times New Roman"/>
          <w:color w:val="000000" w:themeColor="text1"/>
          <w:sz w:val="24"/>
          <w:szCs w:val="24"/>
        </w:rPr>
        <w:t>руб</w:t>
      </w:r>
      <w:r w:rsidR="00182FF1">
        <w:rPr>
          <w:rFonts w:ascii="Times New Roman" w:hAnsi="Times New Roman" w:cs="Times New Roman"/>
          <w:color w:val="000000" w:themeColor="text1"/>
          <w:sz w:val="24"/>
          <w:szCs w:val="24"/>
        </w:rPr>
        <w:t>.</w:t>
      </w:r>
      <w:r w:rsidRPr="008B1214">
        <w:rPr>
          <w:rFonts w:ascii="Times New Roman" w:hAnsi="Times New Roman" w:cs="Times New Roman"/>
          <w:color w:val="000000" w:themeColor="text1"/>
          <w:sz w:val="24"/>
          <w:szCs w:val="24"/>
        </w:rPr>
        <w:t xml:space="preserve">) отмечается на рынке услуг среднего профессионального образования (50%) и рынке производства кирпича (50%). </w:t>
      </w:r>
    </w:p>
    <w:p w:rsidR="00F80F42" w:rsidRPr="008B1214" w:rsidRDefault="00F80F42" w:rsidP="00F80F42">
      <w:pPr>
        <w:spacing w:after="0" w:line="360" w:lineRule="auto"/>
        <w:ind w:firstLine="709"/>
        <w:jc w:val="both"/>
        <w:rPr>
          <w:rFonts w:ascii="Times New Roman" w:hAnsi="Times New Roman" w:cs="Times New Roman"/>
          <w:color w:val="000000" w:themeColor="text1"/>
          <w:sz w:val="24"/>
          <w:szCs w:val="24"/>
        </w:rPr>
      </w:pPr>
      <w:r w:rsidRPr="008B1214">
        <w:rPr>
          <w:rFonts w:ascii="Times New Roman" w:hAnsi="Times New Roman" w:cs="Times New Roman"/>
          <w:color w:val="000000" w:themeColor="text1"/>
          <w:sz w:val="24"/>
          <w:szCs w:val="24"/>
        </w:rPr>
        <w:t>К рынкам с преобладанием среднего и крупного бизнеса относятся рынок оказания услуг по перевозке пассажиров автомобильным транспортом по межмуниципальным маршрутам регулярных перевозок (60% респондентов данного рынка отнесли свою компанию к среднему или крупному бизнесу), рынок нефтепродуктов (55%), 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(50%).</w:t>
      </w:r>
    </w:p>
    <w:p w:rsidR="008B1214" w:rsidRDefault="008B1214" w:rsidP="008B1214">
      <w:pPr>
        <w:spacing w:after="0" w:line="360" w:lineRule="auto"/>
        <w:ind w:firstLine="709"/>
        <w:jc w:val="center"/>
        <w:rPr>
          <w:rFonts w:ascii="Times New Roman" w:hAnsi="Times New Roman" w:cs="Times New Roman"/>
          <w:b/>
          <w:color w:val="000000" w:themeColor="text1"/>
          <w:sz w:val="24"/>
          <w:szCs w:val="24"/>
        </w:rPr>
      </w:pPr>
    </w:p>
    <w:p w:rsidR="008B1214" w:rsidRPr="008B1214" w:rsidRDefault="008B1214" w:rsidP="008B1214">
      <w:pPr>
        <w:spacing w:after="0" w:line="360" w:lineRule="auto"/>
        <w:ind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3.1.3. </w:t>
      </w:r>
      <w:r w:rsidRPr="008B1214">
        <w:rPr>
          <w:rFonts w:ascii="Times New Roman" w:hAnsi="Times New Roman" w:cs="Times New Roman"/>
          <w:b/>
          <w:color w:val="000000" w:themeColor="text1"/>
          <w:sz w:val="24"/>
          <w:szCs w:val="24"/>
        </w:rPr>
        <w:t>О состоянии конкурентной среды на товарном рынке (расчет индекса Херфиндаля-Хиршмана (HHI), коэффициента рыночной концентрации (CR-3) для 3 крупнейших хозяйствующих субъектов и их интерпретация в соответствии с приказом ФАС от 28.04.2010 № 220, его восприятии субъектами предпринимательской деятельности (слабая, умеренная и высокая конкуренция в отношении сегментов бизнеса и субъекта Ленинградской области в целом) и его изменении во времени (улучшилось, ухудшилось, не изменилось)</w:t>
      </w:r>
    </w:p>
    <w:p w:rsidR="000428B6" w:rsidRDefault="000428B6" w:rsidP="000428B6">
      <w:pPr>
        <w:spacing w:after="0" w:line="360" w:lineRule="auto"/>
        <w:ind w:firstLine="709"/>
        <w:jc w:val="both"/>
        <w:rPr>
          <w:rFonts w:ascii="Times New Roman" w:hAnsi="Times New Roman" w:cs="Times New Roman"/>
          <w:color w:val="000000" w:themeColor="text1"/>
          <w:sz w:val="24"/>
          <w:szCs w:val="24"/>
          <w:u w:val="single"/>
        </w:rPr>
      </w:pP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u w:val="single"/>
        </w:rPr>
      </w:pPr>
      <w:r w:rsidRPr="000428B6">
        <w:rPr>
          <w:rFonts w:ascii="Times New Roman" w:hAnsi="Times New Roman" w:cs="Times New Roman"/>
          <w:color w:val="000000" w:themeColor="text1"/>
          <w:sz w:val="24"/>
          <w:szCs w:val="24"/>
          <w:u w:val="single"/>
        </w:rPr>
        <w:t>1.</w:t>
      </w:r>
      <w:r w:rsidRPr="000428B6">
        <w:rPr>
          <w:rFonts w:ascii="Times New Roman" w:hAnsi="Times New Roman" w:cs="Times New Roman"/>
          <w:color w:val="000000" w:themeColor="text1"/>
          <w:sz w:val="24"/>
          <w:szCs w:val="24"/>
          <w:u w:val="single"/>
        </w:rPr>
        <w:tab/>
        <w:t>Рынок услуг дошкольного образования</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lastRenderedPageBreak/>
        <w:t xml:space="preserve">В Ленинградской области в 2022 г. предоставляют услуги дошкольного образования 485 образовательных организаций, из них только 21 находятся в частной собственности, что составляет 4% от общего количества участников рассматриваемого рынка. 20% рынка составляют хозяйствующие субъекты, осуществляющие деятельность на рынке услуг дошкольного образования более 5 лет. </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Детские сады Ленинградской области с 1 сентября 2022 г. п</w:t>
      </w:r>
      <w:r>
        <w:rPr>
          <w:rFonts w:ascii="Times New Roman" w:hAnsi="Times New Roman" w:cs="Times New Roman"/>
          <w:color w:val="000000" w:themeColor="text1"/>
          <w:sz w:val="24"/>
          <w:szCs w:val="24"/>
        </w:rPr>
        <w:t>риняли</w:t>
      </w:r>
      <w:r w:rsidRPr="000428B6">
        <w:rPr>
          <w:rFonts w:ascii="Times New Roman" w:hAnsi="Times New Roman" w:cs="Times New Roman"/>
          <w:color w:val="000000" w:themeColor="text1"/>
          <w:sz w:val="24"/>
          <w:szCs w:val="24"/>
        </w:rPr>
        <w:t xml:space="preserve"> 84 453 ребенка, в том числе 19 тысяч новых воспитанников. </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По результатам сравнительного анализа качества дошкольного образования </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Детские сады России</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 xml:space="preserve"> Ленинградская область входит в число 5 лучших регионов.</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Деятельность на рынке осуществляют преимущественно микропредприятия, годовой оборот которых составляет до 120 миллионов рублей. </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В рамках программы по реновации детских садов Ленинградской области, действующей в 2020-2022 гг., за счет средств областного бюджета в 2022 г. осуществляется реновация 4 детских садов в Подпорожском детском саду и начинаются работы в детсадах Токсовского центра образования, № 25 Выборгского района и № 24 Волосовского района</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В Ленинградской области предусмотрена ежемесячная выплата на ребенка, которому не выдано направление в муниципальную образовательную организацию, реализующую образовательную программу дошкольного образования, в Ленинградской области в связи с отсутствием мест.</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Право на данную выплату устанавливает Центр социальной защиты населения. Сумма ежемесячной выплаты составляет 9 500 руб. Выплата назначается с 1-го числа месяца обращения на срок 12 месяцев, но не более чем на период обладания правом на ее получение. Условия предоставления, перечень документов, способы обращения указаны по ссылке: (https://cszn.info/socinform/familys?id=129) </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Меры поддержки: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Предприятия малого, среднего бизнеса Ленинградской области, действующие в сфере дошкольного образования и ухода за детьми, могут воспользоваться следующими мерами поддержки: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субсидия комитета по развитию малого, среднего бизнеса и потребительского рынка Ленинградской области для предпринимателей, осуществляющих деятельность в сфере социального предпринимательства – возмещение части затрат на обеспечение деятельности предприятия - до 700 тыс. рублей</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субсидия комитета общего профессионального образования Ленинградской области – возмещение части затрат частных образовательных организаций, осуществляющих деятельность в сфере дошкольного образования.</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lastRenderedPageBreak/>
        <w:t>Полный список мер поддержки находится на следующей ссылке: (https://813.ru/podderzhka/predprinimatelyam-v-sfere-doshkolnogo/ )</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Рынок услуг дошкольного образования имеет низкую долю концентрации и представлен значительным количеством игроков. </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Географические границы участников рынка преимущественно ограничены локальными параметрами. Крупнейшие образовательные центры находятся по Всеволожском районе Ленинградской области - Мурино и Кудрово. Однако на рынке происходит и ротация организаций, - так в январе 2022 г. было ликвидировано частное учреждение дошкольного образования ООО </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Молекула</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 xml:space="preserve"> (г. Гатчина), осуществлявшая свою деятельность на рынке Ленинградской области с 2018 г.</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По состоянию на 2022 г., коэффициент рыночной концентрации (Concentration ratio) для трех ключевых игроков составляет CR3 = 9.4. Полученное значение намного менее 100, что свидетельствует об низком уровне монополизации. Рынок характеризует высокий уровень конкуренции. Индекс Херфиндаля Хиршмана HHI = 2 294,5.</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На рынке услуг дошкольного образования представлено большое количество государственных и муниципальных образовательных учреждений. Наблюдается концентрация участников рынка в отдельных муниципальных образованиях. В динамике по сравнению с 2021 г. Индекс Херфиндаля незначительно изменился (значение в 2021 г. - 2619,20), что свидетельствует о практически неизменном состоянии уровня конкуренции на рынке.</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Сведения о состоянии конкуренции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Уменьшение административных барьеров на рынке окажет влияние на увеличение числа конкурентов, которые рассчитывают на получение финансирования и субсидий от областного бюджета.</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Для увеличения конкурентоспособности дошкольным учреждениям необходимо обратить внимание на политику обучения своего персонала, ввести поощрение персонала для стимуляции дальнейшего повышения квалификации, меры по поддержанию преемственности персонала,  а также наличие современной материально-технической базы.</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Тенденции демографического развития Ленинградской области говорят о необходимости дальнейшего развития инфраструктуры дошкольного образования. Сложности развития</w:t>
      </w:r>
      <w:r w:rsidR="00182FF1">
        <w:rPr>
          <w:rFonts w:ascii="Times New Roman" w:hAnsi="Times New Roman" w:cs="Times New Roman"/>
          <w:color w:val="000000" w:themeColor="text1"/>
          <w:sz w:val="24"/>
          <w:szCs w:val="24"/>
        </w:rPr>
        <w:t xml:space="preserve"> </w:t>
      </w:r>
      <w:r w:rsidRPr="000428B6">
        <w:rPr>
          <w:rFonts w:ascii="Times New Roman" w:hAnsi="Times New Roman" w:cs="Times New Roman"/>
          <w:color w:val="000000" w:themeColor="text1"/>
          <w:sz w:val="24"/>
          <w:szCs w:val="24"/>
        </w:rPr>
        <w:t xml:space="preserve">- территориальная обособленность муниципальных образований на территории региона,  в одних районах по сравнению с другими - более плотная застройка, вход на рынок затруднен в связи с возникающими сложностями у новых участников рынка по участию в тендерах, так как нет опыта по сбору определенного законодательством  пакета документов. </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u w:val="single"/>
        </w:rPr>
      </w:pPr>
      <w:r w:rsidRPr="000428B6">
        <w:rPr>
          <w:rFonts w:ascii="Times New Roman" w:hAnsi="Times New Roman" w:cs="Times New Roman"/>
          <w:color w:val="000000" w:themeColor="text1"/>
          <w:sz w:val="24"/>
          <w:szCs w:val="24"/>
          <w:u w:val="single"/>
        </w:rPr>
        <w:t>2.</w:t>
      </w:r>
      <w:r w:rsidRPr="000428B6">
        <w:rPr>
          <w:rFonts w:ascii="Times New Roman" w:hAnsi="Times New Roman" w:cs="Times New Roman"/>
          <w:color w:val="000000" w:themeColor="text1"/>
          <w:sz w:val="24"/>
          <w:szCs w:val="24"/>
          <w:u w:val="single"/>
        </w:rPr>
        <w:tab/>
        <w:t>Рынок услуг общего образования</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lastRenderedPageBreak/>
        <w:t>В Ленинградской области предоставляют услуги общего образования 384 образовательных организации. Организаций частной формы собственности, оказывающей образовательные услуги в сфере общего образования в регионе, насчитывается 4, что составляет 1,02 % от общего количества учреждений.</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Динамика количества учреждений общего образования в Ленинградской области обусловлена двумя тенденциями: завершением процедур реализации реформы общего образования в части оптимизации малокомплектных школ в сельской местности, являющейся одной из характеристик региона, и вводом новых образовательных учреждений на территории возводимых жилых кварталов. </w:t>
      </w:r>
    </w:p>
    <w:p w:rsid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Так, 01.09.2022 г. за парты школ Ленобласти </w:t>
      </w:r>
      <w:r>
        <w:rPr>
          <w:rFonts w:ascii="Times New Roman" w:hAnsi="Times New Roman" w:cs="Times New Roman"/>
          <w:color w:val="000000" w:themeColor="text1"/>
          <w:sz w:val="24"/>
          <w:szCs w:val="24"/>
        </w:rPr>
        <w:t>сели</w:t>
      </w:r>
      <w:r w:rsidRPr="000428B6">
        <w:rPr>
          <w:rFonts w:ascii="Times New Roman" w:hAnsi="Times New Roman" w:cs="Times New Roman"/>
          <w:color w:val="000000" w:themeColor="text1"/>
          <w:sz w:val="24"/>
          <w:szCs w:val="24"/>
        </w:rPr>
        <w:t xml:space="preserve"> более 25 тысяч первоклассников – почти на 3,6 тысяч больше, чем в прошлом году. Общее число учеников тоже выросло на 7 тысяч человек – теперь в регионе 190 тысяч учащихся. К 1 сентября 2022 г. в области открылись 5 новых школ, 4 </w:t>
      </w:r>
      <w:r>
        <w:rPr>
          <w:rFonts w:ascii="Times New Roman" w:hAnsi="Times New Roman" w:cs="Times New Roman"/>
          <w:color w:val="000000" w:themeColor="text1"/>
          <w:sz w:val="24"/>
          <w:szCs w:val="24"/>
        </w:rPr>
        <w:t>вводятся.</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Низкая доля частных организаций общего образования может объясняться как уровнем платежеспособности населения, так и наличием необходимой инфраструктуры.</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Основная доля негосударственных организаций общего образования расположена в крупных городских округах и муниципальных районах. 8% рынка составляют хозяйствующие субъекты, осуществляющие деятельность на рынке услуг общего образования более 5 лет.</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По состоянию на 2022 г., коэффициент рыночной концентрации, рассчитанный для трех игроков, занимающих относительно большие доли рынка (МОБУ СОШ </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Центр Образования Кудр</w:t>
      </w:r>
      <w:r w:rsidR="008D7368">
        <w:rPr>
          <w:rFonts w:ascii="Times New Roman" w:hAnsi="Times New Roman" w:cs="Times New Roman"/>
          <w:color w:val="000000" w:themeColor="text1"/>
          <w:sz w:val="24"/>
          <w:szCs w:val="24"/>
        </w:rPr>
        <w:t>ово»</w:t>
      </w:r>
      <w:r w:rsidRPr="000428B6">
        <w:rPr>
          <w:rFonts w:ascii="Times New Roman" w:hAnsi="Times New Roman" w:cs="Times New Roman"/>
          <w:color w:val="000000" w:themeColor="text1"/>
          <w:sz w:val="24"/>
          <w:szCs w:val="24"/>
        </w:rPr>
        <w:t>, МБОУ СОШ №2 пгт Славянка, Государственное бюджетное общеобразовательное учреждение основная общеобразовательная школа № 465) (Concentration ratio) составляет CR3 = 12,6. Конкуренция на рынке очень высокая.</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Концентрация участников рынка, в основном, происходит в рамках отдельных муниципальных округов.</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Индекс Херфиндаля Хиршмана HHI =1726,2. По сравнению с 2021 г. значение индекса незначительно возросло (1711,78 в 2021 г.), что обусловлено некоторым сокращением количества субъектов рынка, - уровень конкуренции на рынке неизменен в динамике.</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При этом, особенностью рынка услуг общего образования можно считать присутствие на рынке большого количества государственных и муниципальных образовательных учреждений.</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Сведения о состоянии конкуренции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Повышение конкуренции среди частных образовательных учреждений положительно повлияет на развитие отрасли, и увеличение числа учеников, перешедших в частные школы с целью получения более качественного уровня образования. Мерами, направленным на повышение конкурентоспособности для учреждений общего образования является поддержание </w:t>
      </w:r>
      <w:r w:rsidRPr="000428B6">
        <w:rPr>
          <w:rFonts w:ascii="Times New Roman" w:hAnsi="Times New Roman" w:cs="Times New Roman"/>
          <w:color w:val="000000" w:themeColor="text1"/>
          <w:sz w:val="24"/>
          <w:szCs w:val="24"/>
        </w:rPr>
        <w:lastRenderedPageBreak/>
        <w:t>высокой квалификации персонала, постоянное повышение квалификации персонала, направленное на дальнейшее развитие цифровизации образования и выбора лучших педагогических практик. Также создание отдельных профильных классов для старшеклассников (физико-математические, медицинские, химические) окажет влияние на рейтинги школы и создаст дополнительные условия для поступления школьников региона в ВУЗы.</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u w:val="single"/>
        </w:rPr>
      </w:pPr>
      <w:r w:rsidRPr="000428B6">
        <w:rPr>
          <w:rFonts w:ascii="Times New Roman" w:hAnsi="Times New Roman" w:cs="Times New Roman"/>
          <w:color w:val="000000" w:themeColor="text1"/>
          <w:sz w:val="24"/>
          <w:szCs w:val="24"/>
          <w:u w:val="single"/>
        </w:rPr>
        <w:t>3.</w:t>
      </w:r>
      <w:r w:rsidRPr="000428B6">
        <w:rPr>
          <w:rFonts w:ascii="Times New Roman" w:hAnsi="Times New Roman" w:cs="Times New Roman"/>
          <w:color w:val="000000" w:themeColor="text1"/>
          <w:sz w:val="24"/>
          <w:szCs w:val="24"/>
          <w:u w:val="single"/>
        </w:rPr>
        <w:tab/>
        <w:t>Рынок услуг дополнительного образования детей</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В Ленинградской области насчитывается 154 (в 2021г. было - 138) хозяйствующих субъекта, осуществляющих деятельность на рынке услуг дополнительного образования, 12 из которых являются организациями частной формой собственности. В системе образования Ленинградской области функционируют 92 муниципальных образовательных организаций дополнительного образования, подведомственных системе образования и 62 организации, имеющих другое ведомство. Наиболее значимыми игроками на рынке являются: ЧУДПО Линия успеха (Гатчинский район), районный центр дополнительного образования (г. Кировск), Синявинская школа искусств и др. </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Большую часть рынка составляют микропредприятия (71%): среди них выделяется 79% микропредприятий, зарегистрированных преимущественно в качестве индивидуальных предпринимателей, и малые предприятия, величина годового оборота которых составляет от 120 до 800 миллионов рублей. 4% организаций с величиной годового оборота от 800 до 2 000 миллионов рублей.</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Рынок дополнительного образования ха</w:t>
      </w:r>
      <w:r>
        <w:rPr>
          <w:rFonts w:ascii="Times New Roman" w:hAnsi="Times New Roman" w:cs="Times New Roman"/>
          <w:color w:val="000000" w:themeColor="text1"/>
          <w:sz w:val="24"/>
          <w:szCs w:val="24"/>
        </w:rPr>
        <w:t xml:space="preserve">рактеризуется умеренным уровнем </w:t>
      </w:r>
      <w:r w:rsidRPr="000428B6">
        <w:rPr>
          <w:rFonts w:ascii="Times New Roman" w:hAnsi="Times New Roman" w:cs="Times New Roman"/>
          <w:color w:val="000000" w:themeColor="text1"/>
          <w:sz w:val="24"/>
          <w:szCs w:val="24"/>
        </w:rPr>
        <w:t>конкуренции. Индекс CR3 = 14,3. Данный показатель рассчитан на основании доли рынка, занятого тремя наиболее значимыми игроками: ЧУДПО Линия успеха, районный центр дополнительного образования Кировска, Синявинская школы искусств.</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По состоянию на 2022 г., индекс Херфиндаля - Хиршмана HHI =5 028,9, значения HHI находится в пределах от 1800 до 10000, что соответствует конкурентному рынку. Динамика показателя индекса  Херфиндаля-Хиршмана свидетельствует о незначительном росте уровня концентрации конкуренции (5056,12 в 2021 г.),- уровень конкуренции практически неизменный.</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Сведения о состоянии конкуренции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Мерами по повышению конкурентоспособности являются развитие филиальной сети внутри городов и поселков городского типа,  привлечение специалистов, имеющих неоконченное высшее образование,  развитие новых направлений в образовании,  а также развитие цифровизации  обучения с целью привлечения дополнительных учеников не только в оффлайн, но и  в онлайн-формате.</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lastRenderedPageBreak/>
        <w:t xml:space="preserve">Развитие конкуренции на рынке услуг дополнительного образования детей окажет положительную динамику на увеличение разноуровневых групп и кружков, в которых будут заниматься дети и подростки Ленинградской области. </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u w:val="single"/>
        </w:rPr>
      </w:pPr>
      <w:r w:rsidRPr="000428B6">
        <w:rPr>
          <w:rFonts w:ascii="Times New Roman" w:hAnsi="Times New Roman" w:cs="Times New Roman"/>
          <w:color w:val="000000" w:themeColor="text1"/>
          <w:sz w:val="24"/>
          <w:szCs w:val="24"/>
          <w:u w:val="single"/>
        </w:rPr>
        <w:t>4.</w:t>
      </w:r>
      <w:r w:rsidRPr="000428B6">
        <w:rPr>
          <w:rFonts w:ascii="Times New Roman" w:hAnsi="Times New Roman" w:cs="Times New Roman"/>
          <w:color w:val="000000" w:themeColor="text1"/>
          <w:sz w:val="24"/>
          <w:szCs w:val="24"/>
          <w:u w:val="single"/>
        </w:rPr>
        <w:tab/>
        <w:t>Рынок услуг детского отдыха и оздоровления</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В Ленинградской области предоставляют услуги отдыха и оздоровления 63 хозяйствующих субъекта, количество практически не изменилось по сравнению с результатом за 2021г - 61 субъект. </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Доля частных хозяйствующих субъектов составляет 31,8 % (в государственной собственности находятся 16 организаций, в муниципальной – 4, в частной – 41).</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Организационно-правовая форма, которую выбрали большинство частных организаций, предоставляющих услуги детского отдыха и оздоровления, - общество с ограниченной ответственностью, за исключением 2-х субъектов, представляющих частные учреждения </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 xml:space="preserve">Детский оздоровительный спортивный лагерь </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Каравелла</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 xml:space="preserve"> и </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 xml:space="preserve">Детский оздоровительный спортивный лагерь </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Юный Ленинец</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 37% рынка составляют хозяйствующие субъекты, осуществляющие деятельность на рынке услуг детского отдыха и оздоровления более 5 лет.</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Деятельность на рынке осуществляют преимущественно микропредприятия, годовой оборот которых составляет до 120 млн рублей.</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По состоянию на 2022 г., коэффициент концентрации (Concentration ratio) составил 21,3, что свидетельствует об умеренном уровне концентрации на рынке. Это показатель рассчитан по рыночной доле ключевых игроков (Закрытое Акционерное Общество </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 xml:space="preserve">Пансионат </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Ленинградец</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 xml:space="preserve">, Частное учреждение </w:t>
      </w:r>
      <w:r w:rsidR="008D7368">
        <w:rPr>
          <w:rFonts w:ascii="Times New Roman" w:hAnsi="Times New Roman" w:cs="Times New Roman"/>
          <w:color w:val="000000" w:themeColor="text1"/>
          <w:sz w:val="24"/>
          <w:szCs w:val="24"/>
        </w:rPr>
        <w:t>«Детский оздоровительный лагерь «</w:t>
      </w:r>
      <w:r w:rsidRPr="000428B6">
        <w:rPr>
          <w:rFonts w:ascii="Times New Roman" w:hAnsi="Times New Roman" w:cs="Times New Roman"/>
          <w:color w:val="000000" w:themeColor="text1"/>
          <w:sz w:val="24"/>
          <w:szCs w:val="24"/>
        </w:rPr>
        <w:t>Юный Кировец</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 xml:space="preserve">, Детский оздоровительный лагерь </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Мечта</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 xml:space="preserve"> ООО </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КИНЕФ</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 Индекс Херфиндаля Хиршмана HHI=2548,4, в динамике с 2021 г. (НН=2713,48) состояние конкурентной среды на рынке несколько улучшилось, уменьшилась доля крупных игроков на рынке.</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Сведения о состоянии конкуренции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Мерами повышения конкурентоспособности является использование и адаптация передовых методик зарубежных стран, развитие эко-лагерей семейного типа, а также улучшение состояния материально-технической базы, ремонт существующих жилых помещений с целью соблюдения действующих пожарных и санитарных норм эксплуатации помещений для проживания.</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Развитие конкуренции на рынке услуг детского отдыха окажет влияние на качество предоставляемых услуг и их ценообразование.  </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u w:val="single"/>
        </w:rPr>
      </w:pPr>
      <w:r w:rsidRPr="000428B6">
        <w:rPr>
          <w:rFonts w:ascii="Times New Roman" w:hAnsi="Times New Roman" w:cs="Times New Roman"/>
          <w:color w:val="000000" w:themeColor="text1"/>
          <w:sz w:val="24"/>
          <w:szCs w:val="24"/>
          <w:u w:val="single"/>
        </w:rPr>
        <w:t>5.</w:t>
      </w:r>
      <w:r w:rsidRPr="000428B6">
        <w:rPr>
          <w:rFonts w:ascii="Times New Roman" w:hAnsi="Times New Roman" w:cs="Times New Roman"/>
          <w:color w:val="000000" w:themeColor="text1"/>
          <w:sz w:val="24"/>
          <w:szCs w:val="24"/>
          <w:u w:val="single"/>
        </w:rPr>
        <w:tab/>
        <w:t xml:space="preserve">Рынок услуг среднего профессионального образования </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Подготовка квалифицированных рабочих кадров и специалистов среднего звена является неотъемлемой частью сферы образования и одним из важных компонентов обеспечения </w:t>
      </w:r>
      <w:r w:rsidRPr="000428B6">
        <w:rPr>
          <w:rFonts w:ascii="Times New Roman" w:hAnsi="Times New Roman" w:cs="Times New Roman"/>
          <w:color w:val="000000" w:themeColor="text1"/>
          <w:sz w:val="24"/>
          <w:szCs w:val="24"/>
        </w:rPr>
        <w:lastRenderedPageBreak/>
        <w:t>устойчивого и эффективного развития человеческого капитала и социально-экономического развития Ленинградской области в целом.</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Распоряжением Комитета по общему и профессиональному образованию Ленинградской области № 707-р от 14.04.2022 г. утверждена Концепция совершенствования среднего профессионального образования Ленинградской области.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В Концепции представлен комплексный анализ условий для содействия занятости выпускников СПО в Ленинградской области и разработан план мероприятий по содействию занятости выпускников Ленинградской области. Ожидаемые результаты: 1. Повышение уровня трудоустройства выпускников; 2. Индивидуальное сопровождение выпускников с целью последующего трудоустройства; 3. Повышение востребованности, мобильности и конкретности выпускника на рынке труда региона, в том числе через профессиональную переподготовку.</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Исходя из постоянно растущей потребности региона в квалифицированных кадрах, было увеличено количество бюджетных мест на 600 мест. Общий объем контрольных цифр приема для государственных профессиональных образовательных организаций и образовательных организаций высшего образования Ленинградской области составил 7 408 бюджетных мест. Из них для приема на обучение по образовательным программам среднего профессионального образования за счет средств областного бюджета Ленинградской области выделено 5990 мест. </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На территории Ленинградской области осуществляются различные проекты по усилению взаимодействия системы профессионального образования с предприятиями региона. В настоящее время заключено 913 договоров с ведущими предприятиями Ленинградской области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Рынок</w:t>
      </w:r>
      <w:r w:rsidRPr="000428B6">
        <w:rPr>
          <w:rFonts w:ascii="Times New Roman" w:hAnsi="Times New Roman" w:cs="Times New Roman"/>
          <w:color w:val="000000" w:themeColor="text1"/>
          <w:sz w:val="24"/>
          <w:szCs w:val="24"/>
        </w:rPr>
        <w:t xml:space="preserve"> услуг среднего профессионального образования представлен 43 организациями, из них 3 – частные. Большую часть рынка услуг среднего профессионального образования представляют хозяйствующие субъекты, ведущие деятельность в срок от 3 до 5 лет.</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По состоянию на 2022 г., коэффициент концентрации (Concentration ratio) трех ключевых игроков (Волховский колледж транспортного строительства, Кингисеппский колледж технологии и сервиса, Гатчинский педагогический колледж имени К. Д. Ушинского) составил CR3 = 59.3. Уровень концентрации на рынке высокий, что обуславливается спецификой рынка, предполагающего размещение субъектов в соответствии с потребностями промышленного сектора региона. Индекс Херфиндаля Хиршмана HHI = 2482,18, что соответствует рынку c умеренным уровнем концентрации). В динамике от 2021 г. (НН=2574,5) уровень конкуренции несколько снизился, в целом, можно говорить о неизменном уровне конкуренции.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Сведения о состоянии конкуренции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Мерами развития предприятий при высоком уровне конкуренции на рынке является расширение филиальной сети, дальнейшая цифровизация образовательных платформ, развитие </w:t>
      </w:r>
      <w:r w:rsidRPr="000428B6">
        <w:rPr>
          <w:rFonts w:ascii="Times New Roman" w:hAnsi="Times New Roman" w:cs="Times New Roman"/>
          <w:color w:val="000000" w:themeColor="text1"/>
          <w:sz w:val="24"/>
          <w:szCs w:val="24"/>
        </w:rPr>
        <w:lastRenderedPageBreak/>
        <w:t>сотрудничества с ведущими предприятиями региона для заключения ученических договоров и прохождения практики студентов.</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Развитие конкуренции на рынке услуг среднего профессионального образования привлечет дополнительных учащихся и учителей, что окажет положительное влияние на уровень профессионального образования молодежи и вместе с политикой по удержанию молодежи в регионе (предоставление рабочих мест, мест в общежитиях, субсидий, помощи в кредитовании жилья)</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u w:val="single"/>
        </w:rPr>
      </w:pPr>
      <w:r w:rsidRPr="000428B6">
        <w:rPr>
          <w:rFonts w:ascii="Times New Roman" w:hAnsi="Times New Roman" w:cs="Times New Roman"/>
          <w:color w:val="000000" w:themeColor="text1"/>
          <w:sz w:val="24"/>
          <w:szCs w:val="24"/>
          <w:u w:val="single"/>
        </w:rPr>
        <w:t>6.</w:t>
      </w:r>
      <w:r w:rsidRPr="000428B6">
        <w:rPr>
          <w:rFonts w:ascii="Times New Roman" w:hAnsi="Times New Roman" w:cs="Times New Roman"/>
          <w:color w:val="000000" w:themeColor="text1"/>
          <w:sz w:val="24"/>
          <w:szCs w:val="24"/>
          <w:u w:val="single"/>
        </w:rPr>
        <w:tab/>
        <w:t>Рынок услуг розничной торговли лекарственными препаратами, медицинскими изделиями и сопутствующими товарами</w:t>
      </w:r>
    </w:p>
    <w:p w:rsidR="000428B6" w:rsidRPr="000428B6" w:rsidRDefault="000428B6" w:rsidP="001A05A2">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На территории Ленинградской области услуги розничной торговли лекарственными препаратами, медицинскими изделиями и сопутствующими товарами предоставляют 299 юридических лиц и индивидуальных предпринимателей. При этом деятельность по ОКВЭД 47.73 (Торговля розничная лекарственными средствами в специализированных магазинах (аптеках)</w:t>
      </w:r>
      <w:r w:rsidR="001A05A2">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 xml:space="preserve"> в регион</w:t>
      </w:r>
      <w:r>
        <w:rPr>
          <w:rFonts w:ascii="Times New Roman" w:hAnsi="Times New Roman" w:cs="Times New Roman"/>
          <w:color w:val="000000" w:themeColor="text1"/>
          <w:sz w:val="24"/>
          <w:szCs w:val="24"/>
        </w:rPr>
        <w:t>е осуществляют 214 предприятий.</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В Ленинградской области на рынке услуг розничной торговли лекарственными препаратами, медицинскими изделиями и сопутствующими товарами, доля частной формы собственности составляет 85%. 40% рынка составляют хозяйствующие субъекты, осуществляющие деятельность на рынке услуги розничной торговли лекарственными препаратами, медицинскими изделиями и сопутствующими товарами, более 5 лет. Предприятия, появившиеся на данном рынке за последние 5 лет, преимущественно частной формы собственности.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Три крупнейших игрока на рынке: Будь Здоров, Озерки, Невис. По состоянию на 2022 г., коэффициент концентрации (Concentration ratio) CR3 = 60,2 (три крупнейших хозяйствующих субъекта занимают 60% рынка, индекс Херфиндаля Хиршмана HHI = 1 228,24. Конкуренция на рынке высокая. В динамике уровень конкуренции на рынке свидетельствует об улучшении конкурентного положения (по сравнению с 20201 г. количество участников рынка возросло на 7%).</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Исходя из данных, приведенных выше, три крупнейших хозяйствующих субъекта занимают более 50% рынка, значение HHI находится в пределах от 1000 до 1800, что соответствует конкурентному рынку с сильным уровнем концентрации.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Сведения о состоянии конкуренции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Развитие конкуренции на рынке услуг розничной торговли лекарственными товарами и препаратами приведет к небольшому снижению отпускных цен на лекарства, также необходимо проводить дальнейшую политику по предоставлению незащищенным социальным слоям медикаментов.</w:t>
      </w:r>
    </w:p>
    <w:p w:rsidR="000428B6" w:rsidRPr="001A05A2" w:rsidRDefault="000428B6" w:rsidP="000428B6">
      <w:pPr>
        <w:spacing w:after="0" w:line="360" w:lineRule="auto"/>
        <w:ind w:firstLine="709"/>
        <w:jc w:val="both"/>
        <w:rPr>
          <w:rFonts w:ascii="Times New Roman" w:hAnsi="Times New Roman" w:cs="Times New Roman"/>
          <w:color w:val="000000" w:themeColor="text1"/>
          <w:sz w:val="24"/>
          <w:szCs w:val="24"/>
          <w:u w:val="single"/>
        </w:rPr>
      </w:pPr>
      <w:r w:rsidRPr="001A05A2">
        <w:rPr>
          <w:rFonts w:ascii="Times New Roman" w:hAnsi="Times New Roman" w:cs="Times New Roman"/>
          <w:color w:val="000000" w:themeColor="text1"/>
          <w:sz w:val="24"/>
          <w:szCs w:val="24"/>
          <w:u w:val="single"/>
        </w:rPr>
        <w:lastRenderedPageBreak/>
        <w:t>7.</w:t>
      </w:r>
      <w:r w:rsidRPr="001A05A2">
        <w:rPr>
          <w:rFonts w:ascii="Times New Roman" w:hAnsi="Times New Roman" w:cs="Times New Roman"/>
          <w:color w:val="000000" w:themeColor="text1"/>
          <w:sz w:val="24"/>
          <w:szCs w:val="24"/>
          <w:u w:val="single"/>
        </w:rPr>
        <w:tab/>
        <w:t>Рынок социальных услуг</w:t>
      </w:r>
    </w:p>
    <w:p w:rsidR="00A90238" w:rsidRPr="00A90238" w:rsidRDefault="00A90238" w:rsidP="00A90238">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w:t>
      </w:r>
      <w:r w:rsidRPr="00A90238">
        <w:rPr>
          <w:rFonts w:ascii="Times New Roman" w:hAnsi="Times New Roman" w:cs="Times New Roman"/>
          <w:color w:val="000000" w:themeColor="text1"/>
          <w:sz w:val="24"/>
          <w:szCs w:val="24"/>
        </w:rPr>
        <w:t xml:space="preserve"> Реес</w:t>
      </w:r>
      <w:r>
        <w:rPr>
          <w:rFonts w:ascii="Times New Roman" w:hAnsi="Times New Roman" w:cs="Times New Roman"/>
          <w:color w:val="000000" w:themeColor="text1"/>
          <w:sz w:val="24"/>
          <w:szCs w:val="24"/>
        </w:rPr>
        <w:t>тр поставщиков социальных услуг</w:t>
      </w:r>
      <w:r w:rsidRPr="00A90238">
        <w:rPr>
          <w:rFonts w:ascii="Times New Roman" w:hAnsi="Times New Roman" w:cs="Times New Roman"/>
          <w:color w:val="000000" w:themeColor="text1"/>
          <w:sz w:val="24"/>
          <w:szCs w:val="24"/>
        </w:rPr>
        <w:t xml:space="preserve"> в Ленинградской области включено 38 государственных учреждений и 60 негосударственных организаций. </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По состоянию на 2022 г., коэффициент концентрации трех ключевых игроков: ЛОГБУ </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 xml:space="preserve">Волховский КЦСОН </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Береника</w:t>
      </w:r>
      <w:r w:rsidR="008D7368">
        <w:rPr>
          <w:rFonts w:ascii="Times New Roman" w:hAnsi="Times New Roman" w:cs="Times New Roman"/>
          <w:color w:val="000000" w:themeColor="text1"/>
          <w:sz w:val="24"/>
          <w:szCs w:val="24"/>
        </w:rPr>
        <w:t>», ЛОГБУ «</w:t>
      </w:r>
      <w:r w:rsidRPr="000428B6">
        <w:rPr>
          <w:rFonts w:ascii="Times New Roman" w:hAnsi="Times New Roman" w:cs="Times New Roman"/>
          <w:color w:val="000000" w:themeColor="text1"/>
          <w:sz w:val="24"/>
          <w:szCs w:val="24"/>
        </w:rPr>
        <w:t>Вознесенский ДИ</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 xml:space="preserve">, ЛОГБУ </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ЛО МРЦ</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 xml:space="preserve"> составляет CR3= 57,60, индекс Херфиндаля-Хиршмана HHI = 7 296,60 (значения HHI 1 800 &lt; 7 296,60 &lt; 10 00 соответствуют рынку c высоким уровнем концентрации), уровень конкуренции. Это обусловлено процедурами отбора органами исполнительной власти для получения разрешений на право ведения деятельности в сфере предоставления социальных услуг. Динамика индекса Херфиндаля-Хиршмана по сравнению с 2021 г. (НН=7738,18) свидетельствует том, что на рынке сохранился высокий уровень конкуренции.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Сведения о состоянии конкуренции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Развитие рынка и увеличение конкуренции окажет влияние на улучшение качества предоставляемых услуг, а также на улучшение качества жизни получателей социальных услуг.</w:t>
      </w:r>
    </w:p>
    <w:p w:rsidR="000428B6" w:rsidRPr="001A05A2" w:rsidRDefault="000428B6" w:rsidP="000428B6">
      <w:pPr>
        <w:spacing w:after="0" w:line="360" w:lineRule="auto"/>
        <w:ind w:firstLine="709"/>
        <w:jc w:val="both"/>
        <w:rPr>
          <w:rFonts w:ascii="Times New Roman" w:hAnsi="Times New Roman" w:cs="Times New Roman"/>
          <w:color w:val="000000" w:themeColor="text1"/>
          <w:sz w:val="24"/>
          <w:szCs w:val="24"/>
          <w:u w:val="single"/>
        </w:rPr>
      </w:pPr>
      <w:r w:rsidRPr="001A05A2">
        <w:rPr>
          <w:rFonts w:ascii="Times New Roman" w:hAnsi="Times New Roman" w:cs="Times New Roman"/>
          <w:color w:val="000000" w:themeColor="text1"/>
          <w:sz w:val="24"/>
          <w:szCs w:val="24"/>
          <w:u w:val="single"/>
        </w:rPr>
        <w:t>8.</w:t>
      </w:r>
      <w:r w:rsidRPr="001A05A2">
        <w:rPr>
          <w:rFonts w:ascii="Times New Roman" w:hAnsi="Times New Roman" w:cs="Times New Roman"/>
          <w:color w:val="000000" w:themeColor="text1"/>
          <w:sz w:val="24"/>
          <w:szCs w:val="24"/>
          <w:u w:val="single"/>
        </w:rPr>
        <w:tab/>
        <w:t>Рынок теплоснабжения (производство тепловой энергии)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В Ленинградской области выявлено 117 хозяйствующих субъектов, осуществляющих деятельность на рынке теплоснабжения. Рынок представлен компаний, осуществляющими генерацию тепловой энергии, а также последующее распределение. По формам собственности подавляющее большинство представляют частные в форме ООО и ПАО. Крупнейшие игроки: ПАО </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ТГК-1</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 xml:space="preserve">, АО </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Юго-Западная ТЭЦ</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 Однако есть также Государственное унитарное предприятие "ТЭК СПб".</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Особенностью рынка является наличие функционирующих на нем хозяйствующих субъектов в статусе гарантирующего поставщика, что обусловлено наличием сложившейся инфраструктуры. По состоянию на 2022 г., основными игроками являются ПАО </w:t>
      </w:r>
      <w:r w:rsidR="008D7368">
        <w:rPr>
          <w:rFonts w:ascii="Times New Roman" w:hAnsi="Times New Roman" w:cs="Times New Roman"/>
          <w:color w:val="000000" w:themeColor="text1"/>
          <w:sz w:val="24"/>
          <w:szCs w:val="24"/>
        </w:rPr>
        <w:t>«ТГК-1»</w:t>
      </w:r>
      <w:r w:rsidRPr="000428B6">
        <w:rPr>
          <w:rFonts w:ascii="Times New Roman" w:hAnsi="Times New Roman" w:cs="Times New Roman"/>
          <w:color w:val="000000" w:themeColor="text1"/>
          <w:sz w:val="24"/>
          <w:szCs w:val="24"/>
        </w:rPr>
        <w:t>,</w:t>
      </w:r>
      <w:r w:rsidR="008D7368">
        <w:rPr>
          <w:rFonts w:ascii="Times New Roman" w:hAnsi="Times New Roman" w:cs="Times New Roman"/>
          <w:color w:val="000000" w:themeColor="text1"/>
          <w:sz w:val="24"/>
          <w:szCs w:val="24"/>
        </w:rPr>
        <w:br/>
      </w:r>
      <w:r w:rsidRPr="000428B6">
        <w:rPr>
          <w:rFonts w:ascii="Times New Roman" w:hAnsi="Times New Roman" w:cs="Times New Roman"/>
          <w:color w:val="000000" w:themeColor="text1"/>
          <w:sz w:val="24"/>
          <w:szCs w:val="24"/>
        </w:rPr>
        <w:t xml:space="preserve"> АО </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Юго-Западная ТЭЦ</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 xml:space="preserve">, </w:t>
      </w:r>
      <w:r w:rsidR="008D7368">
        <w:rPr>
          <w:rFonts w:ascii="Times New Roman" w:hAnsi="Times New Roman" w:cs="Times New Roman"/>
          <w:color w:val="000000" w:themeColor="text1"/>
          <w:sz w:val="24"/>
          <w:szCs w:val="24"/>
        </w:rPr>
        <w:t>«ТЭК СПб»</w:t>
      </w:r>
      <w:r w:rsidRPr="000428B6">
        <w:rPr>
          <w:rFonts w:ascii="Times New Roman" w:hAnsi="Times New Roman" w:cs="Times New Roman"/>
          <w:color w:val="000000" w:themeColor="text1"/>
          <w:sz w:val="24"/>
          <w:szCs w:val="24"/>
        </w:rPr>
        <w:t>, совокупная рыночная доля которых составляет 86, 5% - коэффициент концентрации CR3= 86,5. Это характеризует рынок как рынок со слабым уровнем конкуренции. Индекс Херфиндаля– Хиршмана HHI = 3628,30 (значения HHI 1800 &lt; 3628,30 &lt; 10000 соответствуют рынку c высоким уровнем концентрации). В динамике, на основании значения индекса Херфиндаля–Хиршмана (НН=3689,04 в 2021 г.), можно говорить о неизменности уровня конкуренции на рынке.</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Сведения о состоянии конкуренции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Развитие рынка и конкуренции приведет к постепенному укрупнению поставщиков услуг, что положительно повлияет на уровень цен на тепло, отпускаемое населению региона.</w:t>
      </w:r>
    </w:p>
    <w:p w:rsidR="000428B6" w:rsidRPr="00094C29" w:rsidRDefault="000428B6" w:rsidP="000428B6">
      <w:pPr>
        <w:spacing w:after="0" w:line="360" w:lineRule="auto"/>
        <w:ind w:firstLine="709"/>
        <w:jc w:val="both"/>
        <w:rPr>
          <w:rFonts w:ascii="Times New Roman" w:hAnsi="Times New Roman" w:cs="Times New Roman"/>
          <w:color w:val="000000" w:themeColor="text1"/>
          <w:sz w:val="24"/>
          <w:szCs w:val="24"/>
          <w:u w:val="single"/>
        </w:rPr>
      </w:pPr>
      <w:r w:rsidRPr="00094C29">
        <w:rPr>
          <w:rFonts w:ascii="Times New Roman" w:hAnsi="Times New Roman" w:cs="Times New Roman"/>
          <w:color w:val="000000" w:themeColor="text1"/>
          <w:sz w:val="24"/>
          <w:szCs w:val="24"/>
          <w:u w:val="single"/>
        </w:rPr>
        <w:t>9.</w:t>
      </w:r>
      <w:r w:rsidRPr="00094C29">
        <w:rPr>
          <w:rFonts w:ascii="Times New Roman" w:hAnsi="Times New Roman" w:cs="Times New Roman"/>
          <w:color w:val="000000" w:themeColor="text1"/>
          <w:sz w:val="24"/>
          <w:szCs w:val="24"/>
          <w:u w:val="single"/>
        </w:rPr>
        <w:tab/>
        <w:t xml:space="preserve">Рынок услуг по сбору и транспортированию твердых коммунальных отходов </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lastRenderedPageBreak/>
        <w:t>На рынке транспортировки коммунальных отходов в Ленинградской области установлено 135 хозяйствующих субъекта, зарегистрированных по ОКВЭД 38.1 (Сбор от</w:t>
      </w:r>
      <w:r w:rsidR="00105B73">
        <w:rPr>
          <w:rFonts w:ascii="Times New Roman" w:hAnsi="Times New Roman" w:cs="Times New Roman"/>
          <w:color w:val="000000" w:themeColor="text1"/>
          <w:sz w:val="24"/>
          <w:szCs w:val="24"/>
        </w:rPr>
        <w:t xml:space="preserve">ходов без транспортирования ТКО), </w:t>
      </w:r>
      <w:r w:rsidRPr="000428B6">
        <w:rPr>
          <w:rFonts w:ascii="Times New Roman" w:hAnsi="Times New Roman" w:cs="Times New Roman"/>
          <w:color w:val="000000" w:themeColor="text1"/>
          <w:sz w:val="24"/>
          <w:szCs w:val="24"/>
        </w:rPr>
        <w:t>из них 89 хозяйствующих субъект</w:t>
      </w:r>
      <w:r w:rsidR="00105B73">
        <w:rPr>
          <w:rFonts w:ascii="Times New Roman" w:hAnsi="Times New Roman" w:cs="Times New Roman"/>
          <w:color w:val="000000" w:themeColor="text1"/>
          <w:sz w:val="24"/>
          <w:szCs w:val="24"/>
        </w:rPr>
        <w:t>ов с участием частного капитала</w:t>
      </w:r>
      <w:r w:rsidRPr="000428B6">
        <w:rPr>
          <w:rFonts w:ascii="Times New Roman" w:hAnsi="Times New Roman" w:cs="Times New Roman"/>
          <w:color w:val="000000" w:themeColor="text1"/>
          <w:sz w:val="24"/>
          <w:szCs w:val="24"/>
        </w:rPr>
        <w:t xml:space="preserve">. </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С начала 2022 г. в муниципальных образованиях Ленинградской области ликвидировано 74 свалки объемом 14 тысяч кубометров, завершаются работы еще по 13 объектам, объемом 18 тысяч кубометров. Также по единым стандартам, принятым в регионе, с начала года создано 154 площадки накопления твердых коммунальных отходов, для них приобретено 985 контейнеров для сбора смешанных отходов.</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В Ленинградской области по нацпроекту "Экология" в 2022 г. в области появится еще 246 контейнеров для раздельного сбора мусора. Желтые и зеленые емкости принимают пластик и стекло уже в 14 районах области, всего во дворах региона действует 888 точек раздельного сбора.</w:t>
      </w:r>
    </w:p>
    <w:p w:rsidR="00094C29"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В Ленинградской области в июле 2022 г. начали строить первый комплекс глубокой переработки отходов — </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Кингисепп</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 xml:space="preserve">. Его разместят на нарушенных землях промышленной зоны </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Фосфорит</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 xml:space="preserve"> в Кингисеппском районе. </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Управляющая компании по обращению с отходами Ленобласти</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 xml:space="preserve"> выступит инвестором проекта, общая стоимость которого составляет 3,5 млрд руб. КПО </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Кингисепп</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 xml:space="preserve"> станет первым строящимся комплексом по глубокой переработке отходов в Ленинградской области. Всего же в регионе планируется построить пять новых мусороперерабатывающих заводов. </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Отметим, что особенностью рынка является наличие на нем регионального оператора (АО </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Управляющая компания по обращению с отходами Ленинградской области</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 в полномочия которого входит заключение договоров с хозяйствующими субъектами на транспортировку твердых коммунальных отходов. При этом более половины (78%) рынка занимают частные компании, зарегистрированные в форме ООО. 35% хозяйствующих субъектов осуществляют свою деятельность на рынке более пяти лет. При этом в течении последних пяти лет на рынке появились новые участники- частные организации.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По состоянию на 2022 г., основными игроками на рынке являются: ООО </w:t>
      </w:r>
      <w:r w:rsidR="008D7368">
        <w:rPr>
          <w:rFonts w:ascii="Times New Roman" w:hAnsi="Times New Roman" w:cs="Times New Roman"/>
          <w:color w:val="000000" w:themeColor="text1"/>
          <w:sz w:val="24"/>
          <w:szCs w:val="24"/>
        </w:rPr>
        <w:t>«МАСТЕР»</w:t>
      </w:r>
      <w:r w:rsidRPr="000428B6">
        <w:rPr>
          <w:rFonts w:ascii="Times New Roman" w:hAnsi="Times New Roman" w:cs="Times New Roman"/>
          <w:color w:val="000000" w:themeColor="text1"/>
          <w:sz w:val="24"/>
          <w:szCs w:val="24"/>
        </w:rPr>
        <w:t xml:space="preserve">, ООО </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ЮНЭП</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 xml:space="preserve">, ООО </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ЭКОСБОР</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 коэффициент концентрации, рассчитанный по доле этих трех ключевых игроков, составляет CR3= 82,3 (три крупнейших хозяйствующих субъекта занимают более 70% рынка), рынок характеризуется слабым уровнем конкуренции. Индекс Херфиндаля-Хиршмана HHI = 2024,30 (значения HHI 1 800 &lt; 2024,30 &lt; 10 000 соответствуют низкому уровню концентрации. Таким образом, рынок представлен большим количеством игроков, однако степень концентрации на нем высокая. В 2021 г. индекс Херфиндаля-Хиршмана составлял 1988,72, в динамике на рынке конкурентное положение субъектов не изменилось, степень концентрации сохранилась высокой.</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lastRenderedPageBreak/>
        <w:t>Сведения о состоянии конкуренции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Развитие конкуренции привлечет новых предпринимателей, создаст новые рабочие места.</w:t>
      </w:r>
    </w:p>
    <w:p w:rsidR="000428B6" w:rsidRPr="00094C29" w:rsidRDefault="000428B6" w:rsidP="000428B6">
      <w:pPr>
        <w:spacing w:after="0" w:line="360" w:lineRule="auto"/>
        <w:ind w:firstLine="709"/>
        <w:jc w:val="both"/>
        <w:rPr>
          <w:rFonts w:ascii="Times New Roman" w:hAnsi="Times New Roman" w:cs="Times New Roman"/>
          <w:color w:val="000000" w:themeColor="text1"/>
          <w:sz w:val="24"/>
          <w:szCs w:val="24"/>
          <w:u w:val="single"/>
        </w:rPr>
      </w:pPr>
      <w:r w:rsidRPr="00094C29">
        <w:rPr>
          <w:rFonts w:ascii="Times New Roman" w:hAnsi="Times New Roman" w:cs="Times New Roman"/>
          <w:color w:val="000000" w:themeColor="text1"/>
          <w:sz w:val="24"/>
          <w:szCs w:val="24"/>
          <w:u w:val="single"/>
        </w:rPr>
        <w:t>10.</w:t>
      </w:r>
      <w:r w:rsidRPr="00094C29">
        <w:rPr>
          <w:rFonts w:ascii="Times New Roman" w:hAnsi="Times New Roman" w:cs="Times New Roman"/>
          <w:color w:val="000000" w:themeColor="text1"/>
          <w:sz w:val="24"/>
          <w:szCs w:val="24"/>
          <w:u w:val="single"/>
        </w:rPr>
        <w:tab/>
        <w:t>Рынок выполнения работ по содержанию и текущему ремонту общего имущества собственников помещений в многоквартирном доме</w:t>
      </w:r>
    </w:p>
    <w:p w:rsidR="00A90238" w:rsidRPr="00A90238" w:rsidRDefault="000428B6" w:rsidP="00A90238">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В Ленинградской области </w:t>
      </w:r>
      <w:r w:rsidR="00A90238">
        <w:rPr>
          <w:rFonts w:ascii="Times New Roman" w:hAnsi="Times New Roman" w:cs="Times New Roman"/>
          <w:color w:val="000000" w:themeColor="text1"/>
          <w:sz w:val="24"/>
          <w:szCs w:val="24"/>
        </w:rPr>
        <w:t xml:space="preserve">выдано </w:t>
      </w:r>
      <w:r w:rsidR="00A90238" w:rsidRPr="00A90238">
        <w:rPr>
          <w:rFonts w:ascii="Times New Roman" w:hAnsi="Times New Roman" w:cs="Times New Roman"/>
          <w:color w:val="000000" w:themeColor="text1"/>
          <w:sz w:val="24"/>
          <w:szCs w:val="24"/>
        </w:rPr>
        <w:t>737 лицензий, из них:</w:t>
      </w:r>
    </w:p>
    <w:p w:rsidR="00A90238" w:rsidRPr="00A90238" w:rsidRDefault="00A90238" w:rsidP="00A90238">
      <w:pPr>
        <w:spacing w:after="0" w:line="360" w:lineRule="auto"/>
        <w:ind w:firstLine="709"/>
        <w:jc w:val="both"/>
        <w:rPr>
          <w:rFonts w:ascii="Times New Roman" w:hAnsi="Times New Roman" w:cs="Times New Roman"/>
          <w:color w:val="000000" w:themeColor="text1"/>
          <w:sz w:val="24"/>
          <w:szCs w:val="24"/>
        </w:rPr>
      </w:pPr>
      <w:r w:rsidRPr="00A90238">
        <w:rPr>
          <w:rFonts w:ascii="Times New Roman" w:hAnsi="Times New Roman" w:cs="Times New Roman"/>
          <w:color w:val="000000" w:themeColor="text1"/>
          <w:sz w:val="24"/>
          <w:szCs w:val="24"/>
        </w:rPr>
        <w:t>- 544 управляющих организаций (УК) имеют действующие лицензии, в том числе фактически управляют многоквартирными домами (МКД) - 392 УК, в ведении которых находится 15 031 МКД площадью 42,3 млн. кв.м;</w:t>
      </w:r>
    </w:p>
    <w:p w:rsidR="00A90238" w:rsidRPr="00A90238" w:rsidRDefault="00A90238" w:rsidP="00A90238">
      <w:pPr>
        <w:spacing w:after="0" w:line="360" w:lineRule="auto"/>
        <w:ind w:firstLine="709"/>
        <w:jc w:val="both"/>
        <w:rPr>
          <w:rFonts w:ascii="Times New Roman" w:hAnsi="Times New Roman" w:cs="Times New Roman"/>
          <w:color w:val="000000" w:themeColor="text1"/>
          <w:sz w:val="24"/>
          <w:szCs w:val="24"/>
        </w:rPr>
      </w:pPr>
      <w:r w:rsidRPr="00A90238">
        <w:rPr>
          <w:rFonts w:ascii="Times New Roman" w:hAnsi="Times New Roman" w:cs="Times New Roman"/>
          <w:color w:val="000000" w:themeColor="text1"/>
          <w:sz w:val="24"/>
          <w:szCs w:val="24"/>
        </w:rPr>
        <w:t>- действие 192 лицензий прекращено по заявлениям лицензиатов и на основании судебных решений в связи с отсутствием в течение 6 месяцев МКД в управлении.</w:t>
      </w:r>
    </w:p>
    <w:p w:rsidR="00A90238" w:rsidRPr="00A90238" w:rsidRDefault="00A90238" w:rsidP="00A90238">
      <w:pPr>
        <w:spacing w:after="0" w:line="360" w:lineRule="auto"/>
        <w:ind w:firstLine="709"/>
        <w:jc w:val="both"/>
        <w:rPr>
          <w:rFonts w:ascii="Times New Roman" w:hAnsi="Times New Roman" w:cs="Times New Roman"/>
          <w:color w:val="000000" w:themeColor="text1"/>
          <w:sz w:val="24"/>
          <w:szCs w:val="24"/>
        </w:rPr>
      </w:pPr>
      <w:r w:rsidRPr="00A90238">
        <w:rPr>
          <w:rFonts w:ascii="Times New Roman" w:hAnsi="Times New Roman" w:cs="Times New Roman"/>
          <w:color w:val="000000" w:themeColor="text1"/>
          <w:sz w:val="24"/>
          <w:szCs w:val="24"/>
        </w:rPr>
        <w:t>- 1 лицензия аннулирована за ненадлежащее содержание МКД</w:t>
      </w:r>
    </w:p>
    <w:p w:rsidR="00A90238" w:rsidRDefault="00A90238" w:rsidP="00A90238">
      <w:pPr>
        <w:spacing w:after="0" w:line="360" w:lineRule="auto"/>
        <w:ind w:firstLine="709"/>
        <w:jc w:val="both"/>
        <w:rPr>
          <w:rFonts w:ascii="Times New Roman" w:hAnsi="Times New Roman" w:cs="Times New Roman"/>
          <w:color w:val="000000" w:themeColor="text1"/>
          <w:sz w:val="24"/>
          <w:szCs w:val="24"/>
        </w:rPr>
      </w:pPr>
      <w:r w:rsidRPr="00A90238">
        <w:rPr>
          <w:rFonts w:ascii="Times New Roman" w:hAnsi="Times New Roman" w:cs="Times New Roman"/>
          <w:color w:val="000000" w:themeColor="text1"/>
          <w:sz w:val="24"/>
          <w:szCs w:val="24"/>
        </w:rPr>
        <w:t>Также на территории Ленинградской области работают 564 ТСЖ, ТСН, ЖСК, ЖК.</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Наиболее </w:t>
      </w:r>
      <w:r w:rsidR="008D7368">
        <w:rPr>
          <w:rFonts w:ascii="Times New Roman" w:hAnsi="Times New Roman" w:cs="Times New Roman"/>
          <w:color w:val="000000" w:themeColor="text1"/>
          <w:sz w:val="24"/>
          <w:szCs w:val="24"/>
        </w:rPr>
        <w:t>крупными игроками являются: УК «Сиверский» (Гатчина), УК «</w:t>
      </w:r>
      <w:r w:rsidRPr="000428B6">
        <w:rPr>
          <w:rFonts w:ascii="Times New Roman" w:hAnsi="Times New Roman" w:cs="Times New Roman"/>
          <w:color w:val="000000" w:themeColor="text1"/>
          <w:sz w:val="24"/>
          <w:szCs w:val="24"/>
        </w:rPr>
        <w:t>Управляющая компа</w:t>
      </w:r>
      <w:r w:rsidR="008D7368">
        <w:rPr>
          <w:rFonts w:ascii="Times New Roman" w:hAnsi="Times New Roman" w:cs="Times New Roman"/>
          <w:color w:val="000000" w:themeColor="text1"/>
          <w:sz w:val="24"/>
          <w:szCs w:val="24"/>
        </w:rPr>
        <w:t>ния по ЖКХ» (Выборг), ЖСК «</w:t>
      </w:r>
      <w:r w:rsidRPr="000428B6">
        <w:rPr>
          <w:rFonts w:ascii="Times New Roman" w:hAnsi="Times New Roman" w:cs="Times New Roman"/>
          <w:color w:val="000000" w:themeColor="text1"/>
          <w:sz w:val="24"/>
          <w:szCs w:val="24"/>
        </w:rPr>
        <w:t>ЖКХ</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 xml:space="preserve"> (Всеволожск). По состоянию на 2022 г., их совокупная доля на рынке составляет 12,71, % коэффициент концентрации CR3= 16,8%, что характеризует рынок как рынок с высокой степенью конкуренции. Индекс Херфиндаля Хиршмана HHI = 548,6 (низкий уровень концентрации). В 202</w:t>
      </w:r>
      <w:r w:rsidR="009F279C">
        <w:rPr>
          <w:rFonts w:ascii="Times New Roman" w:hAnsi="Times New Roman" w:cs="Times New Roman"/>
          <w:color w:val="000000" w:themeColor="text1"/>
          <w:sz w:val="24"/>
          <w:szCs w:val="24"/>
        </w:rPr>
        <w:t>1</w:t>
      </w:r>
      <w:r w:rsidRPr="000428B6">
        <w:rPr>
          <w:rFonts w:ascii="Times New Roman" w:hAnsi="Times New Roman" w:cs="Times New Roman"/>
          <w:color w:val="000000" w:themeColor="text1"/>
          <w:sz w:val="24"/>
          <w:szCs w:val="24"/>
        </w:rPr>
        <w:t xml:space="preserve"> г. значения HHI составляла 529,04, - таким образом, рынок с позиции конкурентной активности практически неизменен, сохранилась высокая степень концентрации.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Сведения о состоянии конкуренции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Развитие конкуренции в отрасли приведет к улучшению качества оказываемых услуг населению  и увеличению рабочих мест в отрасли. </w:t>
      </w:r>
    </w:p>
    <w:p w:rsidR="000428B6" w:rsidRPr="00094C29" w:rsidRDefault="000428B6" w:rsidP="000428B6">
      <w:pPr>
        <w:spacing w:after="0" w:line="360" w:lineRule="auto"/>
        <w:ind w:firstLine="709"/>
        <w:jc w:val="both"/>
        <w:rPr>
          <w:rFonts w:ascii="Times New Roman" w:hAnsi="Times New Roman" w:cs="Times New Roman"/>
          <w:color w:val="000000" w:themeColor="text1"/>
          <w:sz w:val="24"/>
          <w:szCs w:val="24"/>
          <w:u w:val="single"/>
        </w:rPr>
      </w:pPr>
      <w:r w:rsidRPr="000428B6">
        <w:rPr>
          <w:rFonts w:ascii="Times New Roman" w:hAnsi="Times New Roman" w:cs="Times New Roman"/>
          <w:color w:val="000000" w:themeColor="text1"/>
          <w:sz w:val="24"/>
          <w:szCs w:val="24"/>
        </w:rPr>
        <w:t>11.</w:t>
      </w:r>
      <w:r w:rsidRPr="000428B6">
        <w:rPr>
          <w:rFonts w:ascii="Times New Roman" w:hAnsi="Times New Roman" w:cs="Times New Roman"/>
          <w:color w:val="000000" w:themeColor="text1"/>
          <w:sz w:val="24"/>
          <w:szCs w:val="24"/>
        </w:rPr>
        <w:tab/>
      </w:r>
      <w:r w:rsidRPr="00094C29">
        <w:rPr>
          <w:rFonts w:ascii="Times New Roman" w:hAnsi="Times New Roman" w:cs="Times New Roman"/>
          <w:color w:val="000000" w:themeColor="text1"/>
          <w:sz w:val="24"/>
          <w:szCs w:val="24"/>
          <w:u w:val="single"/>
        </w:rPr>
        <w:t>Рынок купли-продажи электроэнергии (мощности) на розничном рынке электрической энергии (мощности)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В Ленинградской области действуют 21 хозяйствующий субъект, осуществляющих деятельность на рынке купли-продажи электроэнергии (мощности) на розничном рынке электрической энергии (мощности) (далее – рынок купли-продажи электроэнергии), форма собственности которых является частной в 100%. Рынок подвержен динамичным изменениям, так один из крупных игроков ОА</w:t>
      </w:r>
      <w:r w:rsidR="008D7368">
        <w:rPr>
          <w:rFonts w:ascii="Times New Roman" w:hAnsi="Times New Roman" w:cs="Times New Roman"/>
          <w:color w:val="000000" w:themeColor="text1"/>
          <w:sz w:val="24"/>
          <w:szCs w:val="24"/>
        </w:rPr>
        <w:t>О «Открытая энергетическая сеть»</w:t>
      </w:r>
      <w:r w:rsidRPr="000428B6">
        <w:rPr>
          <w:rFonts w:ascii="Times New Roman" w:hAnsi="Times New Roman" w:cs="Times New Roman"/>
          <w:color w:val="000000" w:themeColor="text1"/>
          <w:sz w:val="24"/>
          <w:szCs w:val="24"/>
        </w:rPr>
        <w:t xml:space="preserve"> преобразован в частную компанию из ФГУП Федеральное государственное унитарное предприятие </w:t>
      </w:r>
      <w:r w:rsidR="008D7368">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470 электриче</w:t>
      </w:r>
      <w:r w:rsidR="008D7368">
        <w:rPr>
          <w:rFonts w:ascii="Times New Roman" w:hAnsi="Times New Roman" w:cs="Times New Roman"/>
          <w:color w:val="000000" w:themeColor="text1"/>
          <w:sz w:val="24"/>
          <w:szCs w:val="24"/>
        </w:rPr>
        <w:t>ская сеть Военно-Морского Флота»</w:t>
      </w:r>
      <w:r w:rsidRPr="000428B6">
        <w:rPr>
          <w:rFonts w:ascii="Times New Roman" w:hAnsi="Times New Roman" w:cs="Times New Roman"/>
          <w:color w:val="000000" w:themeColor="text1"/>
          <w:sz w:val="24"/>
          <w:szCs w:val="24"/>
        </w:rPr>
        <w:t xml:space="preserve"> Министерства обороны Российской Федерации.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По состоянию на 2022 г., коэффициент концентрации (Concentration ratio) CR3 =94,1 (три крупнейших хозяйствующих субъекта - ООО РКС-Энерго, Петербургская сбытовая компания, АО </w:t>
      </w:r>
      <w:r w:rsidR="008D7368">
        <w:rPr>
          <w:rFonts w:ascii="Times New Roman" w:hAnsi="Times New Roman" w:cs="Times New Roman"/>
          <w:color w:val="000000" w:themeColor="text1"/>
          <w:sz w:val="24"/>
          <w:szCs w:val="24"/>
        </w:rPr>
        <w:t>«Концерн Росэнергоатом»</w:t>
      </w:r>
      <w:r w:rsidRPr="000428B6">
        <w:rPr>
          <w:rFonts w:ascii="Times New Roman" w:hAnsi="Times New Roman" w:cs="Times New Roman"/>
          <w:color w:val="000000" w:themeColor="text1"/>
          <w:sz w:val="24"/>
          <w:szCs w:val="24"/>
        </w:rPr>
        <w:t xml:space="preserve"> - занимают 94,1% рынка), что характеризует рынок как рынок со </w:t>
      </w:r>
      <w:r w:rsidRPr="000428B6">
        <w:rPr>
          <w:rFonts w:ascii="Times New Roman" w:hAnsi="Times New Roman" w:cs="Times New Roman"/>
          <w:color w:val="000000" w:themeColor="text1"/>
          <w:sz w:val="24"/>
          <w:szCs w:val="24"/>
        </w:rPr>
        <w:lastRenderedPageBreak/>
        <w:t>слабым уровнем конкуренции. Индекс Херфиндаля-Хиршмана HHI = 4824,18 значение HHI 1800&lt;4824,18&lt;10000, что соответствует конкурентному рынку с высоким уровнем концентрации.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Значение индекса в 2021 г. составляло 4712,08 - небольшое увеличение значения индекса свидетельствует о неизменности состояния конкурентной среды на рынке.</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12.</w:t>
      </w:r>
      <w:r w:rsidRPr="000428B6">
        <w:rPr>
          <w:rFonts w:ascii="Times New Roman" w:hAnsi="Times New Roman" w:cs="Times New Roman"/>
          <w:color w:val="000000" w:themeColor="text1"/>
          <w:sz w:val="24"/>
          <w:szCs w:val="24"/>
        </w:rPr>
        <w:tab/>
      </w:r>
      <w:r w:rsidRPr="009F279C">
        <w:rPr>
          <w:rFonts w:ascii="Times New Roman" w:hAnsi="Times New Roman" w:cs="Times New Roman"/>
          <w:color w:val="000000" w:themeColor="text1"/>
          <w:sz w:val="24"/>
          <w:szCs w:val="24"/>
          <w:u w:val="single"/>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r w:rsidRPr="000428B6">
        <w:rPr>
          <w:rFonts w:ascii="Times New Roman" w:hAnsi="Times New Roman" w:cs="Times New Roman"/>
          <w:color w:val="000000" w:themeColor="text1"/>
          <w:sz w:val="24"/>
          <w:szCs w:val="24"/>
        </w:rPr>
        <w:t xml:space="preserve"> </w:t>
      </w:r>
    </w:p>
    <w:p w:rsidR="000428B6" w:rsidRPr="000428B6" w:rsidRDefault="009F279C" w:rsidP="000428B6">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w:t>
      </w:r>
      <w:r w:rsidR="000428B6" w:rsidRPr="000428B6">
        <w:rPr>
          <w:rFonts w:ascii="Times New Roman" w:hAnsi="Times New Roman" w:cs="Times New Roman"/>
          <w:color w:val="000000" w:themeColor="text1"/>
          <w:sz w:val="24"/>
          <w:szCs w:val="24"/>
        </w:rPr>
        <w:t>а терри</w:t>
      </w:r>
      <w:r>
        <w:rPr>
          <w:rFonts w:ascii="Times New Roman" w:hAnsi="Times New Roman" w:cs="Times New Roman"/>
          <w:color w:val="000000" w:themeColor="text1"/>
          <w:sz w:val="24"/>
          <w:szCs w:val="24"/>
        </w:rPr>
        <w:t>тории Ленинградской области осуществляют деятельность</w:t>
      </w:r>
      <w:r w:rsidR="000428B6" w:rsidRPr="000428B6">
        <w:rPr>
          <w:rFonts w:ascii="Times New Roman" w:hAnsi="Times New Roman" w:cs="Times New Roman"/>
          <w:color w:val="000000" w:themeColor="text1"/>
          <w:sz w:val="24"/>
          <w:szCs w:val="24"/>
        </w:rPr>
        <w:t xml:space="preserve"> 23 электростанции общей мощностью 8587,5 МВт. В их числе одна атомная электростанция — Ленинградская АЭС, 8 гидроэлектростанций — Волховская ГЭС, Нарвская ГЭС, Светогорская ГЭС, Лесогорская ГЭС, Нижне-Свирская ГЭС, Верхне-Свирская ГЭС, Лужская ГЭС-2, Ивановская ГЭС и 16 тепловых электростанций, большая часть которых является электростанциями промышленных предприятий (блок-станции) — Северная ТЭЦ, Киришская ГРЭС, Всеволожская ГТ ТЭЦ, Станция активной дегазации полигона ТБО </w:t>
      </w:r>
      <w:r w:rsidR="00075B86">
        <w:rPr>
          <w:rFonts w:ascii="Times New Roman" w:hAnsi="Times New Roman" w:cs="Times New Roman"/>
          <w:color w:val="000000" w:themeColor="text1"/>
          <w:sz w:val="24"/>
          <w:szCs w:val="24"/>
        </w:rPr>
        <w:t>«Новый Свет-Эко»</w:t>
      </w:r>
      <w:r w:rsidR="000428B6" w:rsidRPr="000428B6">
        <w:rPr>
          <w:rFonts w:ascii="Times New Roman" w:hAnsi="Times New Roman" w:cs="Times New Roman"/>
          <w:color w:val="000000" w:themeColor="text1"/>
          <w:sz w:val="24"/>
          <w:szCs w:val="24"/>
        </w:rPr>
        <w:t xml:space="preserve">, Тихвинская ТЭЦ, ТЭЦ Бокситогорского глиноземного завода, ТЭЦ ООО </w:t>
      </w:r>
      <w:r w:rsidR="00075B86">
        <w:rPr>
          <w:rFonts w:ascii="Times New Roman" w:hAnsi="Times New Roman" w:cs="Times New Roman"/>
          <w:color w:val="000000" w:themeColor="text1"/>
          <w:sz w:val="24"/>
          <w:szCs w:val="24"/>
        </w:rPr>
        <w:t>«</w:t>
      </w:r>
      <w:r w:rsidR="000428B6" w:rsidRPr="000428B6">
        <w:rPr>
          <w:rFonts w:ascii="Times New Roman" w:hAnsi="Times New Roman" w:cs="Times New Roman"/>
          <w:color w:val="000000" w:themeColor="text1"/>
          <w:sz w:val="24"/>
          <w:szCs w:val="24"/>
        </w:rPr>
        <w:t>ПГЛЗ</w:t>
      </w:r>
      <w:r w:rsidR="00075B86">
        <w:rPr>
          <w:rFonts w:ascii="Times New Roman" w:hAnsi="Times New Roman" w:cs="Times New Roman"/>
          <w:color w:val="000000" w:themeColor="text1"/>
          <w:sz w:val="24"/>
          <w:szCs w:val="24"/>
        </w:rPr>
        <w:t>»</w:t>
      </w:r>
      <w:r w:rsidR="000428B6" w:rsidRPr="000428B6">
        <w:rPr>
          <w:rFonts w:ascii="Times New Roman" w:hAnsi="Times New Roman" w:cs="Times New Roman"/>
          <w:color w:val="000000" w:themeColor="text1"/>
          <w:sz w:val="24"/>
          <w:szCs w:val="24"/>
        </w:rPr>
        <w:t xml:space="preserve">, ТЭЦ ООО </w:t>
      </w:r>
      <w:r w:rsidR="00075B86">
        <w:rPr>
          <w:rFonts w:ascii="Times New Roman" w:hAnsi="Times New Roman" w:cs="Times New Roman"/>
          <w:color w:val="000000" w:themeColor="text1"/>
          <w:sz w:val="24"/>
          <w:szCs w:val="24"/>
        </w:rPr>
        <w:t>«</w:t>
      </w:r>
      <w:r w:rsidR="000428B6" w:rsidRPr="000428B6">
        <w:rPr>
          <w:rFonts w:ascii="Times New Roman" w:hAnsi="Times New Roman" w:cs="Times New Roman"/>
          <w:color w:val="000000" w:themeColor="text1"/>
          <w:sz w:val="24"/>
          <w:szCs w:val="24"/>
        </w:rPr>
        <w:t>Сланцы</w:t>
      </w:r>
      <w:r w:rsidR="00075B86">
        <w:rPr>
          <w:rFonts w:ascii="Times New Roman" w:hAnsi="Times New Roman" w:cs="Times New Roman"/>
          <w:color w:val="000000" w:themeColor="text1"/>
          <w:sz w:val="24"/>
          <w:szCs w:val="24"/>
        </w:rPr>
        <w:t>», ТЭЦ ЗАО «</w:t>
      </w:r>
      <w:r w:rsidR="000428B6" w:rsidRPr="000428B6">
        <w:rPr>
          <w:rFonts w:ascii="Times New Roman" w:hAnsi="Times New Roman" w:cs="Times New Roman"/>
          <w:color w:val="000000" w:themeColor="text1"/>
          <w:sz w:val="24"/>
          <w:szCs w:val="24"/>
        </w:rPr>
        <w:t>Интернешнл Пейпер</w:t>
      </w:r>
      <w:r w:rsidR="00075B86">
        <w:rPr>
          <w:rFonts w:ascii="Times New Roman" w:hAnsi="Times New Roman" w:cs="Times New Roman"/>
          <w:color w:val="000000" w:themeColor="text1"/>
          <w:sz w:val="24"/>
          <w:szCs w:val="24"/>
        </w:rPr>
        <w:t>», ТЭЦ ООО «ПГ «</w:t>
      </w:r>
      <w:r w:rsidR="000428B6" w:rsidRPr="000428B6">
        <w:rPr>
          <w:rFonts w:ascii="Times New Roman" w:hAnsi="Times New Roman" w:cs="Times New Roman"/>
          <w:color w:val="000000" w:themeColor="text1"/>
          <w:sz w:val="24"/>
          <w:szCs w:val="24"/>
        </w:rPr>
        <w:t>Фосфорит</w:t>
      </w:r>
      <w:r w:rsidR="00075B86">
        <w:rPr>
          <w:rFonts w:ascii="Times New Roman" w:hAnsi="Times New Roman" w:cs="Times New Roman"/>
          <w:color w:val="000000" w:themeColor="text1"/>
          <w:sz w:val="24"/>
          <w:szCs w:val="24"/>
        </w:rPr>
        <w:t>», Волховская ТЭЦ, ТЭЦ ФГУП «НИТИ им. Александрова»</w:t>
      </w:r>
      <w:r w:rsidR="000428B6" w:rsidRPr="000428B6">
        <w:rPr>
          <w:rFonts w:ascii="Times New Roman" w:hAnsi="Times New Roman" w:cs="Times New Roman"/>
          <w:color w:val="000000" w:themeColor="text1"/>
          <w:sz w:val="24"/>
          <w:szCs w:val="24"/>
        </w:rPr>
        <w:t>, ТЭ</w:t>
      </w:r>
      <w:r w:rsidR="00075B86">
        <w:rPr>
          <w:rFonts w:ascii="Times New Roman" w:hAnsi="Times New Roman" w:cs="Times New Roman"/>
          <w:color w:val="000000" w:themeColor="text1"/>
          <w:sz w:val="24"/>
          <w:szCs w:val="24"/>
        </w:rPr>
        <w:t>Ц АО «</w:t>
      </w:r>
      <w:r w:rsidR="000428B6" w:rsidRPr="000428B6">
        <w:rPr>
          <w:rFonts w:ascii="Times New Roman" w:hAnsi="Times New Roman" w:cs="Times New Roman"/>
          <w:color w:val="000000" w:themeColor="text1"/>
          <w:sz w:val="24"/>
          <w:szCs w:val="24"/>
        </w:rPr>
        <w:t>Кнауф Петроборд</w:t>
      </w:r>
      <w:r w:rsidR="00075B86">
        <w:rPr>
          <w:rFonts w:ascii="Times New Roman" w:hAnsi="Times New Roman" w:cs="Times New Roman"/>
          <w:color w:val="000000" w:themeColor="text1"/>
          <w:sz w:val="24"/>
          <w:szCs w:val="24"/>
        </w:rPr>
        <w:t>», ЭСН КС «</w:t>
      </w:r>
      <w:r w:rsidR="000428B6" w:rsidRPr="000428B6">
        <w:rPr>
          <w:rFonts w:ascii="Times New Roman" w:hAnsi="Times New Roman" w:cs="Times New Roman"/>
          <w:color w:val="000000" w:themeColor="text1"/>
          <w:sz w:val="24"/>
          <w:szCs w:val="24"/>
        </w:rPr>
        <w:t>Портовая</w:t>
      </w:r>
      <w:r w:rsidR="00075B86">
        <w:rPr>
          <w:rFonts w:ascii="Times New Roman" w:hAnsi="Times New Roman" w:cs="Times New Roman"/>
          <w:color w:val="000000" w:themeColor="text1"/>
          <w:sz w:val="24"/>
          <w:szCs w:val="24"/>
        </w:rPr>
        <w:t>»</w:t>
      </w:r>
      <w:r w:rsidR="000428B6" w:rsidRPr="000428B6">
        <w:rPr>
          <w:rFonts w:ascii="Times New Roman" w:hAnsi="Times New Roman" w:cs="Times New Roman"/>
          <w:color w:val="000000" w:themeColor="text1"/>
          <w:sz w:val="24"/>
          <w:szCs w:val="24"/>
        </w:rPr>
        <w:t xml:space="preserve">, ТЭС-2 ОАО </w:t>
      </w:r>
      <w:r w:rsidR="00075B86">
        <w:rPr>
          <w:rFonts w:ascii="Times New Roman" w:hAnsi="Times New Roman" w:cs="Times New Roman"/>
          <w:color w:val="000000" w:themeColor="text1"/>
          <w:sz w:val="24"/>
          <w:szCs w:val="24"/>
        </w:rPr>
        <w:t>«Сясьский ЦБК»</w:t>
      </w:r>
      <w:r w:rsidR="000428B6" w:rsidRPr="000428B6">
        <w:rPr>
          <w:rFonts w:ascii="Times New Roman" w:hAnsi="Times New Roman" w:cs="Times New Roman"/>
          <w:color w:val="000000" w:themeColor="text1"/>
          <w:sz w:val="24"/>
          <w:szCs w:val="24"/>
        </w:rPr>
        <w:t xml:space="preserve">, ГП-ТЭЦ ООО </w:t>
      </w:r>
      <w:r w:rsidR="00075B86">
        <w:rPr>
          <w:rFonts w:ascii="Times New Roman" w:hAnsi="Times New Roman" w:cs="Times New Roman"/>
          <w:color w:val="000000" w:themeColor="text1"/>
          <w:sz w:val="24"/>
          <w:szCs w:val="24"/>
        </w:rPr>
        <w:t>«Петербургцемент»</w:t>
      </w:r>
      <w:r w:rsidR="000428B6" w:rsidRPr="000428B6">
        <w:rPr>
          <w:rFonts w:ascii="Times New Roman" w:hAnsi="Times New Roman" w:cs="Times New Roman"/>
          <w:color w:val="000000" w:themeColor="text1"/>
          <w:sz w:val="24"/>
          <w:szCs w:val="24"/>
        </w:rPr>
        <w:t>, ТЭС Нокиан Тайерс.</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В Ленинградской области </w:t>
      </w:r>
      <w:r w:rsidR="009F279C">
        <w:rPr>
          <w:rFonts w:ascii="Times New Roman" w:hAnsi="Times New Roman" w:cs="Times New Roman"/>
          <w:color w:val="000000" w:themeColor="text1"/>
          <w:sz w:val="24"/>
          <w:szCs w:val="24"/>
        </w:rPr>
        <w:t>действуют</w:t>
      </w:r>
      <w:r w:rsidRPr="000428B6">
        <w:rPr>
          <w:rFonts w:ascii="Times New Roman" w:hAnsi="Times New Roman" w:cs="Times New Roman"/>
          <w:color w:val="000000" w:themeColor="text1"/>
          <w:sz w:val="24"/>
          <w:szCs w:val="24"/>
        </w:rPr>
        <w:t xml:space="preserve"> 12 хозяйствующих субъектов, осуществляющих производство электрической энергии (мощности) на розничном рынке электрической энергии (мощности), которые являются частной собственностью, согласно данным nalog.com, compass.kontur.ru/. Среди компаний, зарегистрированных по ОКВЭД 35.11 (П</w:t>
      </w:r>
      <w:r w:rsidR="00075B86">
        <w:rPr>
          <w:rFonts w:ascii="Times New Roman" w:hAnsi="Times New Roman" w:cs="Times New Roman"/>
          <w:color w:val="000000" w:themeColor="text1"/>
          <w:sz w:val="24"/>
          <w:szCs w:val="24"/>
        </w:rPr>
        <w:t>роизводство электроэнергии) АО «</w:t>
      </w:r>
      <w:r w:rsidRPr="000428B6">
        <w:rPr>
          <w:rFonts w:ascii="Times New Roman" w:hAnsi="Times New Roman" w:cs="Times New Roman"/>
          <w:color w:val="000000" w:themeColor="text1"/>
          <w:sz w:val="24"/>
          <w:szCs w:val="24"/>
        </w:rPr>
        <w:t>Ин</w:t>
      </w:r>
      <w:r w:rsidR="00075B86">
        <w:rPr>
          <w:rFonts w:ascii="Times New Roman" w:hAnsi="Times New Roman" w:cs="Times New Roman"/>
          <w:color w:val="000000" w:themeColor="text1"/>
          <w:sz w:val="24"/>
          <w:szCs w:val="24"/>
        </w:rPr>
        <w:t>женерно-Энергетический Комплекс», АО «</w:t>
      </w:r>
      <w:r w:rsidRPr="000428B6">
        <w:rPr>
          <w:rFonts w:ascii="Times New Roman" w:hAnsi="Times New Roman" w:cs="Times New Roman"/>
          <w:color w:val="000000" w:themeColor="text1"/>
          <w:sz w:val="24"/>
          <w:szCs w:val="24"/>
        </w:rPr>
        <w:t>Лоэск-Электрические Сети Санкт-Пет</w:t>
      </w:r>
      <w:r w:rsidR="00075B86">
        <w:rPr>
          <w:rFonts w:ascii="Times New Roman" w:hAnsi="Times New Roman" w:cs="Times New Roman"/>
          <w:color w:val="000000" w:themeColor="text1"/>
          <w:sz w:val="24"/>
          <w:szCs w:val="24"/>
        </w:rPr>
        <w:t>ербурга и Ленинградской Области», ООО «Регионстройсервис»</w:t>
      </w:r>
      <w:r w:rsidRPr="000428B6">
        <w:rPr>
          <w:rFonts w:ascii="Times New Roman" w:hAnsi="Times New Roman" w:cs="Times New Roman"/>
          <w:color w:val="000000" w:themeColor="text1"/>
          <w:sz w:val="24"/>
          <w:szCs w:val="24"/>
        </w:rPr>
        <w:t>. Порядка 44% хозяйствующих субъектов, осуществляющих деятельность на рынке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(далее – рынок производства электрической энергии) осуществляются деятельность более 5 лет. В свою очередь, 19 % организаций осуществляют свою деятельность на рынке от 1 до 5 лет. Организациями, появившимися на данном рынке за последние 5 лет, являются предприятия с частной формой собственности.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По состоянию на 2022 г., коэффициент концентрации (Concentration ratio) CR3 = 94,43 (три крупнейших хозяйствующих субъекта занимают 94,43 % рынка). Рынок характеризуется слабым уровнем конкуренции. Индекс Херфиндаля Хиршмана HHI = 4578,31. Исходя из данных, приведенных выше, три крупнейших хозяйствующих субъекта занимают более 50% рынка, </w:t>
      </w:r>
      <w:r w:rsidRPr="000428B6">
        <w:rPr>
          <w:rFonts w:ascii="Times New Roman" w:hAnsi="Times New Roman" w:cs="Times New Roman"/>
          <w:color w:val="000000" w:themeColor="text1"/>
          <w:sz w:val="24"/>
          <w:szCs w:val="24"/>
        </w:rPr>
        <w:lastRenderedPageBreak/>
        <w:t>значение HHI 1800&lt;4578,31&lt;10000, что соответствует конкурентному рынку с высоким уровнем концентрации. Динамика изменения данного показателя (HHI=4169 в 2021 г.) свидетельствует о небольшом ухудшении конкурентного положения на рынке".</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Сведения о состоянии конкуренции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Развитие конкуренции в отрасли приведет к увеличению выпускаемого ассортимента, улучшению качества производимого товара и увеличению рабочих мест в отрасли. </w:t>
      </w:r>
    </w:p>
    <w:p w:rsidR="000428B6" w:rsidRPr="009F279C" w:rsidRDefault="000428B6" w:rsidP="000428B6">
      <w:pPr>
        <w:spacing w:after="0" w:line="360" w:lineRule="auto"/>
        <w:ind w:firstLine="709"/>
        <w:jc w:val="both"/>
        <w:rPr>
          <w:rFonts w:ascii="Times New Roman" w:hAnsi="Times New Roman" w:cs="Times New Roman"/>
          <w:color w:val="000000" w:themeColor="text1"/>
          <w:sz w:val="24"/>
          <w:szCs w:val="24"/>
          <w:u w:val="single"/>
        </w:rPr>
      </w:pPr>
      <w:r w:rsidRPr="009F279C">
        <w:rPr>
          <w:rFonts w:ascii="Times New Roman" w:hAnsi="Times New Roman" w:cs="Times New Roman"/>
          <w:color w:val="000000" w:themeColor="text1"/>
          <w:sz w:val="24"/>
          <w:szCs w:val="24"/>
          <w:u w:val="single"/>
        </w:rPr>
        <w:t>13.</w:t>
      </w:r>
      <w:r w:rsidRPr="009F279C">
        <w:rPr>
          <w:rFonts w:ascii="Times New Roman" w:hAnsi="Times New Roman" w:cs="Times New Roman"/>
          <w:color w:val="000000" w:themeColor="text1"/>
          <w:sz w:val="24"/>
          <w:szCs w:val="24"/>
          <w:u w:val="single"/>
        </w:rPr>
        <w:tab/>
        <w:t xml:space="preserve">Рынок оказания услуг по перевозке пассажиров автомобильным транспортом по муниципальным маршрутам регулярных перевозок </w:t>
      </w:r>
    </w:p>
    <w:p w:rsidR="000428B6" w:rsidRPr="000428B6" w:rsidRDefault="00105B73" w:rsidP="000428B6">
      <w:pPr>
        <w:spacing w:after="0" w:line="360" w:lineRule="auto"/>
        <w:ind w:firstLine="709"/>
        <w:jc w:val="both"/>
        <w:rPr>
          <w:rFonts w:ascii="Times New Roman" w:hAnsi="Times New Roman" w:cs="Times New Roman"/>
          <w:color w:val="000000" w:themeColor="text1"/>
          <w:sz w:val="24"/>
          <w:szCs w:val="24"/>
        </w:rPr>
      </w:pPr>
      <w:r w:rsidRPr="00105B73">
        <w:rPr>
          <w:rFonts w:ascii="Times New Roman" w:hAnsi="Times New Roman" w:cs="Times New Roman"/>
          <w:color w:val="000000" w:themeColor="text1"/>
          <w:sz w:val="24"/>
          <w:szCs w:val="24"/>
        </w:rPr>
        <w:t>Деятельность по перевозке пассажиров автомобильным транспортом по муниципальным маршрутам регулярных перевозок осуществляют 3</w:t>
      </w:r>
      <w:r w:rsidR="00094250">
        <w:rPr>
          <w:rFonts w:ascii="Times New Roman" w:hAnsi="Times New Roman" w:cs="Times New Roman"/>
          <w:color w:val="000000" w:themeColor="text1"/>
          <w:sz w:val="24"/>
          <w:szCs w:val="24"/>
        </w:rPr>
        <w:t>0</w:t>
      </w:r>
      <w:r w:rsidRPr="00105B73">
        <w:rPr>
          <w:rFonts w:ascii="Times New Roman" w:hAnsi="Times New Roman" w:cs="Times New Roman"/>
          <w:color w:val="000000" w:themeColor="text1"/>
          <w:sz w:val="24"/>
          <w:szCs w:val="24"/>
        </w:rPr>
        <w:t xml:space="preserve"> организации частной формы собственности, из них 1 муниципальное предприятие (МУТП Подпорожского района  «АвтогарантПлюс»). </w:t>
      </w:r>
      <w:r w:rsidR="000428B6" w:rsidRPr="000428B6">
        <w:rPr>
          <w:rFonts w:ascii="Times New Roman" w:hAnsi="Times New Roman" w:cs="Times New Roman"/>
          <w:color w:val="000000" w:themeColor="text1"/>
          <w:sz w:val="24"/>
          <w:szCs w:val="24"/>
        </w:rPr>
        <w:t xml:space="preserve"> Наиболее крупные игроки рынка: ООО </w:t>
      </w:r>
      <w:r w:rsidR="00075B86">
        <w:rPr>
          <w:rFonts w:ascii="Times New Roman" w:hAnsi="Times New Roman" w:cs="Times New Roman"/>
          <w:color w:val="000000" w:themeColor="text1"/>
          <w:sz w:val="24"/>
          <w:szCs w:val="24"/>
        </w:rPr>
        <w:t>«</w:t>
      </w:r>
      <w:r w:rsidR="000428B6" w:rsidRPr="000428B6">
        <w:rPr>
          <w:rFonts w:ascii="Times New Roman" w:hAnsi="Times New Roman" w:cs="Times New Roman"/>
          <w:color w:val="000000" w:themeColor="text1"/>
          <w:sz w:val="24"/>
          <w:szCs w:val="24"/>
        </w:rPr>
        <w:t>Транс-Балт</w:t>
      </w:r>
      <w:r w:rsidR="00075B86">
        <w:rPr>
          <w:rFonts w:ascii="Times New Roman" w:hAnsi="Times New Roman" w:cs="Times New Roman"/>
          <w:color w:val="000000" w:themeColor="text1"/>
          <w:sz w:val="24"/>
          <w:szCs w:val="24"/>
        </w:rPr>
        <w:t>», ООО «</w:t>
      </w:r>
      <w:r w:rsidR="000428B6" w:rsidRPr="000428B6">
        <w:rPr>
          <w:rFonts w:ascii="Times New Roman" w:hAnsi="Times New Roman" w:cs="Times New Roman"/>
          <w:color w:val="000000" w:themeColor="text1"/>
          <w:sz w:val="24"/>
          <w:szCs w:val="24"/>
        </w:rPr>
        <w:t>Северо-Западные линии плюс</w:t>
      </w:r>
      <w:r w:rsidR="00075B86">
        <w:rPr>
          <w:rFonts w:ascii="Times New Roman" w:hAnsi="Times New Roman" w:cs="Times New Roman"/>
          <w:color w:val="000000" w:themeColor="text1"/>
          <w:sz w:val="24"/>
          <w:szCs w:val="24"/>
        </w:rPr>
        <w:t>»</w:t>
      </w:r>
      <w:r w:rsidR="000428B6" w:rsidRPr="000428B6">
        <w:rPr>
          <w:rFonts w:ascii="Times New Roman" w:hAnsi="Times New Roman" w:cs="Times New Roman"/>
          <w:color w:val="000000" w:themeColor="text1"/>
          <w:sz w:val="24"/>
          <w:szCs w:val="24"/>
        </w:rPr>
        <w:t xml:space="preserve">, ООО </w:t>
      </w:r>
      <w:r w:rsidR="00075B86">
        <w:rPr>
          <w:rFonts w:ascii="Times New Roman" w:hAnsi="Times New Roman" w:cs="Times New Roman"/>
          <w:color w:val="000000" w:themeColor="text1"/>
          <w:sz w:val="24"/>
          <w:szCs w:val="24"/>
        </w:rPr>
        <w:t>«</w:t>
      </w:r>
      <w:r w:rsidR="000428B6" w:rsidRPr="000428B6">
        <w:rPr>
          <w:rFonts w:ascii="Times New Roman" w:hAnsi="Times New Roman" w:cs="Times New Roman"/>
          <w:color w:val="000000" w:themeColor="text1"/>
          <w:sz w:val="24"/>
          <w:szCs w:val="24"/>
        </w:rPr>
        <w:t xml:space="preserve">Муниципальная транспортная компания </w:t>
      </w:r>
      <w:r w:rsidR="00075B86">
        <w:rPr>
          <w:rFonts w:ascii="Times New Roman" w:hAnsi="Times New Roman" w:cs="Times New Roman"/>
          <w:color w:val="000000" w:themeColor="text1"/>
          <w:sz w:val="24"/>
          <w:szCs w:val="24"/>
        </w:rPr>
        <w:t>«</w:t>
      </w:r>
      <w:r w:rsidR="000428B6" w:rsidRPr="000428B6">
        <w:rPr>
          <w:rFonts w:ascii="Times New Roman" w:hAnsi="Times New Roman" w:cs="Times New Roman"/>
          <w:color w:val="000000" w:themeColor="text1"/>
          <w:sz w:val="24"/>
          <w:szCs w:val="24"/>
        </w:rPr>
        <w:t>Перевозчик</w:t>
      </w:r>
      <w:r w:rsidR="00075B86">
        <w:rPr>
          <w:rFonts w:ascii="Times New Roman" w:hAnsi="Times New Roman" w:cs="Times New Roman"/>
          <w:color w:val="000000" w:themeColor="text1"/>
          <w:sz w:val="24"/>
          <w:szCs w:val="24"/>
        </w:rPr>
        <w:t>», ООО «</w:t>
      </w:r>
      <w:r w:rsidR="000428B6" w:rsidRPr="000428B6">
        <w:rPr>
          <w:rFonts w:ascii="Times New Roman" w:hAnsi="Times New Roman" w:cs="Times New Roman"/>
          <w:color w:val="000000" w:themeColor="text1"/>
          <w:sz w:val="24"/>
          <w:szCs w:val="24"/>
        </w:rPr>
        <w:t>Пальмира</w:t>
      </w:r>
      <w:r w:rsidR="00075B86">
        <w:rPr>
          <w:rFonts w:ascii="Times New Roman" w:hAnsi="Times New Roman" w:cs="Times New Roman"/>
          <w:color w:val="000000" w:themeColor="text1"/>
          <w:sz w:val="24"/>
          <w:szCs w:val="24"/>
        </w:rPr>
        <w:t>»</w:t>
      </w:r>
      <w:r w:rsidR="000428B6" w:rsidRPr="000428B6">
        <w:rPr>
          <w:rFonts w:ascii="Times New Roman" w:hAnsi="Times New Roman" w:cs="Times New Roman"/>
          <w:color w:val="000000" w:themeColor="text1"/>
          <w:sz w:val="24"/>
          <w:szCs w:val="24"/>
        </w:rPr>
        <w:t>. По состоянию на 2022 г., их суммарная рыночная доля - коэффициент концентрации - составляет CR3= 84,80, рынок характеризуется слабым уровнем конкуренции, что обусловлено спецификой рынка – процедурой, предъявляемой государственными органами власти к получению разрешения на право ведения предпринимательской деятельности. Индекс Херфиндаля Хиршмана HHI =7 821,30 (значения HHI 1 800 &lt;7 821,30&lt;10 000 соответствуют рынку с высоким уровнем концентрации). В динамике рынок характеризуется как неизменный (значение HHI в 2021 г. составляет 7 796,78)</w:t>
      </w:r>
      <w:r w:rsidR="00CD0F1A">
        <w:rPr>
          <w:rFonts w:ascii="Times New Roman" w:hAnsi="Times New Roman" w:cs="Times New Roman"/>
          <w:color w:val="000000" w:themeColor="text1"/>
          <w:sz w:val="24"/>
          <w:szCs w:val="24"/>
        </w:rPr>
        <w:t>.</w:t>
      </w:r>
      <w:r w:rsidR="000428B6" w:rsidRPr="000428B6">
        <w:rPr>
          <w:rFonts w:ascii="Times New Roman" w:hAnsi="Times New Roman" w:cs="Times New Roman"/>
          <w:color w:val="000000" w:themeColor="text1"/>
          <w:sz w:val="24"/>
          <w:szCs w:val="24"/>
        </w:rPr>
        <w:t xml:space="preserve"> На рынке перевозчиков региона, осуществляющих перевозки пассажиров по муниципальным маршрутам, процедура ведения предпринимательской деятельности, определяется требованиями конкурсной документации, разработанными на основании положений Закона "Об организации регулярных перевозок пассажиров и багажа автомобильным транспортом в Ленинградской области (Принят Законодательным собранием Ленинградской области 23 декабря 2015 г.), ред. от 31.07.2018 г. № 92-оз; от 22.03.2020 г. № 31-оз). Конкурс на право организации перевозок организуется Комитетом по транспорту Правительства Ленинградской области. Существующая процедура, в определенной степени, обуславливает высокую долю крупных компаний в структуре участников рынка. </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Сведения о состоянии конкуренции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Развитие конкуренции в отрасли приведет к улучшению качества услуг и увеличению рабочих мест в отрасли. </w:t>
      </w:r>
    </w:p>
    <w:p w:rsidR="000428B6" w:rsidRPr="00CD0F1A" w:rsidRDefault="000428B6" w:rsidP="000428B6">
      <w:pPr>
        <w:spacing w:after="0" w:line="360" w:lineRule="auto"/>
        <w:ind w:firstLine="709"/>
        <w:jc w:val="both"/>
        <w:rPr>
          <w:rFonts w:ascii="Times New Roman" w:hAnsi="Times New Roman" w:cs="Times New Roman"/>
          <w:color w:val="000000" w:themeColor="text1"/>
          <w:sz w:val="24"/>
          <w:szCs w:val="24"/>
          <w:u w:val="single"/>
        </w:rPr>
      </w:pPr>
      <w:r w:rsidRPr="00CD0F1A">
        <w:rPr>
          <w:rFonts w:ascii="Times New Roman" w:hAnsi="Times New Roman" w:cs="Times New Roman"/>
          <w:color w:val="000000" w:themeColor="text1"/>
          <w:sz w:val="24"/>
          <w:szCs w:val="24"/>
          <w:u w:val="single"/>
        </w:rPr>
        <w:t>14.</w:t>
      </w:r>
      <w:r w:rsidRPr="00CD0F1A">
        <w:rPr>
          <w:rFonts w:ascii="Times New Roman" w:hAnsi="Times New Roman" w:cs="Times New Roman"/>
          <w:color w:val="000000" w:themeColor="text1"/>
          <w:sz w:val="24"/>
          <w:szCs w:val="24"/>
          <w:u w:val="single"/>
        </w:rPr>
        <w:tab/>
        <w:t xml:space="preserve">Рынок оказания услуг по перевозке пассажиров автомобильным транспортом по межмуниципальным маршрутам регулярных перевозок </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lastRenderedPageBreak/>
        <w:t xml:space="preserve">На рынке оказания услуг по перевозке пассажиров АТ по межмуниципальным маршрутам (далее – рынок межмуниципальных перевозок) в Ленинградской области установлено </w:t>
      </w:r>
      <w:r w:rsidR="00CD0F1A">
        <w:rPr>
          <w:rFonts w:ascii="Times New Roman" w:hAnsi="Times New Roman" w:cs="Times New Roman"/>
          <w:color w:val="000000" w:themeColor="text1"/>
          <w:sz w:val="24"/>
          <w:szCs w:val="24"/>
        </w:rPr>
        <w:t>8 хозяйствующих субъекта.</w:t>
      </w:r>
    </w:p>
    <w:p w:rsidR="000428B6" w:rsidRPr="000428B6" w:rsidRDefault="00075B86" w:rsidP="000428B6">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Основные игроки рынка: ООО «</w:t>
      </w:r>
      <w:r w:rsidR="000428B6" w:rsidRPr="000428B6">
        <w:rPr>
          <w:rFonts w:ascii="Times New Roman" w:hAnsi="Times New Roman" w:cs="Times New Roman"/>
          <w:color w:val="000000" w:themeColor="text1"/>
          <w:sz w:val="24"/>
          <w:szCs w:val="24"/>
        </w:rPr>
        <w:t>Ленинградская АЭС-Авто</w:t>
      </w:r>
      <w:r>
        <w:rPr>
          <w:rFonts w:ascii="Times New Roman" w:hAnsi="Times New Roman" w:cs="Times New Roman"/>
          <w:color w:val="000000" w:themeColor="text1"/>
          <w:sz w:val="24"/>
          <w:szCs w:val="24"/>
        </w:rPr>
        <w:t>», АО «Кингисеппский автобусный парк», ООО «</w:t>
      </w:r>
      <w:r w:rsidR="000428B6" w:rsidRPr="000428B6">
        <w:rPr>
          <w:rFonts w:ascii="Times New Roman" w:hAnsi="Times New Roman" w:cs="Times New Roman"/>
          <w:color w:val="000000" w:themeColor="text1"/>
          <w:sz w:val="24"/>
          <w:szCs w:val="24"/>
        </w:rPr>
        <w:t>Пассажиравтотранс</w:t>
      </w:r>
      <w:r>
        <w:rPr>
          <w:rFonts w:ascii="Times New Roman" w:hAnsi="Times New Roman" w:cs="Times New Roman"/>
          <w:color w:val="000000" w:themeColor="text1"/>
          <w:sz w:val="24"/>
          <w:szCs w:val="24"/>
        </w:rPr>
        <w:t>»</w:t>
      </w:r>
      <w:r w:rsidR="000428B6" w:rsidRPr="000428B6">
        <w:rPr>
          <w:rFonts w:ascii="Times New Roman" w:hAnsi="Times New Roman" w:cs="Times New Roman"/>
          <w:color w:val="000000" w:themeColor="text1"/>
          <w:sz w:val="24"/>
          <w:szCs w:val="24"/>
        </w:rPr>
        <w:t>. По состоянию на 2022 г., коэффициент концентрации этих ключевых игроков составил - CR3= 73,60, что характерно для рынка со слабым уровнем конкуренции. Такое положение обусловлено процедурами получения субъектами рынка разрешения на право ведения предпринимательской деятельности. Индекс Херфиндаля Хиршмана HHI = 5 523,18 (значения HHI 1 800 &lt; 5 523,18 &lt; 10 000 соответствуют рынку с высоким уровнем концентрации). Уровень конкуренции на рынке неизменен по сравнению с 2021 г. - HHI=5439,14, на рынке представлено такое же количество игроков.</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Сведения о состоянии конкуренции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Развитие конкуренции в отрасли приведет к улучшению качества транспортных услуг и увеличению рабочих мест в отрасли. </w:t>
      </w:r>
    </w:p>
    <w:p w:rsidR="000428B6" w:rsidRPr="00CD0F1A" w:rsidRDefault="000428B6" w:rsidP="000428B6">
      <w:pPr>
        <w:spacing w:after="0" w:line="360" w:lineRule="auto"/>
        <w:ind w:firstLine="709"/>
        <w:jc w:val="both"/>
        <w:rPr>
          <w:rFonts w:ascii="Times New Roman" w:hAnsi="Times New Roman" w:cs="Times New Roman"/>
          <w:color w:val="000000" w:themeColor="text1"/>
          <w:sz w:val="24"/>
          <w:szCs w:val="24"/>
          <w:u w:val="single"/>
        </w:rPr>
      </w:pPr>
      <w:r w:rsidRPr="00CD0F1A">
        <w:rPr>
          <w:rFonts w:ascii="Times New Roman" w:hAnsi="Times New Roman" w:cs="Times New Roman"/>
          <w:color w:val="000000" w:themeColor="text1"/>
          <w:sz w:val="24"/>
          <w:szCs w:val="24"/>
          <w:u w:val="single"/>
        </w:rPr>
        <w:t>15.</w:t>
      </w:r>
      <w:r w:rsidRPr="00CD0F1A">
        <w:rPr>
          <w:rFonts w:ascii="Times New Roman" w:hAnsi="Times New Roman" w:cs="Times New Roman"/>
          <w:color w:val="000000" w:themeColor="text1"/>
          <w:sz w:val="24"/>
          <w:szCs w:val="24"/>
          <w:u w:val="single"/>
        </w:rPr>
        <w:tab/>
        <w:t>Рынок оказания услуг по перевозке пассажиров и багажа легковым такси на территории субъекта Российской Федерации</w:t>
      </w:r>
    </w:p>
    <w:p w:rsidR="00CD0F1A" w:rsidRDefault="00CD0F1A" w:rsidP="000428B6">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w:t>
      </w:r>
      <w:r w:rsidRPr="00CD0F1A">
        <w:rPr>
          <w:rFonts w:ascii="Times New Roman" w:hAnsi="Times New Roman" w:cs="Times New Roman"/>
          <w:color w:val="000000" w:themeColor="text1"/>
          <w:sz w:val="24"/>
          <w:szCs w:val="24"/>
        </w:rPr>
        <w:t xml:space="preserve"> Ленинградской области действуют 1448 разрешений на осуществление деятельности по перевозке пассажиров и багажа легковым такси, выданных 370 индивидуальным предпринимателям, и 1665 разрешений на осуществление деятельности по перевозке пассажиров и багажа легковым такси, выданных 75 юридическим лицам</w:t>
      </w:r>
      <w:r>
        <w:rPr>
          <w:rFonts w:ascii="Times New Roman" w:hAnsi="Times New Roman" w:cs="Times New Roman"/>
          <w:color w:val="000000" w:themeColor="text1"/>
          <w:sz w:val="24"/>
          <w:szCs w:val="24"/>
        </w:rPr>
        <w:t>.</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По состоянию на 2022 г., коэффициент концентрации CR3= 74,3, рынок со слабым уровнем конкуренции, это обусловлено концентрацией основных игроков в локальных и региональных рамках. Индекс Херфиндаля Хиршмана HHI = 4364,12 (значения HHI 1 800 &lt; 4 364,12&lt; 10 000 соответствуют рынку с высоким уровнем концентрации). В динамике положение конкуренции на рынке ухудшилось, так значения HHI в 2021 г. составляло 4280,71, что свидетельствует о том, что количество игроков на рынке существенно не изменилось.</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Сведения о состоянии конкуренции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Развитие конкуренции в отрасли приведет к улучшению качества транспортных услуг и увеличению рабочих мест в отрасли. </w:t>
      </w:r>
    </w:p>
    <w:p w:rsidR="000428B6" w:rsidRPr="00CD0F1A" w:rsidRDefault="000428B6" w:rsidP="000428B6">
      <w:pPr>
        <w:spacing w:after="0" w:line="360" w:lineRule="auto"/>
        <w:ind w:firstLine="709"/>
        <w:jc w:val="both"/>
        <w:rPr>
          <w:rFonts w:ascii="Times New Roman" w:hAnsi="Times New Roman" w:cs="Times New Roman"/>
          <w:color w:val="000000" w:themeColor="text1"/>
          <w:sz w:val="24"/>
          <w:szCs w:val="24"/>
          <w:u w:val="single"/>
        </w:rPr>
      </w:pPr>
      <w:r w:rsidRPr="00CD0F1A">
        <w:rPr>
          <w:rFonts w:ascii="Times New Roman" w:hAnsi="Times New Roman" w:cs="Times New Roman"/>
          <w:color w:val="000000" w:themeColor="text1"/>
          <w:sz w:val="24"/>
          <w:szCs w:val="24"/>
          <w:u w:val="single"/>
        </w:rPr>
        <w:t>16.</w:t>
      </w:r>
      <w:r w:rsidRPr="00CD0F1A">
        <w:rPr>
          <w:rFonts w:ascii="Times New Roman" w:hAnsi="Times New Roman" w:cs="Times New Roman"/>
          <w:color w:val="000000" w:themeColor="text1"/>
          <w:sz w:val="24"/>
          <w:szCs w:val="24"/>
          <w:u w:val="single"/>
        </w:rPr>
        <w:tab/>
        <w:t>Рынок оказания услуг по ремонту автотранспортных средств</w:t>
      </w:r>
    </w:p>
    <w:p w:rsidR="000428B6" w:rsidRPr="000428B6" w:rsidRDefault="00FF7557" w:rsidP="000428B6">
      <w:pPr>
        <w:spacing w:after="0" w:line="360" w:lineRule="auto"/>
        <w:ind w:firstLine="709"/>
        <w:jc w:val="both"/>
        <w:rPr>
          <w:rFonts w:ascii="Times New Roman" w:hAnsi="Times New Roman" w:cs="Times New Roman"/>
          <w:color w:val="000000" w:themeColor="text1"/>
          <w:sz w:val="24"/>
          <w:szCs w:val="24"/>
        </w:rPr>
      </w:pPr>
      <w:r w:rsidRPr="00FF7557">
        <w:rPr>
          <w:rFonts w:ascii="Times New Roman" w:hAnsi="Times New Roman" w:cs="Times New Roman"/>
          <w:color w:val="000000" w:themeColor="text1"/>
          <w:sz w:val="24"/>
          <w:szCs w:val="24"/>
        </w:rPr>
        <w:t xml:space="preserve">В Ленинградской области осуществляют деятельность 289 организаций, в том числе 288 частных и 1 муниципальная, а также 1266 индивидуальных предпринимателя оказывающих услуги технического обслуживания и ремонта автотранспортных средств. </w:t>
      </w:r>
      <w:r w:rsidR="000428B6" w:rsidRPr="000428B6">
        <w:rPr>
          <w:rFonts w:ascii="Times New Roman" w:hAnsi="Times New Roman" w:cs="Times New Roman"/>
          <w:color w:val="000000" w:themeColor="text1"/>
          <w:sz w:val="24"/>
          <w:szCs w:val="24"/>
        </w:rPr>
        <w:t xml:space="preserve">Ключевые игроки: Прайм (Гатчина), АвтоЦентр Пушкинский, ЕвроАвто (Тосно). Их суммарная доля невелика – 32%. По состоянию на 2022 г., коэффициент концентрации CR3 = 32, что свидетельствует об </w:t>
      </w:r>
      <w:r w:rsidR="000428B6" w:rsidRPr="000428B6">
        <w:rPr>
          <w:rFonts w:ascii="Times New Roman" w:hAnsi="Times New Roman" w:cs="Times New Roman"/>
          <w:color w:val="000000" w:themeColor="text1"/>
          <w:sz w:val="24"/>
          <w:szCs w:val="24"/>
        </w:rPr>
        <w:lastRenderedPageBreak/>
        <w:t>умеренном уровне конкуренции на рынке Индекс Херфиндаля Хиршмана HHI  = 1 794,60 (значения HHI 1 00 &lt; 1 794, 60 &lt; 1 0000 соответствуют рынку со средним уровнем концентрации). Состояние конкурентной среды в динамике от 2021 г. не изменилось.</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Сведения о состоянии конкуренции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Развитие конкуренции в отрасли приведет к улучшению качества ремонтных услуг и увеличению рабочих мест в отрасли. </w:t>
      </w:r>
    </w:p>
    <w:p w:rsidR="000428B6" w:rsidRPr="00FF7557" w:rsidRDefault="000428B6" w:rsidP="000428B6">
      <w:pPr>
        <w:spacing w:after="0" w:line="360" w:lineRule="auto"/>
        <w:ind w:firstLine="709"/>
        <w:jc w:val="both"/>
        <w:rPr>
          <w:rFonts w:ascii="Times New Roman" w:hAnsi="Times New Roman" w:cs="Times New Roman"/>
          <w:color w:val="000000" w:themeColor="text1"/>
          <w:sz w:val="24"/>
          <w:szCs w:val="24"/>
          <w:u w:val="single"/>
        </w:rPr>
      </w:pPr>
      <w:r w:rsidRPr="00FF7557">
        <w:rPr>
          <w:rFonts w:ascii="Times New Roman" w:hAnsi="Times New Roman" w:cs="Times New Roman"/>
          <w:color w:val="000000" w:themeColor="text1"/>
          <w:sz w:val="24"/>
          <w:szCs w:val="24"/>
          <w:u w:val="single"/>
        </w:rPr>
        <w:t>17.</w:t>
      </w:r>
      <w:r w:rsidRPr="00FF7557">
        <w:rPr>
          <w:rFonts w:ascii="Times New Roman" w:hAnsi="Times New Roman" w:cs="Times New Roman"/>
          <w:color w:val="000000" w:themeColor="text1"/>
          <w:sz w:val="24"/>
          <w:szCs w:val="24"/>
          <w:u w:val="single"/>
        </w:rPr>
        <w:tab/>
        <w:t xml:space="preserve">Рынок услуг связи, в том числе услуг по предоставлению широкополосного доступа к информационно- телекоммуникационной сети </w:t>
      </w:r>
      <w:r w:rsidR="00075B86">
        <w:rPr>
          <w:rFonts w:ascii="Times New Roman" w:hAnsi="Times New Roman" w:cs="Times New Roman"/>
          <w:color w:val="000000" w:themeColor="text1"/>
          <w:sz w:val="24"/>
          <w:szCs w:val="24"/>
          <w:u w:val="single"/>
        </w:rPr>
        <w:t>«Интернет»</w:t>
      </w:r>
    </w:p>
    <w:p w:rsidR="000428B6" w:rsidRPr="000428B6" w:rsidRDefault="00FF7557" w:rsidP="000563B0">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w:t>
      </w:r>
      <w:r w:rsidRPr="00FF7557">
        <w:rPr>
          <w:rFonts w:ascii="Times New Roman" w:hAnsi="Times New Roman" w:cs="Times New Roman"/>
          <w:color w:val="000000" w:themeColor="text1"/>
          <w:sz w:val="24"/>
          <w:szCs w:val="24"/>
        </w:rPr>
        <w:t>ействующие лицензии на предоставление телематических услуг связи («Интернет») на территории Ленинградской области имеют 2683 организаций, из них 2666 организаций с частной формой собственности. Два государственных унитарных предприятия оказывают телематические услуги связи на территории Ленинградской области по кодам ОКВЭД 61.10.3 «Деятельность по предоставлению услуг по передаче данных и услуг доступа к информационно-коммуникационной сети Интернет» и 61.90 «Деятельность в области телекоммуникаций прочая».</w:t>
      </w:r>
      <w:r w:rsidR="000563B0">
        <w:rPr>
          <w:rFonts w:ascii="Times New Roman" w:hAnsi="Times New Roman" w:cs="Times New Roman"/>
          <w:color w:val="000000" w:themeColor="text1"/>
          <w:sz w:val="24"/>
          <w:szCs w:val="24"/>
        </w:rPr>
        <w:t xml:space="preserve"> </w:t>
      </w:r>
      <w:r w:rsidR="000428B6" w:rsidRPr="000428B6">
        <w:rPr>
          <w:rFonts w:ascii="Times New Roman" w:hAnsi="Times New Roman" w:cs="Times New Roman"/>
          <w:color w:val="000000" w:themeColor="text1"/>
          <w:sz w:val="24"/>
          <w:szCs w:val="24"/>
        </w:rPr>
        <w:t>Основным игроки: Ростелеком, Дом. Ру, Sky.net.</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По состоянию на 2022 г., их суммарная доля составляет более 75%,  коэффициент концентрации CR3=76,2 (три крупнейших хозяйствующих субъекта занимают 76,2 % рынка), рынок характеризуется слабым уровнем конкуренции. Индекс Херфиндаля Хиршмана HHI=5 486,3 (значения HHI 1 800 &lt; 5 486,3&lt; 10 000 соответствуют рынку с высоким уровнем концентрации).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По сравнению с 2021 г. (5317,39) значение индекса практически не изменилось, значимых изменений в количестве и долях рынка субъектов рынка не наблюдается.</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Сведения о состоянии конкуренции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Развитие конкуренции в отрасли приведет к улучшению качества интернета, дальнейшему развитию рынка и увеличению рабочих мест в отрасли. </w:t>
      </w:r>
    </w:p>
    <w:p w:rsidR="000428B6" w:rsidRPr="000563B0" w:rsidRDefault="000428B6" w:rsidP="000428B6">
      <w:pPr>
        <w:spacing w:after="0" w:line="360" w:lineRule="auto"/>
        <w:ind w:firstLine="709"/>
        <w:jc w:val="both"/>
        <w:rPr>
          <w:rFonts w:ascii="Times New Roman" w:hAnsi="Times New Roman" w:cs="Times New Roman"/>
          <w:color w:val="000000" w:themeColor="text1"/>
          <w:sz w:val="24"/>
          <w:szCs w:val="24"/>
          <w:u w:val="single"/>
        </w:rPr>
      </w:pPr>
      <w:r w:rsidRPr="000563B0">
        <w:rPr>
          <w:rFonts w:ascii="Times New Roman" w:hAnsi="Times New Roman" w:cs="Times New Roman"/>
          <w:color w:val="000000" w:themeColor="text1"/>
          <w:sz w:val="24"/>
          <w:szCs w:val="24"/>
          <w:u w:val="single"/>
        </w:rPr>
        <w:t>18.</w:t>
      </w:r>
      <w:r w:rsidRPr="000563B0">
        <w:rPr>
          <w:rFonts w:ascii="Times New Roman" w:hAnsi="Times New Roman" w:cs="Times New Roman"/>
          <w:color w:val="000000" w:themeColor="text1"/>
          <w:sz w:val="24"/>
          <w:szCs w:val="24"/>
          <w:u w:val="single"/>
        </w:rPr>
        <w:tab/>
        <w:t xml:space="preserve">Рынок жилищного строительства </w:t>
      </w:r>
    </w:p>
    <w:p w:rsidR="000563B0" w:rsidRDefault="000563B0" w:rsidP="000428B6">
      <w:pPr>
        <w:spacing w:after="0" w:line="360" w:lineRule="auto"/>
        <w:ind w:firstLine="709"/>
        <w:jc w:val="both"/>
        <w:rPr>
          <w:rFonts w:ascii="Times New Roman" w:hAnsi="Times New Roman" w:cs="Times New Roman"/>
          <w:color w:val="000000" w:themeColor="text1"/>
          <w:sz w:val="24"/>
          <w:szCs w:val="24"/>
        </w:rPr>
      </w:pPr>
      <w:r w:rsidRPr="000563B0">
        <w:rPr>
          <w:rFonts w:ascii="Times New Roman" w:hAnsi="Times New Roman" w:cs="Times New Roman"/>
          <w:color w:val="000000" w:themeColor="text1"/>
          <w:sz w:val="24"/>
          <w:szCs w:val="24"/>
        </w:rPr>
        <w:t>В настоящее время на территории Ленинградской области возводится более 607 многоквартирных жилых домов, строительство которых осуществляет порядка 160 организаций частной формы собственности.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По итогам за 9 месяцев 2022 г. в Ленинградской области ввели в эксплуатацию свыше 3,1 млн квадратных метров жилья, из них .индивидуального жилого строительства -2,2 млн. кв. м. Плановый показатель по вводу жилья на 2022 для Ленинградской области составляет - 2650 тыс. кв. м. Выполнение плана по вводу на 2022 г. на 01.10.2022 г. составило 119,2%.. При этом за последние десять лет на территории региона реализовали более 25 млн квадратных метров жилья </w:t>
      </w:r>
      <w:r w:rsidRPr="000428B6">
        <w:rPr>
          <w:rFonts w:ascii="Times New Roman" w:hAnsi="Times New Roman" w:cs="Times New Roman"/>
          <w:color w:val="000000" w:themeColor="text1"/>
          <w:sz w:val="24"/>
          <w:szCs w:val="24"/>
        </w:rPr>
        <w:lastRenderedPageBreak/>
        <w:t>и 330 социальных объектов, а также привели в порядок около 2,6 тыс. километров дорожного полотна.</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В Ленинградской области лидером по вводу жилья за 1 полугодие 2022 г. является Всеволожский район, где построено 983 тыс. кв. м, далее – Ломоносовский район – 342 тыс. кв. м. Ввод жилья в этих районах составил 62% от общего ввода. Населением за счет собственных средств и с помощью кредитов банков построено 11 тыс. домов общей площадью 1413 тыс. кв. м (66% от общего ввода жилья в Ленинградской области), что на 17,4% больше, чем в январе–июне 2021 г. </w:t>
      </w:r>
    </w:p>
    <w:p w:rsidR="000428B6" w:rsidRPr="000428B6" w:rsidRDefault="000428B6" w:rsidP="000563B0">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По итогам 2022 г. крупнейшими игроками рынка являются </w:t>
      </w:r>
      <w:r w:rsidR="00075B86">
        <w:rPr>
          <w:rFonts w:ascii="Times New Roman" w:hAnsi="Times New Roman" w:cs="Times New Roman"/>
          <w:color w:val="000000" w:themeColor="text1"/>
          <w:sz w:val="24"/>
          <w:szCs w:val="24"/>
        </w:rPr>
        <w:t>«Setl group», «ЛСР», «ЦДС»</w:t>
      </w:r>
      <w:r w:rsidRPr="000428B6">
        <w:rPr>
          <w:rFonts w:ascii="Times New Roman" w:hAnsi="Times New Roman" w:cs="Times New Roman"/>
          <w:color w:val="000000" w:themeColor="text1"/>
          <w:sz w:val="24"/>
          <w:szCs w:val="24"/>
        </w:rPr>
        <w:t>. По состоянию на 2022 г., коэффициент концентрации CR3= 40(три крупнейших хозяйствующих субъекта занимают 40% рынка), рынок характеризуется умеренным уровнем конкуренции. Индекс Херфиндаля Хиршмана HHI = 1029 (значения HHI 1 000 &lt; 1029 &lt; 1 800 соответствуют рынку с высоким уровнем концентрации). В 2021 г. HHI составил 1045, на рынке конк</w:t>
      </w:r>
      <w:r w:rsidR="000563B0">
        <w:rPr>
          <w:rFonts w:ascii="Times New Roman" w:hAnsi="Times New Roman" w:cs="Times New Roman"/>
          <w:color w:val="000000" w:themeColor="text1"/>
          <w:sz w:val="24"/>
          <w:szCs w:val="24"/>
        </w:rPr>
        <w:t>урентное положение сохранилось.</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Сведения о состоянии конкуренции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Развитие конкуренции в отрасли приведет к увеличению строительства, улучшению качества  и увеличению рабочих мест в отрасли. </w:t>
      </w:r>
    </w:p>
    <w:p w:rsidR="000428B6" w:rsidRPr="000563B0" w:rsidRDefault="000428B6" w:rsidP="000428B6">
      <w:pPr>
        <w:spacing w:after="0" w:line="360" w:lineRule="auto"/>
        <w:ind w:firstLine="709"/>
        <w:jc w:val="both"/>
        <w:rPr>
          <w:rFonts w:ascii="Times New Roman" w:hAnsi="Times New Roman" w:cs="Times New Roman"/>
          <w:color w:val="000000" w:themeColor="text1"/>
          <w:sz w:val="24"/>
          <w:szCs w:val="24"/>
          <w:u w:val="single"/>
        </w:rPr>
      </w:pPr>
      <w:r w:rsidRPr="000563B0">
        <w:rPr>
          <w:rFonts w:ascii="Times New Roman" w:hAnsi="Times New Roman" w:cs="Times New Roman"/>
          <w:color w:val="000000" w:themeColor="text1"/>
          <w:sz w:val="24"/>
          <w:szCs w:val="24"/>
          <w:u w:val="single"/>
        </w:rPr>
        <w:t>19.</w:t>
      </w:r>
      <w:r w:rsidRPr="000563B0">
        <w:rPr>
          <w:rFonts w:ascii="Times New Roman" w:hAnsi="Times New Roman" w:cs="Times New Roman"/>
          <w:color w:val="000000" w:themeColor="text1"/>
          <w:sz w:val="24"/>
          <w:szCs w:val="24"/>
          <w:u w:val="single"/>
        </w:rPr>
        <w:tab/>
        <w:t>Рынок строительства объектов капитального строительства, за исключением жилищного и дорожного строительства</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По данным Петростата, в Ленинградской области </w:t>
      </w:r>
      <w:r w:rsidR="000563B0">
        <w:rPr>
          <w:rFonts w:ascii="Times New Roman" w:hAnsi="Times New Roman" w:cs="Times New Roman"/>
          <w:color w:val="000000" w:themeColor="text1"/>
          <w:sz w:val="24"/>
          <w:szCs w:val="24"/>
        </w:rPr>
        <w:t>на отчетную дату</w:t>
      </w:r>
      <w:r w:rsidRPr="000428B6">
        <w:rPr>
          <w:rFonts w:ascii="Times New Roman" w:hAnsi="Times New Roman" w:cs="Times New Roman"/>
          <w:color w:val="000000" w:themeColor="text1"/>
          <w:sz w:val="24"/>
          <w:szCs w:val="24"/>
        </w:rPr>
        <w:t xml:space="preserve"> по виду деятельности </w:t>
      </w:r>
      <w:r w:rsidR="00075B86">
        <w:rPr>
          <w:rFonts w:ascii="Times New Roman" w:hAnsi="Times New Roman" w:cs="Times New Roman"/>
          <w:color w:val="000000" w:themeColor="text1"/>
          <w:sz w:val="24"/>
          <w:szCs w:val="24"/>
        </w:rPr>
        <w:t>«Строительство»</w:t>
      </w:r>
      <w:r w:rsidRPr="000428B6">
        <w:rPr>
          <w:rFonts w:ascii="Times New Roman" w:hAnsi="Times New Roman" w:cs="Times New Roman"/>
          <w:color w:val="000000" w:themeColor="text1"/>
          <w:sz w:val="24"/>
          <w:szCs w:val="24"/>
        </w:rPr>
        <w:t xml:space="preserve"> выполнено работ на общую сумму 146 972 млн руб.</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В Ленинградской области за 6 месяцев 2022 г. введены в действие 106 объектов производственной и социальной инфраструктуры, в том числе линии электропередачи различного напряжения протяженностью 380 км, торгово-развлекательные центры на 29,1 тыс. кв. м общей площади, общетоварные склады – 26,4 тыс. кв. м, капитальные гаражи на 588 машино-мест, общеобразовательные организации на 640 ученических мест, дошкольные образовательные организации на 775 мест, амбулаторно-поликлинические организации на 180 посещений в смену, учреждения культуры клубного типа на 200 мест, два физкультурно-оздоровительных комплекса и другие. </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На рынке объектов капитального строительства, за исключением жилищного и дорожного строительства (далее – рынок объектов капитального строительства) в Ленинградской области осуществляют деятельность 37 организаций. Все участники рынка являются хозяйствующими субъектами с обособленным имуществом и участием частного капитала.</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Ключевые игроки: ЛенРусСтрой, ЛСР. По состоянию на 2022 г., коэффициент концентрации CR3=61 (три крупнейших хозяйствующих субъекта занимают 61 % рынка), рынок </w:t>
      </w:r>
      <w:r w:rsidRPr="000428B6">
        <w:rPr>
          <w:rFonts w:ascii="Times New Roman" w:hAnsi="Times New Roman" w:cs="Times New Roman"/>
          <w:color w:val="000000" w:themeColor="text1"/>
          <w:sz w:val="24"/>
          <w:szCs w:val="24"/>
        </w:rPr>
        <w:lastRenderedPageBreak/>
        <w:t xml:space="preserve">характеризуется как рынок с умеренной степенью конкуренции. индекс Херфиндаля-Хиршмана HHI = 2647,2 (значения HHI 1 800 &lt; 2647,2 &lt; 10 000 соответствуют рынку с средним уровнем концентрации). В динамике на рынке не наблюдается ухудшение параметров конкурентного рынка, так в 2021 г. значения HHI составляло 2701,22. </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Сведения о состоянии конкуренции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Развитие конкуренции в отрасли приведет к увеличению объектов строительства, дополнительным рабочим местам в отрасли и улучшению уровня жизни жителей региона. </w:t>
      </w:r>
    </w:p>
    <w:p w:rsidR="000428B6" w:rsidRPr="000563B0" w:rsidRDefault="000428B6" w:rsidP="000428B6">
      <w:pPr>
        <w:spacing w:after="0" w:line="360" w:lineRule="auto"/>
        <w:ind w:firstLine="709"/>
        <w:jc w:val="both"/>
        <w:rPr>
          <w:rFonts w:ascii="Times New Roman" w:hAnsi="Times New Roman" w:cs="Times New Roman"/>
          <w:color w:val="000000" w:themeColor="text1"/>
          <w:sz w:val="24"/>
          <w:szCs w:val="24"/>
          <w:u w:val="single"/>
        </w:rPr>
      </w:pPr>
      <w:r w:rsidRPr="000563B0">
        <w:rPr>
          <w:rFonts w:ascii="Times New Roman" w:hAnsi="Times New Roman" w:cs="Times New Roman"/>
          <w:color w:val="000000" w:themeColor="text1"/>
          <w:sz w:val="24"/>
          <w:szCs w:val="24"/>
          <w:u w:val="single"/>
        </w:rPr>
        <w:t>20.</w:t>
      </w:r>
      <w:r w:rsidRPr="000563B0">
        <w:rPr>
          <w:rFonts w:ascii="Times New Roman" w:hAnsi="Times New Roman" w:cs="Times New Roman"/>
          <w:color w:val="000000" w:themeColor="text1"/>
          <w:sz w:val="24"/>
          <w:szCs w:val="24"/>
          <w:u w:val="single"/>
        </w:rPr>
        <w:tab/>
        <w:t>Рынок архитектурно-строительного проектирования</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В Ленинградской области в 2022 г. выявлено 522 хозяйствующих субъекта, осуществляющих деятельность в сфере архитектурно-строительного проектирования (из них 25 организаций находятся в государственной и муниципальной собственности).</w:t>
      </w:r>
      <w:r w:rsidR="000563B0">
        <w:rPr>
          <w:rFonts w:ascii="Times New Roman" w:hAnsi="Times New Roman" w:cs="Times New Roman"/>
          <w:color w:val="000000" w:themeColor="text1"/>
          <w:sz w:val="24"/>
          <w:szCs w:val="24"/>
        </w:rPr>
        <w:t xml:space="preserve"> </w:t>
      </w:r>
      <w:r w:rsidRPr="000428B6">
        <w:rPr>
          <w:rFonts w:ascii="Times New Roman" w:hAnsi="Times New Roman" w:cs="Times New Roman"/>
          <w:color w:val="000000" w:themeColor="text1"/>
          <w:sz w:val="24"/>
          <w:szCs w:val="24"/>
        </w:rPr>
        <w:t>Большинство участников рынка составляют хозяйствующие субъекты, осуществляющие деятельность в сфере архитектурно-строительног</w:t>
      </w:r>
      <w:r w:rsidR="00075B86">
        <w:rPr>
          <w:rFonts w:ascii="Times New Roman" w:hAnsi="Times New Roman" w:cs="Times New Roman"/>
          <w:color w:val="000000" w:themeColor="text1"/>
          <w:sz w:val="24"/>
          <w:szCs w:val="24"/>
        </w:rPr>
        <w:t>о проектирования более 5 лет. («</w:t>
      </w:r>
      <w:r w:rsidRPr="000428B6">
        <w:rPr>
          <w:rFonts w:ascii="Times New Roman" w:hAnsi="Times New Roman" w:cs="Times New Roman"/>
          <w:color w:val="000000" w:themeColor="text1"/>
          <w:sz w:val="24"/>
          <w:szCs w:val="24"/>
        </w:rPr>
        <w:t>Класс</w:t>
      </w:r>
      <w:r w:rsidR="00075B86">
        <w:rPr>
          <w:rFonts w:ascii="Times New Roman" w:hAnsi="Times New Roman" w:cs="Times New Roman"/>
          <w:color w:val="000000" w:themeColor="text1"/>
          <w:sz w:val="24"/>
          <w:szCs w:val="24"/>
        </w:rPr>
        <w:t xml:space="preserve"> – строй», «Завод ЛСР», «Галс», «</w:t>
      </w:r>
      <w:r w:rsidRPr="000428B6">
        <w:rPr>
          <w:rFonts w:ascii="Times New Roman" w:hAnsi="Times New Roman" w:cs="Times New Roman"/>
          <w:color w:val="000000" w:themeColor="text1"/>
          <w:sz w:val="24"/>
          <w:szCs w:val="24"/>
        </w:rPr>
        <w:t>А.А. Строй</w:t>
      </w:r>
      <w:r w:rsidR="00075B86">
        <w:rPr>
          <w:rFonts w:ascii="Times New Roman" w:hAnsi="Times New Roman" w:cs="Times New Roman"/>
          <w:color w:val="000000" w:themeColor="text1"/>
          <w:sz w:val="24"/>
          <w:szCs w:val="24"/>
        </w:rPr>
        <w:t>», «</w:t>
      </w:r>
      <w:r w:rsidRPr="000428B6">
        <w:rPr>
          <w:rFonts w:ascii="Times New Roman" w:hAnsi="Times New Roman" w:cs="Times New Roman"/>
          <w:color w:val="000000" w:themeColor="text1"/>
          <w:sz w:val="24"/>
          <w:szCs w:val="24"/>
        </w:rPr>
        <w:t>Строй-Рус</w:t>
      </w:r>
      <w:r w:rsidR="00075B86">
        <w:rPr>
          <w:rFonts w:ascii="Times New Roman" w:hAnsi="Times New Roman" w:cs="Times New Roman"/>
          <w:color w:val="000000" w:themeColor="text1"/>
          <w:sz w:val="24"/>
          <w:szCs w:val="24"/>
        </w:rPr>
        <w:t>», «</w:t>
      </w:r>
      <w:r w:rsidRPr="000428B6">
        <w:rPr>
          <w:rFonts w:ascii="Times New Roman" w:hAnsi="Times New Roman" w:cs="Times New Roman"/>
          <w:color w:val="000000" w:themeColor="text1"/>
          <w:sz w:val="24"/>
          <w:szCs w:val="24"/>
        </w:rPr>
        <w:t>Bonava</w:t>
      </w:r>
      <w:r w:rsidR="00075B86">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 Большую часть рынка составляет малый и средний бизнес (</w:t>
      </w:r>
      <w:r w:rsidR="00075B86">
        <w:rPr>
          <w:rFonts w:ascii="Times New Roman" w:hAnsi="Times New Roman" w:cs="Times New Roman"/>
          <w:color w:val="000000" w:themeColor="text1"/>
          <w:sz w:val="24"/>
          <w:szCs w:val="24"/>
        </w:rPr>
        <w:t>«Азбука строительства»</w:t>
      </w:r>
      <w:r w:rsidRPr="000428B6">
        <w:rPr>
          <w:rFonts w:ascii="Times New Roman" w:hAnsi="Times New Roman" w:cs="Times New Roman"/>
          <w:color w:val="000000" w:themeColor="text1"/>
          <w:sz w:val="24"/>
          <w:szCs w:val="24"/>
        </w:rPr>
        <w:t xml:space="preserve">, </w:t>
      </w:r>
      <w:r w:rsidR="00075B86">
        <w:rPr>
          <w:rFonts w:ascii="Times New Roman" w:hAnsi="Times New Roman" w:cs="Times New Roman"/>
          <w:color w:val="000000" w:themeColor="text1"/>
          <w:sz w:val="24"/>
          <w:szCs w:val="24"/>
        </w:rPr>
        <w:t>«Романовский зодчий», «Торгово-строительная фирма», «Дом на век», «</w:t>
      </w:r>
      <w:r w:rsidRPr="000428B6">
        <w:rPr>
          <w:rFonts w:ascii="Times New Roman" w:hAnsi="Times New Roman" w:cs="Times New Roman"/>
          <w:color w:val="000000" w:themeColor="text1"/>
          <w:sz w:val="24"/>
          <w:szCs w:val="24"/>
        </w:rPr>
        <w:t>Приоритет</w:t>
      </w:r>
      <w:r w:rsidR="00075B86">
        <w:rPr>
          <w:rFonts w:ascii="Times New Roman" w:hAnsi="Times New Roman" w:cs="Times New Roman"/>
          <w:color w:val="000000" w:themeColor="text1"/>
          <w:sz w:val="24"/>
          <w:szCs w:val="24"/>
        </w:rPr>
        <w:t>», «</w:t>
      </w:r>
      <w:r w:rsidRPr="000428B6">
        <w:rPr>
          <w:rFonts w:ascii="Times New Roman" w:hAnsi="Times New Roman" w:cs="Times New Roman"/>
          <w:color w:val="000000" w:themeColor="text1"/>
          <w:sz w:val="24"/>
          <w:szCs w:val="24"/>
        </w:rPr>
        <w:t>Кровельный мир</w:t>
      </w:r>
      <w:r w:rsidR="00075B86">
        <w:rPr>
          <w:rFonts w:ascii="Times New Roman" w:hAnsi="Times New Roman" w:cs="Times New Roman"/>
          <w:color w:val="000000" w:themeColor="text1"/>
          <w:sz w:val="24"/>
          <w:szCs w:val="24"/>
        </w:rPr>
        <w:t>», «</w:t>
      </w:r>
      <w:r w:rsidRPr="000428B6">
        <w:rPr>
          <w:rFonts w:ascii="Times New Roman" w:hAnsi="Times New Roman" w:cs="Times New Roman"/>
          <w:color w:val="000000" w:themeColor="text1"/>
          <w:sz w:val="24"/>
          <w:szCs w:val="24"/>
        </w:rPr>
        <w:t>Алтын Барс</w:t>
      </w:r>
      <w:r w:rsidR="00075B86">
        <w:rPr>
          <w:rFonts w:ascii="Times New Roman" w:hAnsi="Times New Roman" w:cs="Times New Roman"/>
          <w:color w:val="000000" w:themeColor="text1"/>
          <w:sz w:val="24"/>
          <w:szCs w:val="24"/>
        </w:rPr>
        <w:t>», «</w:t>
      </w:r>
      <w:r w:rsidRPr="000428B6">
        <w:rPr>
          <w:rFonts w:ascii="Times New Roman" w:hAnsi="Times New Roman" w:cs="Times New Roman"/>
          <w:color w:val="000000" w:themeColor="text1"/>
          <w:sz w:val="24"/>
          <w:szCs w:val="24"/>
        </w:rPr>
        <w:t>Волосовское ДРСУ</w:t>
      </w:r>
      <w:r w:rsidR="00075B86">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 xml:space="preserve"> </w:t>
      </w:r>
      <w:r w:rsidR="00075B86">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Гефест</w:t>
      </w:r>
      <w:r w:rsidR="00075B86">
        <w:rPr>
          <w:rFonts w:ascii="Times New Roman" w:hAnsi="Times New Roman" w:cs="Times New Roman"/>
          <w:color w:val="000000" w:themeColor="text1"/>
          <w:sz w:val="24"/>
          <w:szCs w:val="24"/>
        </w:rPr>
        <w:t>», «</w:t>
      </w:r>
      <w:r w:rsidRPr="000428B6">
        <w:rPr>
          <w:rFonts w:ascii="Times New Roman" w:hAnsi="Times New Roman" w:cs="Times New Roman"/>
          <w:color w:val="000000" w:themeColor="text1"/>
          <w:sz w:val="24"/>
          <w:szCs w:val="24"/>
        </w:rPr>
        <w:t>Город</w:t>
      </w:r>
      <w:r w:rsidR="00075B86">
        <w:rPr>
          <w:rFonts w:ascii="Times New Roman" w:hAnsi="Times New Roman" w:cs="Times New Roman"/>
          <w:color w:val="000000" w:themeColor="text1"/>
          <w:sz w:val="24"/>
          <w:szCs w:val="24"/>
        </w:rPr>
        <w:t>», «Кингисепп-ремстройсервис», «ЛОГЭСК», «Норматех», «</w:t>
      </w:r>
      <w:r w:rsidRPr="000428B6">
        <w:rPr>
          <w:rFonts w:ascii="Times New Roman" w:hAnsi="Times New Roman" w:cs="Times New Roman"/>
          <w:color w:val="000000" w:themeColor="text1"/>
          <w:sz w:val="24"/>
          <w:szCs w:val="24"/>
        </w:rPr>
        <w:t>Кудрово-гр</w:t>
      </w:r>
      <w:r w:rsidR="00075B86">
        <w:rPr>
          <w:rFonts w:ascii="Times New Roman" w:hAnsi="Times New Roman" w:cs="Times New Roman"/>
          <w:color w:val="000000" w:themeColor="text1"/>
          <w:sz w:val="24"/>
          <w:szCs w:val="24"/>
        </w:rPr>
        <w:t>ад», «</w:t>
      </w:r>
      <w:r w:rsidRPr="000428B6">
        <w:rPr>
          <w:rFonts w:ascii="Times New Roman" w:hAnsi="Times New Roman" w:cs="Times New Roman"/>
          <w:color w:val="000000" w:themeColor="text1"/>
          <w:sz w:val="24"/>
          <w:szCs w:val="24"/>
        </w:rPr>
        <w:t>Стройсоюз</w:t>
      </w:r>
      <w:r w:rsidR="00075B86">
        <w:rPr>
          <w:rFonts w:ascii="Times New Roman" w:hAnsi="Times New Roman" w:cs="Times New Roman"/>
          <w:color w:val="000000" w:themeColor="text1"/>
          <w:sz w:val="24"/>
          <w:szCs w:val="24"/>
        </w:rPr>
        <w:t>», «</w:t>
      </w:r>
      <w:r w:rsidRPr="000428B6">
        <w:rPr>
          <w:rFonts w:ascii="Times New Roman" w:hAnsi="Times New Roman" w:cs="Times New Roman"/>
          <w:color w:val="000000" w:themeColor="text1"/>
          <w:sz w:val="24"/>
          <w:szCs w:val="24"/>
        </w:rPr>
        <w:t>НЭК</w:t>
      </w:r>
      <w:r w:rsidR="00075B86">
        <w:rPr>
          <w:rFonts w:ascii="Times New Roman" w:hAnsi="Times New Roman" w:cs="Times New Roman"/>
          <w:color w:val="000000" w:themeColor="text1"/>
          <w:sz w:val="24"/>
          <w:szCs w:val="24"/>
        </w:rPr>
        <w:t>», ПСК «</w:t>
      </w:r>
      <w:r w:rsidRPr="000428B6">
        <w:rPr>
          <w:rFonts w:ascii="Times New Roman" w:hAnsi="Times New Roman" w:cs="Times New Roman"/>
          <w:color w:val="000000" w:themeColor="text1"/>
          <w:sz w:val="24"/>
          <w:szCs w:val="24"/>
        </w:rPr>
        <w:t>Тандем</w:t>
      </w:r>
      <w:r w:rsidR="00075B86">
        <w:rPr>
          <w:rFonts w:ascii="Times New Roman" w:hAnsi="Times New Roman" w:cs="Times New Roman"/>
          <w:color w:val="000000" w:themeColor="text1"/>
          <w:sz w:val="24"/>
          <w:szCs w:val="24"/>
        </w:rPr>
        <w:t>», «</w:t>
      </w:r>
      <w:r w:rsidRPr="000428B6">
        <w:rPr>
          <w:rFonts w:ascii="Times New Roman" w:hAnsi="Times New Roman" w:cs="Times New Roman"/>
          <w:color w:val="000000" w:themeColor="text1"/>
          <w:sz w:val="24"/>
          <w:szCs w:val="24"/>
        </w:rPr>
        <w:t>Три кита</w:t>
      </w:r>
      <w:r w:rsidR="00075B86">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 xml:space="preserve"> и др.)</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Крупный бизнес представляют: </w:t>
      </w:r>
      <w:r w:rsidR="00075B86">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Завод ЛСР</w:t>
      </w:r>
      <w:r w:rsidR="00075B86">
        <w:rPr>
          <w:rFonts w:ascii="Times New Roman" w:hAnsi="Times New Roman" w:cs="Times New Roman"/>
          <w:color w:val="000000" w:themeColor="text1"/>
          <w:sz w:val="24"/>
          <w:szCs w:val="24"/>
        </w:rPr>
        <w:t>», «</w:t>
      </w:r>
      <w:r w:rsidRPr="000428B6">
        <w:rPr>
          <w:rFonts w:ascii="Times New Roman" w:hAnsi="Times New Roman" w:cs="Times New Roman"/>
          <w:color w:val="000000" w:themeColor="text1"/>
          <w:sz w:val="24"/>
          <w:szCs w:val="24"/>
        </w:rPr>
        <w:t>Галс</w:t>
      </w:r>
      <w:r w:rsidR="00075B86">
        <w:rPr>
          <w:rFonts w:ascii="Times New Roman" w:hAnsi="Times New Roman" w:cs="Times New Roman"/>
          <w:color w:val="000000" w:themeColor="text1"/>
          <w:sz w:val="24"/>
          <w:szCs w:val="24"/>
        </w:rPr>
        <w:t>», «А.А. Строй», «</w:t>
      </w:r>
      <w:r w:rsidRPr="000428B6">
        <w:rPr>
          <w:rFonts w:ascii="Times New Roman" w:hAnsi="Times New Roman" w:cs="Times New Roman"/>
          <w:color w:val="000000" w:themeColor="text1"/>
          <w:sz w:val="24"/>
          <w:szCs w:val="24"/>
        </w:rPr>
        <w:t>Строй-Рус</w:t>
      </w:r>
      <w:r w:rsidR="00075B86">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 xml:space="preserve">, </w:t>
      </w:r>
      <w:r w:rsidR="00075B86">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Bonava</w:t>
      </w:r>
      <w:r w:rsidR="00075B86">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 xml:space="preserve"> и др</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Ключевые игроки рынка: </w:t>
      </w:r>
      <w:r w:rsidR="00075B86">
        <w:rPr>
          <w:rFonts w:ascii="Times New Roman" w:hAnsi="Times New Roman" w:cs="Times New Roman"/>
          <w:color w:val="000000" w:themeColor="text1"/>
          <w:sz w:val="24"/>
          <w:szCs w:val="24"/>
        </w:rPr>
        <w:t>«Класс-строй»</w:t>
      </w:r>
      <w:r w:rsidRPr="000428B6">
        <w:rPr>
          <w:rFonts w:ascii="Times New Roman" w:hAnsi="Times New Roman" w:cs="Times New Roman"/>
          <w:color w:val="000000" w:themeColor="text1"/>
          <w:sz w:val="24"/>
          <w:szCs w:val="24"/>
        </w:rPr>
        <w:t xml:space="preserve">, </w:t>
      </w:r>
      <w:r w:rsidR="00075B86">
        <w:rPr>
          <w:rFonts w:ascii="Times New Roman" w:hAnsi="Times New Roman" w:cs="Times New Roman"/>
          <w:color w:val="000000" w:themeColor="text1"/>
          <w:sz w:val="24"/>
          <w:szCs w:val="24"/>
        </w:rPr>
        <w:t>«Завод ЛСР», «</w:t>
      </w:r>
      <w:r w:rsidRPr="000428B6">
        <w:rPr>
          <w:rFonts w:ascii="Times New Roman" w:hAnsi="Times New Roman" w:cs="Times New Roman"/>
          <w:color w:val="000000" w:themeColor="text1"/>
          <w:sz w:val="24"/>
          <w:szCs w:val="24"/>
        </w:rPr>
        <w:t>Галс</w:t>
      </w:r>
      <w:r w:rsidR="00075B86">
        <w:rPr>
          <w:rFonts w:ascii="Times New Roman" w:hAnsi="Times New Roman" w:cs="Times New Roman"/>
          <w:color w:val="000000" w:themeColor="text1"/>
          <w:sz w:val="24"/>
          <w:szCs w:val="24"/>
        </w:rPr>
        <w:t>»</w:t>
      </w:r>
      <w:r w:rsidRPr="000428B6">
        <w:rPr>
          <w:rFonts w:ascii="Times New Roman" w:hAnsi="Times New Roman" w:cs="Times New Roman"/>
          <w:color w:val="000000" w:themeColor="text1"/>
          <w:sz w:val="24"/>
          <w:szCs w:val="24"/>
        </w:rPr>
        <w:t xml:space="preserve">, по состоянию на 2022 г., их суммарная рыночная доля составила 63% - коэффициент концентрации (Concentration ratio) CR3 = 63 (три крупнейших хозяйствующих субъекта занимают 63% рынка), что характеризует рынок на рынок с умеренной степенью конкуренции. Индекс Херфиндаля Хиршмана HHI =1752,2, что соответствуют конкурентному рынку с высоким уровнем концентрации. По сравнению с 2021 г. положение на рынке основных игроков осталось неизменным. </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Сведения о состоянии конкуренции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Развитие конкуренции в отрасли приведет к снижению цен на услуги и развитию рынка.</w:t>
      </w:r>
    </w:p>
    <w:p w:rsidR="000428B6" w:rsidRPr="000563B0" w:rsidRDefault="000428B6" w:rsidP="000428B6">
      <w:pPr>
        <w:spacing w:after="0" w:line="360" w:lineRule="auto"/>
        <w:ind w:firstLine="709"/>
        <w:jc w:val="both"/>
        <w:rPr>
          <w:rFonts w:ascii="Times New Roman" w:hAnsi="Times New Roman" w:cs="Times New Roman"/>
          <w:color w:val="000000" w:themeColor="text1"/>
          <w:sz w:val="24"/>
          <w:szCs w:val="24"/>
          <w:u w:val="single"/>
        </w:rPr>
      </w:pPr>
      <w:r w:rsidRPr="000563B0">
        <w:rPr>
          <w:rFonts w:ascii="Times New Roman" w:hAnsi="Times New Roman" w:cs="Times New Roman"/>
          <w:color w:val="000000" w:themeColor="text1"/>
          <w:sz w:val="24"/>
          <w:szCs w:val="24"/>
          <w:u w:val="single"/>
        </w:rPr>
        <w:t>21.</w:t>
      </w:r>
      <w:r w:rsidRPr="000563B0">
        <w:rPr>
          <w:rFonts w:ascii="Times New Roman" w:hAnsi="Times New Roman" w:cs="Times New Roman"/>
          <w:color w:val="000000" w:themeColor="text1"/>
          <w:sz w:val="24"/>
          <w:szCs w:val="24"/>
          <w:u w:val="single"/>
        </w:rPr>
        <w:tab/>
        <w:t>Рынок кадастровых и землеустроительных работ</w:t>
      </w:r>
    </w:p>
    <w:p w:rsidR="00300BF7" w:rsidRDefault="00300BF7" w:rsidP="000428B6">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На территории Ленинградской области зарегистрировано </w:t>
      </w:r>
      <w:r w:rsidR="000428B6" w:rsidRPr="000428B6">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7 организаций (в т.ч. 1 МУП),</w:t>
      </w:r>
      <w:r w:rsidR="000428B6" w:rsidRPr="000428B6">
        <w:rPr>
          <w:rFonts w:ascii="Times New Roman" w:hAnsi="Times New Roman" w:cs="Times New Roman"/>
          <w:color w:val="000000" w:themeColor="text1"/>
          <w:sz w:val="24"/>
          <w:szCs w:val="24"/>
        </w:rPr>
        <w:t xml:space="preserve"> осуществляющих деятельность в сфере </w:t>
      </w:r>
      <w:r>
        <w:rPr>
          <w:rFonts w:ascii="Times New Roman" w:hAnsi="Times New Roman" w:cs="Times New Roman"/>
          <w:color w:val="000000" w:themeColor="text1"/>
          <w:sz w:val="24"/>
          <w:szCs w:val="24"/>
        </w:rPr>
        <w:t>«кадастровая деятельность» и 21 организация  (в т.ч. 2 МУП) в сфере «землеустройство».</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Ключевыми игроками рынка являются: "Северо-Западное Управление по гидрометеорологии и мониторингу окружающей среды", ГУП "Леноблинвентаризация", Лужское МУП "Землемер". По состоянию на 2022 г., коэффициент их рыночной концентрации </w:t>
      </w:r>
      <w:r w:rsidRPr="000428B6">
        <w:rPr>
          <w:rFonts w:ascii="Times New Roman" w:hAnsi="Times New Roman" w:cs="Times New Roman"/>
          <w:color w:val="000000" w:themeColor="text1"/>
          <w:sz w:val="24"/>
          <w:szCs w:val="24"/>
        </w:rPr>
        <w:lastRenderedPageBreak/>
        <w:t>составил CR3 = 73,5, что характеризует рынок как рынок со слабой степенью конкуренции, что обусловлено спецификой рынка, предполагающей высокий уровень компетенции сотрудников и сложностями входа на рынок по данному критерию.</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Индекс Херфиндаля Хиршмана в 2022 г. HHI = 2381 (значения HHI 1 800 &lt; 2381 &lt;10 000 соответствуют рынку c высоким уровнем концентрации). По сравнению с 2021 г. (индекс 2238) параметры конкуренции остались неизменными. </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Сведения о состоянии конкуренции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Развитие конкуренции в отрасли приведет к увеличению рабочих мест в отрасли. </w:t>
      </w:r>
    </w:p>
    <w:p w:rsidR="000428B6" w:rsidRPr="00300BF7" w:rsidRDefault="000428B6" w:rsidP="000428B6">
      <w:pPr>
        <w:spacing w:after="0" w:line="360" w:lineRule="auto"/>
        <w:ind w:firstLine="709"/>
        <w:jc w:val="both"/>
        <w:rPr>
          <w:rFonts w:ascii="Times New Roman" w:hAnsi="Times New Roman" w:cs="Times New Roman"/>
          <w:color w:val="000000" w:themeColor="text1"/>
          <w:sz w:val="24"/>
          <w:szCs w:val="24"/>
          <w:u w:val="single"/>
        </w:rPr>
      </w:pPr>
      <w:r w:rsidRPr="00300BF7">
        <w:rPr>
          <w:rFonts w:ascii="Times New Roman" w:hAnsi="Times New Roman" w:cs="Times New Roman"/>
          <w:color w:val="000000" w:themeColor="text1"/>
          <w:sz w:val="24"/>
          <w:szCs w:val="24"/>
          <w:u w:val="single"/>
        </w:rPr>
        <w:t>22.</w:t>
      </w:r>
      <w:r w:rsidRPr="00300BF7">
        <w:rPr>
          <w:rFonts w:ascii="Times New Roman" w:hAnsi="Times New Roman" w:cs="Times New Roman"/>
          <w:color w:val="000000" w:themeColor="text1"/>
          <w:sz w:val="24"/>
          <w:szCs w:val="24"/>
          <w:u w:val="single"/>
        </w:rPr>
        <w:tab/>
        <w:t>Рынок племенного животноводства</w:t>
      </w:r>
    </w:p>
    <w:p w:rsidR="00FA6F78" w:rsidRPr="00FA6F78" w:rsidRDefault="00FA6F78" w:rsidP="00FA6F78">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w:t>
      </w:r>
      <w:r w:rsidRPr="00FA6F78">
        <w:rPr>
          <w:rFonts w:ascii="Times New Roman" w:hAnsi="Times New Roman" w:cs="Times New Roman"/>
          <w:color w:val="000000" w:themeColor="text1"/>
          <w:sz w:val="24"/>
          <w:szCs w:val="24"/>
        </w:rPr>
        <w:t xml:space="preserve">леменная база региона сосредоточена в 71 племенном  хозяйстве по разведению </w:t>
      </w:r>
      <w:r>
        <w:rPr>
          <w:rFonts w:ascii="Times New Roman" w:hAnsi="Times New Roman" w:cs="Times New Roman"/>
          <w:color w:val="000000" w:themeColor="text1"/>
          <w:sz w:val="24"/>
          <w:szCs w:val="24"/>
        </w:rPr>
        <w:t>крупного рогатого скота</w:t>
      </w:r>
      <w:r w:rsidRPr="00FA6F78">
        <w:rPr>
          <w:rFonts w:ascii="Times New Roman" w:hAnsi="Times New Roman" w:cs="Times New Roman"/>
          <w:color w:val="000000" w:themeColor="text1"/>
          <w:sz w:val="24"/>
          <w:szCs w:val="24"/>
        </w:rPr>
        <w:t xml:space="preserve"> молочного и мясного направлений, коз молочных пород, овец, птиц и клеточных пушных зверей:</w:t>
      </w:r>
    </w:p>
    <w:p w:rsidR="00FA6F78" w:rsidRPr="00FA6F78" w:rsidRDefault="00FA6F78" w:rsidP="00FA6F78">
      <w:pPr>
        <w:spacing w:after="0" w:line="360" w:lineRule="auto"/>
        <w:ind w:firstLine="709"/>
        <w:jc w:val="both"/>
        <w:rPr>
          <w:rFonts w:ascii="Times New Roman" w:hAnsi="Times New Roman" w:cs="Times New Roman"/>
          <w:color w:val="000000" w:themeColor="text1"/>
          <w:sz w:val="24"/>
          <w:szCs w:val="24"/>
        </w:rPr>
      </w:pPr>
      <w:r w:rsidRPr="00FA6F78">
        <w:rPr>
          <w:rFonts w:ascii="Times New Roman" w:hAnsi="Times New Roman" w:cs="Times New Roman"/>
          <w:color w:val="000000" w:themeColor="text1"/>
          <w:sz w:val="24"/>
          <w:szCs w:val="24"/>
        </w:rPr>
        <w:t>- Молочное скотоводство – 61 предприятие (48 племенных заводов и 13 племенных репродукторов);</w:t>
      </w:r>
    </w:p>
    <w:p w:rsidR="00FA6F78" w:rsidRPr="00FA6F78" w:rsidRDefault="00FA6F78" w:rsidP="00FA6F78">
      <w:pPr>
        <w:spacing w:after="0" w:line="360" w:lineRule="auto"/>
        <w:ind w:firstLine="709"/>
        <w:jc w:val="both"/>
        <w:rPr>
          <w:rFonts w:ascii="Times New Roman" w:hAnsi="Times New Roman" w:cs="Times New Roman"/>
          <w:color w:val="000000" w:themeColor="text1"/>
          <w:sz w:val="24"/>
          <w:szCs w:val="24"/>
        </w:rPr>
      </w:pPr>
      <w:r w:rsidRPr="00FA6F78">
        <w:rPr>
          <w:rFonts w:ascii="Times New Roman" w:hAnsi="Times New Roman" w:cs="Times New Roman"/>
          <w:color w:val="000000" w:themeColor="text1"/>
          <w:sz w:val="24"/>
          <w:szCs w:val="24"/>
        </w:rPr>
        <w:t>- Мясное скотоводство – 1 предприятие (племенной завод);</w:t>
      </w:r>
    </w:p>
    <w:p w:rsidR="00FA6F78" w:rsidRPr="00FA6F78" w:rsidRDefault="00FA6F78" w:rsidP="00FA6F78">
      <w:pPr>
        <w:spacing w:after="0" w:line="360" w:lineRule="auto"/>
        <w:ind w:firstLine="709"/>
        <w:jc w:val="both"/>
        <w:rPr>
          <w:rFonts w:ascii="Times New Roman" w:hAnsi="Times New Roman" w:cs="Times New Roman"/>
          <w:color w:val="000000" w:themeColor="text1"/>
          <w:sz w:val="24"/>
          <w:szCs w:val="24"/>
        </w:rPr>
      </w:pPr>
      <w:r w:rsidRPr="00FA6F78">
        <w:rPr>
          <w:rFonts w:ascii="Times New Roman" w:hAnsi="Times New Roman" w:cs="Times New Roman"/>
          <w:color w:val="000000" w:themeColor="text1"/>
          <w:sz w:val="24"/>
          <w:szCs w:val="24"/>
        </w:rPr>
        <w:t>- Молочное козоводство – 3 предприятия (2 племенных завода, 1 племенной репродуктор);</w:t>
      </w:r>
    </w:p>
    <w:p w:rsidR="00FA6F78" w:rsidRPr="00FA6F78" w:rsidRDefault="00FA6F78" w:rsidP="00FA6F78">
      <w:pPr>
        <w:spacing w:after="0" w:line="360" w:lineRule="auto"/>
        <w:ind w:firstLine="709"/>
        <w:jc w:val="both"/>
        <w:rPr>
          <w:rFonts w:ascii="Times New Roman" w:hAnsi="Times New Roman" w:cs="Times New Roman"/>
          <w:color w:val="000000" w:themeColor="text1"/>
          <w:sz w:val="24"/>
          <w:szCs w:val="24"/>
        </w:rPr>
      </w:pPr>
      <w:r w:rsidRPr="00FA6F78">
        <w:rPr>
          <w:rFonts w:ascii="Times New Roman" w:hAnsi="Times New Roman" w:cs="Times New Roman"/>
          <w:color w:val="000000" w:themeColor="text1"/>
          <w:sz w:val="24"/>
          <w:szCs w:val="24"/>
        </w:rPr>
        <w:t>- Овцеводство – 1 предприятие (племенной завод);</w:t>
      </w:r>
    </w:p>
    <w:p w:rsidR="00FA6F78" w:rsidRPr="00FA6F78" w:rsidRDefault="00FA6F78" w:rsidP="00FA6F78">
      <w:pPr>
        <w:spacing w:after="0" w:line="360" w:lineRule="auto"/>
        <w:ind w:firstLine="709"/>
        <w:jc w:val="both"/>
        <w:rPr>
          <w:rFonts w:ascii="Times New Roman" w:hAnsi="Times New Roman" w:cs="Times New Roman"/>
          <w:color w:val="000000" w:themeColor="text1"/>
          <w:sz w:val="24"/>
          <w:szCs w:val="24"/>
        </w:rPr>
      </w:pPr>
      <w:r w:rsidRPr="00FA6F78">
        <w:rPr>
          <w:rFonts w:ascii="Times New Roman" w:hAnsi="Times New Roman" w:cs="Times New Roman"/>
          <w:color w:val="000000" w:themeColor="text1"/>
          <w:sz w:val="24"/>
          <w:szCs w:val="24"/>
        </w:rPr>
        <w:t xml:space="preserve">- Птицеводство – 3 предприятия (племенные репродукторы </w:t>
      </w:r>
      <w:r w:rsidRPr="00FA6F78">
        <w:rPr>
          <w:rFonts w:ascii="Times New Roman" w:hAnsi="Times New Roman" w:cs="Times New Roman"/>
          <w:color w:val="000000" w:themeColor="text1"/>
          <w:sz w:val="24"/>
          <w:szCs w:val="24"/>
          <w:lang w:val="en-US"/>
        </w:rPr>
        <w:t>II</w:t>
      </w:r>
      <w:r w:rsidRPr="00FA6F78">
        <w:rPr>
          <w:rFonts w:ascii="Times New Roman" w:hAnsi="Times New Roman" w:cs="Times New Roman"/>
          <w:color w:val="000000" w:themeColor="text1"/>
          <w:sz w:val="24"/>
          <w:szCs w:val="24"/>
        </w:rPr>
        <w:t xml:space="preserve"> порядка);</w:t>
      </w:r>
    </w:p>
    <w:p w:rsidR="00FA6F78" w:rsidRPr="00FA6F78" w:rsidRDefault="00FA6F78" w:rsidP="00FA6F78">
      <w:pPr>
        <w:spacing w:after="0" w:line="360" w:lineRule="auto"/>
        <w:ind w:firstLine="709"/>
        <w:jc w:val="both"/>
        <w:rPr>
          <w:rFonts w:ascii="Times New Roman" w:hAnsi="Times New Roman" w:cs="Times New Roman"/>
          <w:color w:val="000000" w:themeColor="text1"/>
          <w:sz w:val="24"/>
          <w:szCs w:val="24"/>
        </w:rPr>
      </w:pPr>
      <w:r w:rsidRPr="00FA6F78">
        <w:rPr>
          <w:rFonts w:ascii="Times New Roman" w:hAnsi="Times New Roman" w:cs="Times New Roman"/>
          <w:color w:val="000000" w:themeColor="text1"/>
          <w:sz w:val="24"/>
          <w:szCs w:val="24"/>
        </w:rPr>
        <w:t>- Звероводство – 1 предприятие (племенной репродуктор);</w:t>
      </w:r>
    </w:p>
    <w:p w:rsidR="00FA6F78" w:rsidRPr="000428B6" w:rsidRDefault="00FA6F78" w:rsidP="00FA6F78">
      <w:pPr>
        <w:spacing w:after="0" w:line="360" w:lineRule="auto"/>
        <w:ind w:firstLine="709"/>
        <w:jc w:val="both"/>
        <w:rPr>
          <w:rFonts w:ascii="Times New Roman" w:hAnsi="Times New Roman" w:cs="Times New Roman"/>
          <w:color w:val="000000" w:themeColor="text1"/>
          <w:sz w:val="24"/>
          <w:szCs w:val="24"/>
        </w:rPr>
      </w:pPr>
      <w:r w:rsidRPr="00FA6F78">
        <w:rPr>
          <w:rFonts w:ascii="Times New Roman" w:hAnsi="Times New Roman" w:cs="Times New Roman"/>
          <w:color w:val="000000" w:themeColor="text1"/>
          <w:sz w:val="24"/>
          <w:szCs w:val="24"/>
        </w:rPr>
        <w:t>- Рыбоводство – 1 предприятие (племенной завод).</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По состоянию на 2022 г., коэффициент концентрации (Concentration ratio) CR3 = 35 (три крупнейших хозяйствующих субъекта занимают 35% рынка). Индекс Херфиндаля Хиршмана HHI =894,3</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Исходя из данных, приведенных выше, три крупнейших хозяйствующих субъекта занимают менее 50% рынка, значения HHI менее 1000, что соответствует конкурентному рынку с низким уровнем концентрации.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Сведения о состоянии конкуренции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Развитие конкуренции в отрасли приведет к увеличению рабочих мест в отрасли. </w:t>
      </w:r>
    </w:p>
    <w:p w:rsidR="000428B6" w:rsidRPr="00E52B9A" w:rsidRDefault="000428B6" w:rsidP="000428B6">
      <w:pPr>
        <w:spacing w:after="0" w:line="360" w:lineRule="auto"/>
        <w:ind w:firstLine="709"/>
        <w:jc w:val="both"/>
        <w:rPr>
          <w:rFonts w:ascii="Times New Roman" w:hAnsi="Times New Roman" w:cs="Times New Roman"/>
          <w:color w:val="000000" w:themeColor="text1"/>
          <w:sz w:val="24"/>
          <w:szCs w:val="24"/>
          <w:u w:val="single"/>
        </w:rPr>
      </w:pPr>
      <w:r w:rsidRPr="00E52B9A">
        <w:rPr>
          <w:rFonts w:ascii="Times New Roman" w:hAnsi="Times New Roman" w:cs="Times New Roman"/>
          <w:color w:val="000000" w:themeColor="text1"/>
          <w:sz w:val="24"/>
          <w:szCs w:val="24"/>
          <w:u w:val="single"/>
        </w:rPr>
        <w:t>23.</w:t>
      </w:r>
      <w:r w:rsidRPr="00E52B9A">
        <w:rPr>
          <w:rFonts w:ascii="Times New Roman" w:hAnsi="Times New Roman" w:cs="Times New Roman"/>
          <w:color w:val="000000" w:themeColor="text1"/>
          <w:sz w:val="24"/>
          <w:szCs w:val="24"/>
          <w:u w:val="single"/>
        </w:rPr>
        <w:tab/>
        <w:t>Рынок семеноводства</w:t>
      </w:r>
    </w:p>
    <w:p w:rsidR="00E52B9A" w:rsidRPr="00E52B9A" w:rsidRDefault="00E52B9A" w:rsidP="00E52B9A">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w:t>
      </w:r>
      <w:r w:rsidRPr="00E52B9A">
        <w:rPr>
          <w:rFonts w:ascii="Times New Roman" w:hAnsi="Times New Roman" w:cs="Times New Roman"/>
          <w:color w:val="000000" w:themeColor="text1"/>
          <w:sz w:val="24"/>
          <w:szCs w:val="24"/>
        </w:rPr>
        <w:t xml:space="preserve"> реестр семеноводческих хозяйств Российской  Федерации, сертифицированных  в системе добровольной сертификации в ФГБУ «Россельхозцентр» включены 13 организаций региона, которые осуществляют деятельность по производству семян зерновых культур, картофеля и семян многолетних трав. </w:t>
      </w:r>
    </w:p>
    <w:p w:rsidR="000428B6" w:rsidRPr="000428B6" w:rsidRDefault="00E52B9A" w:rsidP="00E52B9A">
      <w:pPr>
        <w:spacing w:after="0" w:line="360" w:lineRule="auto"/>
        <w:ind w:firstLine="709"/>
        <w:jc w:val="both"/>
        <w:rPr>
          <w:rFonts w:ascii="Times New Roman" w:hAnsi="Times New Roman" w:cs="Times New Roman"/>
          <w:color w:val="000000" w:themeColor="text1"/>
          <w:sz w:val="24"/>
          <w:szCs w:val="24"/>
        </w:rPr>
      </w:pPr>
      <w:r w:rsidRPr="00E52B9A">
        <w:rPr>
          <w:rFonts w:ascii="Times New Roman" w:hAnsi="Times New Roman" w:cs="Times New Roman"/>
          <w:color w:val="000000" w:themeColor="text1"/>
          <w:sz w:val="24"/>
          <w:szCs w:val="24"/>
        </w:rPr>
        <w:t>Из них одна организация находят</w:t>
      </w:r>
      <w:r>
        <w:rPr>
          <w:rFonts w:ascii="Times New Roman" w:hAnsi="Times New Roman" w:cs="Times New Roman"/>
          <w:color w:val="000000" w:themeColor="text1"/>
          <w:sz w:val="24"/>
          <w:szCs w:val="24"/>
        </w:rPr>
        <w:t xml:space="preserve">ся в федеральной собственности </w:t>
      </w:r>
      <w:r w:rsidRPr="00E52B9A">
        <w:rPr>
          <w:rFonts w:ascii="Times New Roman" w:hAnsi="Times New Roman" w:cs="Times New Roman"/>
          <w:color w:val="000000" w:themeColor="text1"/>
          <w:sz w:val="24"/>
          <w:szCs w:val="24"/>
        </w:rPr>
        <w:t>(ФГБНУ Меньковский филиал АФИ).</w:t>
      </w:r>
      <w:r>
        <w:rPr>
          <w:rFonts w:ascii="Times New Roman" w:hAnsi="Times New Roman" w:cs="Times New Roman"/>
          <w:color w:val="000000" w:themeColor="text1"/>
          <w:sz w:val="24"/>
          <w:szCs w:val="24"/>
        </w:rPr>
        <w:t xml:space="preserve"> </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lastRenderedPageBreak/>
        <w:t>По состоянию на 2022  г., суммарный коэффициент их рыночной концентрации составляет (Concentration ratio) CR3 = 63,6 (три крупнейших хозяйствующих субъекта занимают 63,6% рынка), рынок с умеренной степенью конкуренции, что обусловлено сложностями входа на рынок в связи с узкой его специализацией. Индекс Херфиндаля Хиршмана HHI = 5262,4. Расчетные показатели соответствуют конкурентному рынку с высоким уровнем концентрации. В динамике по сравнению с 2021 г. не наблюдается изменения параметров рынка.</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Сведения о состоянии конкуренции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Развитие конкуренции приведет к увеличению рабочих мест в отрасли. </w:t>
      </w:r>
    </w:p>
    <w:p w:rsidR="000428B6" w:rsidRPr="00E52B9A" w:rsidRDefault="000428B6" w:rsidP="000428B6">
      <w:pPr>
        <w:spacing w:after="0" w:line="360" w:lineRule="auto"/>
        <w:ind w:firstLine="709"/>
        <w:jc w:val="both"/>
        <w:rPr>
          <w:rFonts w:ascii="Times New Roman" w:hAnsi="Times New Roman" w:cs="Times New Roman"/>
          <w:color w:val="000000" w:themeColor="text1"/>
          <w:sz w:val="24"/>
          <w:szCs w:val="24"/>
          <w:u w:val="single"/>
        </w:rPr>
      </w:pPr>
      <w:r w:rsidRPr="00E52B9A">
        <w:rPr>
          <w:rFonts w:ascii="Times New Roman" w:hAnsi="Times New Roman" w:cs="Times New Roman"/>
          <w:color w:val="000000" w:themeColor="text1"/>
          <w:sz w:val="24"/>
          <w:szCs w:val="24"/>
          <w:u w:val="single"/>
        </w:rPr>
        <w:t>24.</w:t>
      </w:r>
      <w:r w:rsidRPr="00E52B9A">
        <w:rPr>
          <w:rFonts w:ascii="Times New Roman" w:hAnsi="Times New Roman" w:cs="Times New Roman"/>
          <w:color w:val="000000" w:themeColor="text1"/>
          <w:sz w:val="24"/>
          <w:szCs w:val="24"/>
          <w:u w:val="single"/>
        </w:rPr>
        <w:tab/>
        <w:t>Рынок вылова водных биоресурсов</w:t>
      </w:r>
    </w:p>
    <w:p w:rsidR="00E52B9A" w:rsidRPr="00E52B9A" w:rsidRDefault="00E52B9A" w:rsidP="00E52B9A">
      <w:pPr>
        <w:spacing w:after="0" w:line="360" w:lineRule="auto"/>
        <w:ind w:firstLine="709"/>
        <w:jc w:val="both"/>
        <w:rPr>
          <w:rFonts w:ascii="Times New Roman" w:hAnsi="Times New Roman" w:cs="Times New Roman"/>
          <w:color w:val="000000" w:themeColor="text1"/>
          <w:sz w:val="24"/>
          <w:szCs w:val="24"/>
        </w:rPr>
      </w:pPr>
      <w:r w:rsidRPr="00E52B9A">
        <w:rPr>
          <w:rFonts w:ascii="Times New Roman" w:hAnsi="Times New Roman" w:cs="Times New Roman"/>
          <w:color w:val="000000" w:themeColor="text1"/>
          <w:sz w:val="24"/>
          <w:szCs w:val="24"/>
        </w:rPr>
        <w:t xml:space="preserve">Промышленное рыболовство осуществляет 33 хозяйства в двух подрайонах Балтийского моря. Промышленное рыболовство во внутренних пресноводных водоемах (Ладожское и Онежское озера, малые и средние озера, реки, водохранилища) ежегодно осуществляют 64 хозяйства, в том числе 44 - в Ладожском озере. </w:t>
      </w:r>
    </w:p>
    <w:p w:rsidR="00E52B9A" w:rsidRDefault="00E52B9A" w:rsidP="00E52B9A">
      <w:pPr>
        <w:spacing w:after="0" w:line="360" w:lineRule="auto"/>
        <w:ind w:firstLine="709"/>
        <w:jc w:val="both"/>
        <w:rPr>
          <w:rFonts w:ascii="Times New Roman" w:hAnsi="Times New Roman" w:cs="Times New Roman"/>
          <w:color w:val="000000" w:themeColor="text1"/>
          <w:sz w:val="24"/>
          <w:szCs w:val="24"/>
        </w:rPr>
      </w:pPr>
      <w:r w:rsidRPr="00E52B9A">
        <w:rPr>
          <w:rFonts w:ascii="Times New Roman" w:hAnsi="Times New Roman" w:cs="Times New Roman"/>
          <w:color w:val="000000" w:themeColor="text1"/>
          <w:sz w:val="24"/>
          <w:szCs w:val="24"/>
        </w:rPr>
        <w:t>На рынке добычи водных биоресурсов отсутствуют государственные предприятия</w:t>
      </w:r>
      <w:r>
        <w:rPr>
          <w:rFonts w:ascii="Times New Roman" w:hAnsi="Times New Roman" w:cs="Times New Roman"/>
          <w:color w:val="000000" w:themeColor="text1"/>
          <w:sz w:val="24"/>
          <w:szCs w:val="24"/>
        </w:rPr>
        <w:t>.</w:t>
      </w:r>
    </w:p>
    <w:p w:rsidR="000428B6" w:rsidRPr="000428B6" w:rsidRDefault="000428B6" w:rsidP="00E52B9A">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Осно</w:t>
      </w:r>
      <w:r w:rsidR="00075B86">
        <w:rPr>
          <w:rFonts w:ascii="Times New Roman" w:hAnsi="Times New Roman" w:cs="Times New Roman"/>
          <w:color w:val="000000" w:themeColor="text1"/>
          <w:sz w:val="24"/>
          <w:szCs w:val="24"/>
        </w:rPr>
        <w:t>вные игроки: ФСГЦР филиал ФГБУ «Главрыбвод»</w:t>
      </w:r>
      <w:r w:rsidRPr="000428B6">
        <w:rPr>
          <w:rFonts w:ascii="Times New Roman" w:hAnsi="Times New Roman" w:cs="Times New Roman"/>
          <w:color w:val="000000" w:themeColor="text1"/>
          <w:sz w:val="24"/>
          <w:szCs w:val="24"/>
        </w:rPr>
        <w:t>, Аквабиоресурс, Невский рыбоводный завод. По состоянию на 2022 г., их суммарная рыночная доля - коэффициент концентрации (Concentration ratio) - составил CR3 = 69,70 (три крупнейших хозяйствующих субъекта занимают 69,70% рынка) с умеренной степенью конкуренции, что обусловлено сложностями входа на рынок в связи с узкой его специализацией. Индекс</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Херфиндаля Хиршмана HHI = 4341,42. Исходя из данных, приведенных выше, расчетные показатели соответствует рынку с высоким уровнем концентрации. В динамике по сравнению с 2021 г. не наблюдается значимых изменений параметров рынка.</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Сведения о состоянии конкуренции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Развитие конкуренции в отрасли приведет к увеличению рабочих мест в отрасли. </w:t>
      </w:r>
    </w:p>
    <w:p w:rsidR="000428B6" w:rsidRPr="00E52B9A" w:rsidRDefault="000428B6" w:rsidP="000428B6">
      <w:pPr>
        <w:spacing w:after="0" w:line="360" w:lineRule="auto"/>
        <w:ind w:firstLine="709"/>
        <w:jc w:val="both"/>
        <w:rPr>
          <w:rFonts w:ascii="Times New Roman" w:hAnsi="Times New Roman" w:cs="Times New Roman"/>
          <w:color w:val="000000" w:themeColor="text1"/>
          <w:sz w:val="24"/>
          <w:szCs w:val="24"/>
          <w:u w:val="single"/>
        </w:rPr>
      </w:pPr>
      <w:r w:rsidRPr="00E52B9A">
        <w:rPr>
          <w:rFonts w:ascii="Times New Roman" w:hAnsi="Times New Roman" w:cs="Times New Roman"/>
          <w:color w:val="000000" w:themeColor="text1"/>
          <w:sz w:val="24"/>
          <w:szCs w:val="24"/>
          <w:u w:val="single"/>
        </w:rPr>
        <w:t>25.</w:t>
      </w:r>
      <w:r w:rsidRPr="00E52B9A">
        <w:rPr>
          <w:rFonts w:ascii="Times New Roman" w:hAnsi="Times New Roman" w:cs="Times New Roman"/>
          <w:color w:val="000000" w:themeColor="text1"/>
          <w:sz w:val="24"/>
          <w:szCs w:val="24"/>
          <w:u w:val="single"/>
        </w:rPr>
        <w:tab/>
        <w:t>Рынок переработки водных биоресурсов</w:t>
      </w:r>
    </w:p>
    <w:p w:rsidR="00E52B9A" w:rsidRPr="00E52B9A" w:rsidRDefault="00E52B9A" w:rsidP="00E52B9A">
      <w:pPr>
        <w:spacing w:after="0" w:line="360" w:lineRule="auto"/>
        <w:ind w:firstLine="709"/>
        <w:jc w:val="both"/>
        <w:rPr>
          <w:rFonts w:ascii="Times New Roman" w:hAnsi="Times New Roman" w:cs="Times New Roman"/>
          <w:color w:val="000000" w:themeColor="text1"/>
          <w:sz w:val="24"/>
          <w:szCs w:val="24"/>
        </w:rPr>
      </w:pPr>
      <w:r w:rsidRPr="00E52B9A">
        <w:rPr>
          <w:rFonts w:ascii="Times New Roman" w:hAnsi="Times New Roman" w:cs="Times New Roman"/>
          <w:color w:val="000000" w:themeColor="text1"/>
          <w:sz w:val="24"/>
          <w:szCs w:val="24"/>
        </w:rPr>
        <w:t>Рыбопереработка в регионе представлена 23 предприятиями, зарегистрированным на территории Ленинградской области, и площадками крупных перерабатывающих комплексов: ООО «Торговый дом «Балтийский берег» (Ломоносовский район), ОАО «Рыбообрабатывающий комбинат №1» (г. Волхов), с регистрацией юридического лица в Санкт-Петербурге.</w:t>
      </w:r>
    </w:p>
    <w:p w:rsidR="00E52B9A" w:rsidRPr="00E52B9A" w:rsidRDefault="00E52B9A" w:rsidP="00E52B9A">
      <w:pPr>
        <w:spacing w:after="0" w:line="360" w:lineRule="auto"/>
        <w:ind w:firstLine="709"/>
        <w:jc w:val="both"/>
        <w:rPr>
          <w:rFonts w:ascii="Times New Roman" w:hAnsi="Times New Roman" w:cs="Times New Roman"/>
          <w:color w:val="000000" w:themeColor="text1"/>
          <w:sz w:val="24"/>
          <w:szCs w:val="24"/>
        </w:rPr>
      </w:pPr>
      <w:r w:rsidRPr="00E52B9A">
        <w:rPr>
          <w:rFonts w:ascii="Times New Roman" w:hAnsi="Times New Roman" w:cs="Times New Roman"/>
          <w:color w:val="000000" w:themeColor="text1"/>
          <w:sz w:val="24"/>
          <w:szCs w:val="24"/>
        </w:rPr>
        <w:t>Цеха  рыбопереработки  имеются  на  рыбоводных и рыбодобывающих предприятиях. На них используется как местное сырье, так и сырье, завозимое из других регионов.</w:t>
      </w:r>
    </w:p>
    <w:p w:rsidR="00E52B9A" w:rsidRDefault="00E52B9A" w:rsidP="00E52B9A">
      <w:pPr>
        <w:spacing w:after="0" w:line="360" w:lineRule="auto"/>
        <w:ind w:firstLine="709"/>
        <w:jc w:val="both"/>
        <w:rPr>
          <w:rFonts w:ascii="Times New Roman" w:hAnsi="Times New Roman" w:cs="Times New Roman"/>
          <w:color w:val="000000" w:themeColor="text1"/>
          <w:sz w:val="24"/>
          <w:szCs w:val="24"/>
        </w:rPr>
      </w:pPr>
      <w:r w:rsidRPr="00E52B9A">
        <w:rPr>
          <w:rFonts w:ascii="Times New Roman" w:hAnsi="Times New Roman" w:cs="Times New Roman"/>
          <w:color w:val="000000" w:themeColor="text1"/>
          <w:sz w:val="24"/>
          <w:szCs w:val="24"/>
        </w:rPr>
        <w:t>На рынке переработки водных биоресурсов отсутствуют государственные предприятия</w:t>
      </w:r>
      <w:r>
        <w:rPr>
          <w:rFonts w:ascii="Times New Roman" w:hAnsi="Times New Roman" w:cs="Times New Roman"/>
          <w:color w:val="000000" w:themeColor="text1"/>
          <w:sz w:val="24"/>
          <w:szCs w:val="24"/>
        </w:rPr>
        <w:t>.</w:t>
      </w:r>
    </w:p>
    <w:p w:rsidR="000428B6" w:rsidRPr="000428B6" w:rsidRDefault="000428B6" w:rsidP="00E52B9A">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Основные игроки рынка: "Балтийский берег", Аквабиоресурс, Альфеус. По состоянию на 2022 г., суммарный коэффициент их рыночной концентрации составил (Concentration ratio) CR3 = 77 (три крупнейших хозяйствующих субъекта занимают 77% рынка), что характеризует рынок </w:t>
      </w:r>
      <w:r w:rsidRPr="000428B6">
        <w:rPr>
          <w:rFonts w:ascii="Times New Roman" w:hAnsi="Times New Roman" w:cs="Times New Roman"/>
          <w:color w:val="000000" w:themeColor="text1"/>
          <w:sz w:val="24"/>
          <w:szCs w:val="24"/>
        </w:rPr>
        <w:lastRenderedPageBreak/>
        <w:t>как рынок со слабым уровнем конкуренции, что обусловлено узкой специализацией рынка. Индекс Херфиндаля Хиршмана HHI = 2160,40.</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Исходя из данных, приведенных выше, три крупнейших хозяйствующих субъекта занимают более 70% рынка, HHI находится в диапазоне от 1800 до 10000, что соответствует рынку с умеренным уровнем концентрации.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По сравнению с 2021 г. значения индекса незначительно изменилось</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(HHI=2150,79 в 2021 г.), параметры рынка неизменны.</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Сведения о состоянии конкуренции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Развитие конкуренции в отрасли приведет к увеличению рабочих мест в отра</w:t>
      </w:r>
      <w:r w:rsidR="00E52B9A">
        <w:rPr>
          <w:rFonts w:ascii="Times New Roman" w:hAnsi="Times New Roman" w:cs="Times New Roman"/>
          <w:color w:val="000000" w:themeColor="text1"/>
          <w:sz w:val="24"/>
          <w:szCs w:val="24"/>
        </w:rPr>
        <w:t>сли, повышению качества жизни.</w:t>
      </w:r>
    </w:p>
    <w:p w:rsidR="000428B6" w:rsidRPr="00E52B9A" w:rsidRDefault="000428B6" w:rsidP="000428B6">
      <w:pPr>
        <w:spacing w:after="0" w:line="360" w:lineRule="auto"/>
        <w:ind w:firstLine="709"/>
        <w:jc w:val="both"/>
        <w:rPr>
          <w:rFonts w:ascii="Times New Roman" w:hAnsi="Times New Roman" w:cs="Times New Roman"/>
          <w:color w:val="000000" w:themeColor="text1"/>
          <w:sz w:val="24"/>
          <w:szCs w:val="24"/>
          <w:u w:val="single"/>
        </w:rPr>
      </w:pPr>
      <w:r w:rsidRPr="00E52B9A">
        <w:rPr>
          <w:rFonts w:ascii="Times New Roman" w:hAnsi="Times New Roman" w:cs="Times New Roman"/>
          <w:color w:val="000000" w:themeColor="text1"/>
          <w:sz w:val="24"/>
          <w:szCs w:val="24"/>
          <w:u w:val="single"/>
        </w:rPr>
        <w:t>26.</w:t>
      </w:r>
      <w:r w:rsidRPr="00E52B9A">
        <w:rPr>
          <w:rFonts w:ascii="Times New Roman" w:hAnsi="Times New Roman" w:cs="Times New Roman"/>
          <w:color w:val="000000" w:themeColor="text1"/>
          <w:sz w:val="24"/>
          <w:szCs w:val="24"/>
          <w:u w:val="single"/>
        </w:rPr>
        <w:tab/>
        <w:t>Рынок товарной аквакультуры</w:t>
      </w:r>
    </w:p>
    <w:p w:rsidR="00E52B9A" w:rsidRDefault="00E52B9A" w:rsidP="000428B6">
      <w:pPr>
        <w:spacing w:after="0" w:line="360" w:lineRule="auto"/>
        <w:ind w:firstLine="709"/>
        <w:jc w:val="both"/>
        <w:rPr>
          <w:rFonts w:ascii="Times New Roman" w:hAnsi="Times New Roman" w:cs="Times New Roman"/>
          <w:color w:val="000000" w:themeColor="text1"/>
          <w:sz w:val="24"/>
          <w:szCs w:val="24"/>
        </w:rPr>
      </w:pPr>
      <w:r w:rsidRPr="00E52B9A">
        <w:rPr>
          <w:rFonts w:ascii="Times New Roman" w:hAnsi="Times New Roman" w:cs="Times New Roman"/>
          <w:color w:val="000000" w:themeColor="text1"/>
          <w:sz w:val="24"/>
          <w:szCs w:val="24"/>
        </w:rPr>
        <w:t>На территории Ленинградской области действуют порядка 50 товарных рыбоводных хозяйств, в основном это малые и микро предприятия. Из них одна организация, находятся в федеральной собственности (Федеральный селекционный генетический центр рыбоводства филиал ФГБУ «Главрыбвод»). Основной объем выращивания рыбы приходится на Выборгский, Приозерский и Подпорожский районы и использование индустриального садкового типа рыбоводства на естественных пресноводных водоемах, где сформированы рыбоводные участки.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Ключевые игроки рынка: ООО "Рыбстандарт, ЗАО "Сельскохозяйственное предприятие Салма", ООО "Радужное". По состоянию на 2021 г., их суммарная рыночная доля составляет 62% - коэффициент концентрации (Concentration ratio) CR3 = 62 (три крупнейших хозяйствующих субъекта занимают 62% рынка). Рынок характеризуется слабым уровнем конкуренции в силу его специфики и узконаправленности. Индекс Херфиндаля Хиршмана HHI = 1 618,6.</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Исходя из данных, приведенных выше, три крупнейших хозяйствующих субъекта занимают более 60% рынка, HHI находится в пределах от 1000 до 1800, что соответствует конкурентному рынку с умеренным уровнем концентрации. В динамике по сравнению с 2021 г. (индекс- 1645,14) не наблюдается изменения параметров рынка</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Сведения о состоянии конкуренции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Развитие конкуренции в отрасли приведет к увеличению рабочих мест в отрасли и повышение уровня заработной платы в отрасли. </w:t>
      </w:r>
    </w:p>
    <w:p w:rsidR="000428B6" w:rsidRPr="00E52B9A" w:rsidRDefault="000428B6" w:rsidP="000428B6">
      <w:pPr>
        <w:spacing w:after="0" w:line="360" w:lineRule="auto"/>
        <w:ind w:firstLine="709"/>
        <w:jc w:val="both"/>
        <w:rPr>
          <w:rFonts w:ascii="Times New Roman" w:hAnsi="Times New Roman" w:cs="Times New Roman"/>
          <w:color w:val="000000" w:themeColor="text1"/>
          <w:sz w:val="24"/>
          <w:szCs w:val="24"/>
          <w:u w:val="single"/>
        </w:rPr>
      </w:pPr>
      <w:r w:rsidRPr="000428B6">
        <w:rPr>
          <w:rFonts w:ascii="Times New Roman" w:hAnsi="Times New Roman" w:cs="Times New Roman"/>
          <w:color w:val="000000" w:themeColor="text1"/>
          <w:sz w:val="24"/>
          <w:szCs w:val="24"/>
        </w:rPr>
        <w:t>27.</w:t>
      </w:r>
      <w:r w:rsidRPr="000428B6">
        <w:rPr>
          <w:rFonts w:ascii="Times New Roman" w:hAnsi="Times New Roman" w:cs="Times New Roman"/>
          <w:color w:val="000000" w:themeColor="text1"/>
          <w:sz w:val="24"/>
          <w:szCs w:val="24"/>
        </w:rPr>
        <w:tab/>
      </w:r>
      <w:r w:rsidRPr="00E52B9A">
        <w:rPr>
          <w:rFonts w:ascii="Times New Roman" w:hAnsi="Times New Roman" w:cs="Times New Roman"/>
          <w:color w:val="000000" w:themeColor="text1"/>
          <w:sz w:val="24"/>
          <w:szCs w:val="24"/>
          <w:u w:val="single"/>
        </w:rPr>
        <w:t>Рынок добычи общераспространенных полезных ископаемых на участках недр местного значения</w:t>
      </w:r>
    </w:p>
    <w:p w:rsidR="000428B6" w:rsidRPr="000428B6" w:rsidRDefault="00E52B9A" w:rsidP="000428B6">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w:t>
      </w:r>
      <w:r w:rsidR="000428B6" w:rsidRPr="000428B6">
        <w:rPr>
          <w:rFonts w:ascii="Times New Roman" w:hAnsi="Times New Roman" w:cs="Times New Roman"/>
          <w:color w:val="000000" w:themeColor="text1"/>
          <w:sz w:val="24"/>
          <w:szCs w:val="24"/>
        </w:rPr>
        <w:t>а территории Ленинградской области насчитывается 1232 действующие лицензии согласно данных государственного реестра участков недр, предоставленных для добычи полезных ископаемых, а также в целях, не связанных с их добычей, и лицензий на пользование недрами по территории Ленинградской области.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lastRenderedPageBreak/>
        <w:t>В Ленинградской области в 2022 г. действуют 167 хозяйствующих субъекта, осуществляющих деятельность на рынке добычи общераспространенных полезных ископаемых на участках недр местного значения.</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Ключевые игроки рынка: ОАО "Гранит-Кузнечное", ЗАО "Выборгское карьероуправление", ЗАО "Каменногорское карьероуправление". Их суммарная рыночная доля, по состоянию на 2022 г., составила 22% - коэффициент концентрации (Concentration ratio) CR3 = 22 (три крупнейших хозяйствующих субъекта занимают 22 % рынка), - рынок с умеренной концентрацией. Индекс Херфиндаля Хиршмана HHI = 1253,6 Исходя из данных, приведенных выше, три крупнейших хозяйствующих субъекта занимают более 20% рынка, значение HHI 1000&lt;1 253,6&lt;1800, что соответствует конкурентному рынку с умеренным уровнем концентрации. Динамка значения показателя HHI (1 460,97 в 2021 г.) свидетельствует об улучшении конкурентного состояния на рынке.</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Сведения о состоянии конкуренции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Развитие конкуренции в отрасли приведет к применению новых методов технического прогресса, переоснащении отрасли и притоку квалифицированных кадров в регион</w:t>
      </w:r>
    </w:p>
    <w:p w:rsidR="000428B6" w:rsidRPr="00E52B9A" w:rsidRDefault="000428B6" w:rsidP="000428B6">
      <w:pPr>
        <w:spacing w:after="0" w:line="360" w:lineRule="auto"/>
        <w:ind w:firstLine="709"/>
        <w:jc w:val="both"/>
        <w:rPr>
          <w:rFonts w:ascii="Times New Roman" w:hAnsi="Times New Roman" w:cs="Times New Roman"/>
          <w:color w:val="000000" w:themeColor="text1"/>
          <w:sz w:val="24"/>
          <w:szCs w:val="24"/>
          <w:u w:val="single"/>
        </w:rPr>
      </w:pPr>
      <w:r w:rsidRPr="00E52B9A">
        <w:rPr>
          <w:rFonts w:ascii="Times New Roman" w:hAnsi="Times New Roman" w:cs="Times New Roman"/>
          <w:color w:val="000000" w:themeColor="text1"/>
          <w:sz w:val="24"/>
          <w:szCs w:val="24"/>
          <w:u w:val="single"/>
        </w:rPr>
        <w:t>28.</w:t>
      </w:r>
      <w:r w:rsidRPr="00E52B9A">
        <w:rPr>
          <w:rFonts w:ascii="Times New Roman" w:hAnsi="Times New Roman" w:cs="Times New Roman"/>
          <w:color w:val="000000" w:themeColor="text1"/>
          <w:sz w:val="24"/>
          <w:szCs w:val="24"/>
          <w:u w:val="single"/>
        </w:rPr>
        <w:tab/>
        <w:t>Рынок нефтепродуктов</w:t>
      </w:r>
    </w:p>
    <w:p w:rsidR="00E52B9A" w:rsidRPr="00E52B9A" w:rsidRDefault="00E52B9A" w:rsidP="00E52B9A">
      <w:pPr>
        <w:spacing w:after="0" w:line="360" w:lineRule="auto"/>
        <w:ind w:firstLine="709"/>
        <w:jc w:val="both"/>
        <w:rPr>
          <w:rFonts w:ascii="Times New Roman" w:hAnsi="Times New Roman" w:cs="Times New Roman"/>
          <w:color w:val="000000" w:themeColor="text1"/>
          <w:sz w:val="24"/>
          <w:szCs w:val="24"/>
        </w:rPr>
      </w:pPr>
      <w:r w:rsidRPr="00E52B9A">
        <w:rPr>
          <w:rFonts w:ascii="Times New Roman" w:hAnsi="Times New Roman" w:cs="Times New Roman"/>
          <w:color w:val="000000" w:themeColor="text1"/>
          <w:sz w:val="24"/>
          <w:szCs w:val="24"/>
        </w:rPr>
        <w:t>На территории Ленинградской области работают более 20 розничных операторов, каждый из которых владеет двумя и более АЗС. В совокупности им принадлежит 278 автозаправок, к данной категории операторов розничного рынка нефтепродуктов относятся хорошо известные, крупные сетевые игроки и ряд небольших, но уже давно и устойчиво работающих на рынке, сетей АЗС.</w:t>
      </w:r>
    </w:p>
    <w:p w:rsidR="00E52B9A" w:rsidRPr="00E52B9A" w:rsidRDefault="00E52B9A" w:rsidP="00E52B9A">
      <w:pPr>
        <w:spacing w:after="0" w:line="360" w:lineRule="auto"/>
        <w:ind w:firstLine="709"/>
        <w:jc w:val="both"/>
        <w:rPr>
          <w:rFonts w:ascii="Times New Roman" w:hAnsi="Times New Roman" w:cs="Times New Roman"/>
          <w:color w:val="000000" w:themeColor="text1"/>
          <w:sz w:val="24"/>
          <w:szCs w:val="24"/>
        </w:rPr>
      </w:pPr>
      <w:r w:rsidRPr="00E52B9A">
        <w:rPr>
          <w:rFonts w:ascii="Times New Roman" w:hAnsi="Times New Roman" w:cs="Times New Roman"/>
          <w:color w:val="000000" w:themeColor="text1"/>
          <w:sz w:val="24"/>
          <w:szCs w:val="24"/>
        </w:rPr>
        <w:t>Согласно сведениям о количестве хозяйствующих субъектов с фактическим видом деятельности «торговля розничная моторным топливом в специализированных магазинах», в Ленинградской области около 200 организаций (включая филиалы и ТОСП) и 25 индивидуальных предпринимателей осуществляют деятельность по ОКВЭД 47.30 (торговля розничная моторным топливом в специализированных магазинах), все относятся к частной форме собственности, что составляет 100%.</w:t>
      </w:r>
    </w:p>
    <w:p w:rsidR="008B3442" w:rsidRDefault="00E52B9A" w:rsidP="008B3442">
      <w:pPr>
        <w:spacing w:after="0" w:line="360" w:lineRule="auto"/>
        <w:ind w:firstLine="709"/>
        <w:jc w:val="both"/>
        <w:rPr>
          <w:rFonts w:ascii="Times New Roman" w:hAnsi="Times New Roman" w:cs="Times New Roman"/>
          <w:color w:val="000000" w:themeColor="text1"/>
          <w:sz w:val="24"/>
          <w:szCs w:val="24"/>
        </w:rPr>
      </w:pPr>
      <w:r w:rsidRPr="00E52B9A">
        <w:rPr>
          <w:rFonts w:ascii="Times New Roman" w:hAnsi="Times New Roman" w:cs="Times New Roman"/>
          <w:color w:val="000000" w:themeColor="text1"/>
          <w:sz w:val="24"/>
          <w:szCs w:val="24"/>
        </w:rPr>
        <w:t>Таким образом, функционирует более 400 автозаправочных станций, заправляющих автомобили моторным топливом, включая одиночные и расположенные на территории промышленных зон и предприятий.</w:t>
      </w:r>
    </w:p>
    <w:p w:rsidR="000428B6" w:rsidRPr="000428B6" w:rsidRDefault="000428B6" w:rsidP="00E52B9A">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Ключевые игроки рынка: Роснефть, ООО Киришиавтосервис, ПАО Лукойл. Их суммарная рыночная доля составила, по состоянию на 2022 г., 72%, - коэффициент концентрации (Concentration ratio) CR3 = 72 (три крупнейших хозяйствующих субъекта занимают 72.3% рынка. Индекс Херфиндаля Хиршмана HHI == 1 734. Рынок характеризуется низким уровнем конкуренции. Исходя из данных, приведенных выше, три крупнейших хозяйствующих субъекта </w:t>
      </w:r>
      <w:r w:rsidRPr="000428B6">
        <w:rPr>
          <w:rFonts w:ascii="Times New Roman" w:hAnsi="Times New Roman" w:cs="Times New Roman"/>
          <w:color w:val="000000" w:themeColor="text1"/>
          <w:sz w:val="24"/>
          <w:szCs w:val="24"/>
        </w:rPr>
        <w:lastRenderedPageBreak/>
        <w:t>занимают более 70% рынка, HHI=1 734 соответствует рынку олигополии с высоким уровнем концентрации. В динамике на рынке наблюдается ухудшение конкурентной среды, наблюдается концентрация рынка, так в 2021 г. значение индекса Херфиндаля-Хиршмана составлял 1 861.</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Сведения о состоянии конкуренции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Развитие конкуренции в отрасли приведет к притоку квалифицированных кадров в регион.</w:t>
      </w:r>
    </w:p>
    <w:p w:rsidR="000428B6" w:rsidRPr="008B3442" w:rsidRDefault="000428B6" w:rsidP="000428B6">
      <w:pPr>
        <w:spacing w:after="0" w:line="360" w:lineRule="auto"/>
        <w:ind w:firstLine="709"/>
        <w:jc w:val="both"/>
        <w:rPr>
          <w:rFonts w:ascii="Times New Roman" w:hAnsi="Times New Roman" w:cs="Times New Roman"/>
          <w:color w:val="000000" w:themeColor="text1"/>
          <w:sz w:val="24"/>
          <w:szCs w:val="24"/>
          <w:u w:val="single"/>
        </w:rPr>
      </w:pPr>
      <w:r w:rsidRPr="008B3442">
        <w:rPr>
          <w:rFonts w:ascii="Times New Roman" w:hAnsi="Times New Roman" w:cs="Times New Roman"/>
          <w:color w:val="000000" w:themeColor="text1"/>
          <w:sz w:val="24"/>
          <w:szCs w:val="24"/>
          <w:u w:val="single"/>
        </w:rPr>
        <w:t>29.</w:t>
      </w:r>
      <w:r w:rsidRPr="008B3442">
        <w:rPr>
          <w:rFonts w:ascii="Times New Roman" w:hAnsi="Times New Roman" w:cs="Times New Roman"/>
          <w:color w:val="000000" w:themeColor="text1"/>
          <w:sz w:val="24"/>
          <w:szCs w:val="24"/>
          <w:u w:val="single"/>
        </w:rPr>
        <w:tab/>
        <w:t xml:space="preserve">Рынок легкой промышленности </w:t>
      </w:r>
    </w:p>
    <w:p w:rsidR="008B3442" w:rsidRDefault="008B3442" w:rsidP="000428B6">
      <w:pPr>
        <w:spacing w:after="0" w:line="360" w:lineRule="auto"/>
        <w:ind w:firstLine="709"/>
        <w:jc w:val="both"/>
        <w:rPr>
          <w:rFonts w:ascii="Times New Roman" w:hAnsi="Times New Roman" w:cs="Times New Roman"/>
          <w:color w:val="000000" w:themeColor="text1"/>
          <w:sz w:val="24"/>
          <w:szCs w:val="24"/>
        </w:rPr>
      </w:pPr>
      <w:r w:rsidRPr="008B3442">
        <w:rPr>
          <w:rFonts w:ascii="Times New Roman" w:hAnsi="Times New Roman" w:cs="Times New Roman"/>
          <w:color w:val="000000" w:themeColor="text1"/>
          <w:sz w:val="24"/>
          <w:szCs w:val="24"/>
        </w:rPr>
        <w:t>В Ленинградской области в сфере легкой промышленности действует 16 предприятий, из них 3 крупных , 3 средних, 10 малых предприятий.</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На рынке представлены такие компании как </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АО "БТК-Групп", Гатчинская трикотажная фабрика, ООО "Респираторный комплекс",  ООО Трикотажная фабрика "Элком", ПАО "Узор", ООО "ПНХП "Свирское кружево", ООО "Текос-индустрия", ООО "Комацо", АО "Новоладожская кожгалантерейная фабрика". Границы обрабатывающего производства с другими разделами данного классификатора могут не иметь четкой однозначной спецификации. Как правило, обрабатывающие производства включают переработку материалов для производства новой продукции. Сфера представлена различными отраслями, в том числе: текстильной, обувной, швейной, целлюлозной, пищевой и т.д. Рынок представлен хозяйствующими субъектами с частной формой собственности.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Ключевыми игроками рынка являются: АО "БТК групп", ООО "Респират</w:t>
      </w:r>
      <w:r w:rsidR="008B3442">
        <w:rPr>
          <w:rFonts w:ascii="Times New Roman" w:hAnsi="Times New Roman" w:cs="Times New Roman"/>
          <w:color w:val="000000" w:themeColor="text1"/>
          <w:sz w:val="24"/>
          <w:szCs w:val="24"/>
        </w:rPr>
        <w:t>орный комплекс", ООО "Авангард"</w:t>
      </w:r>
      <w:r w:rsidRPr="000428B6">
        <w:rPr>
          <w:rFonts w:ascii="Times New Roman" w:hAnsi="Times New Roman" w:cs="Times New Roman"/>
          <w:color w:val="000000" w:themeColor="text1"/>
          <w:sz w:val="24"/>
          <w:szCs w:val="24"/>
        </w:rPr>
        <w:t xml:space="preserve">. Их суммарная рыночная доля, по состоянию на 2022 г., составляет 31% - коэффициент концентрации CR3=31, - конкуренция на рынке умеренная. Индекс Херфиндаля Хиршмана HHI = 6042,3 (значения HHI 1 800 &lt; 6042,3 &lt; 10 000 соответствуют рынку с высоким уровнем концентрации). По сравнению с 2021 г. (5866,78) его значение практически неизменно. </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Сведения о состоянии конкуренции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Развитие конкуренции в отрасли приведен к увеличению выпускаемого ассортимента, улучшению качества производимого товара и увеличению рабочих мест в отрасли, а также повысит уровень жизни. </w:t>
      </w:r>
    </w:p>
    <w:p w:rsidR="000428B6" w:rsidRPr="008B3442" w:rsidRDefault="000428B6" w:rsidP="000428B6">
      <w:pPr>
        <w:spacing w:after="0" w:line="360" w:lineRule="auto"/>
        <w:ind w:firstLine="709"/>
        <w:jc w:val="both"/>
        <w:rPr>
          <w:rFonts w:ascii="Times New Roman" w:hAnsi="Times New Roman" w:cs="Times New Roman"/>
          <w:color w:val="000000" w:themeColor="text1"/>
          <w:sz w:val="24"/>
          <w:szCs w:val="24"/>
          <w:u w:val="single"/>
        </w:rPr>
      </w:pPr>
      <w:r w:rsidRPr="008B3442">
        <w:rPr>
          <w:rFonts w:ascii="Times New Roman" w:hAnsi="Times New Roman" w:cs="Times New Roman"/>
          <w:color w:val="000000" w:themeColor="text1"/>
          <w:sz w:val="24"/>
          <w:szCs w:val="24"/>
          <w:u w:val="single"/>
        </w:rPr>
        <w:t>30.</w:t>
      </w:r>
      <w:r w:rsidRPr="008B3442">
        <w:rPr>
          <w:rFonts w:ascii="Times New Roman" w:hAnsi="Times New Roman" w:cs="Times New Roman"/>
          <w:color w:val="000000" w:themeColor="text1"/>
          <w:sz w:val="24"/>
          <w:szCs w:val="24"/>
          <w:u w:val="single"/>
        </w:rPr>
        <w:tab/>
        <w:t>Рынок обработки древесины и производства изделий из дерева</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На территории Ленинградской области в 2022 г. установлено 47 хозяйствующих субъектов, осуществляющих деятельность на рынке обработки древесины и производства изделий из дерева. Доля частных хозяйствующих субъектов составляет 100%. Более 70% рынка составляют хозяйствующие субъекты, осуществляющие деятельность в сфере обработки древесины и производства изделий из дерева более 5 лет.</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lastRenderedPageBreak/>
        <w:t>Ключевые игроки: АО "Лесной Комплекс", ЗАО "Кингисеппский ЛПХ", ЗАО "Волосовский Леспромхоз". По состоянию на 2022 г., их суммарная рыночная доля,- коэффициент концентрации (Concentration ratio) CR3 = 41,3 (три крупнейших хозяйствующих субъекта занимают 41,3% рынка). Рынок характеризуется умеренной степенью конкуренции. Индекс Херфиндаля Хиршмана HHI= 2 652,3 Исходя из данных, приведенных выше, два крупнейших хозяйствующих субъекта занимают более 40% рынка, значения HHI 1800&lt;2 652,3&lt;10 000, что соответствует конкурентному рынку с высоким уровнем концентрации. В динамике по сравнению с 2021 г. (2895,14) не наблюдается изменения параметров рынка.</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Сведения о состоянии конкуренции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Развитие конкуренции в отрасли приведен к увеличению выпускаемого ассортимента, снижению отпускных цен заводов-изготовителей и улучшение качества производимого товара. </w:t>
      </w:r>
    </w:p>
    <w:p w:rsidR="000428B6" w:rsidRPr="008B3442" w:rsidRDefault="000428B6" w:rsidP="000428B6">
      <w:pPr>
        <w:spacing w:after="0" w:line="360" w:lineRule="auto"/>
        <w:ind w:firstLine="709"/>
        <w:jc w:val="both"/>
        <w:rPr>
          <w:rFonts w:ascii="Times New Roman" w:hAnsi="Times New Roman" w:cs="Times New Roman"/>
          <w:color w:val="000000" w:themeColor="text1"/>
          <w:sz w:val="24"/>
          <w:szCs w:val="24"/>
          <w:u w:val="single"/>
        </w:rPr>
      </w:pPr>
      <w:r w:rsidRPr="008B3442">
        <w:rPr>
          <w:rFonts w:ascii="Times New Roman" w:hAnsi="Times New Roman" w:cs="Times New Roman"/>
          <w:color w:val="000000" w:themeColor="text1"/>
          <w:sz w:val="24"/>
          <w:szCs w:val="24"/>
          <w:u w:val="single"/>
        </w:rPr>
        <w:t>31.</w:t>
      </w:r>
      <w:r w:rsidRPr="008B3442">
        <w:rPr>
          <w:rFonts w:ascii="Times New Roman" w:hAnsi="Times New Roman" w:cs="Times New Roman"/>
          <w:color w:val="000000" w:themeColor="text1"/>
          <w:sz w:val="24"/>
          <w:szCs w:val="24"/>
          <w:u w:val="single"/>
        </w:rPr>
        <w:tab/>
        <w:t xml:space="preserve">Рынок производства кирпича </w:t>
      </w:r>
    </w:p>
    <w:p w:rsidR="000428B6" w:rsidRPr="000428B6" w:rsidRDefault="008B3442" w:rsidP="005951DE">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w:t>
      </w:r>
      <w:r w:rsidRPr="008B3442">
        <w:rPr>
          <w:rFonts w:ascii="Times New Roman" w:hAnsi="Times New Roman" w:cs="Times New Roman"/>
          <w:color w:val="000000" w:themeColor="text1"/>
          <w:sz w:val="24"/>
          <w:szCs w:val="24"/>
        </w:rPr>
        <w:t xml:space="preserve">а территории Ленинградской области осуществляют деятельность 4 крупные предприятия по производству кирпича: ЗАО «Завод стройматериалов «ЭТАЛОН», ООО «ЛСР. Стеновые материалы» Рябовский кирпичный завод, ООО «ЛСР. Стеновые материалы» Никольский кирпичный завод», АО «Павловский завод». Данные организации зарегистрированы во </w:t>
      </w:r>
      <w:r w:rsidR="005951DE">
        <w:rPr>
          <w:rFonts w:ascii="Times New Roman" w:hAnsi="Times New Roman" w:cs="Times New Roman"/>
          <w:color w:val="000000" w:themeColor="text1"/>
          <w:sz w:val="24"/>
          <w:szCs w:val="24"/>
        </w:rPr>
        <w:t xml:space="preserve">ФГИС ЦС и ГИС «Промышленность». </w:t>
      </w:r>
      <w:r w:rsidR="000428B6" w:rsidRPr="000428B6">
        <w:rPr>
          <w:rFonts w:ascii="Times New Roman" w:hAnsi="Times New Roman" w:cs="Times New Roman"/>
          <w:color w:val="000000" w:themeColor="text1"/>
          <w:sz w:val="24"/>
          <w:szCs w:val="24"/>
        </w:rPr>
        <w:t xml:space="preserve">Доля частных хозяйствующих субъектов составляет 100%. </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По состоянию на 2022 г., коэффициент концентрации CR3= 90 (три крупнейших хозяйствующих субъекта занимают 90% рынка), рынок характеризуется слабым уровнем конкуренции, что обусловлено спецификой рынка и высокими первоначальными затратами. Индекс Херфиндаля Хиршмана HHI = 5 294,5. Исходя из данных, приведенных выше, в Ленинградской области три крупнейших хозяйствующих субъекта занимают более 80% рынка, значения HHI в диапазоне от 1800 до 10 000, что соответствует рынку с высоким уровнем концентрации. По сравнению с 2021 г. (HHI=5147,54) конкурентное положение немного улучшилось.</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Сведения о состоянии конкуренции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Развитие конкуренции в отрасли приведен к увеличению выпускаемого ассортимента, снижению отпускных цен заводов-изготовителей и улучшение качества производимого товара. </w:t>
      </w:r>
    </w:p>
    <w:p w:rsidR="000428B6" w:rsidRPr="005951DE" w:rsidRDefault="000428B6" w:rsidP="000428B6">
      <w:pPr>
        <w:spacing w:after="0" w:line="360" w:lineRule="auto"/>
        <w:ind w:firstLine="709"/>
        <w:jc w:val="both"/>
        <w:rPr>
          <w:rFonts w:ascii="Times New Roman" w:hAnsi="Times New Roman" w:cs="Times New Roman"/>
          <w:color w:val="000000" w:themeColor="text1"/>
          <w:sz w:val="24"/>
          <w:szCs w:val="24"/>
          <w:u w:val="single"/>
        </w:rPr>
      </w:pPr>
      <w:r w:rsidRPr="005951DE">
        <w:rPr>
          <w:rFonts w:ascii="Times New Roman" w:hAnsi="Times New Roman" w:cs="Times New Roman"/>
          <w:color w:val="000000" w:themeColor="text1"/>
          <w:sz w:val="24"/>
          <w:szCs w:val="24"/>
          <w:u w:val="single"/>
        </w:rPr>
        <w:t>32.</w:t>
      </w:r>
      <w:r w:rsidRPr="005951DE">
        <w:rPr>
          <w:rFonts w:ascii="Times New Roman" w:hAnsi="Times New Roman" w:cs="Times New Roman"/>
          <w:color w:val="000000" w:themeColor="text1"/>
          <w:sz w:val="24"/>
          <w:szCs w:val="24"/>
          <w:u w:val="single"/>
        </w:rPr>
        <w:tab/>
        <w:t>Рынок производства бетона</w:t>
      </w:r>
    </w:p>
    <w:p w:rsidR="005951DE" w:rsidRPr="005951DE" w:rsidRDefault="005951DE" w:rsidP="005951DE">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w:t>
      </w:r>
      <w:r w:rsidRPr="005951DE">
        <w:rPr>
          <w:rFonts w:ascii="Times New Roman" w:hAnsi="Times New Roman" w:cs="Times New Roman"/>
          <w:color w:val="000000" w:themeColor="text1"/>
          <w:sz w:val="24"/>
          <w:szCs w:val="24"/>
        </w:rPr>
        <w:t xml:space="preserve">а территории Ленинградской области 55 предприятий осуществляют деятельность по производству бетона. </w:t>
      </w:r>
    </w:p>
    <w:p w:rsidR="005951DE" w:rsidRPr="005951DE" w:rsidRDefault="005951DE" w:rsidP="005951DE">
      <w:pPr>
        <w:spacing w:after="0" w:line="360" w:lineRule="auto"/>
        <w:ind w:firstLine="709"/>
        <w:jc w:val="both"/>
        <w:rPr>
          <w:rFonts w:ascii="Times New Roman" w:hAnsi="Times New Roman" w:cs="Times New Roman"/>
          <w:color w:val="000000" w:themeColor="text1"/>
          <w:sz w:val="24"/>
          <w:szCs w:val="24"/>
        </w:rPr>
      </w:pPr>
      <w:r w:rsidRPr="005951DE">
        <w:rPr>
          <w:rFonts w:ascii="Times New Roman" w:hAnsi="Times New Roman" w:cs="Times New Roman"/>
          <w:color w:val="000000" w:themeColor="text1"/>
          <w:sz w:val="24"/>
          <w:szCs w:val="24"/>
        </w:rPr>
        <w:t xml:space="preserve">Проведенная в первом полугодии 2022 года проверка фактически осуществляемой деятельности показала, что из 55 предприятий 9 организаций находятся в стадии банкротства, осуществляют деятельность 44 организации. Из них: 38 предприятий являются малыми и микро </w:t>
      </w:r>
      <w:r w:rsidRPr="005951DE">
        <w:rPr>
          <w:rFonts w:ascii="Times New Roman" w:hAnsi="Times New Roman" w:cs="Times New Roman"/>
          <w:color w:val="000000" w:themeColor="text1"/>
          <w:sz w:val="24"/>
          <w:szCs w:val="24"/>
        </w:rPr>
        <w:lastRenderedPageBreak/>
        <w:t xml:space="preserve">(объемы производства составляют от 1,5 до 12 тыс. куб.м. бетона в год), 4 предприятия – крупными, 2 – средними. Во ФГИС ЦС зарегистрировано 26 организаций-производителей бетона. </w:t>
      </w:r>
    </w:p>
    <w:p w:rsidR="000428B6" w:rsidRPr="000428B6" w:rsidRDefault="005951DE" w:rsidP="005951DE">
      <w:pPr>
        <w:spacing w:after="0" w:line="360" w:lineRule="auto"/>
        <w:ind w:firstLine="709"/>
        <w:jc w:val="both"/>
        <w:rPr>
          <w:rFonts w:ascii="Times New Roman" w:hAnsi="Times New Roman" w:cs="Times New Roman"/>
          <w:color w:val="000000" w:themeColor="text1"/>
          <w:sz w:val="24"/>
          <w:szCs w:val="24"/>
        </w:rPr>
      </w:pPr>
      <w:r w:rsidRPr="005951DE">
        <w:rPr>
          <w:rFonts w:ascii="Times New Roman" w:hAnsi="Times New Roman" w:cs="Times New Roman"/>
          <w:color w:val="000000" w:themeColor="text1"/>
          <w:sz w:val="24"/>
          <w:szCs w:val="24"/>
        </w:rPr>
        <w:t xml:space="preserve">В течение отчетного периода 2022 года государственных предприятий - производителей бетона не выявлено. </w:t>
      </w:r>
      <w:r w:rsidR="000428B6" w:rsidRPr="000428B6">
        <w:rPr>
          <w:rFonts w:ascii="Times New Roman" w:hAnsi="Times New Roman" w:cs="Times New Roman"/>
          <w:color w:val="000000" w:themeColor="text1"/>
          <w:sz w:val="24"/>
          <w:szCs w:val="24"/>
        </w:rPr>
        <w:t>Основные игроки рынка: ОАО "Управление Промышленных Предприятий", ООО Стройбетон, ООО "Канкритмикс", рынок сбыта этих компаний распространяется на несколько субъектов России. По состоянию на 2022 г., коэффициент концентрации – сумма рыночных долей ключевых игроков рынка - (Concentration ratio) CR3 = 71,3 (три крупнейших хозяйствующих субъекта занимают 71,3% рынка), рынок со слабым уровнем конкуренции. Индекс Херфиндаля Хиршмана HHI = 2 328,16, Исходя из данных, приведенных выше, три крупнейших хозяйствующих субъекта занимают более 70% рынка, значения HHI находится в границах от 1800 до 10000, что соответствует конкурентному рынку со средним уровнем концентрации. Конкурентное положение на рынке по сравнению с 2021 г. (HHI=2437,54) немного улучшилось.</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Сведения о состоянии конкуренции</w:t>
      </w:r>
    </w:p>
    <w:p w:rsidR="000428B6" w:rsidRPr="000428B6"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Развитие конкуренции в отрасли приведен к снижению отпускных цен заводов-изготовителей и улучшение качества производимого товара. </w:t>
      </w:r>
    </w:p>
    <w:p w:rsidR="000428B6" w:rsidRPr="005951DE" w:rsidRDefault="000428B6" w:rsidP="000428B6">
      <w:pPr>
        <w:spacing w:after="0" w:line="360" w:lineRule="auto"/>
        <w:ind w:firstLine="709"/>
        <w:jc w:val="both"/>
        <w:rPr>
          <w:rFonts w:ascii="Times New Roman" w:hAnsi="Times New Roman" w:cs="Times New Roman"/>
          <w:color w:val="000000" w:themeColor="text1"/>
          <w:sz w:val="24"/>
          <w:szCs w:val="24"/>
          <w:u w:val="single"/>
        </w:rPr>
      </w:pPr>
      <w:r w:rsidRPr="005951DE">
        <w:rPr>
          <w:rFonts w:ascii="Times New Roman" w:hAnsi="Times New Roman" w:cs="Times New Roman"/>
          <w:color w:val="000000" w:themeColor="text1"/>
          <w:sz w:val="24"/>
          <w:szCs w:val="24"/>
          <w:u w:val="single"/>
        </w:rPr>
        <w:t>33.</w:t>
      </w:r>
      <w:r w:rsidRPr="005951DE">
        <w:rPr>
          <w:rFonts w:ascii="Times New Roman" w:hAnsi="Times New Roman" w:cs="Times New Roman"/>
          <w:color w:val="000000" w:themeColor="text1"/>
          <w:sz w:val="24"/>
          <w:szCs w:val="24"/>
          <w:u w:val="single"/>
        </w:rPr>
        <w:tab/>
        <w:t xml:space="preserve">Сфера наружной рекламы </w:t>
      </w:r>
    </w:p>
    <w:p w:rsidR="008B1214" w:rsidRDefault="000428B6" w:rsidP="000428B6">
      <w:pPr>
        <w:spacing w:after="0" w:line="360" w:lineRule="auto"/>
        <w:ind w:firstLine="709"/>
        <w:jc w:val="both"/>
        <w:rPr>
          <w:rFonts w:ascii="Times New Roman" w:hAnsi="Times New Roman" w:cs="Times New Roman"/>
          <w:color w:val="000000" w:themeColor="text1"/>
          <w:sz w:val="24"/>
          <w:szCs w:val="24"/>
        </w:rPr>
      </w:pPr>
      <w:r w:rsidRPr="000428B6">
        <w:rPr>
          <w:rFonts w:ascii="Times New Roman" w:hAnsi="Times New Roman" w:cs="Times New Roman"/>
          <w:color w:val="000000" w:themeColor="text1"/>
          <w:sz w:val="24"/>
          <w:szCs w:val="24"/>
        </w:rPr>
        <w:t xml:space="preserve">Перечень хозяйствующих субъектов, осуществляющие свою деятельность на рынке наружной рекламы Ленинградской области в 2022 г. насчитывает </w:t>
      </w:r>
      <w:r w:rsidR="005951DE">
        <w:rPr>
          <w:rFonts w:ascii="Times New Roman" w:hAnsi="Times New Roman" w:cs="Times New Roman"/>
          <w:color w:val="000000" w:themeColor="text1"/>
          <w:sz w:val="24"/>
          <w:szCs w:val="24"/>
        </w:rPr>
        <w:t>169</w:t>
      </w:r>
      <w:r w:rsidRPr="000428B6">
        <w:rPr>
          <w:rFonts w:ascii="Times New Roman" w:hAnsi="Times New Roman" w:cs="Times New Roman"/>
          <w:color w:val="000000" w:themeColor="text1"/>
          <w:sz w:val="24"/>
          <w:szCs w:val="24"/>
        </w:rPr>
        <w:t xml:space="preserve"> единицы. На рынке наружной рекламы в Ленинградской области 17% участников рынка представляют организации с участием частного капитала, осуществляющие деятельность более пяти лет, 22 % организаций присутствую на рынке от 1 года до 5 лет. Ключевые игроки рынка: ООО "М-Рус" (представляющая бренд Russ Outdoor SPb , входит в  состав холдинга М-РУС), ООО "ЛЕО МЕДИА", ООО "Зебра". Все ключевые игроки осуществляют деятельность как в Северо-Западном регионе, так и в других. По состоянию на 2022 г., коэффициент концентрации CR3= 74,6 (три крупнейших хозяйствующих субъекта занимают 75 % рынка), рынок характеризуется слабым уровнем конкуренции, что обусловлено высокими требованиями к ведению предпринимательской деятельности и барьерами на входе в отрасль. Индекс Херфиндаля Хиршмана HHI = 2 482,2 (значения HHI 1 800 &lt;2 482,2&lt;10 000 соответствуют конкурентному рынку с высоким уровнем концентрации). В динамике по сравнению с 2021 г. не наблюдается изменения параметров рынка.</w:t>
      </w:r>
    </w:p>
    <w:p w:rsidR="002108BF" w:rsidRDefault="002108BF" w:rsidP="000420C6">
      <w:pPr>
        <w:spacing w:after="0" w:line="360" w:lineRule="auto"/>
        <w:ind w:firstLine="709"/>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С</w:t>
      </w:r>
      <w:r w:rsidR="000420C6">
        <w:rPr>
          <w:rFonts w:ascii="Times New Roman" w:hAnsi="Times New Roman" w:cs="Times New Roman"/>
          <w:color w:val="000000" w:themeColor="text1"/>
          <w:sz w:val="24"/>
          <w:szCs w:val="24"/>
        </w:rPr>
        <w:t xml:space="preserve">ведения о состоянии конкуренции. </w:t>
      </w:r>
      <w:r w:rsidRPr="002108BF">
        <w:rPr>
          <w:rFonts w:ascii="Times New Roman" w:hAnsi="Times New Roman" w:cs="Times New Roman"/>
          <w:color w:val="000000" w:themeColor="text1"/>
          <w:sz w:val="24"/>
          <w:szCs w:val="24"/>
        </w:rPr>
        <w:t>Развитие конкуренции повлияет на качество оказываемых услуг.</w:t>
      </w:r>
    </w:p>
    <w:p w:rsidR="00B905C2" w:rsidRDefault="00B905C2" w:rsidP="00B905C2">
      <w:pPr>
        <w:spacing w:after="0" w:line="360" w:lineRule="auto"/>
        <w:ind w:firstLine="709"/>
        <w:jc w:val="both"/>
        <w:rPr>
          <w:rFonts w:ascii="Times New Roman" w:hAnsi="Times New Roman" w:cs="Times New Roman"/>
          <w:color w:val="000000" w:themeColor="text1"/>
          <w:sz w:val="24"/>
          <w:szCs w:val="24"/>
        </w:rPr>
      </w:pPr>
    </w:p>
    <w:p w:rsidR="002108BF" w:rsidRPr="002108BF" w:rsidRDefault="002108BF" w:rsidP="002108BF">
      <w:pPr>
        <w:spacing w:after="0" w:line="360" w:lineRule="auto"/>
        <w:ind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3.1.4. </w:t>
      </w:r>
      <w:r w:rsidRPr="002108BF">
        <w:rPr>
          <w:rFonts w:ascii="Times New Roman" w:hAnsi="Times New Roman" w:cs="Times New Roman"/>
          <w:b/>
          <w:color w:val="000000" w:themeColor="text1"/>
          <w:sz w:val="24"/>
          <w:szCs w:val="24"/>
        </w:rPr>
        <w:t>О причинах изменения или отсутствия изменения количества конкурентов по сегментам бизнеса за последние три года</w:t>
      </w:r>
    </w:p>
    <w:p w:rsidR="002108BF" w:rsidRPr="002108BF" w:rsidRDefault="002108BF" w:rsidP="002108BF">
      <w:pPr>
        <w:spacing w:after="0" w:line="360" w:lineRule="auto"/>
        <w:ind w:firstLine="709"/>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 xml:space="preserve">По результатам анализа состоянии конкурентной среды на товарных рынках с применением расчета индекса Херфиндаля-Хиршмана (HHI), коэффициента рыночной концентрации (CR-3) для 3 крупнейших хозяйствующих субъектов, выявлены следующие изменения (отсутствие изменений) количества конкурентов во времени. </w:t>
      </w:r>
    </w:p>
    <w:p w:rsidR="002108BF" w:rsidRPr="002108BF" w:rsidRDefault="002108BF" w:rsidP="002108BF">
      <w:pPr>
        <w:spacing w:after="0" w:line="360" w:lineRule="auto"/>
        <w:ind w:firstLine="709"/>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1. Количество конкурентов увеличилось на следующих товарных рынках:</w:t>
      </w:r>
    </w:p>
    <w:p w:rsidR="002108BF" w:rsidRPr="002108BF" w:rsidRDefault="002108BF" w:rsidP="00080A73">
      <w:pPr>
        <w:numPr>
          <w:ilvl w:val="0"/>
          <w:numId w:val="10"/>
        </w:numPr>
        <w:spacing w:after="0" w:line="360" w:lineRule="auto"/>
        <w:ind w:left="0" w:firstLine="1068"/>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Рынок услуг детского отдыха и оздоровления</w:t>
      </w:r>
    </w:p>
    <w:p w:rsidR="002108BF" w:rsidRPr="002108BF" w:rsidRDefault="002108BF" w:rsidP="00080A73">
      <w:pPr>
        <w:numPr>
          <w:ilvl w:val="0"/>
          <w:numId w:val="10"/>
        </w:numPr>
        <w:spacing w:after="0" w:line="360" w:lineRule="auto"/>
        <w:ind w:left="0" w:firstLine="1068"/>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Рынок услуг розничной торговли лекарственными препаратами, медицинскими изделиями и сопутствующими товарами</w:t>
      </w:r>
    </w:p>
    <w:p w:rsidR="002108BF" w:rsidRPr="002108BF" w:rsidRDefault="002108BF" w:rsidP="002108BF">
      <w:pPr>
        <w:spacing w:after="0" w:line="360" w:lineRule="auto"/>
        <w:ind w:firstLine="709"/>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2. Количество конкурентов уменьшилось на следующих товарных рынках:</w:t>
      </w:r>
    </w:p>
    <w:p w:rsidR="002108BF" w:rsidRPr="002108BF" w:rsidRDefault="002108BF" w:rsidP="00080A73">
      <w:pPr>
        <w:numPr>
          <w:ilvl w:val="0"/>
          <w:numId w:val="9"/>
        </w:numPr>
        <w:spacing w:after="0" w:line="360" w:lineRule="auto"/>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Рынок услуг общего образования</w:t>
      </w:r>
    </w:p>
    <w:p w:rsidR="002108BF" w:rsidRPr="002108BF" w:rsidRDefault="002108BF" w:rsidP="002108BF">
      <w:pPr>
        <w:spacing w:after="0" w:line="360" w:lineRule="auto"/>
        <w:ind w:firstLine="709"/>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3. Количество конкурентов не изменилось/практически не изменилось на следующих товарных рынках:</w:t>
      </w:r>
    </w:p>
    <w:p w:rsidR="002108BF" w:rsidRPr="002108BF" w:rsidRDefault="002108BF" w:rsidP="00080A73">
      <w:pPr>
        <w:numPr>
          <w:ilvl w:val="0"/>
          <w:numId w:val="11"/>
        </w:numPr>
        <w:spacing w:after="0" w:line="360" w:lineRule="auto"/>
        <w:ind w:left="0" w:firstLine="1068"/>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Рынок услуг дошкольного образования</w:t>
      </w:r>
    </w:p>
    <w:p w:rsidR="002108BF" w:rsidRPr="002108BF" w:rsidRDefault="002108BF" w:rsidP="00080A73">
      <w:pPr>
        <w:numPr>
          <w:ilvl w:val="0"/>
          <w:numId w:val="11"/>
        </w:numPr>
        <w:spacing w:after="0" w:line="360" w:lineRule="auto"/>
        <w:ind w:left="0" w:firstLine="1068"/>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Рынок услуг среднего профессионального образования</w:t>
      </w:r>
    </w:p>
    <w:p w:rsidR="002108BF" w:rsidRPr="002108BF" w:rsidRDefault="002108BF" w:rsidP="00080A73">
      <w:pPr>
        <w:numPr>
          <w:ilvl w:val="0"/>
          <w:numId w:val="11"/>
        </w:numPr>
        <w:spacing w:after="0" w:line="360" w:lineRule="auto"/>
        <w:ind w:left="0" w:firstLine="1068"/>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Рынок услуг дополнительного образования детей</w:t>
      </w:r>
    </w:p>
    <w:p w:rsidR="002108BF" w:rsidRPr="002108BF" w:rsidRDefault="002108BF" w:rsidP="00080A73">
      <w:pPr>
        <w:numPr>
          <w:ilvl w:val="0"/>
          <w:numId w:val="11"/>
        </w:numPr>
        <w:spacing w:after="0" w:line="360" w:lineRule="auto"/>
        <w:ind w:left="0" w:firstLine="1068"/>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Рынок социальных услуг</w:t>
      </w:r>
    </w:p>
    <w:p w:rsidR="002108BF" w:rsidRPr="002108BF" w:rsidRDefault="002108BF" w:rsidP="00080A73">
      <w:pPr>
        <w:numPr>
          <w:ilvl w:val="0"/>
          <w:numId w:val="11"/>
        </w:numPr>
        <w:spacing w:after="0" w:line="360" w:lineRule="auto"/>
        <w:ind w:left="0" w:firstLine="1068"/>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Рынок теплоснабжения (производство тепловой энергии)</w:t>
      </w:r>
    </w:p>
    <w:p w:rsidR="002108BF" w:rsidRPr="002108BF" w:rsidRDefault="002108BF" w:rsidP="00080A73">
      <w:pPr>
        <w:numPr>
          <w:ilvl w:val="0"/>
          <w:numId w:val="11"/>
        </w:numPr>
        <w:spacing w:after="0" w:line="360" w:lineRule="auto"/>
        <w:ind w:left="0" w:firstLine="1068"/>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Рынок услуг по сбору и транспортированию твердых коммунальных отходов</w:t>
      </w:r>
    </w:p>
    <w:p w:rsidR="002108BF" w:rsidRPr="002108BF" w:rsidRDefault="002108BF" w:rsidP="00080A73">
      <w:pPr>
        <w:numPr>
          <w:ilvl w:val="0"/>
          <w:numId w:val="11"/>
        </w:numPr>
        <w:spacing w:after="0" w:line="360" w:lineRule="auto"/>
        <w:ind w:left="0" w:firstLine="1068"/>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Рынок выполнения работ по содержанию и текущему ремонту общего имущества собственников помещений в многоквартирном доме</w:t>
      </w:r>
    </w:p>
    <w:p w:rsidR="002108BF" w:rsidRPr="002108BF" w:rsidRDefault="002108BF" w:rsidP="00080A73">
      <w:pPr>
        <w:numPr>
          <w:ilvl w:val="0"/>
          <w:numId w:val="11"/>
        </w:numPr>
        <w:spacing w:after="0" w:line="360" w:lineRule="auto"/>
        <w:ind w:left="0" w:firstLine="1068"/>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Рынок купли-продажи электрической энергии (мощности) на розничном рынке электрической энергии (мощности)</w:t>
      </w:r>
    </w:p>
    <w:p w:rsidR="002108BF" w:rsidRPr="002108BF" w:rsidRDefault="002108BF" w:rsidP="00080A73">
      <w:pPr>
        <w:numPr>
          <w:ilvl w:val="0"/>
          <w:numId w:val="11"/>
        </w:numPr>
        <w:spacing w:after="0" w:line="360" w:lineRule="auto"/>
        <w:ind w:left="0" w:firstLine="1068"/>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p w:rsidR="002108BF" w:rsidRPr="002108BF" w:rsidRDefault="002108BF" w:rsidP="00080A73">
      <w:pPr>
        <w:numPr>
          <w:ilvl w:val="0"/>
          <w:numId w:val="11"/>
        </w:numPr>
        <w:spacing w:after="0" w:line="360" w:lineRule="auto"/>
        <w:ind w:left="0" w:firstLine="1068"/>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Рынок оказания услуг по перевозке пассажиров автомобильным транспортом по муниципальным маршрутам регулярных перевозок</w:t>
      </w:r>
    </w:p>
    <w:p w:rsidR="002108BF" w:rsidRPr="002108BF" w:rsidRDefault="002108BF" w:rsidP="00080A73">
      <w:pPr>
        <w:numPr>
          <w:ilvl w:val="0"/>
          <w:numId w:val="11"/>
        </w:numPr>
        <w:spacing w:after="0" w:line="360" w:lineRule="auto"/>
        <w:ind w:left="0" w:firstLine="1068"/>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Рынок оказания услуг по перевозке пассажиров автомобильным транспортом по межмуниципальным маршрутам регулярных перевозок</w:t>
      </w:r>
    </w:p>
    <w:p w:rsidR="002108BF" w:rsidRPr="002108BF" w:rsidRDefault="002108BF" w:rsidP="00080A73">
      <w:pPr>
        <w:numPr>
          <w:ilvl w:val="0"/>
          <w:numId w:val="11"/>
        </w:numPr>
        <w:spacing w:after="0" w:line="360" w:lineRule="auto"/>
        <w:ind w:left="0" w:firstLine="1068"/>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Рынок оказания услуг по перевозке пассажиров и багажа легковым такси на территории Ленинградской области</w:t>
      </w:r>
    </w:p>
    <w:p w:rsidR="002108BF" w:rsidRPr="002108BF" w:rsidRDefault="002108BF" w:rsidP="00080A73">
      <w:pPr>
        <w:numPr>
          <w:ilvl w:val="0"/>
          <w:numId w:val="11"/>
        </w:numPr>
        <w:spacing w:after="0" w:line="360" w:lineRule="auto"/>
        <w:ind w:left="0" w:firstLine="1068"/>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Рынок оказания услуг по ремонту автотранспортных средств</w:t>
      </w:r>
    </w:p>
    <w:p w:rsidR="002108BF" w:rsidRPr="002108BF" w:rsidRDefault="002108BF" w:rsidP="00080A73">
      <w:pPr>
        <w:numPr>
          <w:ilvl w:val="0"/>
          <w:numId w:val="11"/>
        </w:numPr>
        <w:spacing w:after="0" w:line="360" w:lineRule="auto"/>
        <w:ind w:left="0" w:firstLine="1068"/>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lastRenderedPageBreak/>
        <w:t>Рынок услуг связи, в том числе услуг по предоставлению широкополосного доступа к информационно-телекоммуникационной сети "Интернет"</w:t>
      </w:r>
    </w:p>
    <w:p w:rsidR="002108BF" w:rsidRPr="002108BF" w:rsidRDefault="002108BF" w:rsidP="00080A73">
      <w:pPr>
        <w:numPr>
          <w:ilvl w:val="0"/>
          <w:numId w:val="11"/>
        </w:numPr>
        <w:spacing w:after="0" w:line="360" w:lineRule="auto"/>
        <w:ind w:left="0" w:firstLine="1068"/>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Рынок жилищного строительства</w:t>
      </w:r>
    </w:p>
    <w:p w:rsidR="002108BF" w:rsidRPr="002108BF" w:rsidRDefault="002108BF" w:rsidP="00080A73">
      <w:pPr>
        <w:numPr>
          <w:ilvl w:val="0"/>
          <w:numId w:val="11"/>
        </w:numPr>
        <w:spacing w:after="0" w:line="360" w:lineRule="auto"/>
        <w:ind w:left="0" w:firstLine="1068"/>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Рынок строительства объектов капитального строительства, за исключением жилищного и дорожного строительства</w:t>
      </w:r>
    </w:p>
    <w:p w:rsidR="002108BF" w:rsidRPr="002108BF" w:rsidRDefault="002108BF" w:rsidP="00080A73">
      <w:pPr>
        <w:numPr>
          <w:ilvl w:val="0"/>
          <w:numId w:val="11"/>
        </w:numPr>
        <w:spacing w:after="0" w:line="360" w:lineRule="auto"/>
        <w:ind w:left="0" w:firstLine="1068"/>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Рынок архитектурно-строительного проектирования</w:t>
      </w:r>
    </w:p>
    <w:p w:rsidR="002108BF" w:rsidRPr="002108BF" w:rsidRDefault="002108BF" w:rsidP="00080A73">
      <w:pPr>
        <w:numPr>
          <w:ilvl w:val="0"/>
          <w:numId w:val="11"/>
        </w:numPr>
        <w:spacing w:after="0" w:line="360" w:lineRule="auto"/>
        <w:ind w:left="0" w:firstLine="1068"/>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Рынок кадастровых и землеустроительных работ</w:t>
      </w:r>
    </w:p>
    <w:p w:rsidR="002108BF" w:rsidRPr="002108BF" w:rsidRDefault="002108BF" w:rsidP="00080A73">
      <w:pPr>
        <w:numPr>
          <w:ilvl w:val="0"/>
          <w:numId w:val="11"/>
        </w:numPr>
        <w:spacing w:after="0" w:line="360" w:lineRule="auto"/>
        <w:ind w:left="0" w:firstLine="1068"/>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Рынок племенного животноводства</w:t>
      </w:r>
    </w:p>
    <w:p w:rsidR="002108BF" w:rsidRPr="002108BF" w:rsidRDefault="002108BF" w:rsidP="00080A73">
      <w:pPr>
        <w:numPr>
          <w:ilvl w:val="0"/>
          <w:numId w:val="11"/>
        </w:numPr>
        <w:spacing w:after="0" w:line="360" w:lineRule="auto"/>
        <w:ind w:left="0" w:firstLine="1068"/>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Рынок семеноводства</w:t>
      </w:r>
    </w:p>
    <w:p w:rsidR="002108BF" w:rsidRPr="002108BF" w:rsidRDefault="002108BF" w:rsidP="00080A73">
      <w:pPr>
        <w:numPr>
          <w:ilvl w:val="0"/>
          <w:numId w:val="11"/>
        </w:numPr>
        <w:spacing w:after="0" w:line="360" w:lineRule="auto"/>
        <w:ind w:left="0" w:firstLine="1068"/>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Рынок вылова водных биоресурсов</w:t>
      </w:r>
    </w:p>
    <w:p w:rsidR="002108BF" w:rsidRPr="002108BF" w:rsidRDefault="002108BF" w:rsidP="00080A73">
      <w:pPr>
        <w:numPr>
          <w:ilvl w:val="0"/>
          <w:numId w:val="11"/>
        </w:numPr>
        <w:spacing w:after="0" w:line="360" w:lineRule="auto"/>
        <w:ind w:left="0" w:firstLine="1068"/>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Рынок переработки водных биоресурсов</w:t>
      </w:r>
    </w:p>
    <w:p w:rsidR="002108BF" w:rsidRPr="002108BF" w:rsidRDefault="002108BF" w:rsidP="00080A73">
      <w:pPr>
        <w:numPr>
          <w:ilvl w:val="0"/>
          <w:numId w:val="11"/>
        </w:numPr>
        <w:spacing w:after="0" w:line="360" w:lineRule="auto"/>
        <w:ind w:left="0" w:firstLine="1068"/>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Рынок товарной аквакультуры</w:t>
      </w:r>
    </w:p>
    <w:p w:rsidR="002108BF" w:rsidRPr="002108BF" w:rsidRDefault="002108BF" w:rsidP="00080A73">
      <w:pPr>
        <w:numPr>
          <w:ilvl w:val="0"/>
          <w:numId w:val="11"/>
        </w:numPr>
        <w:spacing w:after="0" w:line="360" w:lineRule="auto"/>
        <w:ind w:left="0" w:firstLine="1068"/>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Рынок добычи общераспространенных полезных ископаемых на участках недр местного значения</w:t>
      </w:r>
    </w:p>
    <w:p w:rsidR="002108BF" w:rsidRPr="002108BF" w:rsidRDefault="002108BF" w:rsidP="00080A73">
      <w:pPr>
        <w:numPr>
          <w:ilvl w:val="0"/>
          <w:numId w:val="11"/>
        </w:numPr>
        <w:spacing w:after="0" w:line="360" w:lineRule="auto"/>
        <w:ind w:left="0" w:firstLine="1068"/>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Рынок нефтепродуктов</w:t>
      </w:r>
    </w:p>
    <w:p w:rsidR="002108BF" w:rsidRPr="002108BF" w:rsidRDefault="002108BF" w:rsidP="00080A73">
      <w:pPr>
        <w:numPr>
          <w:ilvl w:val="0"/>
          <w:numId w:val="11"/>
        </w:numPr>
        <w:spacing w:after="0" w:line="360" w:lineRule="auto"/>
        <w:ind w:left="0" w:firstLine="1068"/>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Рынок легкой промышленности</w:t>
      </w:r>
    </w:p>
    <w:p w:rsidR="002108BF" w:rsidRPr="002108BF" w:rsidRDefault="002108BF" w:rsidP="00080A73">
      <w:pPr>
        <w:numPr>
          <w:ilvl w:val="0"/>
          <w:numId w:val="11"/>
        </w:numPr>
        <w:spacing w:after="0" w:line="360" w:lineRule="auto"/>
        <w:ind w:left="0" w:firstLine="1068"/>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Рынок обработки древесины и производства изделий из дерева</w:t>
      </w:r>
    </w:p>
    <w:p w:rsidR="002108BF" w:rsidRPr="002108BF" w:rsidRDefault="002108BF" w:rsidP="00080A73">
      <w:pPr>
        <w:numPr>
          <w:ilvl w:val="0"/>
          <w:numId w:val="11"/>
        </w:numPr>
        <w:spacing w:after="0" w:line="360" w:lineRule="auto"/>
        <w:ind w:left="0" w:firstLine="1068"/>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Рынок производства кирпича</w:t>
      </w:r>
    </w:p>
    <w:p w:rsidR="002108BF" w:rsidRPr="002108BF" w:rsidRDefault="002108BF" w:rsidP="00080A73">
      <w:pPr>
        <w:numPr>
          <w:ilvl w:val="0"/>
          <w:numId w:val="11"/>
        </w:numPr>
        <w:spacing w:after="0" w:line="360" w:lineRule="auto"/>
        <w:ind w:left="0" w:firstLine="1068"/>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Рынок производства бетона</w:t>
      </w:r>
    </w:p>
    <w:p w:rsidR="002108BF" w:rsidRPr="002108BF" w:rsidRDefault="002108BF" w:rsidP="00080A73">
      <w:pPr>
        <w:numPr>
          <w:ilvl w:val="0"/>
          <w:numId w:val="11"/>
        </w:numPr>
        <w:spacing w:after="0" w:line="360" w:lineRule="auto"/>
        <w:ind w:left="0" w:firstLine="1068"/>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Сфера наружной рекламы</w:t>
      </w:r>
    </w:p>
    <w:p w:rsidR="002108BF" w:rsidRPr="002108BF" w:rsidRDefault="002108BF" w:rsidP="002108BF">
      <w:pPr>
        <w:spacing w:after="0" w:line="360" w:lineRule="auto"/>
        <w:ind w:firstLine="709"/>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 xml:space="preserve">Рынок услуг детского отдыха и оздоровления. Количество конкурентов незначительно увеличилось на 2 хозяйствующих субъекта. </w:t>
      </w:r>
    </w:p>
    <w:p w:rsidR="002108BF" w:rsidRPr="002108BF" w:rsidRDefault="002108BF" w:rsidP="002108BF">
      <w:pPr>
        <w:spacing w:after="0" w:line="360" w:lineRule="auto"/>
        <w:ind w:firstLine="709"/>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Рынок услуг розничной торговли лекарственными препаратами, медицинскими изделиями и сопутствующими товарами. Количество конкурентов увеличилось на 7% по сравнению с 2021 г.</w:t>
      </w:r>
    </w:p>
    <w:p w:rsidR="002108BF" w:rsidRPr="002108BF" w:rsidRDefault="002108BF" w:rsidP="002108BF">
      <w:pPr>
        <w:spacing w:after="0" w:line="360" w:lineRule="auto"/>
        <w:ind w:firstLine="709"/>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Рынок услуг общего образования. Количество конкурентов уменьшилось. На изменение повлияли одновременно завершение процедур реализации реформы общего образования в части оптимизации малокомплектных школ в сельской местности, и вводом новых образовательных учреждений на территории возводимых жилых кварталов.</w:t>
      </w:r>
    </w:p>
    <w:p w:rsidR="002108BF" w:rsidRDefault="002108BF" w:rsidP="002108BF">
      <w:pPr>
        <w:spacing w:after="0" w:line="360" w:lineRule="auto"/>
        <w:ind w:firstLine="709"/>
        <w:jc w:val="both"/>
        <w:rPr>
          <w:rFonts w:ascii="Times New Roman" w:hAnsi="Times New Roman" w:cs="Times New Roman"/>
          <w:color w:val="000000" w:themeColor="text1"/>
          <w:sz w:val="24"/>
          <w:szCs w:val="24"/>
        </w:rPr>
      </w:pPr>
      <w:r w:rsidRPr="002108BF">
        <w:rPr>
          <w:rFonts w:ascii="Times New Roman" w:hAnsi="Times New Roman" w:cs="Times New Roman"/>
          <w:color w:val="000000" w:themeColor="text1"/>
          <w:sz w:val="24"/>
          <w:szCs w:val="24"/>
        </w:rPr>
        <w:t xml:space="preserve">Количество конкурентов не изменилось либо практически не изменилось на большинстве товарных рынков Ленинградской области. По оценкам экспертов, изменения на рынках Ленинградской области в большей степени связаны с внешнеэкономическими факторами, в частности, с санкционной политикой в отношении Российской Федерации, в т.ч. со стороны стран Евросоюза. В то же время, количество конкурентов не изменилось либо практически не </w:t>
      </w:r>
      <w:r w:rsidRPr="002108BF">
        <w:rPr>
          <w:rFonts w:ascii="Times New Roman" w:hAnsi="Times New Roman" w:cs="Times New Roman"/>
          <w:color w:val="000000" w:themeColor="text1"/>
          <w:sz w:val="24"/>
          <w:szCs w:val="24"/>
        </w:rPr>
        <w:lastRenderedPageBreak/>
        <w:t>изменилось на большинстве товарных рынков Ленинградской области, что говорит о стабильной ситуации в этой сфере.</w:t>
      </w:r>
    </w:p>
    <w:p w:rsidR="00B905C2" w:rsidRPr="002108BF" w:rsidRDefault="00B905C2" w:rsidP="002108BF">
      <w:pPr>
        <w:spacing w:after="0" w:line="360" w:lineRule="auto"/>
        <w:ind w:firstLine="709"/>
        <w:jc w:val="both"/>
        <w:rPr>
          <w:rFonts w:ascii="Times New Roman" w:hAnsi="Times New Roman" w:cs="Times New Roman"/>
          <w:color w:val="000000" w:themeColor="text1"/>
          <w:sz w:val="24"/>
          <w:szCs w:val="24"/>
        </w:rPr>
      </w:pPr>
    </w:p>
    <w:p w:rsidR="00976DAC" w:rsidRPr="00B905C2" w:rsidRDefault="002B4C67" w:rsidP="00976DAC">
      <w:pPr>
        <w:keepNext/>
        <w:keepLines/>
        <w:spacing w:before="40" w:after="240" w:line="240" w:lineRule="auto"/>
        <w:jc w:val="center"/>
        <w:outlineLvl w:val="2"/>
        <w:rPr>
          <w:rFonts w:ascii="Times New Roman" w:eastAsia="Arial" w:hAnsi="Times New Roman" w:cs="Times New Roman"/>
          <w:b/>
          <w:color w:val="000000"/>
          <w:sz w:val="24"/>
          <w:szCs w:val="24"/>
          <w:lang w:eastAsia="ru-RU"/>
        </w:rPr>
      </w:pPr>
      <w:r w:rsidRPr="00B905C2">
        <w:rPr>
          <w:rFonts w:ascii="Times New Roman" w:eastAsia="Arial" w:hAnsi="Times New Roman" w:cs="Times New Roman"/>
          <w:b/>
          <w:color w:val="000000"/>
          <w:sz w:val="24"/>
          <w:szCs w:val="24"/>
          <w:lang w:eastAsia="ru-RU"/>
        </w:rPr>
        <w:t xml:space="preserve">3.1.5. </w:t>
      </w:r>
      <w:r w:rsidR="00976DAC" w:rsidRPr="00B905C2">
        <w:rPr>
          <w:rFonts w:ascii="Times New Roman" w:eastAsia="Arial" w:hAnsi="Times New Roman" w:cs="Times New Roman"/>
          <w:b/>
          <w:color w:val="000000"/>
          <w:sz w:val="24"/>
          <w:szCs w:val="24"/>
          <w:lang w:eastAsia="ru-RU"/>
        </w:rPr>
        <w:t>О состоянии конкуренции между поставщиками основного закупаемого респондентом товара (работы, услуги) по сегментам бизнеса (в динамике)</w:t>
      </w:r>
    </w:p>
    <w:p w:rsidR="00976DAC" w:rsidRPr="00B905C2" w:rsidRDefault="00976DAC" w:rsidP="00976DAC">
      <w:pPr>
        <w:tabs>
          <w:tab w:val="left" w:pos="993"/>
        </w:tabs>
        <w:spacing w:after="0" w:line="360" w:lineRule="auto"/>
        <w:ind w:firstLine="709"/>
        <w:jc w:val="both"/>
        <w:rPr>
          <w:rFonts w:ascii="Times New Roman" w:eastAsia="Calibri" w:hAnsi="Times New Roman" w:cs="Times New Roman"/>
          <w:color w:val="000000"/>
          <w:sz w:val="24"/>
          <w:szCs w:val="24"/>
        </w:rPr>
      </w:pPr>
      <w:r w:rsidRPr="00B905C2">
        <w:rPr>
          <w:rFonts w:ascii="Times New Roman" w:eastAsia="Calibri" w:hAnsi="Times New Roman" w:cs="Times New Roman"/>
          <w:color w:val="000000"/>
          <w:sz w:val="24"/>
          <w:szCs w:val="24"/>
        </w:rPr>
        <w:t xml:space="preserve">Представители бизнеса Ленинградской области в рамках опроса дали примерную оценку количеству поставщиков основного закупаемого товара (работы, услуги), который они приобретают для производства и реализации собственной продукции. Распределение полученных оценок представлено на рисунке ниже. </w:t>
      </w:r>
    </w:p>
    <w:p w:rsidR="00976DAC" w:rsidRPr="00B905C2" w:rsidRDefault="00B905C2" w:rsidP="00B905C2">
      <w:pPr>
        <w:keepNext/>
        <w:keepLines/>
        <w:spacing w:before="120" w:after="120" w:line="240" w:lineRule="auto"/>
        <w:jc w:val="center"/>
        <w:rPr>
          <w:rFonts w:ascii="Times New Roman" w:eastAsia="Calibri" w:hAnsi="Times New Roman" w:cs="Times New Roman"/>
          <w:iCs/>
          <w:color w:val="000000"/>
        </w:rPr>
      </w:pPr>
      <w:r w:rsidRPr="00B905C2">
        <w:rPr>
          <w:rFonts w:ascii="Times New Roman" w:eastAsia="Calibri" w:hAnsi="Times New Roman" w:cs="Times New Roman"/>
          <w:iCs/>
          <w:color w:val="000000"/>
        </w:rPr>
        <w:t>Рисунок 1.</w:t>
      </w:r>
      <w:r w:rsidR="00976DAC" w:rsidRPr="00B905C2">
        <w:rPr>
          <w:rFonts w:ascii="Times New Roman" w:eastAsia="Calibri" w:hAnsi="Times New Roman" w:cs="Times New Roman"/>
          <w:iCs/>
          <w:color w:val="000000"/>
        </w:rPr>
        <w:t xml:space="preserve">Оценка числа поставщиков основного закупаемого респондентом товара (работы, услуги) </w:t>
      </w:r>
      <w:r w:rsidR="00976DAC" w:rsidRPr="00B905C2">
        <w:rPr>
          <w:rFonts w:ascii="Times New Roman" w:eastAsia="Calibri" w:hAnsi="Times New Roman" w:cs="Times New Roman"/>
          <w:noProof/>
          <w:color w:val="000000"/>
        </w:rPr>
        <w:t xml:space="preserve">(опрос предпринимателей, </w:t>
      </w:r>
      <w:r w:rsidR="00976DAC" w:rsidRPr="00B905C2">
        <w:rPr>
          <w:rFonts w:ascii="Times New Roman" w:eastAsia="Calibri" w:hAnsi="Times New Roman" w:cs="Times New Roman"/>
          <w:noProof/>
          <w:color w:val="000000"/>
          <w:lang w:val="en-US"/>
        </w:rPr>
        <w:t>n</w:t>
      </w:r>
      <w:r w:rsidR="00976DAC" w:rsidRPr="00B905C2">
        <w:rPr>
          <w:rFonts w:ascii="Times New Roman" w:eastAsia="Calibri" w:hAnsi="Times New Roman" w:cs="Times New Roman"/>
          <w:noProof/>
          <w:color w:val="000000"/>
        </w:rPr>
        <w:t>=500)</w:t>
      </w:r>
    </w:p>
    <w:p w:rsidR="00976DAC" w:rsidRPr="00B905C2" w:rsidRDefault="00976DAC" w:rsidP="00B905C2">
      <w:pPr>
        <w:spacing w:after="0" w:line="360" w:lineRule="auto"/>
        <w:jc w:val="both"/>
        <w:rPr>
          <w:rFonts w:ascii="Times New Roman" w:eastAsia="Calibri" w:hAnsi="Times New Roman" w:cs="Times New Roman"/>
          <w:b/>
          <w:bCs/>
          <w:color w:val="000000"/>
          <w:sz w:val="28"/>
          <w:szCs w:val="28"/>
        </w:rPr>
      </w:pPr>
      <w:r w:rsidRPr="00976DAC">
        <w:rPr>
          <w:rFonts w:ascii="Times New Roman" w:eastAsia="Calibri" w:hAnsi="Times New Roman" w:cs="Times New Roman"/>
          <w:b/>
          <w:bCs/>
          <w:noProof/>
          <w:color w:val="000000"/>
          <w:sz w:val="28"/>
          <w:szCs w:val="28"/>
          <w:lang w:eastAsia="ru-RU"/>
        </w:rPr>
        <w:drawing>
          <wp:inline distT="0" distB="0" distL="0" distR="0" wp14:anchorId="36FBD297" wp14:editId="75CAAE83">
            <wp:extent cx="6390005" cy="2462953"/>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76DAC" w:rsidRPr="00B905C2" w:rsidRDefault="00976DAC" w:rsidP="00976DAC">
      <w:pPr>
        <w:tabs>
          <w:tab w:val="left" w:pos="993"/>
        </w:tabs>
        <w:spacing w:after="0" w:line="360" w:lineRule="auto"/>
        <w:ind w:firstLine="709"/>
        <w:jc w:val="both"/>
        <w:rPr>
          <w:rFonts w:ascii="Times New Roman" w:eastAsia="Calibri" w:hAnsi="Times New Roman" w:cs="Times New Roman"/>
          <w:color w:val="000000"/>
          <w:sz w:val="24"/>
          <w:szCs w:val="24"/>
        </w:rPr>
      </w:pPr>
      <w:r w:rsidRPr="00B905C2">
        <w:rPr>
          <w:rFonts w:ascii="Times New Roman" w:eastAsia="Calibri" w:hAnsi="Times New Roman" w:cs="Times New Roman"/>
          <w:color w:val="000000"/>
          <w:sz w:val="24"/>
          <w:szCs w:val="24"/>
        </w:rPr>
        <w:t xml:space="preserve">Более половины респондентов (56%) отметили, что они обращаются к </w:t>
      </w:r>
      <w:r w:rsidRPr="00B905C2">
        <w:rPr>
          <w:rFonts w:ascii="Times New Roman" w:eastAsia="Calibri" w:hAnsi="Times New Roman" w:cs="Times New Roman"/>
          <w:b/>
          <w:color w:val="000000"/>
          <w:sz w:val="24"/>
          <w:szCs w:val="24"/>
        </w:rPr>
        <w:t>четырем или большему числу</w:t>
      </w:r>
      <w:r w:rsidRPr="00B905C2">
        <w:rPr>
          <w:rFonts w:ascii="Times New Roman" w:eastAsia="Calibri" w:hAnsi="Times New Roman" w:cs="Times New Roman"/>
          <w:color w:val="000000"/>
          <w:sz w:val="24"/>
          <w:szCs w:val="24"/>
        </w:rPr>
        <w:t xml:space="preserve"> </w:t>
      </w:r>
      <w:r w:rsidRPr="00B905C2">
        <w:rPr>
          <w:rFonts w:ascii="Times New Roman" w:eastAsia="Calibri" w:hAnsi="Times New Roman" w:cs="Times New Roman"/>
          <w:b/>
          <w:color w:val="000000"/>
          <w:sz w:val="24"/>
          <w:szCs w:val="24"/>
        </w:rPr>
        <w:t>различных поставщиков</w:t>
      </w:r>
      <w:r w:rsidRPr="00B905C2">
        <w:rPr>
          <w:rFonts w:ascii="Times New Roman" w:eastAsia="Calibri" w:hAnsi="Times New Roman" w:cs="Times New Roman"/>
          <w:color w:val="000000"/>
          <w:sz w:val="24"/>
          <w:szCs w:val="24"/>
        </w:rPr>
        <w:t xml:space="preserve"> основного закупаемого товара (работы, услуги).</w:t>
      </w:r>
    </w:p>
    <w:p w:rsidR="00976DAC" w:rsidRPr="00B905C2" w:rsidRDefault="00976DAC" w:rsidP="00976DAC">
      <w:pPr>
        <w:tabs>
          <w:tab w:val="left" w:pos="993"/>
        </w:tabs>
        <w:spacing w:after="0" w:line="360" w:lineRule="auto"/>
        <w:ind w:firstLine="709"/>
        <w:jc w:val="both"/>
        <w:rPr>
          <w:rFonts w:ascii="Times New Roman" w:eastAsia="Calibri" w:hAnsi="Times New Roman" w:cs="Times New Roman"/>
          <w:color w:val="000000"/>
          <w:sz w:val="24"/>
          <w:szCs w:val="24"/>
        </w:rPr>
      </w:pPr>
      <w:r w:rsidRPr="00B905C2">
        <w:rPr>
          <w:rFonts w:ascii="Times New Roman" w:eastAsia="Calibri" w:hAnsi="Times New Roman" w:cs="Times New Roman"/>
          <w:color w:val="000000"/>
          <w:sz w:val="24"/>
          <w:szCs w:val="24"/>
        </w:rPr>
        <w:t xml:space="preserve">Чуть более, чем каждый пятый опрошенный предприниматель (22%) имеет дело с </w:t>
      </w:r>
      <w:r w:rsidRPr="00B905C2">
        <w:rPr>
          <w:rFonts w:ascii="Times New Roman" w:eastAsia="Calibri" w:hAnsi="Times New Roman" w:cs="Times New Roman"/>
          <w:b/>
          <w:color w:val="000000"/>
          <w:sz w:val="24"/>
          <w:szCs w:val="24"/>
        </w:rPr>
        <w:t>двумя-тремя поставщиками</w:t>
      </w:r>
      <w:r w:rsidRPr="00B905C2">
        <w:rPr>
          <w:rFonts w:ascii="Times New Roman" w:eastAsia="Calibri" w:hAnsi="Times New Roman" w:cs="Times New Roman"/>
          <w:color w:val="000000"/>
          <w:sz w:val="24"/>
          <w:szCs w:val="24"/>
        </w:rPr>
        <w:t xml:space="preserve">, и ещё 4% - только с </w:t>
      </w:r>
      <w:r w:rsidRPr="00B905C2">
        <w:rPr>
          <w:rFonts w:ascii="Times New Roman" w:eastAsia="Calibri" w:hAnsi="Times New Roman" w:cs="Times New Roman"/>
          <w:b/>
          <w:color w:val="000000"/>
          <w:sz w:val="24"/>
          <w:szCs w:val="24"/>
        </w:rPr>
        <w:t>одним поставщиком</w:t>
      </w:r>
      <w:r w:rsidRPr="00B905C2">
        <w:rPr>
          <w:rFonts w:ascii="Times New Roman" w:eastAsia="Calibri" w:hAnsi="Times New Roman" w:cs="Times New Roman"/>
          <w:color w:val="000000"/>
          <w:sz w:val="24"/>
          <w:szCs w:val="24"/>
        </w:rPr>
        <w:t>.</w:t>
      </w:r>
    </w:p>
    <w:p w:rsidR="00976DAC" w:rsidRPr="00B905C2" w:rsidRDefault="00976DAC" w:rsidP="00976DAC">
      <w:pPr>
        <w:tabs>
          <w:tab w:val="left" w:pos="993"/>
        </w:tabs>
        <w:spacing w:after="0" w:line="360" w:lineRule="auto"/>
        <w:ind w:firstLine="709"/>
        <w:jc w:val="both"/>
        <w:rPr>
          <w:rFonts w:ascii="Times New Roman" w:eastAsia="Calibri" w:hAnsi="Times New Roman" w:cs="Times New Roman"/>
          <w:color w:val="000000"/>
          <w:sz w:val="24"/>
          <w:szCs w:val="24"/>
        </w:rPr>
      </w:pPr>
      <w:r w:rsidRPr="00B905C2">
        <w:rPr>
          <w:rFonts w:ascii="Times New Roman" w:eastAsia="Calibri" w:hAnsi="Times New Roman" w:cs="Times New Roman"/>
          <w:color w:val="000000"/>
          <w:sz w:val="24"/>
          <w:szCs w:val="24"/>
        </w:rPr>
        <w:t xml:space="preserve">О том, что </w:t>
      </w:r>
      <w:r w:rsidRPr="00B905C2">
        <w:rPr>
          <w:rFonts w:ascii="Times New Roman" w:eastAsia="Calibri" w:hAnsi="Times New Roman" w:cs="Times New Roman"/>
          <w:b/>
          <w:color w:val="000000"/>
          <w:sz w:val="24"/>
          <w:szCs w:val="24"/>
        </w:rPr>
        <w:t>не пользуются услугами поставщиков</w:t>
      </w:r>
      <w:r w:rsidRPr="00B905C2">
        <w:rPr>
          <w:rFonts w:ascii="Times New Roman" w:eastAsia="Calibri" w:hAnsi="Times New Roman" w:cs="Times New Roman"/>
          <w:color w:val="000000"/>
          <w:sz w:val="24"/>
          <w:szCs w:val="24"/>
        </w:rPr>
        <w:t xml:space="preserve"> в принципе, заявили 11% представителей бизнеса.</w:t>
      </w:r>
    </w:p>
    <w:p w:rsidR="00976DAC" w:rsidRPr="00B905C2" w:rsidRDefault="00B905C2" w:rsidP="00B905C2">
      <w:pPr>
        <w:keepNext/>
        <w:keepLines/>
        <w:spacing w:before="120" w:after="120" w:line="240" w:lineRule="auto"/>
        <w:jc w:val="center"/>
        <w:rPr>
          <w:rFonts w:ascii="Times New Roman" w:eastAsia="Calibri" w:hAnsi="Times New Roman" w:cs="Times New Roman"/>
          <w:color w:val="000000"/>
        </w:rPr>
      </w:pPr>
      <w:r w:rsidRPr="00B905C2">
        <w:rPr>
          <w:rFonts w:ascii="Times New Roman" w:eastAsia="Calibri" w:hAnsi="Times New Roman" w:cs="Times New Roman"/>
          <w:iCs/>
          <w:color w:val="000000"/>
        </w:rPr>
        <w:lastRenderedPageBreak/>
        <w:t xml:space="preserve">Рисунок </w:t>
      </w:r>
      <w:r w:rsidR="00976DAC" w:rsidRPr="00B905C2">
        <w:rPr>
          <w:rFonts w:ascii="Times New Roman" w:eastAsia="Calibri" w:hAnsi="Times New Roman" w:cs="Times New Roman"/>
          <w:iCs/>
          <w:color w:val="000000"/>
        </w:rPr>
        <w:t xml:space="preserve">2. Оценка числа поставщиков основного закупаемого респондентом товара (работы, услуги) </w:t>
      </w:r>
      <w:r w:rsidR="00976DAC" w:rsidRPr="00B905C2">
        <w:rPr>
          <w:rFonts w:ascii="Times New Roman" w:eastAsia="Calibri" w:hAnsi="Times New Roman" w:cs="Times New Roman"/>
          <w:noProof/>
          <w:color w:val="000000"/>
        </w:rPr>
        <w:t xml:space="preserve">(опрос предпринимателей, </w:t>
      </w:r>
      <w:r w:rsidR="00976DAC" w:rsidRPr="00B905C2">
        <w:rPr>
          <w:rFonts w:ascii="Times New Roman" w:eastAsia="Calibri" w:hAnsi="Times New Roman" w:cs="Times New Roman"/>
          <w:noProof/>
          <w:color w:val="000000"/>
          <w:lang w:val="en-US"/>
        </w:rPr>
        <w:t>n</w:t>
      </w:r>
      <w:r w:rsidR="00976DAC" w:rsidRPr="00B905C2">
        <w:rPr>
          <w:rFonts w:ascii="Times New Roman" w:eastAsia="Calibri" w:hAnsi="Times New Roman" w:cs="Times New Roman"/>
          <w:noProof/>
          <w:color w:val="000000"/>
        </w:rPr>
        <w:t>=500, в разрезе по рынкам)</w:t>
      </w:r>
    </w:p>
    <w:p w:rsidR="00976DAC" w:rsidRPr="00976DAC" w:rsidRDefault="00976DAC" w:rsidP="00976DAC">
      <w:pPr>
        <w:spacing w:after="0" w:line="360" w:lineRule="auto"/>
        <w:jc w:val="both"/>
        <w:rPr>
          <w:rFonts w:ascii="Times New Roman" w:eastAsia="Calibri" w:hAnsi="Times New Roman" w:cs="Times New Roman"/>
          <w:color w:val="000000"/>
          <w:sz w:val="28"/>
          <w:szCs w:val="28"/>
        </w:rPr>
      </w:pPr>
      <w:r w:rsidRPr="00976DAC">
        <w:rPr>
          <w:rFonts w:ascii="Times New Roman" w:eastAsia="Franklin Gothic Book" w:hAnsi="Times New Roman" w:cs="Times New Roman"/>
          <w:noProof/>
          <w:color w:val="000000"/>
          <w:szCs w:val="24"/>
          <w:u w:color="000000"/>
          <w:lang w:eastAsia="ru-RU"/>
        </w:rPr>
        <w:drawing>
          <wp:inline distT="0" distB="0" distL="0" distR="0" wp14:anchorId="7B95D89D" wp14:editId="3EA3F725">
            <wp:extent cx="6390005" cy="861060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76DAC" w:rsidRPr="00976DAC" w:rsidRDefault="00B905C2" w:rsidP="00B905C2">
      <w:pPr>
        <w:keepNext/>
        <w:keepLines/>
        <w:spacing w:before="120" w:after="120" w:line="240" w:lineRule="auto"/>
        <w:jc w:val="center"/>
        <w:rPr>
          <w:rFonts w:ascii="Times New Roman" w:eastAsia="Calibri" w:hAnsi="Times New Roman" w:cs="Times New Roman"/>
          <w:iCs/>
          <w:color w:val="000000"/>
        </w:rPr>
      </w:pPr>
      <w:r>
        <w:rPr>
          <w:rFonts w:ascii="Times New Roman" w:eastAsia="Calibri" w:hAnsi="Times New Roman" w:cs="Times New Roman"/>
          <w:iCs/>
          <w:color w:val="000000"/>
        </w:rPr>
        <w:lastRenderedPageBreak/>
        <w:t xml:space="preserve">Рисунок </w:t>
      </w:r>
      <w:r w:rsidR="00976DAC" w:rsidRPr="00976DAC">
        <w:rPr>
          <w:rFonts w:ascii="Times New Roman" w:eastAsia="Calibri" w:hAnsi="Times New Roman" w:cs="Times New Roman"/>
          <w:iCs/>
          <w:color w:val="000000"/>
        </w:rPr>
        <w:t xml:space="preserve">2, продолжение. Оценка числа поставщиков основного закупаемого респондентом товара (работы, услуги) </w:t>
      </w:r>
      <w:r w:rsidR="00976DAC" w:rsidRPr="00976DAC">
        <w:rPr>
          <w:rFonts w:ascii="Times New Roman" w:eastAsia="Calibri" w:hAnsi="Times New Roman" w:cs="Times New Roman"/>
          <w:noProof/>
          <w:color w:val="000000"/>
        </w:rPr>
        <w:t xml:space="preserve">(опрос предпринимателей, </w:t>
      </w:r>
      <w:r w:rsidR="00976DAC" w:rsidRPr="00976DAC">
        <w:rPr>
          <w:rFonts w:ascii="Times New Roman" w:eastAsia="Calibri" w:hAnsi="Times New Roman" w:cs="Times New Roman"/>
          <w:noProof/>
          <w:color w:val="000000"/>
          <w:lang w:val="en-US"/>
        </w:rPr>
        <w:t>n</w:t>
      </w:r>
      <w:r w:rsidR="00976DAC" w:rsidRPr="00976DAC">
        <w:rPr>
          <w:rFonts w:ascii="Times New Roman" w:eastAsia="Calibri" w:hAnsi="Times New Roman" w:cs="Times New Roman"/>
          <w:noProof/>
          <w:color w:val="000000"/>
        </w:rPr>
        <w:t>=500, в разрезе по рынкам)</w:t>
      </w:r>
    </w:p>
    <w:p w:rsidR="00976DAC" w:rsidRPr="00976DAC" w:rsidRDefault="00976DAC" w:rsidP="00976DAC">
      <w:pPr>
        <w:spacing w:after="0" w:line="360" w:lineRule="auto"/>
        <w:jc w:val="both"/>
        <w:rPr>
          <w:rFonts w:ascii="Times New Roman" w:eastAsia="Calibri" w:hAnsi="Times New Roman" w:cs="Times New Roman"/>
          <w:color w:val="000000"/>
          <w:sz w:val="28"/>
          <w:szCs w:val="28"/>
        </w:rPr>
      </w:pPr>
      <w:r w:rsidRPr="00976DAC">
        <w:rPr>
          <w:rFonts w:ascii="Times New Roman" w:eastAsia="Franklin Gothic Book" w:hAnsi="Times New Roman" w:cs="Times New Roman"/>
          <w:noProof/>
          <w:color w:val="000000"/>
          <w:szCs w:val="24"/>
          <w:u w:color="000000"/>
          <w:lang w:eastAsia="ru-RU"/>
        </w:rPr>
        <w:drawing>
          <wp:inline distT="0" distB="0" distL="0" distR="0" wp14:anchorId="334D26E0" wp14:editId="31D93073">
            <wp:extent cx="6390005" cy="8610600"/>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449E8" w:rsidRDefault="00F449E8" w:rsidP="00B905C2">
      <w:pPr>
        <w:keepNext/>
        <w:keepLines/>
        <w:spacing w:before="120" w:after="120" w:line="240" w:lineRule="auto"/>
        <w:jc w:val="center"/>
        <w:rPr>
          <w:rFonts w:ascii="Times New Roman" w:eastAsia="Calibri" w:hAnsi="Times New Roman" w:cs="Times New Roman"/>
          <w:iCs/>
          <w:color w:val="000000"/>
        </w:rPr>
      </w:pPr>
    </w:p>
    <w:p w:rsidR="00976DAC" w:rsidRPr="00B905C2" w:rsidRDefault="00B905C2" w:rsidP="00B905C2">
      <w:pPr>
        <w:keepNext/>
        <w:keepLines/>
        <w:spacing w:before="120" w:after="120" w:line="240" w:lineRule="auto"/>
        <w:jc w:val="center"/>
        <w:rPr>
          <w:rFonts w:ascii="Times New Roman" w:eastAsia="Calibri" w:hAnsi="Times New Roman" w:cs="Times New Roman"/>
          <w:iCs/>
          <w:color w:val="000000"/>
        </w:rPr>
      </w:pPr>
      <w:r w:rsidRPr="00B905C2">
        <w:rPr>
          <w:rFonts w:ascii="Times New Roman" w:eastAsia="Calibri" w:hAnsi="Times New Roman" w:cs="Times New Roman"/>
          <w:iCs/>
          <w:color w:val="000000"/>
        </w:rPr>
        <w:t xml:space="preserve">Рисунок </w:t>
      </w:r>
      <w:r w:rsidR="00976DAC" w:rsidRPr="00B905C2">
        <w:rPr>
          <w:rFonts w:ascii="Times New Roman" w:eastAsia="Calibri" w:hAnsi="Times New Roman" w:cs="Times New Roman"/>
          <w:iCs/>
          <w:color w:val="000000"/>
        </w:rPr>
        <w:t xml:space="preserve">2, продолжение. Оценка числа поставщиков основного закупаемого респондентом товара (работы, услуги) </w:t>
      </w:r>
      <w:r w:rsidR="00976DAC" w:rsidRPr="00B905C2">
        <w:rPr>
          <w:rFonts w:ascii="Times New Roman" w:eastAsia="Calibri" w:hAnsi="Times New Roman" w:cs="Times New Roman"/>
          <w:noProof/>
          <w:color w:val="000000"/>
        </w:rPr>
        <w:t xml:space="preserve">(опрос предпринимателей, </w:t>
      </w:r>
      <w:r w:rsidR="00976DAC" w:rsidRPr="00B905C2">
        <w:rPr>
          <w:rFonts w:ascii="Times New Roman" w:eastAsia="Calibri" w:hAnsi="Times New Roman" w:cs="Times New Roman"/>
          <w:noProof/>
          <w:color w:val="000000"/>
          <w:lang w:val="en-US"/>
        </w:rPr>
        <w:t>n</w:t>
      </w:r>
      <w:r w:rsidR="00976DAC" w:rsidRPr="00B905C2">
        <w:rPr>
          <w:rFonts w:ascii="Times New Roman" w:eastAsia="Calibri" w:hAnsi="Times New Roman" w:cs="Times New Roman"/>
          <w:noProof/>
          <w:color w:val="000000"/>
        </w:rPr>
        <w:t>=500, в разрезе по рынкам)</w:t>
      </w:r>
    </w:p>
    <w:p w:rsidR="00976DAC" w:rsidRPr="00976DAC" w:rsidRDefault="00976DAC" w:rsidP="00976DAC">
      <w:pPr>
        <w:spacing w:after="0" w:line="360" w:lineRule="auto"/>
        <w:jc w:val="both"/>
        <w:rPr>
          <w:rFonts w:ascii="Times New Roman" w:eastAsia="Calibri" w:hAnsi="Times New Roman" w:cs="Times New Roman"/>
          <w:color w:val="000000"/>
          <w:sz w:val="28"/>
          <w:szCs w:val="28"/>
        </w:rPr>
      </w:pPr>
      <w:r w:rsidRPr="00976DAC">
        <w:rPr>
          <w:rFonts w:ascii="Times New Roman" w:eastAsia="Franklin Gothic Book" w:hAnsi="Times New Roman" w:cs="Times New Roman"/>
          <w:noProof/>
          <w:color w:val="000000"/>
          <w:szCs w:val="24"/>
          <w:u w:color="000000"/>
          <w:lang w:eastAsia="ru-RU"/>
        </w:rPr>
        <w:drawing>
          <wp:inline distT="0" distB="0" distL="0" distR="0" wp14:anchorId="742473C8" wp14:editId="357AAEDA">
            <wp:extent cx="6390005" cy="3710940"/>
            <wp:effectExtent l="0" t="0" r="0" b="381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76DAC" w:rsidRPr="00976DAC" w:rsidRDefault="00976DAC" w:rsidP="00976DAC">
      <w:pPr>
        <w:tabs>
          <w:tab w:val="left" w:pos="993"/>
        </w:tabs>
        <w:spacing w:after="0" w:line="360" w:lineRule="auto"/>
        <w:ind w:firstLine="709"/>
        <w:jc w:val="both"/>
        <w:rPr>
          <w:rFonts w:ascii="Times New Roman" w:eastAsia="Calibri" w:hAnsi="Times New Roman" w:cs="Times New Roman"/>
          <w:color w:val="000000"/>
          <w:sz w:val="28"/>
          <w:szCs w:val="28"/>
        </w:rPr>
      </w:pPr>
    </w:p>
    <w:p w:rsidR="00976DAC" w:rsidRPr="00F63F2E" w:rsidRDefault="00F63F2E" w:rsidP="00F63F2E">
      <w:pPr>
        <w:spacing w:after="0" w:line="360" w:lineRule="auto"/>
        <w:ind w:firstLine="709"/>
        <w:jc w:val="both"/>
        <w:rPr>
          <w:rFonts w:ascii="Times New Roman" w:eastAsia="Calibri" w:hAnsi="Times New Roman" w:cs="Times New Roman"/>
          <w:color w:val="000000"/>
          <w:sz w:val="24"/>
          <w:szCs w:val="24"/>
        </w:rPr>
      </w:pPr>
      <w:r w:rsidRPr="00F63F2E">
        <w:rPr>
          <w:rFonts w:ascii="Times New Roman" w:eastAsia="Calibri" w:hAnsi="Times New Roman" w:cs="Times New Roman"/>
          <w:color w:val="000000"/>
          <w:sz w:val="24"/>
          <w:szCs w:val="24"/>
        </w:rPr>
        <w:t xml:space="preserve">Из представленного рисунка </w:t>
      </w:r>
      <w:r w:rsidR="00976DAC" w:rsidRPr="00F63F2E">
        <w:rPr>
          <w:rFonts w:ascii="Times New Roman" w:eastAsia="Calibri" w:hAnsi="Times New Roman" w:cs="Times New Roman"/>
          <w:color w:val="000000"/>
          <w:sz w:val="24"/>
          <w:szCs w:val="24"/>
        </w:rPr>
        <w:t xml:space="preserve">2 следует, что, согласно оценкам предпринимателей, </w:t>
      </w:r>
      <w:r w:rsidR="00976DAC" w:rsidRPr="00F63F2E">
        <w:rPr>
          <w:rFonts w:ascii="Times New Roman" w:eastAsia="Calibri" w:hAnsi="Times New Roman" w:cs="Times New Roman"/>
          <w:b/>
          <w:color w:val="000000"/>
          <w:sz w:val="24"/>
          <w:szCs w:val="24"/>
        </w:rPr>
        <w:t>разнообразие поставщиков</w:t>
      </w:r>
      <w:r w:rsidR="00976DAC" w:rsidRPr="00F63F2E">
        <w:rPr>
          <w:rFonts w:ascii="Times New Roman" w:eastAsia="Calibri" w:hAnsi="Times New Roman" w:cs="Times New Roman"/>
          <w:color w:val="000000"/>
          <w:sz w:val="24"/>
          <w:szCs w:val="24"/>
        </w:rPr>
        <w:t xml:space="preserve"> (сумма вариантов ответа "большое число поставщиков" и "4 и более поставщика" равна 65% и более) основного закупаемого товара (работы, услуги) характерно для таких рынков, как:</w:t>
      </w:r>
    </w:p>
    <w:p w:rsidR="00976DAC" w:rsidRPr="00F63F2E" w:rsidRDefault="00976DAC" w:rsidP="00080A73">
      <w:pPr>
        <w:numPr>
          <w:ilvl w:val="0"/>
          <w:numId w:val="8"/>
        </w:numPr>
        <w:spacing w:after="0" w:line="360" w:lineRule="auto"/>
        <w:ind w:left="0" w:firstLine="709"/>
        <w:contextualSpacing/>
        <w:jc w:val="both"/>
        <w:rPr>
          <w:rFonts w:ascii="Times New Roman" w:eastAsia="Calibri" w:hAnsi="Times New Roman" w:cs="Times New Roman"/>
          <w:color w:val="000000"/>
          <w:sz w:val="24"/>
          <w:szCs w:val="24"/>
        </w:rPr>
      </w:pPr>
      <w:r w:rsidRPr="00F63F2E">
        <w:rPr>
          <w:rFonts w:ascii="Times New Roman" w:eastAsia="Calibri" w:hAnsi="Times New Roman" w:cs="Times New Roman"/>
          <w:color w:val="000000"/>
          <w:sz w:val="24"/>
          <w:szCs w:val="24"/>
        </w:rPr>
        <w:t>Рынок строительства объектов капитального строительства, за исключением жилищного и дорожного строительства (77%);</w:t>
      </w:r>
    </w:p>
    <w:p w:rsidR="00976DAC" w:rsidRPr="00F63F2E" w:rsidRDefault="00976DAC" w:rsidP="00080A73">
      <w:pPr>
        <w:numPr>
          <w:ilvl w:val="0"/>
          <w:numId w:val="8"/>
        </w:numPr>
        <w:spacing w:after="0" w:line="360" w:lineRule="auto"/>
        <w:ind w:left="0" w:firstLine="709"/>
        <w:contextualSpacing/>
        <w:jc w:val="both"/>
        <w:rPr>
          <w:rFonts w:ascii="Times New Roman" w:eastAsia="Calibri" w:hAnsi="Times New Roman" w:cs="Times New Roman"/>
          <w:color w:val="000000"/>
          <w:sz w:val="24"/>
          <w:szCs w:val="24"/>
        </w:rPr>
      </w:pPr>
      <w:r w:rsidRPr="00F63F2E">
        <w:rPr>
          <w:rFonts w:ascii="Times New Roman" w:eastAsia="Calibri" w:hAnsi="Times New Roman" w:cs="Times New Roman"/>
          <w:color w:val="000000"/>
          <w:sz w:val="24"/>
          <w:szCs w:val="24"/>
        </w:rPr>
        <w:t>Рынок услуг розничной торговли лекарственными препаратами, медицинскими изделиями и сопутствующими товарами (73%);</w:t>
      </w:r>
    </w:p>
    <w:p w:rsidR="00976DAC" w:rsidRPr="00F63F2E" w:rsidRDefault="00976DAC" w:rsidP="00080A73">
      <w:pPr>
        <w:numPr>
          <w:ilvl w:val="0"/>
          <w:numId w:val="8"/>
        </w:numPr>
        <w:spacing w:after="0" w:line="360" w:lineRule="auto"/>
        <w:ind w:left="0" w:firstLine="709"/>
        <w:contextualSpacing/>
        <w:jc w:val="both"/>
        <w:rPr>
          <w:rFonts w:ascii="Times New Roman" w:eastAsia="Calibri" w:hAnsi="Times New Roman" w:cs="Times New Roman"/>
          <w:color w:val="000000"/>
          <w:sz w:val="24"/>
          <w:szCs w:val="24"/>
        </w:rPr>
      </w:pPr>
      <w:r w:rsidRPr="00F63F2E">
        <w:rPr>
          <w:rFonts w:ascii="Times New Roman" w:eastAsia="Calibri" w:hAnsi="Times New Roman" w:cs="Times New Roman"/>
          <w:color w:val="000000"/>
          <w:sz w:val="24"/>
          <w:szCs w:val="24"/>
        </w:rPr>
        <w:t>Рынок легкой промышленности (68%);</w:t>
      </w:r>
    </w:p>
    <w:p w:rsidR="00976DAC" w:rsidRPr="00F63F2E" w:rsidRDefault="00976DAC" w:rsidP="00080A73">
      <w:pPr>
        <w:numPr>
          <w:ilvl w:val="0"/>
          <w:numId w:val="8"/>
        </w:numPr>
        <w:spacing w:after="0" w:line="360" w:lineRule="auto"/>
        <w:ind w:left="0" w:firstLine="709"/>
        <w:contextualSpacing/>
        <w:jc w:val="both"/>
        <w:rPr>
          <w:rFonts w:ascii="Times New Roman" w:eastAsia="Calibri" w:hAnsi="Times New Roman" w:cs="Times New Roman"/>
          <w:color w:val="000000"/>
          <w:sz w:val="24"/>
          <w:szCs w:val="24"/>
        </w:rPr>
      </w:pPr>
      <w:r w:rsidRPr="00F63F2E">
        <w:rPr>
          <w:rFonts w:ascii="Times New Roman" w:eastAsia="Calibri" w:hAnsi="Times New Roman" w:cs="Times New Roman"/>
          <w:color w:val="000000"/>
          <w:sz w:val="24"/>
          <w:szCs w:val="24"/>
        </w:rPr>
        <w:t>Рынок товарной аквакультуры (67%);</w:t>
      </w:r>
    </w:p>
    <w:p w:rsidR="00976DAC" w:rsidRPr="00F63F2E" w:rsidRDefault="00976DAC" w:rsidP="00080A73">
      <w:pPr>
        <w:numPr>
          <w:ilvl w:val="0"/>
          <w:numId w:val="8"/>
        </w:numPr>
        <w:spacing w:after="0" w:line="360" w:lineRule="auto"/>
        <w:ind w:left="0" w:firstLine="709"/>
        <w:contextualSpacing/>
        <w:jc w:val="both"/>
        <w:rPr>
          <w:rFonts w:ascii="Times New Roman" w:eastAsia="Calibri" w:hAnsi="Times New Roman" w:cs="Times New Roman"/>
          <w:color w:val="000000"/>
          <w:sz w:val="24"/>
          <w:szCs w:val="24"/>
        </w:rPr>
      </w:pPr>
      <w:r w:rsidRPr="00F63F2E">
        <w:rPr>
          <w:rFonts w:ascii="Times New Roman" w:eastAsia="Calibri" w:hAnsi="Times New Roman" w:cs="Times New Roman"/>
          <w:color w:val="000000"/>
          <w:sz w:val="24"/>
          <w:szCs w:val="24"/>
        </w:rPr>
        <w:t>Рынок медицинских услуг (64%).</w:t>
      </w:r>
    </w:p>
    <w:p w:rsidR="00976DAC" w:rsidRPr="00F63F2E" w:rsidRDefault="00976DAC" w:rsidP="00F63F2E">
      <w:pPr>
        <w:spacing w:after="0" w:line="360" w:lineRule="auto"/>
        <w:ind w:firstLine="709"/>
        <w:jc w:val="both"/>
        <w:rPr>
          <w:rFonts w:ascii="Times New Roman" w:eastAsia="Calibri" w:hAnsi="Times New Roman" w:cs="Times New Roman"/>
          <w:color w:val="000000"/>
          <w:sz w:val="24"/>
          <w:szCs w:val="24"/>
        </w:rPr>
      </w:pPr>
      <w:r w:rsidRPr="00F63F2E">
        <w:rPr>
          <w:rFonts w:ascii="Times New Roman" w:eastAsia="Calibri" w:hAnsi="Times New Roman" w:cs="Times New Roman"/>
          <w:b/>
          <w:color w:val="000000"/>
          <w:sz w:val="24"/>
          <w:szCs w:val="24"/>
        </w:rPr>
        <w:t>Среднее количество поставщиков</w:t>
      </w:r>
      <w:r w:rsidRPr="00F63F2E">
        <w:rPr>
          <w:rFonts w:ascii="Times New Roman" w:eastAsia="Calibri" w:hAnsi="Times New Roman" w:cs="Times New Roman"/>
          <w:color w:val="000000"/>
          <w:sz w:val="24"/>
          <w:szCs w:val="24"/>
        </w:rPr>
        <w:t xml:space="preserve"> (2-3) в наибольшей степени (50% и выше) наблюдается на следующих товарных рынках:</w:t>
      </w:r>
    </w:p>
    <w:p w:rsidR="00976DAC" w:rsidRPr="00F63F2E" w:rsidRDefault="00976DAC" w:rsidP="00080A73">
      <w:pPr>
        <w:numPr>
          <w:ilvl w:val="0"/>
          <w:numId w:val="8"/>
        </w:numPr>
        <w:spacing w:after="0" w:line="360" w:lineRule="auto"/>
        <w:ind w:left="0" w:firstLine="709"/>
        <w:contextualSpacing/>
        <w:jc w:val="both"/>
        <w:rPr>
          <w:rFonts w:ascii="Times New Roman" w:eastAsia="Calibri" w:hAnsi="Times New Roman" w:cs="Times New Roman"/>
          <w:color w:val="000000"/>
          <w:sz w:val="24"/>
          <w:szCs w:val="24"/>
        </w:rPr>
      </w:pPr>
      <w:r w:rsidRPr="00F63F2E">
        <w:rPr>
          <w:rFonts w:ascii="Times New Roman" w:eastAsia="Calibri" w:hAnsi="Times New Roman" w:cs="Times New Roman"/>
          <w:color w:val="000000"/>
          <w:sz w:val="24"/>
          <w:szCs w:val="24"/>
        </w:rPr>
        <w:t>Рынок переработки водных биоресурсов (70%);</w:t>
      </w:r>
    </w:p>
    <w:p w:rsidR="00976DAC" w:rsidRPr="00F63F2E" w:rsidRDefault="00976DAC" w:rsidP="00080A73">
      <w:pPr>
        <w:numPr>
          <w:ilvl w:val="0"/>
          <w:numId w:val="8"/>
        </w:numPr>
        <w:spacing w:after="0" w:line="360" w:lineRule="auto"/>
        <w:ind w:left="0" w:firstLine="709"/>
        <w:contextualSpacing/>
        <w:jc w:val="both"/>
        <w:rPr>
          <w:rFonts w:ascii="Times New Roman" w:eastAsia="Calibri" w:hAnsi="Times New Roman" w:cs="Times New Roman"/>
          <w:color w:val="000000"/>
          <w:sz w:val="24"/>
          <w:szCs w:val="24"/>
        </w:rPr>
      </w:pPr>
      <w:r w:rsidRPr="00F63F2E">
        <w:rPr>
          <w:rFonts w:ascii="Times New Roman" w:eastAsia="Calibri" w:hAnsi="Times New Roman" w:cs="Times New Roman"/>
          <w:color w:val="000000"/>
          <w:sz w:val="24"/>
          <w:szCs w:val="24"/>
        </w:rPr>
        <w:t>Рынок вылова водных биоресурсов (50%);</w:t>
      </w:r>
    </w:p>
    <w:p w:rsidR="00976DAC" w:rsidRPr="00F63F2E" w:rsidRDefault="00976DAC" w:rsidP="00080A73">
      <w:pPr>
        <w:numPr>
          <w:ilvl w:val="0"/>
          <w:numId w:val="8"/>
        </w:numPr>
        <w:spacing w:after="0" w:line="360" w:lineRule="auto"/>
        <w:ind w:left="0" w:firstLine="709"/>
        <w:contextualSpacing/>
        <w:jc w:val="both"/>
        <w:rPr>
          <w:rFonts w:ascii="Times New Roman" w:eastAsia="Calibri" w:hAnsi="Times New Roman" w:cs="Times New Roman"/>
          <w:color w:val="000000"/>
          <w:sz w:val="24"/>
          <w:szCs w:val="24"/>
        </w:rPr>
      </w:pPr>
      <w:r w:rsidRPr="00F63F2E">
        <w:rPr>
          <w:rFonts w:ascii="Times New Roman" w:eastAsia="Calibri" w:hAnsi="Times New Roman" w:cs="Times New Roman"/>
          <w:color w:val="000000"/>
          <w:sz w:val="24"/>
          <w:szCs w:val="24"/>
        </w:rPr>
        <w:t>Рынок оказания услуг по перевозке пассажиров автомобильным транспортом по межмуниципальным маршрутам регулярных перевозок (50%);</w:t>
      </w:r>
    </w:p>
    <w:p w:rsidR="00976DAC" w:rsidRPr="00F63F2E" w:rsidRDefault="00976DAC" w:rsidP="00080A73">
      <w:pPr>
        <w:numPr>
          <w:ilvl w:val="0"/>
          <w:numId w:val="8"/>
        </w:numPr>
        <w:spacing w:after="0" w:line="360" w:lineRule="auto"/>
        <w:ind w:left="0" w:firstLine="709"/>
        <w:contextualSpacing/>
        <w:jc w:val="both"/>
        <w:rPr>
          <w:rFonts w:ascii="Times New Roman" w:eastAsia="Calibri" w:hAnsi="Times New Roman" w:cs="Times New Roman"/>
          <w:color w:val="000000"/>
          <w:sz w:val="24"/>
          <w:szCs w:val="24"/>
        </w:rPr>
      </w:pPr>
      <w:r w:rsidRPr="00F63F2E">
        <w:rPr>
          <w:rFonts w:ascii="Times New Roman" w:eastAsia="Calibri" w:hAnsi="Times New Roman" w:cs="Times New Roman"/>
          <w:color w:val="000000"/>
          <w:sz w:val="24"/>
          <w:szCs w:val="24"/>
        </w:rPr>
        <w:lastRenderedPageBreak/>
        <w:t>Рынок услуг жилищно-коммунального хозяйства (50%).</w:t>
      </w:r>
    </w:p>
    <w:p w:rsidR="00976DAC" w:rsidRPr="00F63F2E" w:rsidRDefault="00976DAC" w:rsidP="00F63F2E">
      <w:pPr>
        <w:spacing w:after="0" w:line="360" w:lineRule="auto"/>
        <w:ind w:firstLine="709"/>
        <w:jc w:val="both"/>
        <w:rPr>
          <w:rFonts w:ascii="Times New Roman" w:eastAsia="Calibri" w:hAnsi="Times New Roman" w:cs="Times New Roman"/>
          <w:color w:val="000000"/>
          <w:sz w:val="24"/>
          <w:szCs w:val="24"/>
        </w:rPr>
      </w:pPr>
      <w:r w:rsidRPr="00F63F2E">
        <w:rPr>
          <w:rFonts w:ascii="Times New Roman" w:eastAsia="Calibri" w:hAnsi="Times New Roman" w:cs="Times New Roman"/>
          <w:b/>
          <w:color w:val="000000"/>
          <w:sz w:val="24"/>
          <w:szCs w:val="24"/>
        </w:rPr>
        <w:t>Минимальное количество поставщиков основного закупаемого товара (работы, услуги) или их отсутствие</w:t>
      </w:r>
      <w:r w:rsidRPr="00F63F2E">
        <w:rPr>
          <w:rFonts w:ascii="Times New Roman" w:eastAsia="Calibri" w:hAnsi="Times New Roman" w:cs="Times New Roman"/>
          <w:color w:val="000000"/>
          <w:sz w:val="24"/>
          <w:szCs w:val="24"/>
        </w:rPr>
        <w:t xml:space="preserve"> чаще всего (сумма вариантов ответа "единственный поставщик" и "не пользуемся услугами поставщиков" равна 35% и более) отмечается в таких сферах деятельности, как:</w:t>
      </w:r>
    </w:p>
    <w:p w:rsidR="00976DAC" w:rsidRPr="00F63F2E" w:rsidRDefault="00976DAC" w:rsidP="00080A73">
      <w:pPr>
        <w:numPr>
          <w:ilvl w:val="0"/>
          <w:numId w:val="8"/>
        </w:numPr>
        <w:spacing w:after="0" w:line="360" w:lineRule="auto"/>
        <w:ind w:left="0" w:firstLine="709"/>
        <w:contextualSpacing/>
        <w:jc w:val="both"/>
        <w:rPr>
          <w:rFonts w:ascii="Times New Roman" w:eastAsia="Calibri" w:hAnsi="Times New Roman" w:cs="Times New Roman"/>
          <w:color w:val="000000"/>
          <w:sz w:val="24"/>
          <w:szCs w:val="24"/>
        </w:rPr>
      </w:pPr>
      <w:r w:rsidRPr="00F63F2E">
        <w:rPr>
          <w:rFonts w:ascii="Times New Roman" w:eastAsia="Calibri" w:hAnsi="Times New Roman" w:cs="Times New Roman"/>
          <w:color w:val="000000"/>
          <w:sz w:val="24"/>
          <w:szCs w:val="24"/>
        </w:rPr>
        <w:t>Рынок услуг среднего профессионального образования (50%);</w:t>
      </w:r>
    </w:p>
    <w:p w:rsidR="00976DAC" w:rsidRPr="00F63F2E" w:rsidRDefault="00976DAC" w:rsidP="00080A73">
      <w:pPr>
        <w:numPr>
          <w:ilvl w:val="0"/>
          <w:numId w:val="8"/>
        </w:numPr>
        <w:spacing w:after="0" w:line="360" w:lineRule="auto"/>
        <w:ind w:left="0" w:firstLine="709"/>
        <w:contextualSpacing/>
        <w:jc w:val="both"/>
        <w:rPr>
          <w:rFonts w:ascii="Times New Roman" w:eastAsia="Calibri" w:hAnsi="Times New Roman" w:cs="Times New Roman"/>
          <w:color w:val="000000"/>
          <w:sz w:val="24"/>
          <w:szCs w:val="24"/>
        </w:rPr>
      </w:pPr>
      <w:r w:rsidRPr="00F63F2E">
        <w:rPr>
          <w:rFonts w:ascii="Times New Roman" w:eastAsia="Calibri" w:hAnsi="Times New Roman" w:cs="Times New Roman"/>
          <w:color w:val="000000"/>
          <w:sz w:val="24"/>
          <w:szCs w:val="24"/>
        </w:rPr>
        <w:t>Рынок услуг дошкольного образования (45%);</w:t>
      </w:r>
    </w:p>
    <w:p w:rsidR="00976DAC" w:rsidRPr="00F63F2E" w:rsidRDefault="00976DAC" w:rsidP="00080A73">
      <w:pPr>
        <w:numPr>
          <w:ilvl w:val="0"/>
          <w:numId w:val="8"/>
        </w:numPr>
        <w:spacing w:after="0" w:line="360" w:lineRule="auto"/>
        <w:ind w:left="0" w:firstLine="709"/>
        <w:contextualSpacing/>
        <w:jc w:val="both"/>
        <w:rPr>
          <w:rFonts w:ascii="Times New Roman" w:eastAsia="Calibri" w:hAnsi="Times New Roman" w:cs="Times New Roman"/>
          <w:color w:val="000000"/>
          <w:sz w:val="24"/>
          <w:szCs w:val="24"/>
        </w:rPr>
      </w:pPr>
      <w:r w:rsidRPr="00F63F2E">
        <w:rPr>
          <w:rFonts w:ascii="Times New Roman" w:eastAsia="Calibri" w:hAnsi="Times New Roman" w:cs="Times New Roman"/>
          <w:color w:val="000000"/>
          <w:sz w:val="24"/>
          <w:szCs w:val="24"/>
        </w:rPr>
        <w:t>Рынок услуг детского отдыха и оздоровления (40%);</w:t>
      </w:r>
    </w:p>
    <w:p w:rsidR="00976DAC" w:rsidRPr="00F63F2E" w:rsidRDefault="00976DAC" w:rsidP="00080A73">
      <w:pPr>
        <w:numPr>
          <w:ilvl w:val="0"/>
          <w:numId w:val="8"/>
        </w:numPr>
        <w:spacing w:after="0" w:line="360" w:lineRule="auto"/>
        <w:ind w:left="0" w:firstLine="709"/>
        <w:contextualSpacing/>
        <w:jc w:val="both"/>
        <w:rPr>
          <w:rFonts w:ascii="Times New Roman" w:eastAsia="Calibri" w:hAnsi="Times New Roman" w:cs="Times New Roman"/>
          <w:color w:val="000000"/>
          <w:sz w:val="24"/>
          <w:szCs w:val="24"/>
        </w:rPr>
      </w:pPr>
      <w:r w:rsidRPr="00F63F2E">
        <w:rPr>
          <w:rFonts w:ascii="Times New Roman" w:eastAsia="Calibri" w:hAnsi="Times New Roman" w:cs="Times New Roman"/>
          <w:color w:val="000000"/>
          <w:sz w:val="24"/>
          <w:szCs w:val="24"/>
        </w:rPr>
        <w:t>Рынок кадастровых и землеустроительных работ (36%);</w:t>
      </w:r>
    </w:p>
    <w:p w:rsidR="00976DAC" w:rsidRPr="00F63F2E" w:rsidRDefault="00976DAC" w:rsidP="00080A73">
      <w:pPr>
        <w:numPr>
          <w:ilvl w:val="0"/>
          <w:numId w:val="8"/>
        </w:numPr>
        <w:spacing w:after="0" w:line="360" w:lineRule="auto"/>
        <w:ind w:left="0" w:firstLine="709"/>
        <w:contextualSpacing/>
        <w:jc w:val="both"/>
        <w:rPr>
          <w:rFonts w:ascii="Times New Roman" w:eastAsia="Calibri" w:hAnsi="Times New Roman" w:cs="Times New Roman"/>
          <w:color w:val="000000"/>
          <w:sz w:val="24"/>
          <w:szCs w:val="24"/>
        </w:rPr>
      </w:pPr>
      <w:r w:rsidRPr="00F63F2E">
        <w:rPr>
          <w:rFonts w:ascii="Times New Roman" w:eastAsia="Calibri" w:hAnsi="Times New Roman" w:cs="Times New Roman"/>
          <w:color w:val="000000"/>
          <w:sz w:val="24"/>
          <w:szCs w:val="24"/>
        </w:rPr>
        <w:t>Рынок оказания услуг по перевозке пассажиров и багажа легковым такси на территории Ленинградской области (36%).</w:t>
      </w:r>
    </w:p>
    <w:p w:rsidR="00F449E8" w:rsidRDefault="00F449E8" w:rsidP="00F63F2E">
      <w:pPr>
        <w:keepNext/>
        <w:keepLines/>
        <w:spacing w:before="120" w:after="120" w:line="240" w:lineRule="auto"/>
        <w:jc w:val="center"/>
        <w:rPr>
          <w:rFonts w:ascii="Times New Roman" w:eastAsia="Calibri" w:hAnsi="Times New Roman" w:cs="Times New Roman"/>
          <w:iCs/>
          <w:color w:val="000000"/>
        </w:rPr>
      </w:pPr>
    </w:p>
    <w:p w:rsidR="00976DAC" w:rsidRPr="00F63F2E" w:rsidRDefault="00F63F2E" w:rsidP="00F63F2E">
      <w:pPr>
        <w:keepNext/>
        <w:keepLines/>
        <w:spacing w:before="120" w:after="120" w:line="240" w:lineRule="auto"/>
        <w:jc w:val="center"/>
        <w:rPr>
          <w:rFonts w:ascii="Times New Roman" w:eastAsia="Calibri" w:hAnsi="Times New Roman" w:cs="Times New Roman"/>
          <w:iCs/>
          <w:color w:val="000000"/>
        </w:rPr>
      </w:pPr>
      <w:r w:rsidRPr="00F63F2E">
        <w:rPr>
          <w:rFonts w:ascii="Times New Roman" w:eastAsia="Calibri" w:hAnsi="Times New Roman" w:cs="Times New Roman"/>
          <w:iCs/>
          <w:color w:val="000000"/>
        </w:rPr>
        <w:t xml:space="preserve">Рисунок </w:t>
      </w:r>
      <w:r w:rsidR="00976DAC" w:rsidRPr="00F63F2E">
        <w:rPr>
          <w:rFonts w:ascii="Times New Roman" w:eastAsia="Calibri" w:hAnsi="Times New Roman" w:cs="Times New Roman"/>
          <w:iCs/>
          <w:color w:val="000000"/>
        </w:rPr>
        <w:t xml:space="preserve">3. Оценка числа поставщиков основного закупаемого респондентом товара (работы, услуги) </w:t>
      </w:r>
      <w:r w:rsidR="00976DAC" w:rsidRPr="00F63F2E">
        <w:rPr>
          <w:rFonts w:ascii="Times New Roman" w:eastAsia="Calibri" w:hAnsi="Times New Roman" w:cs="Times New Roman"/>
          <w:noProof/>
          <w:color w:val="000000"/>
        </w:rPr>
        <w:t xml:space="preserve">(опрос предпринимателей, </w:t>
      </w:r>
      <w:r w:rsidR="00976DAC" w:rsidRPr="00F63F2E">
        <w:rPr>
          <w:rFonts w:ascii="Times New Roman" w:eastAsia="Calibri" w:hAnsi="Times New Roman" w:cs="Times New Roman"/>
          <w:noProof/>
          <w:color w:val="000000"/>
          <w:lang w:val="en-US"/>
        </w:rPr>
        <w:t>n</w:t>
      </w:r>
      <w:r w:rsidR="00976DAC" w:rsidRPr="00F63F2E">
        <w:rPr>
          <w:rFonts w:ascii="Times New Roman" w:eastAsia="Calibri" w:hAnsi="Times New Roman" w:cs="Times New Roman"/>
          <w:noProof/>
          <w:color w:val="000000"/>
        </w:rPr>
        <w:t>=500, в разрезе по размеру бизнеса)</w:t>
      </w:r>
    </w:p>
    <w:p w:rsidR="00976DAC" w:rsidRPr="00F63F2E" w:rsidRDefault="00976DAC" w:rsidP="00F63F2E">
      <w:pPr>
        <w:rPr>
          <w:rFonts w:ascii="Times New Roman" w:eastAsia="Calibri" w:hAnsi="Times New Roman" w:cs="Times New Roman"/>
          <w:color w:val="000000"/>
          <w:lang w:eastAsia="ru-RU"/>
        </w:rPr>
      </w:pPr>
      <w:r w:rsidRPr="00976DAC">
        <w:rPr>
          <w:rFonts w:ascii="Times New Roman" w:eastAsia="Franklin Gothic Book" w:hAnsi="Times New Roman" w:cs="Times New Roman"/>
          <w:noProof/>
          <w:color w:val="000000"/>
          <w:szCs w:val="24"/>
          <w:u w:color="000000"/>
          <w:lang w:eastAsia="ru-RU"/>
        </w:rPr>
        <w:drawing>
          <wp:inline distT="0" distB="0" distL="0" distR="0" wp14:anchorId="3E92A9F3" wp14:editId="1B8EB76E">
            <wp:extent cx="5981351" cy="2801923"/>
            <wp:effectExtent l="0" t="0" r="635" b="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449E8" w:rsidRDefault="00F449E8" w:rsidP="00F63F2E">
      <w:pPr>
        <w:tabs>
          <w:tab w:val="left" w:pos="993"/>
        </w:tabs>
        <w:spacing w:after="0" w:line="360" w:lineRule="auto"/>
        <w:ind w:firstLine="709"/>
        <w:jc w:val="both"/>
        <w:rPr>
          <w:rFonts w:ascii="Times New Roman" w:eastAsia="Calibri" w:hAnsi="Times New Roman" w:cs="Times New Roman"/>
          <w:color w:val="000000"/>
          <w:sz w:val="24"/>
          <w:szCs w:val="24"/>
        </w:rPr>
      </w:pPr>
    </w:p>
    <w:p w:rsidR="00976DAC" w:rsidRPr="00F63F2E" w:rsidRDefault="00976DAC" w:rsidP="00F63F2E">
      <w:pPr>
        <w:tabs>
          <w:tab w:val="left" w:pos="993"/>
        </w:tabs>
        <w:spacing w:after="0" w:line="360" w:lineRule="auto"/>
        <w:ind w:firstLine="709"/>
        <w:jc w:val="both"/>
        <w:rPr>
          <w:rFonts w:ascii="Times New Roman" w:eastAsia="Calibri" w:hAnsi="Times New Roman" w:cs="Times New Roman"/>
          <w:color w:val="000000"/>
          <w:sz w:val="24"/>
          <w:szCs w:val="24"/>
        </w:rPr>
      </w:pPr>
      <w:r w:rsidRPr="00F63F2E">
        <w:rPr>
          <w:rFonts w:ascii="Times New Roman" w:eastAsia="Calibri" w:hAnsi="Times New Roman" w:cs="Times New Roman"/>
          <w:color w:val="000000"/>
          <w:sz w:val="24"/>
          <w:szCs w:val="24"/>
        </w:rPr>
        <w:t xml:space="preserve">В целом </w:t>
      </w:r>
      <w:r w:rsidRPr="00F63F2E">
        <w:rPr>
          <w:rFonts w:ascii="Times New Roman" w:eastAsia="Calibri" w:hAnsi="Times New Roman" w:cs="Times New Roman"/>
          <w:b/>
          <w:color w:val="000000"/>
          <w:sz w:val="24"/>
          <w:szCs w:val="24"/>
        </w:rPr>
        <w:t>с ростом размера предприятия увеличивается и количество поставщиков</w:t>
      </w:r>
      <w:r w:rsidRPr="00F63F2E">
        <w:rPr>
          <w:rFonts w:ascii="Times New Roman" w:eastAsia="Calibri" w:hAnsi="Times New Roman" w:cs="Times New Roman"/>
          <w:color w:val="000000"/>
          <w:sz w:val="24"/>
          <w:szCs w:val="24"/>
        </w:rPr>
        <w:t xml:space="preserve"> основного закупаемого товара (работы, услуги). Так, среди микро- и малого бизнеса доля тех, кто пользуется услугами четырех или большего количества поставщиков составляет 51-54%, в то время как у средних и крупных предприятий это значение доходит до 70-73%. </w:t>
      </w:r>
    </w:p>
    <w:p w:rsidR="00F449E8" w:rsidRDefault="00F449E8" w:rsidP="00F449E8">
      <w:pPr>
        <w:spacing w:after="0" w:line="360" w:lineRule="auto"/>
        <w:ind w:firstLine="709"/>
        <w:jc w:val="center"/>
        <w:rPr>
          <w:rFonts w:ascii="Times New Roman" w:hAnsi="Times New Roman" w:cs="Times New Roman"/>
          <w:iCs/>
          <w:color w:val="000000" w:themeColor="text1"/>
          <w:sz w:val="24"/>
          <w:szCs w:val="24"/>
        </w:rPr>
      </w:pPr>
    </w:p>
    <w:p w:rsidR="00F63F2E" w:rsidRDefault="00F63F2E" w:rsidP="00F449E8">
      <w:pPr>
        <w:spacing w:after="0" w:line="360" w:lineRule="auto"/>
        <w:ind w:firstLine="709"/>
        <w:jc w:val="center"/>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 xml:space="preserve">Таблица 5. </w:t>
      </w:r>
      <w:r w:rsidR="00F449E8" w:rsidRPr="00F449E8">
        <w:rPr>
          <w:rFonts w:ascii="Times New Roman" w:hAnsi="Times New Roman" w:cs="Times New Roman"/>
          <w:iCs/>
          <w:color w:val="000000" w:themeColor="text1"/>
          <w:sz w:val="24"/>
          <w:szCs w:val="24"/>
        </w:rPr>
        <w:t>Динамика оценки состояния конкуренции между поставщиками основного закупаемого респондентом товара (работы, услуги) по сегментам бизнеса: число поставщиков (опрос предпринимателей, в разрезе по рынкам)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4"/>
        <w:gridCol w:w="3298"/>
        <w:gridCol w:w="1048"/>
        <w:gridCol w:w="1048"/>
        <w:gridCol w:w="1048"/>
        <w:gridCol w:w="1048"/>
        <w:gridCol w:w="1018"/>
        <w:gridCol w:w="977"/>
      </w:tblGrid>
      <w:tr w:rsidR="00F63F2E" w:rsidRPr="00F63F2E" w:rsidTr="00F63F2E">
        <w:trPr>
          <w:cantSplit/>
          <w:trHeight w:val="850"/>
          <w:tblHeader/>
        </w:trPr>
        <w:tc>
          <w:tcPr>
            <w:tcW w:w="386" w:type="pct"/>
            <w:vMerge w:val="restart"/>
            <w:shd w:val="clear" w:color="auto" w:fill="auto"/>
            <w:noWrap/>
            <w:vAlign w:val="center"/>
          </w:tcPr>
          <w:p w:rsidR="00F63F2E" w:rsidRPr="00F63F2E" w:rsidRDefault="00F63F2E" w:rsidP="00F63F2E">
            <w:pPr>
              <w:spacing w:after="0"/>
              <w:jc w:val="center"/>
              <w:rPr>
                <w:rFonts w:ascii="Times New Roman" w:eastAsia="Calibri" w:hAnsi="Times New Roman" w:cs="Times New Roman"/>
                <w:b/>
                <w:color w:val="000000"/>
              </w:rPr>
            </w:pPr>
            <w:r w:rsidRPr="00F63F2E">
              <w:rPr>
                <w:rFonts w:ascii="Times New Roman" w:eastAsia="Calibri" w:hAnsi="Times New Roman" w:cs="Times New Roman"/>
                <w:b/>
                <w:color w:val="000000"/>
              </w:rPr>
              <w:lastRenderedPageBreak/>
              <w:t>№ п/п</w:t>
            </w:r>
          </w:p>
        </w:tc>
        <w:tc>
          <w:tcPr>
            <w:tcW w:w="1604" w:type="pct"/>
            <w:vMerge w:val="restart"/>
            <w:shd w:val="clear" w:color="auto" w:fill="auto"/>
            <w:noWrap/>
            <w:vAlign w:val="center"/>
          </w:tcPr>
          <w:p w:rsidR="00F63F2E" w:rsidRPr="00F63F2E" w:rsidRDefault="00F63F2E" w:rsidP="00F63F2E">
            <w:pPr>
              <w:spacing w:after="0"/>
              <w:jc w:val="center"/>
              <w:rPr>
                <w:rFonts w:ascii="Times New Roman" w:eastAsia="Times New Roman" w:hAnsi="Times New Roman" w:cs="Times New Roman"/>
                <w:b/>
                <w:bCs/>
                <w:color w:val="000000"/>
                <w:lang w:eastAsia="ru-RU"/>
              </w:rPr>
            </w:pPr>
            <w:r w:rsidRPr="00F63F2E">
              <w:rPr>
                <w:rFonts w:ascii="Times New Roman" w:eastAsia="Times New Roman" w:hAnsi="Times New Roman" w:cs="Times New Roman"/>
                <w:b/>
                <w:bCs/>
                <w:color w:val="000000"/>
                <w:lang w:eastAsia="ru-RU"/>
              </w:rPr>
              <w:t>Наименование рынка</w:t>
            </w:r>
          </w:p>
        </w:tc>
        <w:tc>
          <w:tcPr>
            <w:tcW w:w="1020" w:type="pct"/>
            <w:gridSpan w:val="2"/>
            <w:shd w:val="clear" w:color="auto" w:fill="auto"/>
            <w:vAlign w:val="center"/>
          </w:tcPr>
          <w:p w:rsidR="00F63F2E" w:rsidRPr="00F63F2E" w:rsidRDefault="00F63F2E" w:rsidP="00F63F2E">
            <w:pPr>
              <w:spacing w:after="0"/>
              <w:jc w:val="center"/>
              <w:rPr>
                <w:rFonts w:ascii="Times New Roman" w:eastAsia="Times New Roman" w:hAnsi="Times New Roman" w:cs="Times New Roman"/>
                <w:b/>
                <w:bCs/>
                <w:color w:val="000000"/>
                <w:lang w:eastAsia="ru-RU"/>
              </w:rPr>
            </w:pPr>
            <w:r w:rsidRPr="00F63F2E">
              <w:rPr>
                <w:rFonts w:ascii="Times New Roman" w:eastAsia="Times New Roman" w:hAnsi="Times New Roman" w:cs="Times New Roman"/>
                <w:b/>
                <w:bCs/>
                <w:color w:val="000000"/>
                <w:lang w:eastAsia="ru-RU"/>
              </w:rPr>
              <w:t>2021 г.</w:t>
            </w:r>
          </w:p>
        </w:tc>
        <w:tc>
          <w:tcPr>
            <w:tcW w:w="1020" w:type="pct"/>
            <w:gridSpan w:val="2"/>
            <w:shd w:val="clear" w:color="auto" w:fill="auto"/>
            <w:vAlign w:val="center"/>
          </w:tcPr>
          <w:p w:rsidR="00F63F2E" w:rsidRPr="00F63F2E" w:rsidRDefault="00F63F2E" w:rsidP="00F63F2E">
            <w:pPr>
              <w:spacing w:after="0"/>
              <w:jc w:val="center"/>
              <w:rPr>
                <w:rFonts w:ascii="Times New Roman" w:eastAsia="Times New Roman" w:hAnsi="Times New Roman" w:cs="Times New Roman"/>
                <w:b/>
                <w:bCs/>
                <w:color w:val="000000"/>
                <w:lang w:eastAsia="ru-RU"/>
              </w:rPr>
            </w:pPr>
            <w:r w:rsidRPr="00F63F2E">
              <w:rPr>
                <w:rFonts w:ascii="Times New Roman" w:eastAsia="Times New Roman" w:hAnsi="Times New Roman" w:cs="Times New Roman"/>
                <w:b/>
                <w:bCs/>
                <w:color w:val="000000"/>
                <w:lang w:eastAsia="ru-RU"/>
              </w:rPr>
              <w:t>2022 г.</w:t>
            </w:r>
          </w:p>
        </w:tc>
        <w:tc>
          <w:tcPr>
            <w:tcW w:w="971" w:type="pct"/>
            <w:gridSpan w:val="2"/>
            <w:shd w:val="clear" w:color="auto" w:fill="auto"/>
            <w:vAlign w:val="center"/>
          </w:tcPr>
          <w:p w:rsidR="00F63F2E" w:rsidRPr="00F63F2E" w:rsidRDefault="00F63F2E" w:rsidP="00F63F2E">
            <w:pPr>
              <w:spacing w:after="0"/>
              <w:jc w:val="center"/>
              <w:rPr>
                <w:rFonts w:ascii="Times New Roman" w:eastAsia="Times New Roman" w:hAnsi="Times New Roman" w:cs="Times New Roman"/>
                <w:b/>
                <w:bCs/>
                <w:color w:val="000000"/>
                <w:lang w:eastAsia="ru-RU"/>
              </w:rPr>
            </w:pPr>
            <w:r w:rsidRPr="00F63F2E">
              <w:rPr>
                <w:rFonts w:ascii="Times New Roman" w:eastAsia="Times New Roman" w:hAnsi="Times New Roman" w:cs="Times New Roman"/>
                <w:b/>
                <w:bCs/>
                <w:color w:val="000000"/>
                <w:lang w:eastAsia="ru-RU"/>
              </w:rPr>
              <w:t>Разница показателей между замерами 2022 и 2021 гг.</w:t>
            </w:r>
          </w:p>
        </w:tc>
      </w:tr>
      <w:tr w:rsidR="00F63F2E" w:rsidRPr="00F63F2E" w:rsidTr="00F63F2E">
        <w:trPr>
          <w:cantSplit/>
          <w:trHeight w:val="2555"/>
          <w:tblHeader/>
        </w:trPr>
        <w:tc>
          <w:tcPr>
            <w:tcW w:w="386" w:type="pct"/>
            <w:vMerge/>
            <w:shd w:val="clear" w:color="auto" w:fill="auto"/>
            <w:noWrap/>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p>
        </w:tc>
        <w:tc>
          <w:tcPr>
            <w:tcW w:w="1604" w:type="pct"/>
            <w:vMerge/>
            <w:shd w:val="clear" w:color="auto" w:fill="auto"/>
            <w:noWrap/>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p>
        </w:tc>
        <w:tc>
          <w:tcPr>
            <w:tcW w:w="510" w:type="pct"/>
            <w:shd w:val="clear" w:color="auto" w:fill="auto"/>
            <w:textDirection w:val="btLr"/>
            <w:vAlign w:val="center"/>
          </w:tcPr>
          <w:p w:rsidR="00F63F2E" w:rsidRPr="00F63F2E" w:rsidRDefault="00F63F2E" w:rsidP="00F63F2E">
            <w:pPr>
              <w:spacing w:after="0"/>
              <w:jc w:val="center"/>
              <w:rPr>
                <w:rFonts w:ascii="Times New Roman" w:eastAsia="Times New Roman" w:hAnsi="Times New Roman" w:cs="Times New Roman"/>
                <w:b/>
                <w:bCs/>
                <w:color w:val="000000"/>
                <w:lang w:eastAsia="ru-RU"/>
              </w:rPr>
            </w:pPr>
            <w:r w:rsidRPr="00F63F2E">
              <w:rPr>
                <w:rFonts w:ascii="Times New Roman" w:eastAsia="Times New Roman" w:hAnsi="Times New Roman" w:cs="Times New Roman"/>
                <w:b/>
                <w:bCs/>
                <w:color w:val="000000"/>
                <w:lang w:eastAsia="ru-RU"/>
              </w:rPr>
              <w:t>4 и более поставщика</w:t>
            </w:r>
          </w:p>
        </w:tc>
        <w:tc>
          <w:tcPr>
            <w:tcW w:w="510" w:type="pct"/>
            <w:shd w:val="clear" w:color="auto" w:fill="auto"/>
            <w:textDirection w:val="btLr"/>
            <w:vAlign w:val="center"/>
          </w:tcPr>
          <w:p w:rsidR="00F63F2E" w:rsidRPr="00F63F2E" w:rsidRDefault="00F63F2E" w:rsidP="00F63F2E">
            <w:pPr>
              <w:spacing w:after="0"/>
              <w:jc w:val="center"/>
              <w:rPr>
                <w:rFonts w:ascii="Times New Roman" w:eastAsia="Times New Roman" w:hAnsi="Times New Roman" w:cs="Times New Roman"/>
                <w:b/>
                <w:bCs/>
                <w:color w:val="000000"/>
                <w:lang w:eastAsia="ru-RU"/>
              </w:rPr>
            </w:pPr>
            <w:r w:rsidRPr="00F63F2E">
              <w:rPr>
                <w:rFonts w:ascii="Times New Roman" w:eastAsia="Times New Roman" w:hAnsi="Times New Roman" w:cs="Times New Roman"/>
                <w:b/>
                <w:bCs/>
                <w:color w:val="000000"/>
                <w:lang w:eastAsia="ru-RU"/>
              </w:rPr>
              <w:t>3 и менее поставщика</w:t>
            </w:r>
          </w:p>
        </w:tc>
        <w:tc>
          <w:tcPr>
            <w:tcW w:w="510" w:type="pct"/>
            <w:shd w:val="clear" w:color="auto" w:fill="auto"/>
            <w:textDirection w:val="btLr"/>
            <w:vAlign w:val="center"/>
          </w:tcPr>
          <w:p w:rsidR="00F63F2E" w:rsidRPr="00F63F2E" w:rsidRDefault="00F63F2E" w:rsidP="00F63F2E">
            <w:pPr>
              <w:spacing w:after="0"/>
              <w:jc w:val="center"/>
              <w:rPr>
                <w:rFonts w:ascii="Times New Roman" w:eastAsia="Times New Roman" w:hAnsi="Times New Roman" w:cs="Times New Roman"/>
                <w:b/>
                <w:bCs/>
                <w:color w:val="000000"/>
                <w:lang w:eastAsia="ru-RU"/>
              </w:rPr>
            </w:pPr>
            <w:r w:rsidRPr="00F63F2E">
              <w:rPr>
                <w:rFonts w:ascii="Times New Roman" w:eastAsia="Times New Roman" w:hAnsi="Times New Roman" w:cs="Times New Roman"/>
                <w:b/>
                <w:bCs/>
                <w:color w:val="000000"/>
                <w:lang w:eastAsia="ru-RU"/>
              </w:rPr>
              <w:t>4 и более поставщика</w:t>
            </w:r>
          </w:p>
        </w:tc>
        <w:tc>
          <w:tcPr>
            <w:tcW w:w="510" w:type="pct"/>
            <w:shd w:val="clear" w:color="auto" w:fill="auto"/>
            <w:textDirection w:val="btLr"/>
            <w:vAlign w:val="center"/>
          </w:tcPr>
          <w:p w:rsidR="00F63F2E" w:rsidRPr="00F63F2E" w:rsidRDefault="00F63F2E" w:rsidP="00F63F2E">
            <w:pPr>
              <w:spacing w:after="0"/>
              <w:jc w:val="center"/>
              <w:rPr>
                <w:rFonts w:ascii="Times New Roman" w:eastAsia="Times New Roman" w:hAnsi="Times New Roman" w:cs="Times New Roman"/>
                <w:b/>
                <w:bCs/>
                <w:color w:val="000000"/>
                <w:lang w:eastAsia="ru-RU"/>
              </w:rPr>
            </w:pPr>
            <w:r w:rsidRPr="00F63F2E">
              <w:rPr>
                <w:rFonts w:ascii="Times New Roman" w:eastAsia="Times New Roman" w:hAnsi="Times New Roman" w:cs="Times New Roman"/>
                <w:b/>
                <w:bCs/>
                <w:color w:val="000000"/>
                <w:lang w:eastAsia="ru-RU"/>
              </w:rPr>
              <w:t>3 и менее поставщика</w:t>
            </w:r>
          </w:p>
        </w:tc>
        <w:tc>
          <w:tcPr>
            <w:tcW w:w="495" w:type="pct"/>
            <w:shd w:val="clear" w:color="auto" w:fill="auto"/>
            <w:textDirection w:val="btLr"/>
            <w:vAlign w:val="center"/>
          </w:tcPr>
          <w:p w:rsidR="00F63F2E" w:rsidRPr="00F63F2E" w:rsidRDefault="00F63F2E" w:rsidP="00F63F2E">
            <w:pPr>
              <w:spacing w:after="0"/>
              <w:jc w:val="center"/>
              <w:rPr>
                <w:rFonts w:ascii="Times New Roman" w:eastAsia="Times New Roman" w:hAnsi="Times New Roman" w:cs="Times New Roman"/>
                <w:b/>
                <w:bCs/>
                <w:color w:val="000000"/>
                <w:lang w:eastAsia="ru-RU"/>
              </w:rPr>
            </w:pPr>
            <w:r w:rsidRPr="00F63F2E">
              <w:rPr>
                <w:rFonts w:ascii="Times New Roman" w:eastAsia="Times New Roman" w:hAnsi="Times New Roman" w:cs="Times New Roman"/>
                <w:b/>
                <w:bCs/>
                <w:color w:val="000000"/>
                <w:lang w:eastAsia="ru-RU"/>
              </w:rPr>
              <w:t>4 и более поставщика</w:t>
            </w:r>
          </w:p>
        </w:tc>
        <w:tc>
          <w:tcPr>
            <w:tcW w:w="476" w:type="pct"/>
            <w:shd w:val="clear" w:color="auto" w:fill="auto"/>
            <w:textDirection w:val="btLr"/>
            <w:vAlign w:val="center"/>
          </w:tcPr>
          <w:p w:rsidR="00F63F2E" w:rsidRPr="00F63F2E" w:rsidRDefault="00F63F2E" w:rsidP="00F63F2E">
            <w:pPr>
              <w:spacing w:after="0"/>
              <w:jc w:val="center"/>
              <w:rPr>
                <w:rFonts w:ascii="Times New Roman" w:eastAsia="Times New Roman" w:hAnsi="Times New Roman" w:cs="Times New Roman"/>
                <w:b/>
                <w:bCs/>
                <w:color w:val="000000"/>
                <w:lang w:eastAsia="ru-RU"/>
              </w:rPr>
            </w:pPr>
            <w:r w:rsidRPr="00F63F2E">
              <w:rPr>
                <w:rFonts w:ascii="Times New Roman" w:eastAsia="Times New Roman" w:hAnsi="Times New Roman" w:cs="Times New Roman"/>
                <w:b/>
                <w:bCs/>
                <w:color w:val="000000"/>
                <w:lang w:eastAsia="ru-RU"/>
              </w:rPr>
              <w:t>3 и менее поставщика</w:t>
            </w:r>
          </w:p>
        </w:tc>
      </w:tr>
      <w:tr w:rsidR="00F63F2E" w:rsidRPr="00F63F2E" w:rsidTr="002C7173">
        <w:trPr>
          <w:trHeight w:val="20"/>
        </w:trPr>
        <w:tc>
          <w:tcPr>
            <w:tcW w:w="386" w:type="pct"/>
            <w:shd w:val="clear" w:color="auto" w:fill="auto"/>
            <w:noWrap/>
            <w:vAlign w:val="center"/>
            <w:hideMark/>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1</w:t>
            </w:r>
          </w:p>
        </w:tc>
        <w:tc>
          <w:tcPr>
            <w:tcW w:w="1604" w:type="pct"/>
            <w:shd w:val="clear" w:color="auto" w:fill="auto"/>
            <w:vAlign w:val="center"/>
          </w:tcPr>
          <w:p w:rsidR="00F63F2E" w:rsidRPr="00F63F2E" w:rsidRDefault="00F63F2E" w:rsidP="00F63F2E">
            <w:pPr>
              <w:spacing w:after="0"/>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Рынок товарной аквакультуры</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90%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67%</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25%</w:t>
            </w:r>
          </w:p>
        </w:tc>
        <w:tc>
          <w:tcPr>
            <w:tcW w:w="495"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67%</w:t>
            </w:r>
          </w:p>
        </w:tc>
        <w:tc>
          <w:tcPr>
            <w:tcW w:w="476"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-65%</w:t>
            </w:r>
          </w:p>
        </w:tc>
      </w:tr>
      <w:tr w:rsidR="00F63F2E" w:rsidRPr="00F63F2E" w:rsidTr="002C7173">
        <w:trPr>
          <w:trHeight w:val="20"/>
        </w:trPr>
        <w:tc>
          <w:tcPr>
            <w:tcW w:w="386" w:type="pct"/>
            <w:shd w:val="clear" w:color="auto" w:fill="auto"/>
            <w:noWrap/>
            <w:vAlign w:val="center"/>
            <w:hideMark/>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w:t>
            </w:r>
          </w:p>
        </w:tc>
        <w:tc>
          <w:tcPr>
            <w:tcW w:w="1604" w:type="pct"/>
            <w:shd w:val="clear" w:color="auto" w:fill="auto"/>
            <w:vAlign w:val="center"/>
          </w:tcPr>
          <w:p w:rsidR="00F63F2E" w:rsidRPr="00F63F2E" w:rsidRDefault="00F63F2E" w:rsidP="00F63F2E">
            <w:pPr>
              <w:spacing w:after="0"/>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Рынок нефтепродуктов</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83%</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64%</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9%</w:t>
            </w:r>
          </w:p>
        </w:tc>
        <w:tc>
          <w:tcPr>
            <w:tcW w:w="495"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64%</w:t>
            </w:r>
          </w:p>
        </w:tc>
        <w:tc>
          <w:tcPr>
            <w:tcW w:w="476"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-74%</w:t>
            </w:r>
          </w:p>
        </w:tc>
      </w:tr>
      <w:tr w:rsidR="00F63F2E" w:rsidRPr="00F63F2E" w:rsidTr="002C7173">
        <w:trPr>
          <w:trHeight w:val="20"/>
        </w:trPr>
        <w:tc>
          <w:tcPr>
            <w:tcW w:w="386" w:type="pct"/>
            <w:shd w:val="clear" w:color="auto" w:fill="auto"/>
            <w:noWrap/>
            <w:vAlign w:val="center"/>
            <w:hideMark/>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3</w:t>
            </w:r>
          </w:p>
        </w:tc>
        <w:tc>
          <w:tcPr>
            <w:tcW w:w="1604" w:type="pct"/>
            <w:shd w:val="clear" w:color="auto" w:fill="auto"/>
            <w:vAlign w:val="center"/>
          </w:tcPr>
          <w:p w:rsidR="00F63F2E" w:rsidRPr="00F63F2E" w:rsidRDefault="00F63F2E" w:rsidP="00F63F2E">
            <w:pPr>
              <w:spacing w:after="0"/>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Рынок услуг по сбору и транспортированию твердых коммунальных отходов</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60%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40%</w:t>
            </w:r>
          </w:p>
        </w:tc>
        <w:tc>
          <w:tcPr>
            <w:tcW w:w="495"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60%</w:t>
            </w:r>
          </w:p>
        </w:tc>
        <w:tc>
          <w:tcPr>
            <w:tcW w:w="476"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-10%</w:t>
            </w:r>
          </w:p>
        </w:tc>
      </w:tr>
      <w:tr w:rsidR="00F63F2E" w:rsidRPr="00F63F2E" w:rsidTr="002C7173">
        <w:trPr>
          <w:trHeight w:val="20"/>
        </w:trPr>
        <w:tc>
          <w:tcPr>
            <w:tcW w:w="386" w:type="pct"/>
            <w:shd w:val="clear" w:color="auto" w:fill="auto"/>
            <w:noWrap/>
            <w:vAlign w:val="center"/>
            <w:hideMark/>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4</w:t>
            </w:r>
          </w:p>
        </w:tc>
        <w:tc>
          <w:tcPr>
            <w:tcW w:w="1604" w:type="pct"/>
            <w:shd w:val="clear" w:color="auto" w:fill="auto"/>
            <w:vAlign w:val="center"/>
          </w:tcPr>
          <w:p w:rsidR="00F63F2E" w:rsidRPr="00F63F2E" w:rsidRDefault="00F63F2E" w:rsidP="00F63F2E">
            <w:pPr>
              <w:spacing w:after="0"/>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Рынок кадастровых и землеустроительных работ</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67%</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55%</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9%</w:t>
            </w:r>
          </w:p>
        </w:tc>
        <w:tc>
          <w:tcPr>
            <w:tcW w:w="495"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55%</w:t>
            </w:r>
          </w:p>
        </w:tc>
        <w:tc>
          <w:tcPr>
            <w:tcW w:w="476"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-58%</w:t>
            </w:r>
          </w:p>
        </w:tc>
      </w:tr>
      <w:tr w:rsidR="00F63F2E" w:rsidRPr="00F63F2E" w:rsidTr="002C7173">
        <w:trPr>
          <w:trHeight w:val="20"/>
        </w:trPr>
        <w:tc>
          <w:tcPr>
            <w:tcW w:w="386" w:type="pct"/>
            <w:shd w:val="clear" w:color="auto" w:fill="auto"/>
            <w:noWrap/>
            <w:vAlign w:val="center"/>
            <w:hideMark/>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w:t>
            </w:r>
          </w:p>
        </w:tc>
        <w:tc>
          <w:tcPr>
            <w:tcW w:w="1604" w:type="pct"/>
            <w:shd w:val="clear" w:color="auto" w:fill="auto"/>
            <w:vAlign w:val="center"/>
          </w:tcPr>
          <w:p w:rsidR="00F63F2E" w:rsidRPr="00F63F2E" w:rsidRDefault="00F63F2E" w:rsidP="00F63F2E">
            <w:pPr>
              <w:spacing w:after="0"/>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Рынок добычи общераспространенных полезных ископаемых на участках недр местного значения</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67%</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55%</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45%</w:t>
            </w:r>
          </w:p>
        </w:tc>
        <w:tc>
          <w:tcPr>
            <w:tcW w:w="495"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55%</w:t>
            </w:r>
          </w:p>
        </w:tc>
        <w:tc>
          <w:tcPr>
            <w:tcW w:w="476"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-22%</w:t>
            </w:r>
          </w:p>
        </w:tc>
      </w:tr>
      <w:tr w:rsidR="00F63F2E" w:rsidRPr="00F63F2E" w:rsidTr="002C7173">
        <w:trPr>
          <w:trHeight w:val="20"/>
        </w:trPr>
        <w:tc>
          <w:tcPr>
            <w:tcW w:w="386" w:type="pct"/>
            <w:shd w:val="clear" w:color="auto" w:fill="auto"/>
            <w:noWrap/>
            <w:vAlign w:val="center"/>
            <w:hideMark/>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6</w:t>
            </w:r>
          </w:p>
        </w:tc>
        <w:tc>
          <w:tcPr>
            <w:tcW w:w="1604" w:type="pct"/>
            <w:shd w:val="clear" w:color="auto" w:fill="auto"/>
            <w:vAlign w:val="center"/>
          </w:tcPr>
          <w:p w:rsidR="00F63F2E" w:rsidRPr="00F63F2E" w:rsidRDefault="00F63F2E" w:rsidP="00CD2F82">
            <w:pPr>
              <w:spacing w:after="0"/>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Рынок услуг связи, в том числе услуг по предоставлению широкополосного доступа к информаци</w:t>
            </w:r>
            <w:r w:rsidR="00CD2F82">
              <w:rPr>
                <w:rFonts w:ascii="Times New Roman" w:eastAsia="Times New Roman" w:hAnsi="Times New Roman" w:cs="Times New Roman"/>
                <w:color w:val="000000"/>
                <w:lang w:eastAsia="ru-RU"/>
              </w:rPr>
              <w:t>онно-телекоммуникационной сети «</w:t>
            </w:r>
            <w:r w:rsidRPr="00F63F2E">
              <w:rPr>
                <w:rFonts w:ascii="Times New Roman" w:eastAsia="Times New Roman" w:hAnsi="Times New Roman" w:cs="Times New Roman"/>
                <w:color w:val="000000"/>
                <w:lang w:eastAsia="ru-RU"/>
              </w:rPr>
              <w:t>Интернет</w:t>
            </w:r>
            <w:r w:rsidR="00CD2F82">
              <w:rPr>
                <w:rFonts w:ascii="Times New Roman" w:eastAsia="Times New Roman" w:hAnsi="Times New Roman" w:cs="Times New Roman"/>
                <w:color w:val="000000"/>
                <w:lang w:eastAsia="ru-RU"/>
              </w:rPr>
              <w:t>»</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54%</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23%</w:t>
            </w:r>
          </w:p>
        </w:tc>
        <w:tc>
          <w:tcPr>
            <w:tcW w:w="495"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54%</w:t>
            </w:r>
          </w:p>
        </w:tc>
        <w:tc>
          <w:tcPr>
            <w:tcW w:w="476"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-27%</w:t>
            </w:r>
          </w:p>
        </w:tc>
      </w:tr>
      <w:tr w:rsidR="00F63F2E" w:rsidRPr="00F63F2E" w:rsidTr="002C7173">
        <w:trPr>
          <w:trHeight w:val="20"/>
        </w:trPr>
        <w:tc>
          <w:tcPr>
            <w:tcW w:w="386" w:type="pct"/>
            <w:shd w:val="clear" w:color="auto" w:fill="auto"/>
            <w:noWrap/>
            <w:vAlign w:val="center"/>
            <w:hideMark/>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7</w:t>
            </w:r>
          </w:p>
        </w:tc>
        <w:tc>
          <w:tcPr>
            <w:tcW w:w="1604" w:type="pct"/>
            <w:shd w:val="clear" w:color="auto" w:fill="auto"/>
            <w:vAlign w:val="center"/>
          </w:tcPr>
          <w:p w:rsidR="00F63F2E" w:rsidRPr="00F63F2E" w:rsidRDefault="00F63F2E" w:rsidP="00F63F2E">
            <w:pPr>
              <w:spacing w:after="0"/>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Рынок услуг розничной торговли лекарственными препаратами, медицинскими изделиями и сопутствующими товарами</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60%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73%</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27%</w:t>
            </w:r>
          </w:p>
        </w:tc>
        <w:tc>
          <w:tcPr>
            <w:tcW w:w="495"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53%</w:t>
            </w:r>
          </w:p>
        </w:tc>
        <w:tc>
          <w:tcPr>
            <w:tcW w:w="476"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-33%</w:t>
            </w:r>
          </w:p>
        </w:tc>
      </w:tr>
      <w:tr w:rsidR="00F63F2E" w:rsidRPr="00F63F2E" w:rsidTr="002C7173">
        <w:trPr>
          <w:trHeight w:val="20"/>
        </w:trPr>
        <w:tc>
          <w:tcPr>
            <w:tcW w:w="386" w:type="pct"/>
            <w:shd w:val="clear" w:color="auto" w:fill="auto"/>
            <w:noWrap/>
            <w:vAlign w:val="center"/>
            <w:hideMark/>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8</w:t>
            </w:r>
          </w:p>
        </w:tc>
        <w:tc>
          <w:tcPr>
            <w:tcW w:w="1604" w:type="pct"/>
            <w:shd w:val="clear" w:color="auto" w:fill="auto"/>
            <w:vAlign w:val="center"/>
          </w:tcPr>
          <w:p w:rsidR="00F63F2E" w:rsidRPr="00F63F2E" w:rsidRDefault="00F63F2E" w:rsidP="00F63F2E">
            <w:pPr>
              <w:spacing w:after="0"/>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Рынок услуг детского отдыха и оздоровления</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75%</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20%</w:t>
            </w:r>
          </w:p>
        </w:tc>
        <w:tc>
          <w:tcPr>
            <w:tcW w:w="495"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50%</w:t>
            </w:r>
          </w:p>
        </w:tc>
        <w:tc>
          <w:tcPr>
            <w:tcW w:w="476"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-55%</w:t>
            </w:r>
          </w:p>
        </w:tc>
      </w:tr>
      <w:tr w:rsidR="00F63F2E" w:rsidRPr="00F63F2E" w:rsidTr="002C7173">
        <w:trPr>
          <w:trHeight w:val="20"/>
        </w:trPr>
        <w:tc>
          <w:tcPr>
            <w:tcW w:w="386" w:type="pct"/>
            <w:shd w:val="clear" w:color="auto" w:fill="auto"/>
            <w:noWrap/>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9</w:t>
            </w:r>
          </w:p>
        </w:tc>
        <w:tc>
          <w:tcPr>
            <w:tcW w:w="1604" w:type="pct"/>
            <w:shd w:val="clear" w:color="auto" w:fill="auto"/>
            <w:vAlign w:val="center"/>
          </w:tcPr>
          <w:p w:rsidR="00F63F2E" w:rsidRPr="00F63F2E" w:rsidRDefault="00F63F2E" w:rsidP="00F63F2E">
            <w:pPr>
              <w:spacing w:after="0"/>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Рынок теплоснабжения (производство тепловой энергии)</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7%</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57%</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55%</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45%</w:t>
            </w:r>
          </w:p>
        </w:tc>
        <w:tc>
          <w:tcPr>
            <w:tcW w:w="495"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48%</w:t>
            </w:r>
          </w:p>
        </w:tc>
        <w:tc>
          <w:tcPr>
            <w:tcW w:w="476"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-12%</w:t>
            </w:r>
          </w:p>
        </w:tc>
      </w:tr>
      <w:tr w:rsidR="00F63F2E" w:rsidRPr="00F63F2E" w:rsidTr="002C7173">
        <w:trPr>
          <w:trHeight w:val="20"/>
        </w:trPr>
        <w:tc>
          <w:tcPr>
            <w:tcW w:w="386" w:type="pct"/>
            <w:shd w:val="clear" w:color="auto" w:fill="auto"/>
            <w:noWrap/>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10</w:t>
            </w:r>
          </w:p>
        </w:tc>
        <w:tc>
          <w:tcPr>
            <w:tcW w:w="1604" w:type="pct"/>
            <w:shd w:val="clear" w:color="auto" w:fill="auto"/>
            <w:vAlign w:val="center"/>
          </w:tcPr>
          <w:p w:rsidR="00F63F2E" w:rsidRPr="00F63F2E" w:rsidRDefault="00F63F2E" w:rsidP="00F63F2E">
            <w:pPr>
              <w:spacing w:after="0"/>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Рынок оказания услуг по перевозке пассажиров автомобильным транспортом по муниципальным маршрутам регулярных перевозок</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58%</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45%</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18%</w:t>
            </w:r>
          </w:p>
        </w:tc>
        <w:tc>
          <w:tcPr>
            <w:tcW w:w="495"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45%</w:t>
            </w:r>
          </w:p>
        </w:tc>
        <w:tc>
          <w:tcPr>
            <w:tcW w:w="476"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-40%</w:t>
            </w:r>
          </w:p>
        </w:tc>
      </w:tr>
      <w:tr w:rsidR="00F63F2E" w:rsidRPr="00F63F2E" w:rsidTr="002C7173">
        <w:trPr>
          <w:trHeight w:val="20"/>
        </w:trPr>
        <w:tc>
          <w:tcPr>
            <w:tcW w:w="386" w:type="pct"/>
            <w:shd w:val="clear" w:color="auto" w:fill="auto"/>
            <w:noWrap/>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11</w:t>
            </w:r>
          </w:p>
        </w:tc>
        <w:tc>
          <w:tcPr>
            <w:tcW w:w="1604" w:type="pct"/>
            <w:shd w:val="clear" w:color="auto" w:fill="auto"/>
            <w:vAlign w:val="center"/>
          </w:tcPr>
          <w:p w:rsidR="00F63F2E" w:rsidRPr="00F63F2E" w:rsidRDefault="00F63F2E" w:rsidP="00F63F2E">
            <w:pPr>
              <w:spacing w:after="0"/>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 xml:space="preserve">Рынок производства электрической энергии (мощности) на розничном </w:t>
            </w:r>
            <w:r w:rsidRPr="00F63F2E">
              <w:rPr>
                <w:rFonts w:ascii="Times New Roman" w:eastAsia="Times New Roman" w:hAnsi="Times New Roman" w:cs="Times New Roman"/>
                <w:color w:val="000000"/>
                <w:lang w:eastAsia="ru-RU"/>
              </w:rPr>
              <w:lastRenderedPageBreak/>
              <w:t>рынке электрической энергии (мощности), включая производство электрической энергии (мощности) в режиме когенерации</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lastRenderedPageBreak/>
              <w:t>6%</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81%</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30%</w:t>
            </w:r>
          </w:p>
        </w:tc>
        <w:tc>
          <w:tcPr>
            <w:tcW w:w="495"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44%</w:t>
            </w:r>
          </w:p>
        </w:tc>
        <w:tc>
          <w:tcPr>
            <w:tcW w:w="476"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-51%</w:t>
            </w:r>
          </w:p>
        </w:tc>
      </w:tr>
      <w:tr w:rsidR="00F63F2E" w:rsidRPr="00F63F2E" w:rsidTr="002C7173">
        <w:trPr>
          <w:trHeight w:val="20"/>
        </w:trPr>
        <w:tc>
          <w:tcPr>
            <w:tcW w:w="386" w:type="pct"/>
            <w:shd w:val="clear" w:color="auto" w:fill="auto"/>
            <w:noWrap/>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lastRenderedPageBreak/>
              <w:t>12</w:t>
            </w:r>
          </w:p>
        </w:tc>
        <w:tc>
          <w:tcPr>
            <w:tcW w:w="1604" w:type="pct"/>
            <w:shd w:val="clear" w:color="auto" w:fill="auto"/>
            <w:vAlign w:val="center"/>
          </w:tcPr>
          <w:p w:rsidR="00F63F2E" w:rsidRPr="00F63F2E" w:rsidRDefault="00F63F2E" w:rsidP="00F63F2E">
            <w:pPr>
              <w:spacing w:after="0"/>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Рынок услуг среднего профессионального образования</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57%</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40%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0%</w:t>
            </w:r>
          </w:p>
        </w:tc>
        <w:tc>
          <w:tcPr>
            <w:tcW w:w="495"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40%</w:t>
            </w:r>
          </w:p>
        </w:tc>
        <w:tc>
          <w:tcPr>
            <w:tcW w:w="476"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-57%</w:t>
            </w:r>
          </w:p>
        </w:tc>
      </w:tr>
      <w:tr w:rsidR="00F63F2E" w:rsidRPr="00F63F2E" w:rsidTr="002C7173">
        <w:trPr>
          <w:trHeight w:val="20"/>
        </w:trPr>
        <w:tc>
          <w:tcPr>
            <w:tcW w:w="386" w:type="pct"/>
            <w:shd w:val="clear" w:color="auto" w:fill="auto"/>
            <w:noWrap/>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13</w:t>
            </w:r>
          </w:p>
        </w:tc>
        <w:tc>
          <w:tcPr>
            <w:tcW w:w="1604" w:type="pct"/>
            <w:shd w:val="clear" w:color="auto" w:fill="auto"/>
            <w:vAlign w:val="center"/>
          </w:tcPr>
          <w:p w:rsidR="00F63F2E" w:rsidRPr="00F63F2E" w:rsidRDefault="00F63F2E" w:rsidP="00F63F2E">
            <w:pPr>
              <w:spacing w:after="0"/>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Рынок выполнения работ по содержанию и текущему ремонту общего имущества собственников помещений в многоквартирном доме</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17%</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41%</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56%</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30%</w:t>
            </w:r>
          </w:p>
        </w:tc>
        <w:tc>
          <w:tcPr>
            <w:tcW w:w="495"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39%</w:t>
            </w:r>
          </w:p>
        </w:tc>
        <w:tc>
          <w:tcPr>
            <w:tcW w:w="476"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-11%</w:t>
            </w:r>
          </w:p>
        </w:tc>
      </w:tr>
      <w:tr w:rsidR="00F63F2E" w:rsidRPr="00F63F2E" w:rsidTr="002C7173">
        <w:trPr>
          <w:trHeight w:val="20"/>
        </w:trPr>
        <w:tc>
          <w:tcPr>
            <w:tcW w:w="386" w:type="pct"/>
            <w:shd w:val="clear" w:color="auto" w:fill="auto"/>
            <w:noWrap/>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14</w:t>
            </w:r>
          </w:p>
        </w:tc>
        <w:tc>
          <w:tcPr>
            <w:tcW w:w="1604" w:type="pct"/>
            <w:shd w:val="clear" w:color="auto" w:fill="auto"/>
            <w:vAlign w:val="center"/>
          </w:tcPr>
          <w:p w:rsidR="00F63F2E" w:rsidRPr="00F63F2E" w:rsidRDefault="00F63F2E" w:rsidP="00F63F2E">
            <w:pPr>
              <w:spacing w:after="0"/>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Сфера наружной рекламы</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17%</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55%</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55%</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18%</w:t>
            </w:r>
          </w:p>
        </w:tc>
        <w:tc>
          <w:tcPr>
            <w:tcW w:w="495"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38%</w:t>
            </w:r>
          </w:p>
        </w:tc>
        <w:tc>
          <w:tcPr>
            <w:tcW w:w="476"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-37%</w:t>
            </w:r>
          </w:p>
        </w:tc>
      </w:tr>
      <w:tr w:rsidR="00F63F2E" w:rsidRPr="00F63F2E" w:rsidTr="002C7173">
        <w:trPr>
          <w:trHeight w:val="20"/>
        </w:trPr>
        <w:tc>
          <w:tcPr>
            <w:tcW w:w="386" w:type="pct"/>
            <w:shd w:val="clear" w:color="auto" w:fill="auto"/>
            <w:noWrap/>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15</w:t>
            </w:r>
          </w:p>
        </w:tc>
        <w:tc>
          <w:tcPr>
            <w:tcW w:w="1604" w:type="pct"/>
            <w:shd w:val="clear" w:color="auto" w:fill="auto"/>
            <w:vAlign w:val="center"/>
          </w:tcPr>
          <w:p w:rsidR="00F63F2E" w:rsidRPr="00F63F2E" w:rsidRDefault="00F63F2E" w:rsidP="00F63F2E">
            <w:pPr>
              <w:spacing w:after="0"/>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Рынок жилищного строительства</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25%</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25%</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61%</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24%</w:t>
            </w:r>
          </w:p>
        </w:tc>
        <w:tc>
          <w:tcPr>
            <w:tcW w:w="495"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36%</w:t>
            </w:r>
          </w:p>
        </w:tc>
        <w:tc>
          <w:tcPr>
            <w:tcW w:w="476"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-1%</w:t>
            </w:r>
          </w:p>
        </w:tc>
      </w:tr>
      <w:tr w:rsidR="00F63F2E" w:rsidRPr="00F63F2E" w:rsidTr="002C7173">
        <w:trPr>
          <w:trHeight w:val="20"/>
        </w:trPr>
        <w:tc>
          <w:tcPr>
            <w:tcW w:w="386" w:type="pct"/>
            <w:shd w:val="clear" w:color="auto" w:fill="auto"/>
            <w:noWrap/>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16</w:t>
            </w:r>
          </w:p>
        </w:tc>
        <w:tc>
          <w:tcPr>
            <w:tcW w:w="1604" w:type="pct"/>
            <w:shd w:val="clear" w:color="auto" w:fill="auto"/>
            <w:vAlign w:val="center"/>
          </w:tcPr>
          <w:p w:rsidR="00F63F2E" w:rsidRPr="00F63F2E" w:rsidRDefault="00F63F2E" w:rsidP="00F63F2E">
            <w:pPr>
              <w:spacing w:after="0"/>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Рынок производства кирпича</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33%</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17%</w:t>
            </w:r>
          </w:p>
        </w:tc>
        <w:tc>
          <w:tcPr>
            <w:tcW w:w="495"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33%</w:t>
            </w:r>
          </w:p>
        </w:tc>
        <w:tc>
          <w:tcPr>
            <w:tcW w:w="476"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-33%</w:t>
            </w:r>
          </w:p>
        </w:tc>
      </w:tr>
      <w:tr w:rsidR="00F63F2E" w:rsidRPr="00F63F2E" w:rsidTr="002C7173">
        <w:trPr>
          <w:trHeight w:val="20"/>
        </w:trPr>
        <w:tc>
          <w:tcPr>
            <w:tcW w:w="386" w:type="pct"/>
            <w:shd w:val="clear" w:color="auto" w:fill="auto"/>
            <w:noWrap/>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17</w:t>
            </w:r>
          </w:p>
        </w:tc>
        <w:tc>
          <w:tcPr>
            <w:tcW w:w="1604" w:type="pct"/>
            <w:shd w:val="clear" w:color="auto" w:fill="auto"/>
            <w:vAlign w:val="center"/>
          </w:tcPr>
          <w:p w:rsidR="00F63F2E" w:rsidRPr="00F63F2E" w:rsidRDefault="00F63F2E" w:rsidP="00F63F2E">
            <w:pPr>
              <w:spacing w:after="0"/>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Рынок легкой промышленности</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40%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68%</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22%</w:t>
            </w:r>
          </w:p>
        </w:tc>
        <w:tc>
          <w:tcPr>
            <w:tcW w:w="495"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28%</w:t>
            </w:r>
          </w:p>
        </w:tc>
        <w:tc>
          <w:tcPr>
            <w:tcW w:w="476"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-28%</w:t>
            </w:r>
          </w:p>
        </w:tc>
      </w:tr>
      <w:tr w:rsidR="00F63F2E" w:rsidRPr="00F63F2E" w:rsidTr="002C7173">
        <w:trPr>
          <w:trHeight w:val="20"/>
        </w:trPr>
        <w:tc>
          <w:tcPr>
            <w:tcW w:w="386" w:type="pct"/>
            <w:shd w:val="clear" w:color="auto" w:fill="auto"/>
            <w:noWrap/>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18</w:t>
            </w:r>
          </w:p>
        </w:tc>
        <w:tc>
          <w:tcPr>
            <w:tcW w:w="1604" w:type="pct"/>
            <w:shd w:val="clear" w:color="auto" w:fill="auto"/>
            <w:vAlign w:val="center"/>
          </w:tcPr>
          <w:p w:rsidR="00F63F2E" w:rsidRPr="00F63F2E" w:rsidRDefault="00F63F2E" w:rsidP="00F63F2E">
            <w:pPr>
              <w:spacing w:after="0"/>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Рынок оказания услуг по ремонту автотранспортных средств</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25%</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53%</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19%</w:t>
            </w:r>
          </w:p>
        </w:tc>
        <w:tc>
          <w:tcPr>
            <w:tcW w:w="495"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28%</w:t>
            </w:r>
          </w:p>
        </w:tc>
        <w:tc>
          <w:tcPr>
            <w:tcW w:w="476"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-31%</w:t>
            </w:r>
          </w:p>
        </w:tc>
      </w:tr>
      <w:tr w:rsidR="00F63F2E" w:rsidRPr="00F63F2E" w:rsidTr="002C7173">
        <w:trPr>
          <w:trHeight w:val="20"/>
        </w:trPr>
        <w:tc>
          <w:tcPr>
            <w:tcW w:w="386" w:type="pct"/>
            <w:shd w:val="clear" w:color="auto" w:fill="auto"/>
            <w:noWrap/>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19</w:t>
            </w:r>
          </w:p>
        </w:tc>
        <w:tc>
          <w:tcPr>
            <w:tcW w:w="1604" w:type="pct"/>
            <w:shd w:val="clear" w:color="auto" w:fill="auto"/>
            <w:vAlign w:val="center"/>
          </w:tcPr>
          <w:p w:rsidR="00F63F2E" w:rsidRPr="00F63F2E" w:rsidRDefault="00F63F2E" w:rsidP="00F63F2E">
            <w:pPr>
              <w:spacing w:after="0"/>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Рынок семеноводства</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25%</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75%</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43%</w:t>
            </w:r>
          </w:p>
        </w:tc>
        <w:tc>
          <w:tcPr>
            <w:tcW w:w="495"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25%</w:t>
            </w:r>
          </w:p>
        </w:tc>
        <w:tc>
          <w:tcPr>
            <w:tcW w:w="476"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-32%</w:t>
            </w:r>
          </w:p>
        </w:tc>
      </w:tr>
      <w:tr w:rsidR="00F63F2E" w:rsidRPr="00F63F2E" w:rsidTr="002C7173">
        <w:trPr>
          <w:trHeight w:val="20"/>
        </w:trPr>
        <w:tc>
          <w:tcPr>
            <w:tcW w:w="386" w:type="pct"/>
            <w:shd w:val="clear" w:color="auto" w:fill="auto"/>
            <w:noWrap/>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20</w:t>
            </w:r>
          </w:p>
        </w:tc>
        <w:tc>
          <w:tcPr>
            <w:tcW w:w="1604" w:type="pct"/>
            <w:shd w:val="clear" w:color="auto" w:fill="auto"/>
            <w:vAlign w:val="center"/>
          </w:tcPr>
          <w:p w:rsidR="00F63F2E" w:rsidRPr="00F63F2E" w:rsidRDefault="00F63F2E" w:rsidP="00F63F2E">
            <w:pPr>
              <w:spacing w:after="0"/>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Рынок производства бетона</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25%</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75%</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25%</w:t>
            </w:r>
          </w:p>
        </w:tc>
        <w:tc>
          <w:tcPr>
            <w:tcW w:w="495"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25%</w:t>
            </w:r>
          </w:p>
        </w:tc>
        <w:tc>
          <w:tcPr>
            <w:tcW w:w="476"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-50%</w:t>
            </w:r>
          </w:p>
        </w:tc>
      </w:tr>
      <w:tr w:rsidR="00F63F2E" w:rsidRPr="00F63F2E" w:rsidTr="002C7173">
        <w:trPr>
          <w:trHeight w:val="20"/>
        </w:trPr>
        <w:tc>
          <w:tcPr>
            <w:tcW w:w="386" w:type="pct"/>
            <w:shd w:val="clear" w:color="auto" w:fill="auto"/>
            <w:noWrap/>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21</w:t>
            </w:r>
          </w:p>
        </w:tc>
        <w:tc>
          <w:tcPr>
            <w:tcW w:w="1604" w:type="pct"/>
            <w:shd w:val="clear" w:color="auto" w:fill="auto"/>
            <w:vAlign w:val="center"/>
          </w:tcPr>
          <w:p w:rsidR="00F63F2E" w:rsidRPr="00F63F2E" w:rsidRDefault="00F63F2E" w:rsidP="00F63F2E">
            <w:pPr>
              <w:spacing w:after="0"/>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Рынок услуг общего образования</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19%</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66%</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40%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50%</w:t>
            </w:r>
          </w:p>
        </w:tc>
        <w:tc>
          <w:tcPr>
            <w:tcW w:w="495"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21%</w:t>
            </w:r>
          </w:p>
        </w:tc>
        <w:tc>
          <w:tcPr>
            <w:tcW w:w="476"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-16%</w:t>
            </w:r>
          </w:p>
        </w:tc>
      </w:tr>
      <w:tr w:rsidR="00F63F2E" w:rsidRPr="00F63F2E" w:rsidTr="002C7173">
        <w:trPr>
          <w:trHeight w:val="20"/>
        </w:trPr>
        <w:tc>
          <w:tcPr>
            <w:tcW w:w="386" w:type="pct"/>
            <w:shd w:val="clear" w:color="auto" w:fill="auto"/>
            <w:noWrap/>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22</w:t>
            </w:r>
          </w:p>
        </w:tc>
        <w:tc>
          <w:tcPr>
            <w:tcW w:w="1604" w:type="pct"/>
            <w:shd w:val="clear" w:color="auto" w:fill="auto"/>
            <w:vAlign w:val="center"/>
          </w:tcPr>
          <w:p w:rsidR="00F63F2E" w:rsidRPr="00F63F2E" w:rsidRDefault="00F63F2E" w:rsidP="00F63F2E">
            <w:pPr>
              <w:spacing w:after="0"/>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Рынок оказания услуг по перевозке пассажиров и багажа легковым такси на территории Ленинградской области</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25%</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37%</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45%</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9%</w:t>
            </w:r>
          </w:p>
        </w:tc>
        <w:tc>
          <w:tcPr>
            <w:tcW w:w="495"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20%</w:t>
            </w:r>
          </w:p>
        </w:tc>
        <w:tc>
          <w:tcPr>
            <w:tcW w:w="476"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-28%</w:t>
            </w:r>
          </w:p>
        </w:tc>
      </w:tr>
      <w:tr w:rsidR="00F63F2E" w:rsidRPr="00F63F2E" w:rsidTr="002C7173">
        <w:trPr>
          <w:trHeight w:val="20"/>
        </w:trPr>
        <w:tc>
          <w:tcPr>
            <w:tcW w:w="386" w:type="pct"/>
            <w:shd w:val="clear" w:color="auto" w:fill="auto"/>
            <w:noWrap/>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23</w:t>
            </w:r>
          </w:p>
        </w:tc>
        <w:tc>
          <w:tcPr>
            <w:tcW w:w="1604" w:type="pct"/>
            <w:shd w:val="clear" w:color="auto" w:fill="auto"/>
            <w:vAlign w:val="center"/>
          </w:tcPr>
          <w:p w:rsidR="00F63F2E" w:rsidRPr="00F63F2E" w:rsidRDefault="00F63F2E" w:rsidP="00F63F2E">
            <w:pPr>
              <w:spacing w:after="0"/>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Рынок вылова водных биоресурсов</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60%</w:t>
            </w:r>
          </w:p>
        </w:tc>
        <w:tc>
          <w:tcPr>
            <w:tcW w:w="495"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20%</w:t>
            </w:r>
          </w:p>
        </w:tc>
        <w:tc>
          <w:tcPr>
            <w:tcW w:w="476"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10%</w:t>
            </w:r>
          </w:p>
        </w:tc>
      </w:tr>
      <w:tr w:rsidR="00F63F2E" w:rsidRPr="00F63F2E" w:rsidTr="002C7173">
        <w:trPr>
          <w:trHeight w:val="20"/>
        </w:trPr>
        <w:tc>
          <w:tcPr>
            <w:tcW w:w="386" w:type="pct"/>
            <w:shd w:val="clear" w:color="auto" w:fill="auto"/>
            <w:noWrap/>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24</w:t>
            </w:r>
          </w:p>
        </w:tc>
        <w:tc>
          <w:tcPr>
            <w:tcW w:w="1604" w:type="pct"/>
            <w:shd w:val="clear" w:color="auto" w:fill="auto"/>
            <w:vAlign w:val="center"/>
          </w:tcPr>
          <w:p w:rsidR="00F63F2E" w:rsidRPr="00F63F2E" w:rsidRDefault="00F63F2E" w:rsidP="00F63F2E">
            <w:pPr>
              <w:spacing w:after="0"/>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Рынок купли-продажи электрической энергии (мощности) на розничном рынке электрической энергии (мощности)</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25%</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40%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20%</w:t>
            </w:r>
          </w:p>
        </w:tc>
        <w:tc>
          <w:tcPr>
            <w:tcW w:w="495"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15%</w:t>
            </w:r>
          </w:p>
        </w:tc>
        <w:tc>
          <w:tcPr>
            <w:tcW w:w="476"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-30%</w:t>
            </w:r>
          </w:p>
        </w:tc>
      </w:tr>
      <w:tr w:rsidR="00F63F2E" w:rsidRPr="00F63F2E" w:rsidTr="002C7173">
        <w:trPr>
          <w:trHeight w:val="20"/>
        </w:trPr>
        <w:tc>
          <w:tcPr>
            <w:tcW w:w="386" w:type="pct"/>
            <w:shd w:val="clear" w:color="auto" w:fill="auto"/>
            <w:noWrap/>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25</w:t>
            </w:r>
          </w:p>
        </w:tc>
        <w:tc>
          <w:tcPr>
            <w:tcW w:w="1604" w:type="pct"/>
            <w:shd w:val="clear" w:color="auto" w:fill="auto"/>
            <w:vAlign w:val="center"/>
          </w:tcPr>
          <w:p w:rsidR="00F63F2E" w:rsidRPr="00F63F2E" w:rsidRDefault="00F63F2E" w:rsidP="00F63F2E">
            <w:pPr>
              <w:spacing w:after="0"/>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 xml:space="preserve">Рынок оказания услуг по </w:t>
            </w:r>
            <w:r w:rsidRPr="00F63F2E">
              <w:rPr>
                <w:rFonts w:ascii="Times New Roman" w:eastAsia="Times New Roman" w:hAnsi="Times New Roman" w:cs="Times New Roman"/>
                <w:color w:val="000000"/>
                <w:lang w:eastAsia="ru-RU"/>
              </w:rPr>
              <w:lastRenderedPageBreak/>
              <w:t>перевозке пассажиров автомобильным транспортом по межмуниципальным маршрутам регулярных перевозок</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lastRenderedPageBreak/>
              <w:t>25%</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40%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50%</w:t>
            </w:r>
          </w:p>
        </w:tc>
        <w:tc>
          <w:tcPr>
            <w:tcW w:w="495"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15%</w:t>
            </w:r>
          </w:p>
        </w:tc>
        <w:tc>
          <w:tcPr>
            <w:tcW w:w="476"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0%</w:t>
            </w:r>
          </w:p>
        </w:tc>
      </w:tr>
      <w:tr w:rsidR="00F63F2E" w:rsidRPr="00F63F2E" w:rsidTr="002C7173">
        <w:trPr>
          <w:trHeight w:val="20"/>
        </w:trPr>
        <w:tc>
          <w:tcPr>
            <w:tcW w:w="386" w:type="pct"/>
            <w:shd w:val="clear" w:color="auto" w:fill="auto"/>
            <w:noWrap/>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lastRenderedPageBreak/>
              <w:t>26</w:t>
            </w:r>
          </w:p>
        </w:tc>
        <w:tc>
          <w:tcPr>
            <w:tcW w:w="1604" w:type="pct"/>
            <w:shd w:val="clear" w:color="auto" w:fill="auto"/>
            <w:vAlign w:val="center"/>
          </w:tcPr>
          <w:p w:rsidR="00F63F2E" w:rsidRPr="00F63F2E" w:rsidRDefault="00F63F2E" w:rsidP="00F63F2E">
            <w:pPr>
              <w:spacing w:after="0"/>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Рынок услуг дошкольного образования</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17%</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63%</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27%</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36%</w:t>
            </w:r>
          </w:p>
        </w:tc>
        <w:tc>
          <w:tcPr>
            <w:tcW w:w="495"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10%</w:t>
            </w:r>
          </w:p>
        </w:tc>
        <w:tc>
          <w:tcPr>
            <w:tcW w:w="476"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-27%</w:t>
            </w:r>
          </w:p>
        </w:tc>
      </w:tr>
      <w:tr w:rsidR="00F63F2E" w:rsidRPr="00F63F2E" w:rsidTr="002C7173">
        <w:trPr>
          <w:trHeight w:val="20"/>
        </w:trPr>
        <w:tc>
          <w:tcPr>
            <w:tcW w:w="386" w:type="pct"/>
            <w:shd w:val="clear" w:color="auto" w:fill="auto"/>
            <w:noWrap/>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27</w:t>
            </w:r>
          </w:p>
        </w:tc>
        <w:tc>
          <w:tcPr>
            <w:tcW w:w="1604" w:type="pct"/>
            <w:shd w:val="clear" w:color="auto" w:fill="auto"/>
            <w:vAlign w:val="center"/>
          </w:tcPr>
          <w:p w:rsidR="00F63F2E" w:rsidRPr="00F63F2E" w:rsidRDefault="00F63F2E" w:rsidP="00F63F2E">
            <w:pPr>
              <w:spacing w:after="0"/>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Рынок обработки древесины и производства изделий из дерева</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60%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31%</w:t>
            </w:r>
          </w:p>
        </w:tc>
        <w:tc>
          <w:tcPr>
            <w:tcW w:w="495"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10%</w:t>
            </w:r>
          </w:p>
        </w:tc>
        <w:tc>
          <w:tcPr>
            <w:tcW w:w="476"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-19%</w:t>
            </w:r>
          </w:p>
        </w:tc>
      </w:tr>
      <w:tr w:rsidR="00F63F2E" w:rsidRPr="00F63F2E" w:rsidTr="002C7173">
        <w:trPr>
          <w:trHeight w:val="20"/>
        </w:trPr>
        <w:tc>
          <w:tcPr>
            <w:tcW w:w="386" w:type="pct"/>
            <w:shd w:val="clear" w:color="auto" w:fill="auto"/>
            <w:noWrap/>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28</w:t>
            </w:r>
          </w:p>
        </w:tc>
        <w:tc>
          <w:tcPr>
            <w:tcW w:w="1604" w:type="pct"/>
            <w:shd w:val="clear" w:color="auto" w:fill="auto"/>
            <w:vAlign w:val="center"/>
          </w:tcPr>
          <w:p w:rsidR="00F63F2E" w:rsidRPr="00F63F2E" w:rsidRDefault="00F63F2E" w:rsidP="00F63F2E">
            <w:pPr>
              <w:spacing w:after="0"/>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Рынок услуг дополнительного образования детей</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16%</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38%</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25%</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33%</w:t>
            </w:r>
          </w:p>
        </w:tc>
        <w:tc>
          <w:tcPr>
            <w:tcW w:w="495"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9%</w:t>
            </w:r>
          </w:p>
        </w:tc>
        <w:tc>
          <w:tcPr>
            <w:tcW w:w="476"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w:t>
            </w:r>
          </w:p>
        </w:tc>
      </w:tr>
      <w:tr w:rsidR="00F63F2E" w:rsidRPr="00F63F2E" w:rsidTr="002C7173">
        <w:trPr>
          <w:trHeight w:val="20"/>
        </w:trPr>
        <w:tc>
          <w:tcPr>
            <w:tcW w:w="386" w:type="pct"/>
            <w:shd w:val="clear" w:color="auto" w:fill="auto"/>
            <w:noWrap/>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29</w:t>
            </w:r>
          </w:p>
        </w:tc>
        <w:tc>
          <w:tcPr>
            <w:tcW w:w="1604" w:type="pct"/>
            <w:shd w:val="clear" w:color="auto" w:fill="auto"/>
            <w:vAlign w:val="center"/>
          </w:tcPr>
          <w:p w:rsidR="00F63F2E" w:rsidRPr="00F63F2E" w:rsidRDefault="00F63F2E" w:rsidP="00F63F2E">
            <w:pPr>
              <w:spacing w:after="0"/>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Рынок переработки водных биоресурсов</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25%</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30%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70%</w:t>
            </w:r>
          </w:p>
        </w:tc>
        <w:tc>
          <w:tcPr>
            <w:tcW w:w="495"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w:t>
            </w:r>
          </w:p>
        </w:tc>
        <w:tc>
          <w:tcPr>
            <w:tcW w:w="476"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20%</w:t>
            </w:r>
          </w:p>
        </w:tc>
      </w:tr>
      <w:tr w:rsidR="00F63F2E" w:rsidRPr="00F63F2E" w:rsidTr="002C7173">
        <w:trPr>
          <w:trHeight w:val="20"/>
        </w:trPr>
        <w:tc>
          <w:tcPr>
            <w:tcW w:w="386" w:type="pct"/>
            <w:shd w:val="clear" w:color="auto" w:fill="auto"/>
            <w:noWrap/>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30</w:t>
            </w:r>
          </w:p>
        </w:tc>
        <w:tc>
          <w:tcPr>
            <w:tcW w:w="1604" w:type="pct"/>
            <w:shd w:val="clear" w:color="auto" w:fill="auto"/>
            <w:vAlign w:val="center"/>
          </w:tcPr>
          <w:p w:rsidR="00F63F2E" w:rsidRPr="00F63F2E" w:rsidRDefault="00F63F2E" w:rsidP="00F63F2E">
            <w:pPr>
              <w:spacing w:after="0"/>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Рынок строительства объектов капитального строительства, за исключением жилищного и дорожного строительства</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н/д</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н/д</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77%</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13%</w:t>
            </w:r>
          </w:p>
        </w:tc>
        <w:tc>
          <w:tcPr>
            <w:tcW w:w="495" w:type="pct"/>
            <w:vAlign w:val="center"/>
          </w:tcPr>
          <w:p w:rsidR="00F63F2E" w:rsidRPr="00F63F2E" w:rsidRDefault="00F63F2E" w:rsidP="00F63F2E">
            <w:pPr>
              <w:spacing w:after="0"/>
              <w:jc w:val="center"/>
              <w:rPr>
                <w:rFonts w:ascii="Times New Roman" w:eastAsia="Times New Roman" w:hAnsi="Times New Roman" w:cs="Times New Roman"/>
                <w:color w:val="000000"/>
                <w:lang w:val="en-US" w:eastAsia="ru-RU"/>
              </w:rPr>
            </w:pPr>
            <w:r w:rsidRPr="00F63F2E">
              <w:rPr>
                <w:rFonts w:ascii="Times New Roman" w:eastAsia="Times New Roman" w:hAnsi="Times New Roman" w:cs="Times New Roman"/>
                <w:color w:val="000000"/>
                <w:lang w:eastAsia="ru-RU"/>
              </w:rPr>
              <w:t>н/д</w:t>
            </w:r>
          </w:p>
        </w:tc>
        <w:tc>
          <w:tcPr>
            <w:tcW w:w="476"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н/д</w:t>
            </w:r>
          </w:p>
        </w:tc>
      </w:tr>
      <w:tr w:rsidR="00F63F2E" w:rsidRPr="00F63F2E" w:rsidTr="002C7173">
        <w:trPr>
          <w:trHeight w:val="20"/>
        </w:trPr>
        <w:tc>
          <w:tcPr>
            <w:tcW w:w="386" w:type="pct"/>
            <w:shd w:val="clear" w:color="auto" w:fill="auto"/>
            <w:noWrap/>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31</w:t>
            </w:r>
          </w:p>
        </w:tc>
        <w:tc>
          <w:tcPr>
            <w:tcW w:w="1604" w:type="pct"/>
            <w:shd w:val="clear" w:color="auto" w:fill="auto"/>
            <w:vAlign w:val="center"/>
          </w:tcPr>
          <w:p w:rsidR="00F63F2E" w:rsidRPr="00F63F2E" w:rsidRDefault="00F63F2E" w:rsidP="00F63F2E">
            <w:pPr>
              <w:spacing w:after="0"/>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Рынок архитектурно-строительного проектирования</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н/д</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н/д</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53%</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29%</w:t>
            </w:r>
          </w:p>
        </w:tc>
        <w:tc>
          <w:tcPr>
            <w:tcW w:w="495"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н/д</w:t>
            </w:r>
          </w:p>
        </w:tc>
        <w:tc>
          <w:tcPr>
            <w:tcW w:w="476"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н/д</w:t>
            </w:r>
          </w:p>
        </w:tc>
      </w:tr>
      <w:tr w:rsidR="00F63F2E" w:rsidRPr="00F63F2E" w:rsidTr="002C7173">
        <w:trPr>
          <w:trHeight w:val="20"/>
        </w:trPr>
        <w:tc>
          <w:tcPr>
            <w:tcW w:w="386" w:type="pct"/>
            <w:shd w:val="clear" w:color="auto" w:fill="auto"/>
            <w:noWrap/>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32</w:t>
            </w:r>
          </w:p>
        </w:tc>
        <w:tc>
          <w:tcPr>
            <w:tcW w:w="1604" w:type="pct"/>
            <w:shd w:val="clear" w:color="auto" w:fill="auto"/>
            <w:vAlign w:val="center"/>
          </w:tcPr>
          <w:p w:rsidR="00F63F2E" w:rsidRPr="00F63F2E" w:rsidRDefault="00F63F2E" w:rsidP="00F63F2E">
            <w:pPr>
              <w:spacing w:after="0"/>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Рынок племенного животноводства</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н/д</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н/д</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63%</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31%</w:t>
            </w:r>
          </w:p>
        </w:tc>
        <w:tc>
          <w:tcPr>
            <w:tcW w:w="495"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н/д</w:t>
            </w:r>
          </w:p>
        </w:tc>
        <w:tc>
          <w:tcPr>
            <w:tcW w:w="476"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н/д</w:t>
            </w:r>
          </w:p>
        </w:tc>
      </w:tr>
      <w:tr w:rsidR="00F63F2E" w:rsidRPr="00F63F2E" w:rsidTr="002C7173">
        <w:trPr>
          <w:trHeight w:val="20"/>
        </w:trPr>
        <w:tc>
          <w:tcPr>
            <w:tcW w:w="386" w:type="pct"/>
            <w:shd w:val="clear" w:color="auto" w:fill="auto"/>
            <w:noWrap/>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33</w:t>
            </w:r>
          </w:p>
        </w:tc>
        <w:tc>
          <w:tcPr>
            <w:tcW w:w="1604" w:type="pct"/>
            <w:shd w:val="clear" w:color="auto" w:fill="auto"/>
            <w:vAlign w:val="center"/>
          </w:tcPr>
          <w:p w:rsidR="00F63F2E" w:rsidRPr="00F63F2E" w:rsidRDefault="00F63F2E" w:rsidP="00F63F2E">
            <w:pPr>
              <w:spacing w:after="0"/>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Рынок услуг жилищно-коммунального хозяйства</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н/д</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н/д</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33%</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53%</w:t>
            </w:r>
          </w:p>
        </w:tc>
        <w:tc>
          <w:tcPr>
            <w:tcW w:w="495"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н/д</w:t>
            </w:r>
          </w:p>
        </w:tc>
        <w:tc>
          <w:tcPr>
            <w:tcW w:w="476"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н/д</w:t>
            </w:r>
          </w:p>
        </w:tc>
      </w:tr>
      <w:tr w:rsidR="00F63F2E" w:rsidRPr="00F63F2E" w:rsidTr="002C7173">
        <w:trPr>
          <w:trHeight w:val="20"/>
        </w:trPr>
        <w:tc>
          <w:tcPr>
            <w:tcW w:w="386" w:type="pct"/>
            <w:shd w:val="clear" w:color="auto" w:fill="auto"/>
            <w:noWrap/>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34</w:t>
            </w:r>
          </w:p>
        </w:tc>
        <w:tc>
          <w:tcPr>
            <w:tcW w:w="1604" w:type="pct"/>
            <w:shd w:val="clear" w:color="auto" w:fill="auto"/>
            <w:vAlign w:val="center"/>
          </w:tcPr>
          <w:p w:rsidR="00F63F2E" w:rsidRPr="00F63F2E" w:rsidRDefault="00F63F2E" w:rsidP="00F63F2E">
            <w:pPr>
              <w:spacing w:after="0"/>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Рынок медицинских услуг</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н/д</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н/д</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67%</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33%</w:t>
            </w:r>
          </w:p>
        </w:tc>
        <w:tc>
          <w:tcPr>
            <w:tcW w:w="495"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н/д</w:t>
            </w:r>
          </w:p>
        </w:tc>
        <w:tc>
          <w:tcPr>
            <w:tcW w:w="476"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н/д</w:t>
            </w:r>
          </w:p>
        </w:tc>
      </w:tr>
      <w:tr w:rsidR="00F63F2E" w:rsidRPr="00F63F2E" w:rsidTr="002C7173">
        <w:trPr>
          <w:trHeight w:val="20"/>
        </w:trPr>
        <w:tc>
          <w:tcPr>
            <w:tcW w:w="386" w:type="pct"/>
            <w:shd w:val="clear" w:color="auto" w:fill="auto"/>
            <w:noWrap/>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35</w:t>
            </w:r>
          </w:p>
        </w:tc>
        <w:tc>
          <w:tcPr>
            <w:tcW w:w="1604" w:type="pct"/>
            <w:shd w:val="clear" w:color="auto" w:fill="auto"/>
            <w:vAlign w:val="center"/>
          </w:tcPr>
          <w:p w:rsidR="00F63F2E" w:rsidRPr="00F63F2E" w:rsidRDefault="00F63F2E" w:rsidP="00F63F2E">
            <w:pPr>
              <w:spacing w:after="0"/>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Рынок ритуальных услуг</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н/д</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н/д</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60%</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30%</w:t>
            </w:r>
          </w:p>
        </w:tc>
        <w:tc>
          <w:tcPr>
            <w:tcW w:w="495"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н/д</w:t>
            </w:r>
          </w:p>
        </w:tc>
        <w:tc>
          <w:tcPr>
            <w:tcW w:w="476"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н/д</w:t>
            </w:r>
          </w:p>
        </w:tc>
      </w:tr>
      <w:tr w:rsidR="00F63F2E" w:rsidRPr="00F63F2E" w:rsidTr="002C7173">
        <w:trPr>
          <w:trHeight w:val="20"/>
        </w:trPr>
        <w:tc>
          <w:tcPr>
            <w:tcW w:w="386" w:type="pct"/>
            <w:shd w:val="clear" w:color="auto" w:fill="auto"/>
            <w:noWrap/>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36</w:t>
            </w:r>
          </w:p>
        </w:tc>
        <w:tc>
          <w:tcPr>
            <w:tcW w:w="1604" w:type="pct"/>
            <w:shd w:val="clear" w:color="auto" w:fill="auto"/>
            <w:vAlign w:val="center"/>
          </w:tcPr>
          <w:p w:rsidR="00F63F2E" w:rsidRPr="00F63F2E" w:rsidRDefault="00F63F2E" w:rsidP="00F63F2E">
            <w:pPr>
              <w:spacing w:after="0"/>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Рынок социальных услуг</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н/д</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н/д</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44%</w:t>
            </w:r>
          </w:p>
        </w:tc>
        <w:tc>
          <w:tcPr>
            <w:tcW w:w="510"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36%</w:t>
            </w:r>
          </w:p>
        </w:tc>
        <w:tc>
          <w:tcPr>
            <w:tcW w:w="495"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н/д</w:t>
            </w:r>
          </w:p>
        </w:tc>
        <w:tc>
          <w:tcPr>
            <w:tcW w:w="476" w:type="pct"/>
            <w:vAlign w:val="center"/>
          </w:tcPr>
          <w:p w:rsidR="00F63F2E" w:rsidRPr="00F63F2E" w:rsidRDefault="00F63F2E" w:rsidP="00F63F2E">
            <w:pPr>
              <w:spacing w:after="0"/>
              <w:jc w:val="center"/>
              <w:rPr>
                <w:rFonts w:ascii="Times New Roman" w:eastAsia="Times New Roman" w:hAnsi="Times New Roman" w:cs="Times New Roman"/>
                <w:color w:val="000000"/>
                <w:lang w:eastAsia="ru-RU"/>
              </w:rPr>
            </w:pPr>
            <w:r w:rsidRPr="00F63F2E">
              <w:rPr>
                <w:rFonts w:ascii="Times New Roman" w:eastAsia="Times New Roman" w:hAnsi="Times New Roman" w:cs="Times New Roman"/>
                <w:color w:val="000000"/>
                <w:lang w:eastAsia="ru-RU"/>
              </w:rPr>
              <w:t>н/д</w:t>
            </w:r>
          </w:p>
        </w:tc>
      </w:tr>
    </w:tbl>
    <w:p w:rsidR="00976DAC" w:rsidRPr="00976DAC" w:rsidRDefault="00976DAC" w:rsidP="00F449E8">
      <w:pPr>
        <w:spacing w:after="0" w:line="360" w:lineRule="auto"/>
        <w:jc w:val="both"/>
        <w:rPr>
          <w:rFonts w:ascii="Times New Roman" w:hAnsi="Times New Roman" w:cs="Times New Roman"/>
          <w:iCs/>
          <w:color w:val="000000" w:themeColor="text1"/>
          <w:sz w:val="24"/>
          <w:szCs w:val="24"/>
        </w:rPr>
      </w:pPr>
    </w:p>
    <w:p w:rsidR="00976DAC" w:rsidRPr="00976DAC" w:rsidRDefault="00976DAC" w:rsidP="00F25BAA">
      <w:pPr>
        <w:spacing w:after="0" w:line="360" w:lineRule="auto"/>
        <w:ind w:firstLine="709"/>
        <w:jc w:val="both"/>
        <w:rPr>
          <w:rFonts w:ascii="Times New Roman" w:hAnsi="Times New Roman" w:cs="Times New Roman"/>
          <w:bCs/>
          <w:color w:val="000000" w:themeColor="text1"/>
          <w:sz w:val="24"/>
          <w:szCs w:val="24"/>
        </w:rPr>
      </w:pPr>
      <w:r w:rsidRPr="00976DAC">
        <w:rPr>
          <w:rFonts w:ascii="Times New Roman" w:hAnsi="Times New Roman" w:cs="Times New Roman"/>
          <w:bCs/>
          <w:color w:val="000000" w:themeColor="text1"/>
          <w:sz w:val="24"/>
          <w:szCs w:val="24"/>
        </w:rPr>
        <w:t xml:space="preserve">Наиболее заметный </w:t>
      </w:r>
      <w:r w:rsidRPr="00976DAC">
        <w:rPr>
          <w:rFonts w:ascii="Times New Roman" w:hAnsi="Times New Roman" w:cs="Times New Roman"/>
          <w:b/>
          <w:color w:val="000000" w:themeColor="text1"/>
          <w:sz w:val="24"/>
          <w:szCs w:val="24"/>
        </w:rPr>
        <w:t>рост числа поставщиков</w:t>
      </w:r>
      <w:r w:rsidRPr="00976DAC">
        <w:rPr>
          <w:rFonts w:ascii="Times New Roman" w:hAnsi="Times New Roman" w:cs="Times New Roman"/>
          <w:bCs/>
          <w:color w:val="000000" w:themeColor="text1"/>
          <w:sz w:val="24"/>
          <w:szCs w:val="24"/>
        </w:rPr>
        <w:t>, по оценкам предпринимателей, отмечается на таких рынках, как:</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bCs/>
          <w:color w:val="000000" w:themeColor="text1"/>
          <w:sz w:val="24"/>
          <w:szCs w:val="24"/>
        </w:rPr>
      </w:pPr>
      <w:r w:rsidRPr="00976DAC">
        <w:rPr>
          <w:rFonts w:ascii="Times New Roman" w:hAnsi="Times New Roman" w:cs="Times New Roman"/>
          <w:color w:val="000000" w:themeColor="text1"/>
          <w:sz w:val="24"/>
          <w:szCs w:val="24"/>
        </w:rPr>
        <w:t>Рынок товарной аквакультуры;</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bCs/>
          <w:color w:val="000000" w:themeColor="text1"/>
          <w:sz w:val="24"/>
          <w:szCs w:val="24"/>
        </w:rPr>
      </w:pPr>
      <w:r w:rsidRPr="00976DAC">
        <w:rPr>
          <w:rFonts w:ascii="Times New Roman" w:hAnsi="Times New Roman" w:cs="Times New Roman"/>
          <w:color w:val="000000" w:themeColor="text1"/>
          <w:sz w:val="24"/>
          <w:szCs w:val="24"/>
        </w:rPr>
        <w:t>Рынок нефтепродуктов;</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bCs/>
          <w:color w:val="000000" w:themeColor="text1"/>
          <w:sz w:val="24"/>
          <w:szCs w:val="24"/>
        </w:rPr>
      </w:pPr>
      <w:r w:rsidRPr="00976DAC">
        <w:rPr>
          <w:rFonts w:ascii="Times New Roman" w:hAnsi="Times New Roman" w:cs="Times New Roman"/>
          <w:bCs/>
          <w:color w:val="000000" w:themeColor="text1"/>
          <w:sz w:val="24"/>
          <w:szCs w:val="24"/>
        </w:rPr>
        <w:t>Рынок услуг по сбору и транспортированию твердых коммунальных отходов;</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bCs/>
          <w:color w:val="000000" w:themeColor="text1"/>
          <w:sz w:val="24"/>
          <w:szCs w:val="24"/>
        </w:rPr>
      </w:pPr>
      <w:r w:rsidRPr="00976DAC">
        <w:rPr>
          <w:rFonts w:ascii="Times New Roman" w:hAnsi="Times New Roman" w:cs="Times New Roman"/>
          <w:bCs/>
          <w:color w:val="000000" w:themeColor="text1"/>
          <w:sz w:val="24"/>
          <w:szCs w:val="24"/>
        </w:rPr>
        <w:t>Рынок кадастровых и землеустроительных работ;</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bCs/>
          <w:color w:val="000000" w:themeColor="text1"/>
          <w:sz w:val="24"/>
          <w:szCs w:val="24"/>
        </w:rPr>
      </w:pPr>
      <w:r w:rsidRPr="00976DAC">
        <w:rPr>
          <w:rFonts w:ascii="Times New Roman" w:hAnsi="Times New Roman" w:cs="Times New Roman"/>
          <w:bCs/>
          <w:color w:val="000000" w:themeColor="text1"/>
          <w:sz w:val="24"/>
          <w:szCs w:val="24"/>
        </w:rPr>
        <w:lastRenderedPageBreak/>
        <w:t>Рынок добычи общераспространенных полезных ископаемых на участках недр местного значения;</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bCs/>
          <w:color w:val="000000" w:themeColor="text1"/>
          <w:sz w:val="24"/>
          <w:szCs w:val="24"/>
        </w:rPr>
      </w:pPr>
      <w:r w:rsidRPr="00976DAC">
        <w:rPr>
          <w:rFonts w:ascii="Times New Roman" w:hAnsi="Times New Roman" w:cs="Times New Roman"/>
          <w:bCs/>
          <w:color w:val="000000" w:themeColor="text1"/>
          <w:sz w:val="24"/>
          <w:szCs w:val="24"/>
        </w:rPr>
        <w:t>Рынок услуг связи, в том числе услуг по предоставлению широкополосного доступа к информационно-телекоммуникационной сети "Интернет";</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bCs/>
          <w:color w:val="000000" w:themeColor="text1"/>
          <w:sz w:val="24"/>
          <w:szCs w:val="24"/>
        </w:rPr>
      </w:pPr>
      <w:r w:rsidRPr="00976DAC">
        <w:rPr>
          <w:rFonts w:ascii="Times New Roman" w:hAnsi="Times New Roman" w:cs="Times New Roman"/>
          <w:bCs/>
          <w:color w:val="000000" w:themeColor="text1"/>
          <w:sz w:val="24"/>
          <w:szCs w:val="24"/>
        </w:rPr>
        <w:t>Рынок услуг розничной торговли лекарственными препаратами, медицинскими изделиями и сопутствующими товарами;</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bCs/>
          <w:color w:val="000000" w:themeColor="text1"/>
          <w:sz w:val="24"/>
          <w:szCs w:val="24"/>
        </w:rPr>
      </w:pPr>
      <w:r w:rsidRPr="00976DAC">
        <w:rPr>
          <w:rFonts w:ascii="Times New Roman" w:hAnsi="Times New Roman" w:cs="Times New Roman"/>
          <w:bCs/>
          <w:color w:val="000000" w:themeColor="text1"/>
          <w:sz w:val="24"/>
          <w:szCs w:val="24"/>
        </w:rPr>
        <w:t>Рынок услуг детского отдыха и оздоровления.</w:t>
      </w:r>
    </w:p>
    <w:p w:rsidR="00976DAC" w:rsidRPr="00976DAC" w:rsidRDefault="00976DAC" w:rsidP="00F25BAA">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По уровню </w:t>
      </w:r>
      <w:r w:rsidRPr="00976DAC">
        <w:rPr>
          <w:rFonts w:ascii="Times New Roman" w:hAnsi="Times New Roman" w:cs="Times New Roman"/>
          <w:b/>
          <w:bCs/>
          <w:color w:val="000000" w:themeColor="text1"/>
          <w:sz w:val="24"/>
          <w:szCs w:val="24"/>
        </w:rPr>
        <w:t>удовлетворенности состоянием конкуренции</w:t>
      </w:r>
      <w:r w:rsidRPr="00976DAC">
        <w:rPr>
          <w:rFonts w:ascii="Times New Roman" w:hAnsi="Times New Roman" w:cs="Times New Roman"/>
          <w:color w:val="000000" w:themeColor="text1"/>
          <w:sz w:val="24"/>
          <w:szCs w:val="24"/>
        </w:rPr>
        <w:t xml:space="preserve"> между поставщиками по сравнению с замером прошлого года также отмечается </w:t>
      </w:r>
      <w:r w:rsidRPr="00976DAC">
        <w:rPr>
          <w:rFonts w:ascii="Times New Roman" w:hAnsi="Times New Roman" w:cs="Times New Roman"/>
          <w:b/>
          <w:bCs/>
          <w:color w:val="000000" w:themeColor="text1"/>
          <w:sz w:val="24"/>
          <w:szCs w:val="24"/>
        </w:rPr>
        <w:t>положительная динамика</w:t>
      </w:r>
      <w:r w:rsidRPr="00976DAC">
        <w:rPr>
          <w:rFonts w:ascii="Times New Roman" w:hAnsi="Times New Roman" w:cs="Times New Roman"/>
          <w:color w:val="000000" w:themeColor="text1"/>
          <w:sz w:val="24"/>
          <w:szCs w:val="24"/>
        </w:rPr>
        <w:t>.</w:t>
      </w:r>
    </w:p>
    <w:p w:rsidR="00976DAC" w:rsidRPr="00976DAC" w:rsidRDefault="00976DAC" w:rsidP="00976DAC">
      <w:pPr>
        <w:spacing w:after="0" w:line="360" w:lineRule="auto"/>
        <w:ind w:firstLine="709"/>
        <w:jc w:val="both"/>
        <w:rPr>
          <w:rFonts w:ascii="Times New Roman" w:hAnsi="Times New Roman" w:cs="Times New Roman"/>
          <w:bCs/>
          <w:color w:val="000000" w:themeColor="text1"/>
          <w:sz w:val="24"/>
          <w:szCs w:val="24"/>
        </w:rPr>
      </w:pPr>
    </w:p>
    <w:p w:rsidR="00976DAC" w:rsidRPr="00976DAC" w:rsidRDefault="00F25BAA" w:rsidP="00F25BAA">
      <w:pPr>
        <w:spacing w:after="0" w:line="360" w:lineRule="auto"/>
        <w:ind w:firstLine="709"/>
        <w:jc w:val="center"/>
        <w:rPr>
          <w:rFonts w:ascii="Times New Roman" w:hAnsi="Times New Roman" w:cs="Times New Roman"/>
          <w:b/>
          <w:color w:val="000000" w:themeColor="text1"/>
          <w:sz w:val="24"/>
          <w:szCs w:val="24"/>
        </w:rPr>
      </w:pPr>
      <w:bookmarkStart w:id="2" w:name="_Toc122720216"/>
      <w:r>
        <w:rPr>
          <w:rFonts w:ascii="Times New Roman" w:hAnsi="Times New Roman" w:cs="Times New Roman"/>
          <w:b/>
          <w:color w:val="000000" w:themeColor="text1"/>
          <w:sz w:val="24"/>
          <w:szCs w:val="24"/>
        </w:rPr>
        <w:t>3.</w:t>
      </w:r>
      <w:r w:rsidR="00976DAC" w:rsidRPr="00976DAC">
        <w:rPr>
          <w:rFonts w:ascii="Times New Roman" w:hAnsi="Times New Roman" w:cs="Times New Roman"/>
          <w:b/>
          <w:color w:val="000000" w:themeColor="text1"/>
          <w:sz w:val="24"/>
          <w:szCs w:val="24"/>
        </w:rPr>
        <w:t>1.6. Оценка субъектами предпринимательской деятельности состояния конкурентной среды и его изменения во времени в отношении Ленинградской области и сегментов бизнеса</w:t>
      </w:r>
      <w:bookmarkEnd w:id="2"/>
    </w:p>
    <w:p w:rsidR="00976DAC" w:rsidRPr="00976DAC" w:rsidRDefault="00976DAC" w:rsidP="00976DAC">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Среди предпринимателей на товарных рынках Ленинградской области присутствуют различные точки зрения об уровне конкуренции на представляемом ими рынке и необходимости реализации определенных мер, способствующих повышению конкурентоспособности их бизнеса. </w:t>
      </w:r>
    </w:p>
    <w:p w:rsidR="00976DAC" w:rsidRPr="00976DAC" w:rsidRDefault="00976DAC" w:rsidP="00F25BAA">
      <w:pPr>
        <w:spacing w:after="0" w:line="360" w:lineRule="auto"/>
        <w:ind w:firstLine="709"/>
        <w:jc w:val="center"/>
        <w:rPr>
          <w:rFonts w:ascii="Times New Roman" w:hAnsi="Times New Roman" w:cs="Times New Roman"/>
          <w:iCs/>
          <w:color w:val="000000" w:themeColor="text1"/>
          <w:sz w:val="24"/>
          <w:szCs w:val="24"/>
        </w:rPr>
      </w:pPr>
      <w:r w:rsidRPr="00976DAC">
        <w:rPr>
          <w:rFonts w:ascii="Times New Roman" w:hAnsi="Times New Roman" w:cs="Times New Roman"/>
          <w:iCs/>
          <w:color w:val="000000" w:themeColor="text1"/>
          <w:sz w:val="24"/>
          <w:szCs w:val="24"/>
        </w:rPr>
        <w:t xml:space="preserve">Рисунок </w:t>
      </w:r>
      <w:r w:rsidR="00F25BAA">
        <w:rPr>
          <w:rFonts w:ascii="Times New Roman" w:hAnsi="Times New Roman" w:cs="Times New Roman"/>
          <w:iCs/>
          <w:color w:val="000000" w:themeColor="text1"/>
          <w:sz w:val="24"/>
          <w:szCs w:val="24"/>
        </w:rPr>
        <w:t>4.</w:t>
      </w:r>
      <w:r w:rsidRPr="00976DAC">
        <w:rPr>
          <w:rFonts w:ascii="Times New Roman" w:hAnsi="Times New Roman" w:cs="Times New Roman"/>
          <w:iCs/>
          <w:color w:val="000000" w:themeColor="text1"/>
          <w:sz w:val="24"/>
          <w:szCs w:val="24"/>
        </w:rPr>
        <w:t xml:space="preserve"> Оценка уровня конкуренции в Ленинградской области </w:t>
      </w:r>
      <w:r w:rsidRPr="00976DAC">
        <w:rPr>
          <w:rFonts w:ascii="Times New Roman" w:hAnsi="Times New Roman" w:cs="Times New Roman"/>
          <w:color w:val="000000" w:themeColor="text1"/>
          <w:sz w:val="24"/>
          <w:szCs w:val="24"/>
        </w:rPr>
        <w:t xml:space="preserve">(опрос предпринимателей, </w:t>
      </w:r>
      <w:r w:rsidRPr="00976DAC">
        <w:rPr>
          <w:rFonts w:ascii="Times New Roman" w:hAnsi="Times New Roman" w:cs="Times New Roman"/>
          <w:color w:val="000000" w:themeColor="text1"/>
          <w:sz w:val="24"/>
          <w:szCs w:val="24"/>
          <w:lang w:val="en-US"/>
        </w:rPr>
        <w:t>n</w:t>
      </w:r>
      <w:r w:rsidRPr="00976DAC">
        <w:rPr>
          <w:rFonts w:ascii="Times New Roman" w:hAnsi="Times New Roman" w:cs="Times New Roman"/>
          <w:color w:val="000000" w:themeColor="text1"/>
          <w:sz w:val="24"/>
          <w:szCs w:val="24"/>
        </w:rPr>
        <w:t>=500)</w:t>
      </w:r>
    </w:p>
    <w:p w:rsidR="00976DAC" w:rsidRPr="00976DAC" w:rsidRDefault="00976DAC" w:rsidP="00976DAC">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b/>
          <w:bCs/>
          <w:noProof/>
          <w:color w:val="000000" w:themeColor="text1"/>
          <w:sz w:val="24"/>
          <w:szCs w:val="24"/>
          <w:lang w:eastAsia="ru-RU"/>
        </w:rPr>
        <w:drawing>
          <wp:inline distT="0" distB="0" distL="0" distR="0" wp14:anchorId="4D1FBCDE" wp14:editId="559D7C8B">
            <wp:extent cx="6410325" cy="2470785"/>
            <wp:effectExtent l="0" t="0" r="0" b="5715"/>
            <wp:docPr id="2371" name="Диаграмма 23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76DAC" w:rsidRPr="00976DAC" w:rsidRDefault="00976DAC" w:rsidP="00976DAC">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Чуть более трети опрошенных предпринимателей (36%) полагают, что на основном для их сферы бизнеса рынке </w:t>
      </w:r>
      <w:r w:rsidRPr="00976DAC">
        <w:rPr>
          <w:rFonts w:ascii="Times New Roman" w:hAnsi="Times New Roman" w:cs="Times New Roman"/>
          <w:b/>
          <w:bCs/>
          <w:color w:val="000000" w:themeColor="text1"/>
          <w:sz w:val="24"/>
          <w:szCs w:val="24"/>
        </w:rPr>
        <w:t>уровень конкуренции умеренный</w:t>
      </w:r>
      <w:r w:rsidRPr="00976DAC">
        <w:rPr>
          <w:rFonts w:ascii="Times New Roman" w:hAnsi="Times New Roman" w:cs="Times New Roman"/>
          <w:color w:val="000000" w:themeColor="text1"/>
          <w:sz w:val="24"/>
          <w:szCs w:val="24"/>
        </w:rPr>
        <w:t xml:space="preserve">. Он стимулирует предпринимателей регулярно (раз в год или чаще) предпринимать меры по повышению конкурентоспособности продукции/ работ/ услуг (например, снижение цен, повышение качества, развитие сопутствующих услуг и пр.). </w:t>
      </w:r>
    </w:p>
    <w:p w:rsidR="00976DAC" w:rsidRPr="00976DAC" w:rsidRDefault="00976DAC" w:rsidP="00976DAC">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lastRenderedPageBreak/>
        <w:t xml:space="preserve">Несколько меньшая доля опрошенных хозяйствующих субъектов (31%) утверждает, что конкуренция на их рынке </w:t>
      </w:r>
      <w:r w:rsidRPr="00976DAC">
        <w:rPr>
          <w:rFonts w:ascii="Times New Roman" w:hAnsi="Times New Roman" w:cs="Times New Roman"/>
          <w:b/>
          <w:bCs/>
          <w:color w:val="000000" w:themeColor="text1"/>
          <w:sz w:val="24"/>
          <w:szCs w:val="24"/>
        </w:rPr>
        <w:t>высокая</w:t>
      </w:r>
      <w:r w:rsidRPr="00976DAC">
        <w:rPr>
          <w:rFonts w:ascii="Times New Roman" w:hAnsi="Times New Roman" w:cs="Times New Roman"/>
          <w:color w:val="000000" w:themeColor="text1"/>
          <w:sz w:val="24"/>
          <w:szCs w:val="24"/>
        </w:rPr>
        <w:t xml:space="preserve"> (25%) или </w:t>
      </w:r>
      <w:r w:rsidRPr="00976DAC">
        <w:rPr>
          <w:rFonts w:ascii="Times New Roman" w:hAnsi="Times New Roman" w:cs="Times New Roman"/>
          <w:b/>
          <w:bCs/>
          <w:color w:val="000000" w:themeColor="text1"/>
          <w:sz w:val="24"/>
          <w:szCs w:val="24"/>
        </w:rPr>
        <w:t>очень высокая</w:t>
      </w:r>
      <w:r w:rsidRPr="00976DAC">
        <w:rPr>
          <w:rFonts w:ascii="Times New Roman" w:hAnsi="Times New Roman" w:cs="Times New Roman"/>
          <w:color w:val="000000" w:themeColor="text1"/>
          <w:sz w:val="24"/>
          <w:szCs w:val="24"/>
        </w:rPr>
        <w:t xml:space="preserve"> (7%). Для сохранения рыночной позиции их бизнеса представителям данных компаний приходится не только регулярно предпринимать меры по повышению конкурентоспособности продукции / работ / услуг, но и периодически применять новые способы ее повышения, не используемые компанией ранее (например, повышение объемов реализации продукции, работ и услуг, снижение расходов, обучение кадров и др.).</w:t>
      </w:r>
    </w:p>
    <w:p w:rsidR="00976DAC" w:rsidRDefault="00976DAC" w:rsidP="00976DAC">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b/>
          <w:bCs/>
          <w:color w:val="000000" w:themeColor="text1"/>
          <w:sz w:val="24"/>
          <w:szCs w:val="24"/>
        </w:rPr>
        <w:t>О низком уровне конкуренции</w:t>
      </w:r>
      <w:r w:rsidRPr="00976DAC">
        <w:rPr>
          <w:rFonts w:ascii="Times New Roman" w:hAnsi="Times New Roman" w:cs="Times New Roman"/>
          <w:color w:val="000000" w:themeColor="text1"/>
          <w:sz w:val="24"/>
          <w:szCs w:val="24"/>
        </w:rPr>
        <w:t xml:space="preserve"> на рынке говорит примерно пятая доля (22%) опрошенных субъектов предпринимательства (7% считают, что на их рынке практически нет конкуренции, 15% - что конкуренция слабая). </w:t>
      </w:r>
    </w:p>
    <w:p w:rsidR="00F25BAA" w:rsidRPr="00976DAC" w:rsidRDefault="00F25BAA" w:rsidP="00F25BAA">
      <w:pPr>
        <w:spacing w:after="0" w:line="360" w:lineRule="auto"/>
        <w:jc w:val="both"/>
        <w:rPr>
          <w:rFonts w:ascii="Times New Roman" w:hAnsi="Times New Roman" w:cs="Times New Roman"/>
          <w:color w:val="000000" w:themeColor="text1"/>
          <w:sz w:val="24"/>
          <w:szCs w:val="24"/>
        </w:rPr>
      </w:pPr>
    </w:p>
    <w:p w:rsidR="00976DAC" w:rsidRDefault="00F25BAA" w:rsidP="00F25BAA">
      <w:pPr>
        <w:spacing w:after="0" w:line="360" w:lineRule="auto"/>
        <w:ind w:firstLine="709"/>
        <w:jc w:val="center"/>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Рисунок 5.</w:t>
      </w:r>
      <w:r w:rsidR="00976DAC" w:rsidRPr="00976DAC">
        <w:rPr>
          <w:rFonts w:ascii="Times New Roman" w:hAnsi="Times New Roman" w:cs="Times New Roman"/>
          <w:iCs/>
          <w:color w:val="000000" w:themeColor="text1"/>
          <w:sz w:val="24"/>
          <w:szCs w:val="24"/>
        </w:rPr>
        <w:t xml:space="preserve"> Оценка уровня конкуренции в Ленинградской области </w:t>
      </w:r>
      <w:r w:rsidR="00976DAC" w:rsidRPr="00976DAC">
        <w:rPr>
          <w:rFonts w:ascii="Times New Roman" w:hAnsi="Times New Roman" w:cs="Times New Roman"/>
          <w:color w:val="000000" w:themeColor="text1"/>
          <w:sz w:val="24"/>
          <w:szCs w:val="24"/>
        </w:rPr>
        <w:t xml:space="preserve">(опрос предпринимателей, </w:t>
      </w:r>
      <w:r w:rsidR="00976DAC" w:rsidRPr="00976DAC">
        <w:rPr>
          <w:rFonts w:ascii="Times New Roman" w:hAnsi="Times New Roman" w:cs="Times New Roman"/>
          <w:color w:val="000000" w:themeColor="text1"/>
          <w:sz w:val="24"/>
          <w:szCs w:val="24"/>
          <w:lang w:val="en-US"/>
        </w:rPr>
        <w:t>n</w:t>
      </w:r>
      <w:r w:rsidR="00976DAC" w:rsidRPr="00976DAC">
        <w:rPr>
          <w:rFonts w:ascii="Times New Roman" w:hAnsi="Times New Roman" w:cs="Times New Roman"/>
          <w:color w:val="000000" w:themeColor="text1"/>
          <w:sz w:val="24"/>
          <w:szCs w:val="24"/>
        </w:rPr>
        <w:t>=500, в разрезе по рынкам)</w:t>
      </w:r>
    </w:p>
    <w:p w:rsidR="00F25BAA" w:rsidRPr="00976DAC" w:rsidRDefault="00F25BAA" w:rsidP="00F25BAA">
      <w:pPr>
        <w:spacing w:after="0" w:line="360" w:lineRule="auto"/>
        <w:jc w:val="both"/>
        <w:rPr>
          <w:rFonts w:ascii="Times New Roman" w:hAnsi="Times New Roman" w:cs="Times New Roman"/>
          <w:iCs/>
          <w:color w:val="000000" w:themeColor="text1"/>
          <w:sz w:val="24"/>
          <w:szCs w:val="24"/>
        </w:rPr>
      </w:pPr>
      <w:r w:rsidRPr="00250D73">
        <w:rPr>
          <w:rFonts w:ascii="Times New Roman" w:eastAsia="Franklin Gothic Book" w:hAnsi="Times New Roman" w:cs="Times New Roman"/>
          <w:noProof/>
          <w:color w:val="000000" w:themeColor="text1"/>
          <w:szCs w:val="24"/>
          <w:u w:color="000000"/>
          <w:lang w:eastAsia="ru-RU"/>
        </w:rPr>
        <w:lastRenderedPageBreak/>
        <w:drawing>
          <wp:inline distT="0" distB="0" distL="0" distR="0" wp14:anchorId="15BFCFEB" wp14:editId="7A9821AA">
            <wp:extent cx="6209665" cy="5877677"/>
            <wp:effectExtent l="0" t="0" r="635" b="8890"/>
            <wp:docPr id="492" name="Диаграмма 4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76DAC" w:rsidRPr="00976DAC" w:rsidRDefault="00976DAC" w:rsidP="00F25BAA">
      <w:pPr>
        <w:spacing w:after="0" w:line="360" w:lineRule="auto"/>
        <w:jc w:val="both"/>
        <w:rPr>
          <w:rFonts w:ascii="Times New Roman" w:hAnsi="Times New Roman" w:cs="Times New Roman"/>
          <w:color w:val="000000" w:themeColor="text1"/>
          <w:sz w:val="24"/>
          <w:szCs w:val="24"/>
        </w:rPr>
      </w:pPr>
    </w:p>
    <w:p w:rsidR="00976DAC" w:rsidRDefault="00F25BAA" w:rsidP="00976DAC">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Рисунок 5</w:t>
      </w:r>
      <w:r w:rsidR="00976DAC" w:rsidRPr="00976DAC">
        <w:rPr>
          <w:rFonts w:ascii="Times New Roman" w:hAnsi="Times New Roman" w:cs="Times New Roman"/>
          <w:iCs/>
          <w:color w:val="000000" w:themeColor="text1"/>
          <w:sz w:val="24"/>
          <w:szCs w:val="24"/>
        </w:rPr>
        <w:t xml:space="preserve">, продолжение. Оценка уровня конкуренции в Ленинградской области </w:t>
      </w:r>
      <w:r w:rsidR="00976DAC" w:rsidRPr="00976DAC">
        <w:rPr>
          <w:rFonts w:ascii="Times New Roman" w:hAnsi="Times New Roman" w:cs="Times New Roman"/>
          <w:color w:val="000000" w:themeColor="text1"/>
          <w:sz w:val="24"/>
          <w:szCs w:val="24"/>
        </w:rPr>
        <w:t xml:space="preserve">(опрос предпринимателей, </w:t>
      </w:r>
      <w:r w:rsidR="00976DAC" w:rsidRPr="00976DAC">
        <w:rPr>
          <w:rFonts w:ascii="Times New Roman" w:hAnsi="Times New Roman" w:cs="Times New Roman"/>
          <w:color w:val="000000" w:themeColor="text1"/>
          <w:sz w:val="24"/>
          <w:szCs w:val="24"/>
          <w:lang w:val="en-US"/>
        </w:rPr>
        <w:t>n</w:t>
      </w:r>
      <w:r w:rsidR="00976DAC" w:rsidRPr="00976DAC">
        <w:rPr>
          <w:rFonts w:ascii="Times New Roman" w:hAnsi="Times New Roman" w:cs="Times New Roman"/>
          <w:color w:val="000000" w:themeColor="text1"/>
          <w:sz w:val="24"/>
          <w:szCs w:val="24"/>
        </w:rPr>
        <w:t>=500, в разрезе по рынкам)</w:t>
      </w:r>
    </w:p>
    <w:p w:rsidR="00F25BAA" w:rsidRPr="00976DAC" w:rsidRDefault="001C4282" w:rsidP="00F25BAA">
      <w:pPr>
        <w:spacing w:after="0" w:line="360" w:lineRule="auto"/>
        <w:jc w:val="both"/>
        <w:rPr>
          <w:rFonts w:ascii="Times New Roman" w:hAnsi="Times New Roman" w:cs="Times New Roman"/>
          <w:iCs/>
          <w:color w:val="000000" w:themeColor="text1"/>
          <w:sz w:val="24"/>
          <w:szCs w:val="24"/>
        </w:rPr>
      </w:pPr>
      <w:r w:rsidRPr="00250D73">
        <w:rPr>
          <w:rFonts w:ascii="Times New Roman" w:eastAsia="Franklin Gothic Book" w:hAnsi="Times New Roman" w:cs="Times New Roman"/>
          <w:noProof/>
          <w:color w:val="000000" w:themeColor="text1"/>
          <w:szCs w:val="24"/>
          <w:u w:color="000000"/>
          <w:lang w:eastAsia="ru-RU"/>
        </w:rPr>
        <w:lastRenderedPageBreak/>
        <w:drawing>
          <wp:inline distT="0" distB="0" distL="0" distR="0" wp14:anchorId="395078E9" wp14:editId="5F3B49C0">
            <wp:extent cx="6209665" cy="8349078"/>
            <wp:effectExtent l="0" t="0" r="635" b="0"/>
            <wp:docPr id="493" name="Диаграмма 4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76DAC" w:rsidRPr="00976DAC" w:rsidRDefault="00976DAC" w:rsidP="00976DAC">
      <w:pPr>
        <w:spacing w:after="0" w:line="360" w:lineRule="auto"/>
        <w:ind w:firstLine="709"/>
        <w:jc w:val="both"/>
        <w:rPr>
          <w:rFonts w:ascii="Times New Roman" w:hAnsi="Times New Roman" w:cs="Times New Roman"/>
          <w:color w:val="000000" w:themeColor="text1"/>
          <w:sz w:val="24"/>
          <w:szCs w:val="24"/>
        </w:rPr>
      </w:pPr>
    </w:p>
    <w:p w:rsidR="00976DAC" w:rsidRPr="00976DAC" w:rsidRDefault="00F224A7" w:rsidP="00976DAC">
      <w:pPr>
        <w:spacing w:after="0" w:line="360" w:lineRule="auto"/>
        <w:ind w:firstLine="709"/>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Рисунок 5</w:t>
      </w:r>
      <w:r w:rsidR="00976DAC" w:rsidRPr="00976DAC">
        <w:rPr>
          <w:rFonts w:ascii="Times New Roman" w:hAnsi="Times New Roman" w:cs="Times New Roman"/>
          <w:iCs/>
          <w:color w:val="000000" w:themeColor="text1"/>
          <w:sz w:val="24"/>
          <w:szCs w:val="24"/>
        </w:rPr>
        <w:t xml:space="preserve">, продолжение. Оценка уровня конкуренции в Ленинградской области </w:t>
      </w:r>
      <w:r w:rsidR="00976DAC" w:rsidRPr="00976DAC">
        <w:rPr>
          <w:rFonts w:ascii="Times New Roman" w:hAnsi="Times New Roman" w:cs="Times New Roman"/>
          <w:color w:val="000000" w:themeColor="text1"/>
          <w:sz w:val="24"/>
          <w:szCs w:val="24"/>
        </w:rPr>
        <w:t xml:space="preserve">(опрос предпринимателей, </w:t>
      </w:r>
      <w:r w:rsidR="00976DAC" w:rsidRPr="00976DAC">
        <w:rPr>
          <w:rFonts w:ascii="Times New Roman" w:hAnsi="Times New Roman" w:cs="Times New Roman"/>
          <w:color w:val="000000" w:themeColor="text1"/>
          <w:sz w:val="24"/>
          <w:szCs w:val="24"/>
          <w:lang w:val="en-US"/>
        </w:rPr>
        <w:t>n</w:t>
      </w:r>
      <w:r w:rsidR="00976DAC" w:rsidRPr="00976DAC">
        <w:rPr>
          <w:rFonts w:ascii="Times New Roman" w:hAnsi="Times New Roman" w:cs="Times New Roman"/>
          <w:color w:val="000000" w:themeColor="text1"/>
          <w:sz w:val="24"/>
          <w:szCs w:val="24"/>
        </w:rPr>
        <w:t>=500, в разрезе по рынкам)</w:t>
      </w:r>
    </w:p>
    <w:p w:rsidR="00976DAC" w:rsidRPr="00976DAC" w:rsidRDefault="001C4282" w:rsidP="00F224A7">
      <w:pPr>
        <w:spacing w:after="0" w:line="360" w:lineRule="auto"/>
        <w:jc w:val="both"/>
        <w:rPr>
          <w:rFonts w:ascii="Times New Roman" w:hAnsi="Times New Roman" w:cs="Times New Roman"/>
          <w:color w:val="000000" w:themeColor="text1"/>
          <w:sz w:val="24"/>
          <w:szCs w:val="24"/>
        </w:rPr>
      </w:pPr>
      <w:r w:rsidRPr="00250D73">
        <w:rPr>
          <w:rFonts w:ascii="Times New Roman" w:eastAsia="Franklin Gothic Book" w:hAnsi="Times New Roman" w:cs="Times New Roman"/>
          <w:noProof/>
          <w:color w:val="000000" w:themeColor="text1"/>
          <w:szCs w:val="24"/>
          <w:u w:color="000000"/>
          <w:lang w:eastAsia="ru-RU"/>
        </w:rPr>
        <w:lastRenderedPageBreak/>
        <w:drawing>
          <wp:inline distT="0" distB="0" distL="0" distR="0" wp14:anchorId="0089330E" wp14:editId="2A784D92">
            <wp:extent cx="6209665" cy="6016519"/>
            <wp:effectExtent l="0" t="0" r="635" b="3810"/>
            <wp:docPr id="494" name="Диаграмма 49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76DAC" w:rsidRPr="00976DAC" w:rsidRDefault="00976DAC" w:rsidP="00976DAC">
      <w:pPr>
        <w:spacing w:after="0" w:line="360" w:lineRule="auto"/>
        <w:ind w:firstLine="709"/>
        <w:jc w:val="both"/>
        <w:rPr>
          <w:rFonts w:ascii="Times New Roman" w:hAnsi="Times New Roman" w:cs="Times New Roman"/>
          <w:color w:val="000000" w:themeColor="text1"/>
          <w:sz w:val="24"/>
          <w:szCs w:val="24"/>
        </w:rPr>
      </w:pPr>
    </w:p>
    <w:p w:rsidR="00976DAC" w:rsidRPr="00976DAC" w:rsidRDefault="00976DAC" w:rsidP="001C4282">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Из представленного рисунка </w:t>
      </w:r>
      <w:r w:rsidR="001C4282">
        <w:rPr>
          <w:rFonts w:ascii="Times New Roman" w:hAnsi="Times New Roman" w:cs="Times New Roman"/>
          <w:color w:val="000000" w:themeColor="text1"/>
          <w:sz w:val="24"/>
          <w:szCs w:val="24"/>
        </w:rPr>
        <w:t>5</w:t>
      </w:r>
      <w:r w:rsidRPr="00976DAC">
        <w:rPr>
          <w:rFonts w:ascii="Times New Roman" w:hAnsi="Times New Roman" w:cs="Times New Roman"/>
          <w:color w:val="000000" w:themeColor="text1"/>
          <w:sz w:val="24"/>
          <w:szCs w:val="24"/>
        </w:rPr>
        <w:t xml:space="preserve"> следует, что, по оценкам предпринимателей, </w:t>
      </w:r>
      <w:r w:rsidRPr="00976DAC">
        <w:rPr>
          <w:rFonts w:ascii="Times New Roman" w:hAnsi="Times New Roman" w:cs="Times New Roman"/>
          <w:b/>
          <w:bCs/>
          <w:color w:val="000000" w:themeColor="text1"/>
          <w:sz w:val="24"/>
          <w:szCs w:val="24"/>
        </w:rPr>
        <w:t>высокий уровень конкуренции</w:t>
      </w:r>
      <w:r w:rsidR="00CD2F82">
        <w:rPr>
          <w:rFonts w:ascii="Times New Roman" w:hAnsi="Times New Roman" w:cs="Times New Roman"/>
          <w:color w:val="000000" w:themeColor="text1"/>
          <w:sz w:val="24"/>
          <w:szCs w:val="24"/>
        </w:rPr>
        <w:t xml:space="preserve"> (оценки «</w:t>
      </w:r>
      <w:r w:rsidRPr="00976DAC">
        <w:rPr>
          <w:rFonts w:ascii="Times New Roman" w:hAnsi="Times New Roman" w:cs="Times New Roman"/>
          <w:color w:val="000000" w:themeColor="text1"/>
          <w:sz w:val="24"/>
          <w:szCs w:val="24"/>
        </w:rPr>
        <w:t xml:space="preserve">высокая </w:t>
      </w:r>
      <w:r w:rsidR="00CD2F82">
        <w:rPr>
          <w:rFonts w:ascii="Times New Roman" w:hAnsi="Times New Roman" w:cs="Times New Roman"/>
          <w:color w:val="000000" w:themeColor="text1"/>
          <w:sz w:val="24"/>
          <w:szCs w:val="24"/>
        </w:rPr>
        <w:t>конкуренция»</w:t>
      </w:r>
      <w:r w:rsidRPr="00976DAC">
        <w:rPr>
          <w:rFonts w:ascii="Times New Roman" w:hAnsi="Times New Roman" w:cs="Times New Roman"/>
          <w:color w:val="000000" w:themeColor="text1"/>
          <w:sz w:val="24"/>
          <w:szCs w:val="24"/>
        </w:rPr>
        <w:t xml:space="preserve"> или "очень высокая конкуренция" поставили от 50% респондентов и более) характерен для таких рынков, как:</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медицинских услуг (60%);</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ритуальных услуг (60%);</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Сфера наружной рекламы (55%);</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оказания услуг по перевозке пассажиров и багажа легковым такси на территории Ленинградской области (55%);</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услуг связи, в том числе услуг по предоставлению широкополосного доступа к информационно-телекоммуникационной сети "Интернет" (54%).</w:t>
      </w:r>
    </w:p>
    <w:p w:rsidR="00976DAC" w:rsidRPr="00976DAC" w:rsidRDefault="00976DAC" w:rsidP="001C4282">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b/>
          <w:bCs/>
          <w:color w:val="000000" w:themeColor="text1"/>
          <w:sz w:val="24"/>
          <w:szCs w:val="24"/>
        </w:rPr>
        <w:lastRenderedPageBreak/>
        <w:t>Особенно</w:t>
      </w:r>
      <w:r w:rsidRPr="00976DAC">
        <w:rPr>
          <w:rFonts w:ascii="Times New Roman" w:hAnsi="Times New Roman" w:cs="Times New Roman"/>
          <w:color w:val="000000" w:themeColor="text1"/>
          <w:sz w:val="24"/>
          <w:szCs w:val="24"/>
        </w:rPr>
        <w:t xml:space="preserve"> </w:t>
      </w:r>
      <w:r w:rsidRPr="00976DAC">
        <w:rPr>
          <w:rFonts w:ascii="Times New Roman" w:hAnsi="Times New Roman" w:cs="Times New Roman"/>
          <w:b/>
          <w:bCs/>
          <w:color w:val="000000" w:themeColor="text1"/>
          <w:sz w:val="24"/>
          <w:szCs w:val="24"/>
        </w:rPr>
        <w:t>высокая конкуренция</w:t>
      </w:r>
      <w:r w:rsidRPr="00976DAC">
        <w:rPr>
          <w:rFonts w:ascii="Times New Roman" w:hAnsi="Times New Roman" w:cs="Times New Roman"/>
          <w:color w:val="000000" w:themeColor="text1"/>
          <w:sz w:val="24"/>
          <w:szCs w:val="24"/>
        </w:rPr>
        <w:t xml:space="preserve"> наблюдается на рынках медицинских услуг и в сфере наружной рекламы: 40% и 36% субъектов предпринимательства соответственно оценили уровень конкуренции в этих отраслях как </w:t>
      </w:r>
      <w:r w:rsidR="00CD2F82">
        <w:rPr>
          <w:rFonts w:ascii="Times New Roman" w:hAnsi="Times New Roman" w:cs="Times New Roman"/>
          <w:color w:val="000000" w:themeColor="text1"/>
          <w:sz w:val="24"/>
          <w:szCs w:val="24"/>
        </w:rPr>
        <w:t>«</w:t>
      </w:r>
      <w:r w:rsidRPr="00976DAC">
        <w:rPr>
          <w:rFonts w:ascii="Times New Roman" w:hAnsi="Times New Roman" w:cs="Times New Roman"/>
          <w:color w:val="000000" w:themeColor="text1"/>
          <w:sz w:val="24"/>
          <w:szCs w:val="24"/>
        </w:rPr>
        <w:t>очень высокий</w:t>
      </w:r>
      <w:r w:rsidR="00CD2F82">
        <w:rPr>
          <w:rFonts w:ascii="Times New Roman" w:hAnsi="Times New Roman" w:cs="Times New Roman"/>
          <w:color w:val="000000" w:themeColor="text1"/>
          <w:sz w:val="24"/>
          <w:szCs w:val="24"/>
        </w:rPr>
        <w:t>»</w:t>
      </w:r>
      <w:r w:rsidRPr="00976DAC">
        <w:rPr>
          <w:rFonts w:ascii="Times New Roman" w:hAnsi="Times New Roman" w:cs="Times New Roman"/>
          <w:color w:val="000000" w:themeColor="text1"/>
          <w:sz w:val="24"/>
          <w:szCs w:val="24"/>
        </w:rPr>
        <w:t xml:space="preserve">. </w:t>
      </w:r>
    </w:p>
    <w:p w:rsidR="00976DAC" w:rsidRPr="00976DAC" w:rsidRDefault="00976DAC" w:rsidP="001C4282">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b/>
          <w:bCs/>
          <w:color w:val="000000" w:themeColor="text1"/>
          <w:sz w:val="24"/>
          <w:szCs w:val="24"/>
        </w:rPr>
        <w:t>Умеренным уровнем конкуренции</w:t>
      </w:r>
      <w:r w:rsidRPr="00976DAC">
        <w:rPr>
          <w:rFonts w:ascii="Times New Roman" w:hAnsi="Times New Roman" w:cs="Times New Roman"/>
          <w:color w:val="000000" w:themeColor="text1"/>
          <w:sz w:val="24"/>
          <w:szCs w:val="24"/>
        </w:rPr>
        <w:t>,</w:t>
      </w:r>
      <w:r w:rsidRPr="00976DAC">
        <w:rPr>
          <w:rFonts w:ascii="Times New Roman" w:hAnsi="Times New Roman" w:cs="Times New Roman"/>
          <w:b/>
          <w:bCs/>
          <w:color w:val="000000" w:themeColor="text1"/>
          <w:sz w:val="24"/>
          <w:szCs w:val="24"/>
        </w:rPr>
        <w:t xml:space="preserve"> </w:t>
      </w:r>
      <w:r w:rsidRPr="00976DAC">
        <w:rPr>
          <w:rFonts w:ascii="Times New Roman" w:hAnsi="Times New Roman" w:cs="Times New Roman"/>
          <w:color w:val="000000" w:themeColor="text1"/>
          <w:sz w:val="24"/>
          <w:szCs w:val="24"/>
        </w:rPr>
        <w:t xml:space="preserve">по мнению предпринимателей, характеризуются следующие рынки (оценки </w:t>
      </w:r>
      <w:r w:rsidR="00CD2F82">
        <w:rPr>
          <w:rFonts w:ascii="Times New Roman" w:hAnsi="Times New Roman" w:cs="Times New Roman"/>
          <w:color w:val="000000" w:themeColor="text1"/>
          <w:sz w:val="24"/>
          <w:szCs w:val="24"/>
        </w:rPr>
        <w:t>«</w:t>
      </w:r>
      <w:r w:rsidRPr="00976DAC">
        <w:rPr>
          <w:rFonts w:ascii="Times New Roman" w:hAnsi="Times New Roman" w:cs="Times New Roman"/>
          <w:color w:val="000000" w:themeColor="text1"/>
          <w:sz w:val="24"/>
          <w:szCs w:val="24"/>
        </w:rPr>
        <w:t>умеренная конкуренция</w:t>
      </w:r>
      <w:r w:rsidR="00CD2F82">
        <w:rPr>
          <w:rFonts w:ascii="Times New Roman" w:hAnsi="Times New Roman" w:cs="Times New Roman"/>
          <w:color w:val="000000" w:themeColor="text1"/>
          <w:sz w:val="24"/>
          <w:szCs w:val="24"/>
        </w:rPr>
        <w:t>»</w:t>
      </w:r>
      <w:r w:rsidRPr="00976DAC">
        <w:rPr>
          <w:rFonts w:ascii="Times New Roman" w:hAnsi="Times New Roman" w:cs="Times New Roman"/>
          <w:color w:val="000000" w:themeColor="text1"/>
          <w:sz w:val="24"/>
          <w:szCs w:val="24"/>
        </w:rPr>
        <w:t xml:space="preserve"> поставили от 50% респондентов и более):</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услуг детского отдыха и оздоровления (80%);</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услуг среднего профессионального образования (70%);</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вылова водных биоресурсов (60%);</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переработки водных биоресурсов (60%);</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услуг жилищно-коммунального хозяйства (60%);</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семеноводства (57%);</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теплоснабжения (производство тепловой энергии) (55%);</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услуг общего образования (50%).</w:t>
      </w:r>
    </w:p>
    <w:p w:rsidR="00976DAC" w:rsidRPr="00976DAC" w:rsidRDefault="00976DAC" w:rsidP="001C4282">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b/>
          <w:bCs/>
          <w:color w:val="000000" w:themeColor="text1"/>
          <w:sz w:val="24"/>
          <w:szCs w:val="24"/>
        </w:rPr>
        <w:t>Слабая конкуренция</w:t>
      </w:r>
      <w:r w:rsidRPr="00976DAC">
        <w:rPr>
          <w:rFonts w:ascii="Times New Roman" w:hAnsi="Times New Roman" w:cs="Times New Roman"/>
          <w:color w:val="000000" w:themeColor="text1"/>
          <w:sz w:val="24"/>
          <w:szCs w:val="24"/>
        </w:rPr>
        <w:t xml:space="preserve"> отмечается предпринимателями на следующих рынках (оценки </w:t>
      </w:r>
      <w:r w:rsidR="00CD2F82">
        <w:rPr>
          <w:rFonts w:ascii="Times New Roman" w:hAnsi="Times New Roman" w:cs="Times New Roman"/>
          <w:color w:val="000000" w:themeColor="text1"/>
          <w:sz w:val="24"/>
          <w:szCs w:val="24"/>
        </w:rPr>
        <w:t>«слабая конкуренция»</w:t>
      </w:r>
      <w:r w:rsidRPr="00976DAC">
        <w:rPr>
          <w:rFonts w:ascii="Times New Roman" w:hAnsi="Times New Roman" w:cs="Times New Roman"/>
          <w:color w:val="000000" w:themeColor="text1"/>
          <w:sz w:val="24"/>
          <w:szCs w:val="24"/>
        </w:rPr>
        <w:t xml:space="preserve"> или </w:t>
      </w:r>
      <w:r w:rsidR="00CD2F82">
        <w:rPr>
          <w:rFonts w:ascii="Times New Roman" w:hAnsi="Times New Roman" w:cs="Times New Roman"/>
          <w:color w:val="000000" w:themeColor="text1"/>
          <w:sz w:val="24"/>
          <w:szCs w:val="24"/>
        </w:rPr>
        <w:t>«</w:t>
      </w:r>
      <w:r w:rsidRPr="00976DAC">
        <w:rPr>
          <w:rFonts w:ascii="Times New Roman" w:hAnsi="Times New Roman" w:cs="Times New Roman"/>
          <w:color w:val="000000" w:themeColor="text1"/>
          <w:sz w:val="24"/>
          <w:szCs w:val="24"/>
        </w:rPr>
        <w:t>нет конкуренции</w:t>
      </w:r>
      <w:r w:rsidR="00CD2F82">
        <w:rPr>
          <w:rFonts w:ascii="Times New Roman" w:hAnsi="Times New Roman" w:cs="Times New Roman"/>
          <w:color w:val="000000" w:themeColor="text1"/>
          <w:sz w:val="24"/>
          <w:szCs w:val="24"/>
        </w:rPr>
        <w:t>»</w:t>
      </w:r>
      <w:r w:rsidRPr="00976DAC">
        <w:rPr>
          <w:rFonts w:ascii="Times New Roman" w:hAnsi="Times New Roman" w:cs="Times New Roman"/>
          <w:color w:val="000000" w:themeColor="text1"/>
          <w:sz w:val="24"/>
          <w:szCs w:val="24"/>
        </w:rPr>
        <w:t xml:space="preserve"> поставили от 50% респондентов и более):</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оказания услуг по перевозке пассажиров автомобильным транспортом по межмуниципальным маршрутам регулярных перевозок (60%);</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(50%);</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купли-продажи электрической энергии (мощности) на розничном рынке электрической энергии (мощности) (50%).</w:t>
      </w:r>
    </w:p>
    <w:p w:rsidR="001C4282" w:rsidRDefault="001647E8" w:rsidP="001C4282">
      <w:pPr>
        <w:spacing w:after="0" w:line="360" w:lineRule="auto"/>
        <w:ind w:firstLine="709"/>
        <w:jc w:val="both"/>
        <w:rPr>
          <w:rFonts w:ascii="Times New Roman" w:hAnsi="Times New Roman" w:cs="Times New Roman"/>
          <w:iCs/>
          <w:color w:val="000000" w:themeColor="text1"/>
          <w:sz w:val="24"/>
          <w:szCs w:val="24"/>
        </w:rPr>
      </w:pPr>
      <w:r w:rsidRPr="001647E8">
        <w:rPr>
          <w:rFonts w:ascii="Times New Roman" w:hAnsi="Times New Roman" w:cs="Times New Roman"/>
          <w:iCs/>
          <w:color w:val="000000" w:themeColor="text1"/>
          <w:sz w:val="24"/>
          <w:szCs w:val="24"/>
        </w:rPr>
        <w:t>Оценка изменения состояния конкурентной среды проводилась с помощью вопроса предпринимателям об изменении числа конкурентов представляемого ими бизнеса за последние 3 года. Распределение ответов на данный вопрос представлено н</w:t>
      </w:r>
      <w:r>
        <w:rPr>
          <w:rFonts w:ascii="Times New Roman" w:hAnsi="Times New Roman" w:cs="Times New Roman"/>
          <w:iCs/>
          <w:color w:val="000000" w:themeColor="text1"/>
          <w:sz w:val="24"/>
          <w:szCs w:val="24"/>
        </w:rPr>
        <w:t>а следующем далее рисунке 6.</w:t>
      </w:r>
    </w:p>
    <w:p w:rsidR="001647E8" w:rsidRPr="001647E8" w:rsidRDefault="001647E8" w:rsidP="001647E8">
      <w:pPr>
        <w:spacing w:after="0" w:line="360" w:lineRule="auto"/>
        <w:ind w:firstLine="709"/>
        <w:jc w:val="center"/>
        <w:rPr>
          <w:rFonts w:ascii="Times New Roman" w:hAnsi="Times New Roman" w:cs="Times New Roman"/>
          <w:iCs/>
          <w:color w:val="000000" w:themeColor="text1"/>
          <w:sz w:val="24"/>
          <w:szCs w:val="24"/>
        </w:rPr>
      </w:pPr>
      <w:r w:rsidRPr="001647E8">
        <w:rPr>
          <w:rFonts w:ascii="Times New Roman" w:hAnsi="Times New Roman" w:cs="Times New Roman"/>
          <w:iCs/>
          <w:color w:val="000000" w:themeColor="text1"/>
          <w:sz w:val="24"/>
          <w:szCs w:val="24"/>
        </w:rPr>
        <w:t>Рисунок</w:t>
      </w:r>
      <w:r>
        <w:rPr>
          <w:rFonts w:ascii="Times New Roman" w:hAnsi="Times New Roman" w:cs="Times New Roman"/>
          <w:iCs/>
          <w:color w:val="000000" w:themeColor="text1"/>
          <w:sz w:val="24"/>
          <w:szCs w:val="24"/>
        </w:rPr>
        <w:t xml:space="preserve"> 6.</w:t>
      </w:r>
      <w:r w:rsidRPr="001647E8">
        <w:rPr>
          <w:rFonts w:ascii="Times New Roman" w:hAnsi="Times New Roman" w:cs="Times New Roman"/>
          <w:iCs/>
          <w:color w:val="000000" w:themeColor="text1"/>
          <w:sz w:val="24"/>
          <w:szCs w:val="24"/>
        </w:rPr>
        <w:t xml:space="preserve"> Оценка динамики конкуренции в Ленинградской области (опрос предпринимателей, </w:t>
      </w:r>
      <w:r w:rsidRPr="001647E8">
        <w:rPr>
          <w:rFonts w:ascii="Times New Roman" w:hAnsi="Times New Roman" w:cs="Times New Roman"/>
          <w:iCs/>
          <w:color w:val="000000" w:themeColor="text1"/>
          <w:sz w:val="24"/>
          <w:szCs w:val="24"/>
          <w:lang w:val="en-US"/>
        </w:rPr>
        <w:t>n</w:t>
      </w:r>
      <w:r w:rsidRPr="001647E8">
        <w:rPr>
          <w:rFonts w:ascii="Times New Roman" w:hAnsi="Times New Roman" w:cs="Times New Roman"/>
          <w:iCs/>
          <w:color w:val="000000" w:themeColor="text1"/>
          <w:sz w:val="24"/>
          <w:szCs w:val="24"/>
        </w:rPr>
        <w:t>=500)</w:t>
      </w:r>
    </w:p>
    <w:p w:rsidR="001647E8" w:rsidRPr="001647E8" w:rsidRDefault="001647E8" w:rsidP="001647E8">
      <w:pPr>
        <w:spacing w:after="0" w:line="360" w:lineRule="auto"/>
        <w:ind w:firstLine="709"/>
        <w:jc w:val="both"/>
        <w:rPr>
          <w:rFonts w:ascii="Times New Roman" w:hAnsi="Times New Roman" w:cs="Times New Roman"/>
          <w:iCs/>
          <w:color w:val="000000" w:themeColor="text1"/>
          <w:sz w:val="24"/>
          <w:szCs w:val="24"/>
        </w:rPr>
      </w:pPr>
      <w:r w:rsidRPr="001647E8">
        <w:rPr>
          <w:rFonts w:ascii="Times New Roman" w:hAnsi="Times New Roman" w:cs="Times New Roman"/>
          <w:b/>
          <w:bCs/>
          <w:iCs/>
          <w:noProof/>
          <w:color w:val="000000" w:themeColor="text1"/>
          <w:sz w:val="24"/>
          <w:szCs w:val="24"/>
          <w:lang w:eastAsia="ru-RU"/>
        </w:rPr>
        <w:lastRenderedPageBreak/>
        <w:drawing>
          <wp:inline distT="0" distB="0" distL="0" distR="0" wp14:anchorId="64449754" wp14:editId="366E6D30">
            <wp:extent cx="6410325" cy="2470785"/>
            <wp:effectExtent l="0" t="0" r="0" b="5715"/>
            <wp:docPr id="495" name="Диаграмма 49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647E8" w:rsidRPr="001647E8" w:rsidRDefault="001647E8" w:rsidP="001647E8">
      <w:pPr>
        <w:spacing w:after="0" w:line="360" w:lineRule="auto"/>
        <w:ind w:firstLine="709"/>
        <w:jc w:val="both"/>
        <w:rPr>
          <w:rFonts w:ascii="Times New Roman" w:hAnsi="Times New Roman" w:cs="Times New Roman"/>
          <w:iCs/>
          <w:color w:val="000000" w:themeColor="text1"/>
          <w:sz w:val="24"/>
          <w:szCs w:val="24"/>
        </w:rPr>
      </w:pPr>
      <w:r w:rsidRPr="001647E8">
        <w:rPr>
          <w:rFonts w:ascii="Times New Roman" w:hAnsi="Times New Roman" w:cs="Times New Roman"/>
          <w:iCs/>
          <w:color w:val="000000" w:themeColor="text1"/>
          <w:sz w:val="24"/>
          <w:szCs w:val="24"/>
        </w:rPr>
        <w:t xml:space="preserve">Как следует из рисунка, среди предпринимателей преобладает мнение о том, что уровень конкуренции в течение последних 3 лет </w:t>
      </w:r>
      <w:r w:rsidRPr="001647E8">
        <w:rPr>
          <w:rFonts w:ascii="Times New Roman" w:hAnsi="Times New Roman" w:cs="Times New Roman"/>
          <w:b/>
          <w:bCs/>
          <w:iCs/>
          <w:color w:val="000000" w:themeColor="text1"/>
          <w:sz w:val="24"/>
          <w:szCs w:val="24"/>
        </w:rPr>
        <w:t xml:space="preserve">остается стабильным: </w:t>
      </w:r>
      <w:r w:rsidRPr="001647E8">
        <w:rPr>
          <w:rFonts w:ascii="Times New Roman" w:hAnsi="Times New Roman" w:cs="Times New Roman"/>
          <w:iCs/>
          <w:color w:val="000000" w:themeColor="text1"/>
          <w:sz w:val="24"/>
          <w:szCs w:val="24"/>
        </w:rPr>
        <w:t>так считают 41% опрошенных представителей бизнеса.</w:t>
      </w:r>
      <w:r w:rsidRPr="001647E8">
        <w:rPr>
          <w:rFonts w:ascii="Times New Roman" w:hAnsi="Times New Roman" w:cs="Times New Roman"/>
          <w:b/>
          <w:bCs/>
          <w:iCs/>
          <w:color w:val="000000" w:themeColor="text1"/>
          <w:sz w:val="24"/>
          <w:szCs w:val="24"/>
        </w:rPr>
        <w:t xml:space="preserve"> Рост числа конкурентов </w:t>
      </w:r>
      <w:r w:rsidRPr="001647E8">
        <w:rPr>
          <w:rFonts w:ascii="Times New Roman" w:hAnsi="Times New Roman" w:cs="Times New Roman"/>
          <w:iCs/>
          <w:color w:val="000000" w:themeColor="text1"/>
          <w:sz w:val="24"/>
          <w:szCs w:val="24"/>
        </w:rPr>
        <w:t xml:space="preserve">бизнеса отметили чуть менее трети респондентов (30%). </w:t>
      </w:r>
      <w:r w:rsidRPr="001647E8">
        <w:rPr>
          <w:rFonts w:ascii="Times New Roman" w:hAnsi="Times New Roman" w:cs="Times New Roman"/>
          <w:b/>
          <w:bCs/>
          <w:iCs/>
          <w:color w:val="000000" w:themeColor="text1"/>
          <w:sz w:val="24"/>
          <w:szCs w:val="24"/>
        </w:rPr>
        <w:t>О снижении количества конкурентов</w:t>
      </w:r>
      <w:r w:rsidRPr="001647E8">
        <w:rPr>
          <w:rFonts w:ascii="Times New Roman" w:hAnsi="Times New Roman" w:cs="Times New Roman"/>
          <w:iCs/>
          <w:color w:val="000000" w:themeColor="text1"/>
          <w:sz w:val="24"/>
          <w:szCs w:val="24"/>
        </w:rPr>
        <w:t xml:space="preserve"> сообщили 15% предпринимателей.</w:t>
      </w:r>
    </w:p>
    <w:p w:rsidR="00976DAC" w:rsidRPr="001647E8" w:rsidRDefault="001647E8" w:rsidP="001647E8">
      <w:pPr>
        <w:spacing w:after="0" w:line="360" w:lineRule="auto"/>
        <w:ind w:firstLine="709"/>
        <w:jc w:val="both"/>
        <w:rPr>
          <w:rFonts w:ascii="Times New Roman" w:hAnsi="Times New Roman" w:cs="Times New Roman"/>
          <w:iCs/>
          <w:color w:val="000000" w:themeColor="text1"/>
          <w:sz w:val="24"/>
          <w:szCs w:val="24"/>
        </w:rPr>
      </w:pPr>
      <w:r w:rsidRPr="001647E8">
        <w:rPr>
          <w:rFonts w:ascii="Times New Roman" w:hAnsi="Times New Roman" w:cs="Times New Roman"/>
          <w:iCs/>
          <w:color w:val="000000" w:themeColor="text1"/>
          <w:sz w:val="24"/>
          <w:szCs w:val="24"/>
        </w:rPr>
        <w:t xml:space="preserve">Оценка изменения состояния конкурентной среды в разрезе видов деятельности представлена на следующем далее рисунке </w:t>
      </w:r>
      <w:r>
        <w:rPr>
          <w:rFonts w:ascii="Times New Roman" w:hAnsi="Times New Roman" w:cs="Times New Roman"/>
          <w:iCs/>
          <w:color w:val="000000" w:themeColor="text1"/>
          <w:sz w:val="24"/>
          <w:szCs w:val="24"/>
        </w:rPr>
        <w:t>7.</w:t>
      </w:r>
    </w:p>
    <w:p w:rsidR="00976DAC" w:rsidRPr="00976DAC" w:rsidRDefault="00976DAC" w:rsidP="001647E8">
      <w:pPr>
        <w:spacing w:after="0" w:line="360" w:lineRule="auto"/>
        <w:ind w:firstLine="709"/>
        <w:jc w:val="center"/>
        <w:rPr>
          <w:rFonts w:ascii="Times New Roman" w:hAnsi="Times New Roman" w:cs="Times New Roman"/>
          <w:b/>
          <w:iCs/>
          <w:color w:val="000000" w:themeColor="text1"/>
          <w:sz w:val="24"/>
          <w:szCs w:val="24"/>
        </w:rPr>
      </w:pPr>
      <w:r w:rsidRPr="00976DAC">
        <w:rPr>
          <w:rFonts w:ascii="Times New Roman" w:hAnsi="Times New Roman" w:cs="Times New Roman"/>
          <w:iCs/>
          <w:color w:val="000000" w:themeColor="text1"/>
          <w:sz w:val="24"/>
          <w:szCs w:val="24"/>
        </w:rPr>
        <w:t xml:space="preserve">Рисунок </w:t>
      </w:r>
      <w:r w:rsidR="001647E8">
        <w:rPr>
          <w:rFonts w:ascii="Times New Roman" w:hAnsi="Times New Roman" w:cs="Times New Roman"/>
          <w:iCs/>
          <w:color w:val="000000" w:themeColor="text1"/>
          <w:sz w:val="24"/>
          <w:szCs w:val="24"/>
        </w:rPr>
        <w:t>7.</w:t>
      </w:r>
      <w:r w:rsidRPr="00976DAC">
        <w:rPr>
          <w:rFonts w:ascii="Times New Roman" w:hAnsi="Times New Roman" w:cs="Times New Roman"/>
          <w:iCs/>
          <w:color w:val="000000" w:themeColor="text1"/>
          <w:sz w:val="24"/>
          <w:szCs w:val="24"/>
        </w:rPr>
        <w:t xml:space="preserve"> Оценка динамики конкуренции в Ленинградской области</w:t>
      </w:r>
      <w:r w:rsidRPr="00976DAC">
        <w:rPr>
          <w:rFonts w:ascii="Times New Roman" w:hAnsi="Times New Roman" w:cs="Times New Roman"/>
          <w:b/>
          <w:iCs/>
          <w:color w:val="000000" w:themeColor="text1"/>
          <w:sz w:val="24"/>
          <w:szCs w:val="24"/>
        </w:rPr>
        <w:t xml:space="preserve"> </w:t>
      </w:r>
      <w:r w:rsidRPr="00976DAC">
        <w:rPr>
          <w:rFonts w:ascii="Times New Roman" w:hAnsi="Times New Roman" w:cs="Times New Roman"/>
          <w:color w:val="000000" w:themeColor="text1"/>
          <w:sz w:val="24"/>
          <w:szCs w:val="24"/>
        </w:rPr>
        <w:t xml:space="preserve">(опрос предпринимателей, </w:t>
      </w:r>
      <w:r w:rsidRPr="00976DAC">
        <w:rPr>
          <w:rFonts w:ascii="Times New Roman" w:hAnsi="Times New Roman" w:cs="Times New Roman"/>
          <w:color w:val="000000" w:themeColor="text1"/>
          <w:sz w:val="24"/>
          <w:szCs w:val="24"/>
          <w:lang w:val="en-US"/>
        </w:rPr>
        <w:t>n</w:t>
      </w:r>
      <w:r w:rsidRPr="00976DAC">
        <w:rPr>
          <w:rFonts w:ascii="Times New Roman" w:hAnsi="Times New Roman" w:cs="Times New Roman"/>
          <w:color w:val="000000" w:themeColor="text1"/>
          <w:sz w:val="24"/>
          <w:szCs w:val="24"/>
        </w:rPr>
        <w:t>=500, в разрезе по рынкам)</w:t>
      </w:r>
    </w:p>
    <w:p w:rsidR="00976DAC" w:rsidRPr="00976DAC" w:rsidRDefault="001647E8" w:rsidP="001647E8">
      <w:pPr>
        <w:spacing w:after="0" w:line="360" w:lineRule="auto"/>
        <w:jc w:val="both"/>
        <w:rPr>
          <w:rFonts w:ascii="Times New Roman" w:hAnsi="Times New Roman" w:cs="Times New Roman"/>
          <w:color w:val="000000" w:themeColor="text1"/>
          <w:sz w:val="24"/>
          <w:szCs w:val="24"/>
        </w:rPr>
      </w:pPr>
      <w:r w:rsidRPr="00250D73">
        <w:rPr>
          <w:rFonts w:ascii="Times New Roman" w:eastAsia="Franklin Gothic Book" w:hAnsi="Times New Roman" w:cs="Times New Roman"/>
          <w:noProof/>
          <w:color w:val="000000" w:themeColor="text1"/>
          <w:szCs w:val="24"/>
          <w:u w:color="000000"/>
          <w:lang w:eastAsia="ru-RU"/>
        </w:rPr>
        <w:lastRenderedPageBreak/>
        <w:drawing>
          <wp:inline distT="0" distB="0" distL="0" distR="0" wp14:anchorId="455F8961" wp14:editId="7D2617E4">
            <wp:extent cx="6209665" cy="8349078"/>
            <wp:effectExtent l="0" t="0" r="635" b="0"/>
            <wp:docPr id="496" name="Диаграмма 4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76DAC" w:rsidRDefault="00976DAC" w:rsidP="001647E8">
      <w:pPr>
        <w:spacing w:after="0" w:line="360" w:lineRule="auto"/>
        <w:ind w:firstLine="709"/>
        <w:jc w:val="both"/>
        <w:rPr>
          <w:rFonts w:ascii="Times New Roman" w:hAnsi="Times New Roman" w:cs="Times New Roman"/>
          <w:b/>
          <w:iCs/>
          <w:color w:val="000000" w:themeColor="text1"/>
          <w:sz w:val="24"/>
          <w:szCs w:val="24"/>
        </w:rPr>
      </w:pPr>
      <w:r w:rsidRPr="00976DAC">
        <w:rPr>
          <w:rFonts w:ascii="Times New Roman" w:hAnsi="Times New Roman" w:cs="Times New Roman"/>
          <w:iCs/>
          <w:color w:val="000000" w:themeColor="text1"/>
          <w:sz w:val="24"/>
          <w:szCs w:val="24"/>
        </w:rPr>
        <w:t xml:space="preserve">Рисунок </w:t>
      </w:r>
      <w:r w:rsidR="001647E8">
        <w:rPr>
          <w:rFonts w:ascii="Times New Roman" w:hAnsi="Times New Roman" w:cs="Times New Roman"/>
          <w:iCs/>
          <w:color w:val="000000" w:themeColor="text1"/>
          <w:sz w:val="24"/>
          <w:szCs w:val="24"/>
        </w:rPr>
        <w:t>7</w:t>
      </w:r>
      <w:r w:rsidRPr="00976DAC">
        <w:rPr>
          <w:rFonts w:ascii="Times New Roman" w:hAnsi="Times New Roman" w:cs="Times New Roman"/>
          <w:iCs/>
          <w:color w:val="000000" w:themeColor="text1"/>
          <w:sz w:val="24"/>
          <w:szCs w:val="24"/>
        </w:rPr>
        <w:t>, продолжение. Оценка динамики конкуренции в Ленинградской области</w:t>
      </w:r>
      <w:r w:rsidRPr="00976DAC">
        <w:rPr>
          <w:rFonts w:ascii="Times New Roman" w:hAnsi="Times New Roman" w:cs="Times New Roman"/>
          <w:b/>
          <w:iCs/>
          <w:color w:val="000000" w:themeColor="text1"/>
          <w:sz w:val="24"/>
          <w:szCs w:val="24"/>
        </w:rPr>
        <w:t xml:space="preserve"> </w:t>
      </w:r>
      <w:r w:rsidRPr="00976DAC">
        <w:rPr>
          <w:rFonts w:ascii="Times New Roman" w:hAnsi="Times New Roman" w:cs="Times New Roman"/>
          <w:color w:val="000000" w:themeColor="text1"/>
          <w:sz w:val="24"/>
          <w:szCs w:val="24"/>
        </w:rPr>
        <w:t xml:space="preserve">(опрос предпринимателей, </w:t>
      </w:r>
      <w:r w:rsidRPr="00976DAC">
        <w:rPr>
          <w:rFonts w:ascii="Times New Roman" w:hAnsi="Times New Roman" w:cs="Times New Roman"/>
          <w:color w:val="000000" w:themeColor="text1"/>
          <w:sz w:val="24"/>
          <w:szCs w:val="24"/>
          <w:lang w:val="en-US"/>
        </w:rPr>
        <w:t>n</w:t>
      </w:r>
      <w:r w:rsidRPr="00976DAC">
        <w:rPr>
          <w:rFonts w:ascii="Times New Roman" w:hAnsi="Times New Roman" w:cs="Times New Roman"/>
          <w:color w:val="000000" w:themeColor="text1"/>
          <w:sz w:val="24"/>
          <w:szCs w:val="24"/>
        </w:rPr>
        <w:t>=500, в разрезе по рынкам)</w:t>
      </w:r>
    </w:p>
    <w:p w:rsidR="001647E8" w:rsidRPr="001647E8" w:rsidRDefault="001647E8" w:rsidP="001647E8">
      <w:pPr>
        <w:spacing w:after="0" w:line="360" w:lineRule="auto"/>
        <w:jc w:val="both"/>
        <w:rPr>
          <w:rFonts w:ascii="Times New Roman" w:hAnsi="Times New Roman" w:cs="Times New Roman"/>
          <w:b/>
          <w:iCs/>
          <w:color w:val="000000" w:themeColor="text1"/>
          <w:sz w:val="24"/>
          <w:szCs w:val="24"/>
        </w:rPr>
      </w:pPr>
      <w:r w:rsidRPr="00250D73">
        <w:rPr>
          <w:rFonts w:ascii="Times New Roman" w:eastAsia="Franklin Gothic Book" w:hAnsi="Times New Roman" w:cs="Times New Roman"/>
          <w:noProof/>
          <w:color w:val="000000" w:themeColor="text1"/>
          <w:szCs w:val="24"/>
          <w:u w:color="000000"/>
          <w:lang w:eastAsia="ru-RU"/>
        </w:rPr>
        <w:lastRenderedPageBreak/>
        <w:drawing>
          <wp:inline distT="0" distB="0" distL="0" distR="0" wp14:anchorId="396F74DF" wp14:editId="03E37059">
            <wp:extent cx="6209665" cy="8349078"/>
            <wp:effectExtent l="0" t="0" r="635" b="0"/>
            <wp:docPr id="497" name="Диаграмма 4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76DAC" w:rsidRPr="00976DAC" w:rsidRDefault="00976DAC" w:rsidP="001647E8">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Из представленного рисунка </w:t>
      </w:r>
      <w:r w:rsidR="001647E8">
        <w:rPr>
          <w:rFonts w:ascii="Times New Roman" w:hAnsi="Times New Roman" w:cs="Times New Roman"/>
          <w:color w:val="000000" w:themeColor="text1"/>
          <w:sz w:val="24"/>
          <w:szCs w:val="24"/>
        </w:rPr>
        <w:t>7</w:t>
      </w:r>
      <w:r w:rsidRPr="00976DAC">
        <w:rPr>
          <w:rFonts w:ascii="Times New Roman" w:hAnsi="Times New Roman" w:cs="Times New Roman"/>
          <w:color w:val="000000" w:themeColor="text1"/>
          <w:sz w:val="24"/>
          <w:szCs w:val="24"/>
        </w:rPr>
        <w:t xml:space="preserve"> следует, что, по оценкам предпринимателей, для следующих рынков характерен </w:t>
      </w:r>
      <w:r w:rsidRPr="00976DAC">
        <w:rPr>
          <w:rFonts w:ascii="Times New Roman" w:hAnsi="Times New Roman" w:cs="Times New Roman"/>
          <w:b/>
          <w:bCs/>
          <w:color w:val="000000" w:themeColor="text1"/>
          <w:sz w:val="24"/>
          <w:szCs w:val="24"/>
        </w:rPr>
        <w:t>рост числа конкурентов</w:t>
      </w:r>
      <w:r w:rsidRPr="00976DAC">
        <w:rPr>
          <w:rFonts w:ascii="Times New Roman" w:hAnsi="Times New Roman" w:cs="Times New Roman"/>
          <w:color w:val="000000" w:themeColor="text1"/>
          <w:sz w:val="24"/>
          <w:szCs w:val="24"/>
        </w:rPr>
        <w:t xml:space="preserve"> за последние 3 года (оценки </w:t>
      </w:r>
      <w:r w:rsidRPr="00976DAC">
        <w:rPr>
          <w:rFonts w:ascii="Times New Roman" w:hAnsi="Times New Roman" w:cs="Times New Roman"/>
          <w:color w:val="000000" w:themeColor="text1"/>
          <w:sz w:val="24"/>
          <w:szCs w:val="24"/>
        </w:rPr>
        <w:lastRenderedPageBreak/>
        <w:t>"Увеличилось более чем на 4 конкурента" или "Увеличилось на 1-3 конкурента" поставили от 50% респондентов и более):</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медицинских услуг (60%);</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услуг детского отдыха и оздоровления (50%);</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услуг розничной торговли лекарственными препаратами, медицинскими изделиями и сопутствующими товарами (50%).</w:t>
      </w:r>
    </w:p>
    <w:p w:rsidR="00976DAC" w:rsidRPr="00976DAC" w:rsidRDefault="00976DAC" w:rsidP="001647E8">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Гораздо шире список рынков, характеризующихся преобладанием оценок состояния конкуренции за 3 года как</w:t>
      </w:r>
      <w:r w:rsidRPr="00976DAC">
        <w:rPr>
          <w:rFonts w:ascii="Times New Roman" w:hAnsi="Times New Roman" w:cs="Times New Roman"/>
          <w:b/>
          <w:bCs/>
          <w:color w:val="000000" w:themeColor="text1"/>
          <w:sz w:val="24"/>
          <w:szCs w:val="24"/>
        </w:rPr>
        <w:t xml:space="preserve"> стабильной </w:t>
      </w:r>
      <w:r w:rsidRPr="00976DAC">
        <w:rPr>
          <w:rFonts w:ascii="Times New Roman" w:hAnsi="Times New Roman" w:cs="Times New Roman"/>
          <w:color w:val="000000" w:themeColor="text1"/>
          <w:sz w:val="24"/>
          <w:szCs w:val="24"/>
        </w:rPr>
        <w:t>(оценки "Не изменилось" составляют от 50% и более):</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оказания услуг по перевозке пассажиров автомобильным транспортом по межмуниципальным маршрутам регулярных перевозок (80%);</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купли-продажи электрической энергии (мощности) на розничном рынке электрической энергии (мощности) (70%);</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(70%);</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теплоснабжения (производство тепловой энергии) (64%);</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ритуальных услуг (60%);</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услуг дополнительного образования детей (58%);</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племенного животноводства (56%);</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оказания услуг по перевозке пассажиров автомобильным транспортом по муниципальным маршрутам регулярных перевозок (55%);</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услуг по сбору и транспортированию твердых коммунальных отходов (50%);</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услуг общего образования (50%);</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переработки водных биоресурсов (50%);</w:t>
      </w:r>
    </w:p>
    <w:p w:rsidR="00976DAC" w:rsidRPr="00976DAC" w:rsidRDefault="00976DAC"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услуг среднего профессионального образования (50%).</w:t>
      </w:r>
    </w:p>
    <w:p w:rsidR="00976DAC" w:rsidRDefault="00976DAC" w:rsidP="001647E8">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Также можно отметить, что среди представителей рынка кадастровых и землеустроительных работ наиболее высокая относительно других рынков доля оценок уровня конкуренции как</w:t>
      </w:r>
      <w:r w:rsidRPr="00976DAC">
        <w:rPr>
          <w:rFonts w:ascii="Times New Roman" w:hAnsi="Times New Roman" w:cs="Times New Roman"/>
          <w:b/>
          <w:bCs/>
          <w:color w:val="000000" w:themeColor="text1"/>
          <w:sz w:val="24"/>
          <w:szCs w:val="24"/>
        </w:rPr>
        <w:t xml:space="preserve"> снизившегося</w:t>
      </w:r>
      <w:r w:rsidRPr="00976DAC">
        <w:rPr>
          <w:rFonts w:ascii="Times New Roman" w:hAnsi="Times New Roman" w:cs="Times New Roman"/>
          <w:color w:val="000000" w:themeColor="text1"/>
          <w:sz w:val="24"/>
          <w:szCs w:val="24"/>
        </w:rPr>
        <w:t>: на данном рынке 36% респондентов указали на сокращение числа конкурентов за последние 3 года.</w:t>
      </w:r>
    </w:p>
    <w:p w:rsidR="001647E8" w:rsidRPr="00976DAC" w:rsidRDefault="001647E8" w:rsidP="001647E8">
      <w:pPr>
        <w:spacing w:after="0" w:line="360" w:lineRule="auto"/>
        <w:ind w:firstLine="709"/>
        <w:jc w:val="both"/>
        <w:rPr>
          <w:rFonts w:ascii="Times New Roman" w:hAnsi="Times New Roman" w:cs="Times New Roman"/>
          <w:color w:val="000000" w:themeColor="text1"/>
          <w:sz w:val="24"/>
          <w:szCs w:val="24"/>
        </w:rPr>
      </w:pPr>
    </w:p>
    <w:p w:rsidR="00976DAC" w:rsidRPr="00976DAC" w:rsidRDefault="001647E8" w:rsidP="001647E8">
      <w:pPr>
        <w:spacing w:after="0" w:line="360" w:lineRule="auto"/>
        <w:ind w:firstLine="709"/>
        <w:jc w:val="center"/>
        <w:rPr>
          <w:rFonts w:ascii="Times New Roman" w:hAnsi="Times New Roman" w:cs="Times New Roman"/>
          <w:b/>
          <w:color w:val="000000" w:themeColor="text1"/>
          <w:sz w:val="24"/>
          <w:szCs w:val="24"/>
        </w:rPr>
      </w:pPr>
      <w:bookmarkStart w:id="3" w:name="_Toc122720217"/>
      <w:r>
        <w:rPr>
          <w:rFonts w:ascii="Times New Roman" w:hAnsi="Times New Roman" w:cs="Times New Roman"/>
          <w:b/>
          <w:color w:val="000000" w:themeColor="text1"/>
          <w:sz w:val="24"/>
          <w:szCs w:val="24"/>
        </w:rPr>
        <w:t>3</w:t>
      </w:r>
      <w:r w:rsidR="00976DAC" w:rsidRPr="00976DAC">
        <w:rPr>
          <w:rFonts w:ascii="Times New Roman" w:hAnsi="Times New Roman" w:cs="Times New Roman"/>
          <w:b/>
          <w:color w:val="000000" w:themeColor="text1"/>
          <w:sz w:val="24"/>
          <w:szCs w:val="24"/>
        </w:rPr>
        <w:t>.7. О мерах повышения конкурентоспособности, которые предпринимались за последние 3 года в организациях</w:t>
      </w:r>
      <w:bookmarkEnd w:id="3"/>
    </w:p>
    <w:p w:rsidR="00976DAC" w:rsidRDefault="00976DAC" w:rsidP="001647E8">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lastRenderedPageBreak/>
        <w:t xml:space="preserve">Хозяйствующие субъекты Ленинградской области назвали предпринимаемые ими за последние 3 года меры по повышению конкурентоспособности продукции, работ, услуг, которые производит или предоставляет их бизнес. </w:t>
      </w:r>
    </w:p>
    <w:p w:rsidR="001647E8" w:rsidRPr="001647E8" w:rsidRDefault="001647E8" w:rsidP="001647E8">
      <w:pPr>
        <w:spacing w:after="0" w:line="360" w:lineRule="auto"/>
        <w:ind w:firstLine="709"/>
        <w:jc w:val="both"/>
        <w:rPr>
          <w:rFonts w:ascii="Times New Roman" w:hAnsi="Times New Roman" w:cs="Times New Roman"/>
          <w:color w:val="000000" w:themeColor="text1"/>
          <w:sz w:val="24"/>
          <w:szCs w:val="24"/>
        </w:rPr>
      </w:pPr>
    </w:p>
    <w:p w:rsidR="00976DAC" w:rsidRPr="00976DAC" w:rsidRDefault="00976DAC" w:rsidP="001647E8">
      <w:pPr>
        <w:spacing w:after="0" w:line="360" w:lineRule="auto"/>
        <w:ind w:firstLine="709"/>
        <w:jc w:val="center"/>
        <w:rPr>
          <w:rFonts w:ascii="Times New Roman" w:hAnsi="Times New Roman" w:cs="Times New Roman"/>
          <w:color w:val="000000" w:themeColor="text1"/>
          <w:sz w:val="24"/>
          <w:szCs w:val="24"/>
        </w:rPr>
      </w:pPr>
      <w:r w:rsidRPr="00976DAC">
        <w:rPr>
          <w:rFonts w:ascii="Times New Roman" w:hAnsi="Times New Roman" w:cs="Times New Roman"/>
          <w:iCs/>
          <w:color w:val="000000" w:themeColor="text1"/>
          <w:sz w:val="24"/>
          <w:szCs w:val="24"/>
        </w:rPr>
        <w:t xml:space="preserve">Таблица </w:t>
      </w:r>
      <w:r w:rsidR="001647E8">
        <w:rPr>
          <w:rFonts w:ascii="Times New Roman" w:hAnsi="Times New Roman" w:cs="Times New Roman"/>
          <w:iCs/>
          <w:color w:val="000000" w:themeColor="text1"/>
          <w:sz w:val="24"/>
          <w:szCs w:val="24"/>
        </w:rPr>
        <w:t>6</w:t>
      </w:r>
      <w:r w:rsidRPr="00976DAC">
        <w:rPr>
          <w:rFonts w:ascii="Times New Roman" w:hAnsi="Times New Roman" w:cs="Times New Roman"/>
          <w:iCs/>
          <w:color w:val="000000" w:themeColor="text1"/>
          <w:sz w:val="24"/>
          <w:szCs w:val="24"/>
        </w:rPr>
        <w:t>. Предпринимаемые за последние 3 года меры по повышению конкурентоспособности продукции, работ, услуг</w:t>
      </w:r>
      <w:r w:rsidRPr="00976DAC">
        <w:rPr>
          <w:rFonts w:ascii="Times New Roman" w:hAnsi="Times New Roman" w:cs="Times New Roman"/>
          <w:b/>
          <w:iCs/>
          <w:color w:val="000000" w:themeColor="text1"/>
          <w:sz w:val="24"/>
          <w:szCs w:val="24"/>
        </w:rPr>
        <w:t xml:space="preserve"> </w:t>
      </w:r>
      <w:r w:rsidRPr="00976DAC">
        <w:rPr>
          <w:rFonts w:ascii="Times New Roman" w:hAnsi="Times New Roman" w:cs="Times New Roman"/>
          <w:color w:val="000000" w:themeColor="text1"/>
          <w:sz w:val="24"/>
          <w:szCs w:val="24"/>
        </w:rPr>
        <w:t>(опрос предпринимателей, в разрезе по размеру бизнеса, n=500)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4"/>
        <w:gridCol w:w="7095"/>
      </w:tblGrid>
      <w:tr w:rsidR="00976DAC" w:rsidRPr="00976DAC" w:rsidTr="001647E8">
        <w:trPr>
          <w:cantSplit/>
          <w:trHeight w:val="907"/>
          <w:tblHeader/>
        </w:trPr>
        <w:tc>
          <w:tcPr>
            <w:tcW w:w="1549" w:type="pct"/>
            <w:shd w:val="clear" w:color="auto" w:fill="auto"/>
            <w:noWrap/>
            <w:vAlign w:val="center"/>
          </w:tcPr>
          <w:p w:rsidR="00976DAC" w:rsidRPr="002C7173" w:rsidRDefault="00976DAC" w:rsidP="00976DAC">
            <w:pPr>
              <w:spacing w:after="0" w:line="360" w:lineRule="auto"/>
              <w:ind w:firstLine="709"/>
              <w:jc w:val="both"/>
              <w:rPr>
                <w:rFonts w:ascii="Times New Roman" w:hAnsi="Times New Roman" w:cs="Times New Roman"/>
                <w:color w:val="000000" w:themeColor="text1"/>
              </w:rPr>
            </w:pPr>
            <w:r w:rsidRPr="002C7173">
              <w:rPr>
                <w:rFonts w:ascii="Times New Roman" w:hAnsi="Times New Roman" w:cs="Times New Roman"/>
                <w:b/>
                <w:bCs/>
                <w:color w:val="000000" w:themeColor="text1"/>
              </w:rPr>
              <w:t>Размер бизнеса</w:t>
            </w:r>
          </w:p>
        </w:tc>
        <w:tc>
          <w:tcPr>
            <w:tcW w:w="3451" w:type="pct"/>
            <w:shd w:val="clear" w:color="auto" w:fill="auto"/>
            <w:vAlign w:val="center"/>
          </w:tcPr>
          <w:p w:rsidR="00976DAC" w:rsidRPr="002C7173" w:rsidRDefault="00976DAC" w:rsidP="001647E8">
            <w:pPr>
              <w:spacing w:after="0" w:line="360" w:lineRule="auto"/>
              <w:jc w:val="both"/>
              <w:rPr>
                <w:rFonts w:ascii="Times New Roman" w:hAnsi="Times New Roman" w:cs="Times New Roman"/>
                <w:color w:val="000000" w:themeColor="text1"/>
              </w:rPr>
            </w:pPr>
            <w:r w:rsidRPr="002C7173">
              <w:rPr>
                <w:rFonts w:ascii="Times New Roman" w:hAnsi="Times New Roman" w:cs="Times New Roman"/>
                <w:b/>
                <w:iCs/>
                <w:color w:val="000000" w:themeColor="text1"/>
              </w:rPr>
              <w:t>Предпринимаемые за последние 3 года меры по повышению конкурентоспособности продукции, работ, услуг (ТОП-3)</w:t>
            </w:r>
          </w:p>
        </w:tc>
      </w:tr>
      <w:tr w:rsidR="00976DAC" w:rsidRPr="00976DAC" w:rsidTr="002B4C67">
        <w:trPr>
          <w:trHeight w:val="20"/>
        </w:trPr>
        <w:tc>
          <w:tcPr>
            <w:tcW w:w="1549" w:type="pct"/>
            <w:shd w:val="clear" w:color="auto" w:fill="auto"/>
            <w:vAlign w:val="center"/>
          </w:tcPr>
          <w:p w:rsidR="00976DAC" w:rsidRPr="002C7173" w:rsidRDefault="00976DAC" w:rsidP="00976DAC">
            <w:pPr>
              <w:spacing w:after="0" w:line="360" w:lineRule="auto"/>
              <w:ind w:firstLine="709"/>
              <w:jc w:val="both"/>
              <w:rPr>
                <w:rFonts w:ascii="Times New Roman" w:hAnsi="Times New Roman" w:cs="Times New Roman"/>
                <w:color w:val="000000" w:themeColor="text1"/>
              </w:rPr>
            </w:pPr>
            <w:r w:rsidRPr="002C7173">
              <w:rPr>
                <w:rFonts w:ascii="Times New Roman" w:hAnsi="Times New Roman" w:cs="Times New Roman"/>
                <w:color w:val="000000" w:themeColor="text1"/>
              </w:rPr>
              <w:t>Микропредприятие</w:t>
            </w:r>
          </w:p>
        </w:tc>
        <w:tc>
          <w:tcPr>
            <w:tcW w:w="3451" w:type="pct"/>
            <w:vAlign w:val="center"/>
          </w:tcPr>
          <w:p w:rsidR="00976DAC" w:rsidRPr="002C7173" w:rsidRDefault="00976DAC" w:rsidP="00976DAC">
            <w:pPr>
              <w:spacing w:after="0" w:line="360" w:lineRule="auto"/>
              <w:ind w:firstLine="709"/>
              <w:jc w:val="both"/>
              <w:rPr>
                <w:rFonts w:ascii="Times New Roman" w:hAnsi="Times New Roman" w:cs="Times New Roman"/>
                <w:b/>
                <w:bCs/>
                <w:color w:val="000000" w:themeColor="text1"/>
              </w:rPr>
            </w:pPr>
            <w:r w:rsidRPr="002C7173">
              <w:rPr>
                <w:rFonts w:ascii="Times New Roman" w:hAnsi="Times New Roman" w:cs="Times New Roman"/>
                <w:noProof/>
                <w:color w:val="000000" w:themeColor="text1"/>
                <w:lang w:eastAsia="ru-RU"/>
              </w:rPr>
              <w:drawing>
                <wp:inline distT="0" distB="0" distL="0" distR="0" wp14:anchorId="4759B7EF" wp14:editId="57F22F1A">
                  <wp:extent cx="3933825" cy="1228725"/>
                  <wp:effectExtent l="0" t="0" r="0" b="0"/>
                  <wp:docPr id="2368"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976DAC" w:rsidRPr="00976DAC" w:rsidTr="002B4C67">
        <w:trPr>
          <w:trHeight w:val="20"/>
        </w:trPr>
        <w:tc>
          <w:tcPr>
            <w:tcW w:w="1549" w:type="pct"/>
            <w:shd w:val="clear" w:color="auto" w:fill="auto"/>
            <w:vAlign w:val="center"/>
          </w:tcPr>
          <w:p w:rsidR="00976DAC" w:rsidRPr="002C7173" w:rsidRDefault="00976DAC" w:rsidP="00976DAC">
            <w:pPr>
              <w:spacing w:after="0" w:line="360" w:lineRule="auto"/>
              <w:ind w:firstLine="709"/>
              <w:jc w:val="both"/>
              <w:rPr>
                <w:rFonts w:ascii="Times New Roman" w:hAnsi="Times New Roman" w:cs="Times New Roman"/>
                <w:color w:val="000000" w:themeColor="text1"/>
              </w:rPr>
            </w:pPr>
            <w:r w:rsidRPr="002C7173">
              <w:rPr>
                <w:rFonts w:ascii="Times New Roman" w:hAnsi="Times New Roman" w:cs="Times New Roman"/>
                <w:color w:val="000000" w:themeColor="text1"/>
              </w:rPr>
              <w:t>Малое предприятие</w:t>
            </w:r>
          </w:p>
        </w:tc>
        <w:tc>
          <w:tcPr>
            <w:tcW w:w="3451" w:type="pct"/>
            <w:vAlign w:val="center"/>
          </w:tcPr>
          <w:p w:rsidR="00976DAC" w:rsidRPr="002C7173" w:rsidRDefault="00976DAC" w:rsidP="00976DAC">
            <w:pPr>
              <w:spacing w:after="0" w:line="360" w:lineRule="auto"/>
              <w:ind w:firstLine="709"/>
              <w:jc w:val="both"/>
              <w:rPr>
                <w:rFonts w:ascii="Times New Roman" w:hAnsi="Times New Roman" w:cs="Times New Roman"/>
                <w:b/>
                <w:bCs/>
                <w:color w:val="000000" w:themeColor="text1"/>
              </w:rPr>
            </w:pPr>
            <w:r w:rsidRPr="002C7173">
              <w:rPr>
                <w:rFonts w:ascii="Times New Roman" w:hAnsi="Times New Roman" w:cs="Times New Roman"/>
                <w:noProof/>
                <w:color w:val="000000" w:themeColor="text1"/>
                <w:lang w:eastAsia="ru-RU"/>
              </w:rPr>
              <w:drawing>
                <wp:inline distT="0" distB="0" distL="0" distR="0" wp14:anchorId="0105EC24" wp14:editId="5B40BF93">
                  <wp:extent cx="3933825" cy="1228725"/>
                  <wp:effectExtent l="0" t="0" r="0" b="0"/>
                  <wp:docPr id="2370"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976DAC" w:rsidRPr="00976DAC" w:rsidTr="002B4C67">
        <w:trPr>
          <w:trHeight w:val="20"/>
        </w:trPr>
        <w:tc>
          <w:tcPr>
            <w:tcW w:w="1549" w:type="pct"/>
            <w:shd w:val="clear" w:color="auto" w:fill="auto"/>
            <w:vAlign w:val="center"/>
          </w:tcPr>
          <w:p w:rsidR="00976DAC" w:rsidRPr="002C7173" w:rsidRDefault="00976DAC" w:rsidP="001647E8">
            <w:pPr>
              <w:spacing w:after="0" w:line="360" w:lineRule="auto"/>
              <w:jc w:val="both"/>
              <w:rPr>
                <w:rFonts w:ascii="Times New Roman" w:hAnsi="Times New Roman" w:cs="Times New Roman"/>
                <w:color w:val="000000" w:themeColor="text1"/>
              </w:rPr>
            </w:pPr>
            <w:r w:rsidRPr="002C7173">
              <w:rPr>
                <w:rFonts w:ascii="Times New Roman" w:hAnsi="Times New Roman" w:cs="Times New Roman"/>
                <w:color w:val="000000" w:themeColor="text1"/>
              </w:rPr>
              <w:t>Среднее предприятие</w:t>
            </w:r>
          </w:p>
        </w:tc>
        <w:tc>
          <w:tcPr>
            <w:tcW w:w="3451" w:type="pct"/>
            <w:vAlign w:val="center"/>
          </w:tcPr>
          <w:p w:rsidR="00976DAC" w:rsidRPr="002C7173" w:rsidRDefault="00976DAC" w:rsidP="00976DAC">
            <w:pPr>
              <w:spacing w:after="0" w:line="360" w:lineRule="auto"/>
              <w:ind w:firstLine="709"/>
              <w:jc w:val="both"/>
              <w:rPr>
                <w:rFonts w:ascii="Times New Roman" w:hAnsi="Times New Roman" w:cs="Times New Roman"/>
                <w:b/>
                <w:bCs/>
                <w:color w:val="000000" w:themeColor="text1"/>
              </w:rPr>
            </w:pPr>
            <w:r w:rsidRPr="002C7173">
              <w:rPr>
                <w:rFonts w:ascii="Times New Roman" w:hAnsi="Times New Roman" w:cs="Times New Roman"/>
                <w:noProof/>
                <w:color w:val="000000" w:themeColor="text1"/>
                <w:lang w:eastAsia="ru-RU"/>
              </w:rPr>
              <w:drawing>
                <wp:inline distT="0" distB="0" distL="0" distR="0" wp14:anchorId="5E024178" wp14:editId="17968072">
                  <wp:extent cx="3933825" cy="1228725"/>
                  <wp:effectExtent l="0" t="0" r="0" b="0"/>
                  <wp:docPr id="237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rsidR="00976DAC" w:rsidRPr="00976DAC" w:rsidTr="002B4C67">
        <w:trPr>
          <w:trHeight w:val="20"/>
        </w:trPr>
        <w:tc>
          <w:tcPr>
            <w:tcW w:w="1549" w:type="pct"/>
            <w:shd w:val="clear" w:color="auto" w:fill="auto"/>
            <w:vAlign w:val="center"/>
          </w:tcPr>
          <w:p w:rsidR="00976DAC" w:rsidRPr="002C7173" w:rsidRDefault="00976DAC" w:rsidP="001647E8">
            <w:pPr>
              <w:spacing w:after="0" w:line="360" w:lineRule="auto"/>
              <w:jc w:val="both"/>
              <w:rPr>
                <w:rFonts w:ascii="Times New Roman" w:hAnsi="Times New Roman" w:cs="Times New Roman"/>
                <w:color w:val="000000" w:themeColor="text1"/>
              </w:rPr>
            </w:pPr>
            <w:r w:rsidRPr="002C7173">
              <w:rPr>
                <w:rFonts w:ascii="Times New Roman" w:hAnsi="Times New Roman" w:cs="Times New Roman"/>
                <w:color w:val="000000" w:themeColor="text1"/>
              </w:rPr>
              <w:t>Крупное предприятие</w:t>
            </w:r>
          </w:p>
        </w:tc>
        <w:tc>
          <w:tcPr>
            <w:tcW w:w="3451" w:type="pct"/>
            <w:vAlign w:val="center"/>
          </w:tcPr>
          <w:p w:rsidR="00976DAC" w:rsidRPr="002C7173" w:rsidRDefault="00976DAC" w:rsidP="00976DAC">
            <w:pPr>
              <w:spacing w:after="0" w:line="360" w:lineRule="auto"/>
              <w:ind w:firstLine="709"/>
              <w:jc w:val="both"/>
              <w:rPr>
                <w:rFonts w:ascii="Times New Roman" w:hAnsi="Times New Roman" w:cs="Times New Roman"/>
                <w:b/>
                <w:bCs/>
                <w:color w:val="000000" w:themeColor="text1"/>
              </w:rPr>
            </w:pPr>
            <w:r w:rsidRPr="002C7173">
              <w:rPr>
                <w:rFonts w:ascii="Times New Roman" w:hAnsi="Times New Roman" w:cs="Times New Roman"/>
                <w:noProof/>
                <w:color w:val="000000" w:themeColor="text1"/>
                <w:lang w:eastAsia="ru-RU"/>
              </w:rPr>
              <w:drawing>
                <wp:inline distT="0" distB="0" distL="0" distR="0" wp14:anchorId="03CA65D1" wp14:editId="06B0B296">
                  <wp:extent cx="3933825" cy="1228725"/>
                  <wp:effectExtent l="0" t="0" r="0" b="0"/>
                  <wp:docPr id="2373"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bl>
    <w:p w:rsidR="00976DAC" w:rsidRPr="00976DAC" w:rsidRDefault="00976DAC" w:rsidP="001647E8">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Предприятия всех размеров в целях повышения своей конкурентоспособности за последние 3 года </w:t>
      </w:r>
      <w:r w:rsidRPr="00976DAC">
        <w:rPr>
          <w:rFonts w:ascii="Times New Roman" w:hAnsi="Times New Roman" w:cs="Times New Roman"/>
          <w:b/>
          <w:color w:val="000000" w:themeColor="text1"/>
          <w:sz w:val="24"/>
          <w:szCs w:val="24"/>
        </w:rPr>
        <w:t>активно использовали</w:t>
      </w:r>
      <w:r w:rsidRPr="00976DAC">
        <w:rPr>
          <w:rFonts w:ascii="Times New Roman" w:hAnsi="Times New Roman" w:cs="Times New Roman"/>
          <w:color w:val="000000" w:themeColor="text1"/>
          <w:sz w:val="24"/>
          <w:szCs w:val="24"/>
        </w:rPr>
        <w:t xml:space="preserve"> такие меры, как улучшение качества сервиса и улучшение качества реализуемой продукции. Малые, средние и крупные бизнесы также нередко занимались обучением и переподготовкой персонала.</w:t>
      </w:r>
    </w:p>
    <w:p w:rsidR="00976DAC" w:rsidRPr="00976DAC" w:rsidRDefault="00976DAC" w:rsidP="001647E8">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При этом стоит выделить следующие особенности:</w:t>
      </w:r>
    </w:p>
    <w:p w:rsidR="00976DAC" w:rsidRPr="00976DAC" w:rsidRDefault="00976DAC" w:rsidP="00080A73">
      <w:pPr>
        <w:numPr>
          <w:ilvl w:val="0"/>
          <w:numId w:val="15"/>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микропредприятия чаще, чем в целом по выборке, стимулировали клиентов к тому, чтобы они давали рекомендации;</w:t>
      </w:r>
    </w:p>
    <w:p w:rsidR="00976DAC" w:rsidRPr="00976DAC" w:rsidRDefault="00976DAC" w:rsidP="00080A73">
      <w:pPr>
        <w:numPr>
          <w:ilvl w:val="0"/>
          <w:numId w:val="15"/>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средние предприятия активнее выходили на новые географические рынки, сокращали затраты на производство/реализацию продукции и автоматизировали бизнес-процессы;</w:t>
      </w:r>
    </w:p>
    <w:p w:rsidR="00976DAC" w:rsidRPr="00976DAC" w:rsidRDefault="00976DAC" w:rsidP="00080A73">
      <w:pPr>
        <w:numPr>
          <w:ilvl w:val="0"/>
          <w:numId w:val="15"/>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крупный бизнес чаще, чем в целом по выборке, выходил на новые географические рынки, развивал и расширял системы представительства, а также приобретал технологии, лицензии, патенты, ноу-хау.</w:t>
      </w:r>
    </w:p>
    <w:p w:rsidR="00976DAC" w:rsidRPr="00976DAC" w:rsidRDefault="00976DAC" w:rsidP="00976DAC">
      <w:pPr>
        <w:spacing w:after="0" w:line="360" w:lineRule="auto"/>
        <w:ind w:firstLine="709"/>
        <w:jc w:val="both"/>
        <w:rPr>
          <w:rFonts w:ascii="Times New Roman" w:hAnsi="Times New Roman" w:cs="Times New Roman"/>
          <w:color w:val="000000" w:themeColor="text1"/>
          <w:sz w:val="24"/>
          <w:szCs w:val="24"/>
        </w:rPr>
      </w:pPr>
    </w:p>
    <w:p w:rsidR="00976DAC" w:rsidRDefault="002C7173" w:rsidP="002C7173">
      <w:pPr>
        <w:spacing w:after="0" w:line="360" w:lineRule="auto"/>
        <w:ind w:firstLine="709"/>
        <w:jc w:val="center"/>
        <w:rPr>
          <w:rFonts w:ascii="Times New Roman" w:hAnsi="Times New Roman" w:cs="Times New Roman"/>
          <w:b/>
          <w:color w:val="000000" w:themeColor="text1"/>
          <w:sz w:val="24"/>
          <w:szCs w:val="24"/>
        </w:rPr>
      </w:pPr>
      <w:bookmarkStart w:id="4" w:name="_Toc122720218"/>
      <w:r>
        <w:rPr>
          <w:rFonts w:ascii="Times New Roman" w:hAnsi="Times New Roman" w:cs="Times New Roman"/>
          <w:b/>
          <w:color w:val="000000" w:themeColor="text1"/>
          <w:sz w:val="24"/>
          <w:szCs w:val="24"/>
        </w:rPr>
        <w:t>3</w:t>
      </w:r>
      <w:r w:rsidR="00976DAC" w:rsidRPr="00976DAC">
        <w:rPr>
          <w:rFonts w:ascii="Times New Roman" w:hAnsi="Times New Roman" w:cs="Times New Roman"/>
          <w:b/>
          <w:color w:val="000000" w:themeColor="text1"/>
          <w:sz w:val="24"/>
          <w:szCs w:val="24"/>
        </w:rPr>
        <w:t>.8. О видах административных барьеров во всех сферах регулирования и их уровне (формирование перечня существенных административных барьеров по масштабам бизнеса (для крупных, средних, малых (в том числе микропредприятий) и по сферам деятельности предприятий)</w:t>
      </w:r>
      <w:bookmarkEnd w:id="4"/>
    </w:p>
    <w:p w:rsidR="002C7173" w:rsidRPr="00976DAC" w:rsidRDefault="002C7173" w:rsidP="002C7173">
      <w:pPr>
        <w:spacing w:after="0" w:line="360" w:lineRule="auto"/>
        <w:ind w:firstLine="709"/>
        <w:jc w:val="center"/>
        <w:rPr>
          <w:rFonts w:ascii="Times New Roman" w:hAnsi="Times New Roman" w:cs="Times New Roman"/>
          <w:b/>
          <w:color w:val="000000" w:themeColor="text1"/>
          <w:sz w:val="24"/>
          <w:szCs w:val="24"/>
        </w:rPr>
      </w:pPr>
    </w:p>
    <w:p w:rsidR="00976DAC" w:rsidRPr="00976DAC" w:rsidRDefault="00976DAC" w:rsidP="00976DAC">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Представители бизнеса Ленинградской области выделили существенные, с их точки зрения, административные барьеры для ведения текущей деятельности или открытия нового бизнеса на основных для них рынках. Рейтинг барьеров представлен на следующем далее рисунке. </w:t>
      </w:r>
    </w:p>
    <w:p w:rsidR="00976DAC" w:rsidRPr="00976DAC" w:rsidRDefault="002C7173" w:rsidP="002C7173">
      <w:pPr>
        <w:spacing w:after="0" w:line="360" w:lineRule="auto"/>
        <w:ind w:firstLine="709"/>
        <w:jc w:val="center"/>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Рисунок 8.</w:t>
      </w:r>
      <w:r w:rsidR="00976DAC" w:rsidRPr="00976DAC">
        <w:rPr>
          <w:rFonts w:ascii="Times New Roman" w:hAnsi="Times New Roman" w:cs="Times New Roman"/>
          <w:iCs/>
          <w:color w:val="000000" w:themeColor="text1"/>
          <w:sz w:val="24"/>
          <w:szCs w:val="24"/>
        </w:rPr>
        <w:t xml:space="preserve"> Наиболее существенные для бизнеса административные барьеры </w:t>
      </w:r>
      <w:r w:rsidR="00976DAC" w:rsidRPr="00976DAC">
        <w:rPr>
          <w:rFonts w:ascii="Times New Roman" w:hAnsi="Times New Roman" w:cs="Times New Roman"/>
          <w:color w:val="000000" w:themeColor="text1"/>
          <w:sz w:val="24"/>
          <w:szCs w:val="24"/>
        </w:rPr>
        <w:t xml:space="preserve">(опрос предпринимателей, </w:t>
      </w:r>
      <w:r w:rsidR="00976DAC" w:rsidRPr="00976DAC">
        <w:rPr>
          <w:rFonts w:ascii="Times New Roman" w:hAnsi="Times New Roman" w:cs="Times New Roman"/>
          <w:color w:val="000000" w:themeColor="text1"/>
          <w:sz w:val="24"/>
          <w:szCs w:val="24"/>
          <w:lang w:val="en-US"/>
        </w:rPr>
        <w:t>n</w:t>
      </w:r>
      <w:r w:rsidR="00976DAC" w:rsidRPr="00976DAC">
        <w:rPr>
          <w:rFonts w:ascii="Times New Roman" w:hAnsi="Times New Roman" w:cs="Times New Roman"/>
          <w:color w:val="000000" w:themeColor="text1"/>
          <w:sz w:val="24"/>
          <w:szCs w:val="24"/>
        </w:rPr>
        <w:t>=500)</w:t>
      </w:r>
    </w:p>
    <w:p w:rsidR="00976DAC" w:rsidRPr="00976DAC" w:rsidRDefault="00976DAC" w:rsidP="00976DAC">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noProof/>
          <w:color w:val="000000" w:themeColor="text1"/>
          <w:sz w:val="24"/>
          <w:szCs w:val="24"/>
          <w:lang w:eastAsia="ru-RU"/>
        </w:rPr>
        <w:drawing>
          <wp:inline distT="0" distB="0" distL="0" distR="0" wp14:anchorId="43BFC5AF" wp14:editId="2F0FB653">
            <wp:extent cx="6400800" cy="5393094"/>
            <wp:effectExtent l="0" t="0" r="0" b="0"/>
            <wp:docPr id="454"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76DAC" w:rsidRPr="00976DAC" w:rsidRDefault="00976DAC" w:rsidP="00976DAC">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Таким образом, </w:t>
      </w:r>
      <w:r w:rsidRPr="00976DAC">
        <w:rPr>
          <w:rFonts w:ascii="Times New Roman" w:hAnsi="Times New Roman" w:cs="Times New Roman"/>
          <w:b/>
          <w:bCs/>
          <w:color w:val="000000" w:themeColor="text1"/>
          <w:sz w:val="24"/>
          <w:szCs w:val="24"/>
        </w:rPr>
        <w:t>наиболее существенными административными барьерами</w:t>
      </w:r>
      <w:r w:rsidRPr="00976DAC">
        <w:rPr>
          <w:rFonts w:ascii="Times New Roman" w:hAnsi="Times New Roman" w:cs="Times New Roman"/>
          <w:color w:val="000000" w:themeColor="text1"/>
          <w:sz w:val="24"/>
          <w:szCs w:val="24"/>
        </w:rPr>
        <w:t xml:space="preserve"> являются нестабильность российского законодательства (оценка данного барьера как наиболее существенного находится на уровне 39%), высокие налоги (36%) и коррупция (26%).</w:t>
      </w:r>
    </w:p>
    <w:p w:rsidR="00976DAC" w:rsidRDefault="00757DE4" w:rsidP="00757DE4">
      <w:pPr>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w:t>
      </w:r>
      <w:r w:rsidR="00976DAC" w:rsidRPr="00976DAC">
        <w:rPr>
          <w:rFonts w:ascii="Times New Roman" w:hAnsi="Times New Roman" w:cs="Times New Roman"/>
          <w:color w:val="000000" w:themeColor="text1"/>
          <w:sz w:val="24"/>
          <w:szCs w:val="24"/>
        </w:rPr>
        <w:t>редставители крупного бизнеса ставят на первое место именно высокие налоги, в отличие от респондентов из предприятий меньшего масштаба, которые первостепенным барьером считают нестабильность российского законодате</w:t>
      </w:r>
      <w:r>
        <w:rPr>
          <w:rFonts w:ascii="Times New Roman" w:hAnsi="Times New Roman" w:cs="Times New Roman"/>
          <w:color w:val="000000" w:themeColor="text1"/>
          <w:sz w:val="24"/>
          <w:szCs w:val="24"/>
        </w:rPr>
        <w:t>льства. С</w:t>
      </w:r>
      <w:r w:rsidR="00976DAC" w:rsidRPr="00976DAC">
        <w:rPr>
          <w:rFonts w:ascii="Times New Roman" w:hAnsi="Times New Roman" w:cs="Times New Roman"/>
          <w:color w:val="000000" w:themeColor="text1"/>
          <w:sz w:val="24"/>
          <w:szCs w:val="24"/>
        </w:rPr>
        <w:t xml:space="preserve"> ростом масштаба бизнеса актуальность проблемы нестабильности российского законодательства снижается, а коррупции – напротив, увеличивается.</w:t>
      </w:r>
    </w:p>
    <w:p w:rsidR="00757DE4" w:rsidRPr="00976DAC" w:rsidRDefault="00757DE4" w:rsidP="00757DE4">
      <w:pPr>
        <w:spacing w:after="0" w:line="360" w:lineRule="auto"/>
        <w:ind w:left="709"/>
        <w:jc w:val="both"/>
        <w:rPr>
          <w:rFonts w:ascii="Times New Roman" w:hAnsi="Times New Roman" w:cs="Times New Roman"/>
          <w:color w:val="000000" w:themeColor="text1"/>
          <w:sz w:val="24"/>
          <w:szCs w:val="24"/>
        </w:rPr>
      </w:pPr>
    </w:p>
    <w:p w:rsidR="00976DAC" w:rsidRPr="00976DAC" w:rsidRDefault="00757DE4" w:rsidP="00976DAC">
      <w:pPr>
        <w:spacing w:after="0" w:line="360" w:lineRule="auto"/>
        <w:ind w:firstLine="709"/>
        <w:jc w:val="both"/>
        <w:rPr>
          <w:rFonts w:ascii="Times New Roman" w:hAnsi="Times New Roman" w:cs="Times New Roman"/>
          <w:b/>
          <w:color w:val="000000" w:themeColor="text1"/>
          <w:sz w:val="24"/>
          <w:szCs w:val="24"/>
        </w:rPr>
      </w:pPr>
      <w:bookmarkStart w:id="5" w:name="_Toc122720219"/>
      <w:r>
        <w:rPr>
          <w:rFonts w:ascii="Times New Roman" w:hAnsi="Times New Roman" w:cs="Times New Roman"/>
          <w:b/>
          <w:color w:val="000000" w:themeColor="text1"/>
          <w:sz w:val="24"/>
          <w:szCs w:val="24"/>
        </w:rPr>
        <w:t>3</w:t>
      </w:r>
      <w:r w:rsidR="00976DAC" w:rsidRPr="00976DAC">
        <w:rPr>
          <w:rFonts w:ascii="Times New Roman" w:hAnsi="Times New Roman" w:cs="Times New Roman"/>
          <w:b/>
          <w:color w:val="000000" w:themeColor="text1"/>
          <w:sz w:val="24"/>
          <w:szCs w:val="24"/>
        </w:rPr>
        <w:t>.9. Об уровне и преодолимости административных барьеров для ведения текущей деятельности и открытия нового бизнеса на рынке по масштабам бизнеса (для крупных, средних, малых (в том числе микропредприятий) и по сферам деятельности предприятия</w:t>
      </w:r>
      <w:bookmarkEnd w:id="5"/>
      <w:r w:rsidR="00976DAC" w:rsidRPr="00976DAC">
        <w:rPr>
          <w:rFonts w:ascii="Times New Roman" w:hAnsi="Times New Roman" w:cs="Times New Roman"/>
          <w:b/>
          <w:color w:val="000000" w:themeColor="text1"/>
          <w:sz w:val="24"/>
          <w:szCs w:val="24"/>
        </w:rPr>
        <w:t xml:space="preserve"> </w:t>
      </w:r>
    </w:p>
    <w:p w:rsidR="00976DAC" w:rsidRPr="00976DAC" w:rsidRDefault="00976DAC" w:rsidP="00976DAC">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Оценка степени преодолимости административных барьеров для ведения текущей деятельности и открытия нового дела на рынке, основном для бизнеса, который представляли опрошенные предприниматели, отражена на рисунке ниже. </w:t>
      </w:r>
    </w:p>
    <w:p w:rsidR="00757DE4" w:rsidRDefault="00757DE4" w:rsidP="00757DE4">
      <w:pPr>
        <w:spacing w:after="0" w:line="360" w:lineRule="auto"/>
        <w:ind w:firstLine="709"/>
        <w:jc w:val="center"/>
        <w:rPr>
          <w:rFonts w:ascii="Times New Roman" w:hAnsi="Times New Roman" w:cs="Times New Roman"/>
          <w:iCs/>
          <w:color w:val="000000" w:themeColor="text1"/>
          <w:sz w:val="24"/>
          <w:szCs w:val="24"/>
        </w:rPr>
      </w:pPr>
    </w:p>
    <w:p w:rsidR="00976DAC" w:rsidRPr="00976DAC" w:rsidRDefault="00757DE4" w:rsidP="00757DE4">
      <w:pPr>
        <w:spacing w:after="0" w:line="360" w:lineRule="auto"/>
        <w:ind w:firstLine="709"/>
        <w:jc w:val="center"/>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Рисунок 9.</w:t>
      </w:r>
      <w:r w:rsidR="00976DAC" w:rsidRPr="00976DAC">
        <w:rPr>
          <w:rFonts w:ascii="Times New Roman" w:hAnsi="Times New Roman" w:cs="Times New Roman"/>
          <w:iCs/>
          <w:color w:val="000000" w:themeColor="text1"/>
          <w:sz w:val="24"/>
          <w:szCs w:val="24"/>
        </w:rPr>
        <w:t xml:space="preserve"> Преодолимость административных барьеров </w:t>
      </w:r>
      <w:r w:rsidR="00976DAC" w:rsidRPr="00976DAC">
        <w:rPr>
          <w:rFonts w:ascii="Times New Roman" w:hAnsi="Times New Roman" w:cs="Times New Roman"/>
          <w:color w:val="000000" w:themeColor="text1"/>
          <w:sz w:val="24"/>
          <w:szCs w:val="24"/>
        </w:rPr>
        <w:t xml:space="preserve">(опрос предпринимателей, </w:t>
      </w:r>
      <w:r w:rsidR="00976DAC" w:rsidRPr="00976DAC">
        <w:rPr>
          <w:rFonts w:ascii="Times New Roman" w:hAnsi="Times New Roman" w:cs="Times New Roman"/>
          <w:color w:val="000000" w:themeColor="text1"/>
          <w:sz w:val="24"/>
          <w:szCs w:val="24"/>
          <w:lang w:val="en-US"/>
        </w:rPr>
        <w:t>n</w:t>
      </w:r>
      <w:r w:rsidR="00976DAC" w:rsidRPr="00976DAC">
        <w:rPr>
          <w:rFonts w:ascii="Times New Roman" w:hAnsi="Times New Roman" w:cs="Times New Roman"/>
          <w:color w:val="000000" w:themeColor="text1"/>
          <w:sz w:val="24"/>
          <w:szCs w:val="24"/>
        </w:rPr>
        <w:t>=432)</w:t>
      </w:r>
    </w:p>
    <w:p w:rsidR="00976DAC" w:rsidRPr="00976DAC" w:rsidRDefault="00976DAC" w:rsidP="00976DAC">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b/>
          <w:bCs/>
          <w:noProof/>
          <w:color w:val="000000" w:themeColor="text1"/>
          <w:sz w:val="24"/>
          <w:szCs w:val="24"/>
          <w:lang w:eastAsia="ru-RU"/>
        </w:rPr>
        <w:drawing>
          <wp:inline distT="0" distB="0" distL="0" distR="0" wp14:anchorId="08D24946" wp14:editId="0651C1F9">
            <wp:extent cx="6410325" cy="2470785"/>
            <wp:effectExtent l="0" t="0" r="0" b="5715"/>
            <wp:docPr id="2410" name="Диаграмма 24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76DAC" w:rsidRPr="00976DAC" w:rsidRDefault="00976DAC" w:rsidP="00C2794E">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Ровно половина (50%) хозяйствующих субъектов из тех, кто отметил наличие каких-либо административных барьеров для ведения текущей деятельности или открытия нового бизнеса, считают, что рассматриваемые барьеры </w:t>
      </w:r>
      <w:r w:rsidRPr="00976DAC">
        <w:rPr>
          <w:rFonts w:ascii="Times New Roman" w:hAnsi="Times New Roman" w:cs="Times New Roman"/>
          <w:b/>
          <w:color w:val="000000" w:themeColor="text1"/>
          <w:sz w:val="24"/>
          <w:szCs w:val="24"/>
        </w:rPr>
        <w:t>преодолимы в случае осуществления значительных затрат</w:t>
      </w:r>
      <w:r w:rsidRPr="00976DAC">
        <w:rPr>
          <w:rFonts w:ascii="Times New Roman" w:hAnsi="Times New Roman" w:cs="Times New Roman"/>
          <w:color w:val="000000" w:themeColor="text1"/>
          <w:sz w:val="24"/>
          <w:szCs w:val="24"/>
        </w:rPr>
        <w:t>.</w:t>
      </w:r>
    </w:p>
    <w:p w:rsidR="00976DAC" w:rsidRPr="00976DAC" w:rsidRDefault="00976DAC" w:rsidP="00C2794E">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Чуть более четверти (26%) субъектов предпринимательской деятельность полагают, что с существующими административными препятствиями </w:t>
      </w:r>
      <w:r w:rsidRPr="00976DAC">
        <w:rPr>
          <w:rFonts w:ascii="Times New Roman" w:hAnsi="Times New Roman" w:cs="Times New Roman"/>
          <w:b/>
          <w:color w:val="000000" w:themeColor="text1"/>
          <w:sz w:val="24"/>
          <w:szCs w:val="24"/>
        </w:rPr>
        <w:t>можно справиться без существенных затрат</w:t>
      </w:r>
      <w:r w:rsidRPr="00976DAC">
        <w:rPr>
          <w:rFonts w:ascii="Times New Roman" w:hAnsi="Times New Roman" w:cs="Times New Roman"/>
          <w:color w:val="000000" w:themeColor="text1"/>
          <w:sz w:val="24"/>
          <w:szCs w:val="24"/>
        </w:rPr>
        <w:t>.</w:t>
      </w:r>
    </w:p>
    <w:p w:rsidR="00757DE4" w:rsidRDefault="00976DAC" w:rsidP="00C2794E">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Только 12% опрошенных представителей бизнеса убеждены, что имеющиеся административные барьеры для ведения текущей деятельности и открытия нового дела </w:t>
      </w:r>
      <w:r w:rsidRPr="00976DAC">
        <w:rPr>
          <w:rFonts w:ascii="Times New Roman" w:hAnsi="Times New Roman" w:cs="Times New Roman"/>
          <w:b/>
          <w:color w:val="000000" w:themeColor="text1"/>
          <w:sz w:val="24"/>
          <w:szCs w:val="24"/>
        </w:rPr>
        <w:t>непреодолимы</w:t>
      </w:r>
      <w:r w:rsidR="00757DE4">
        <w:rPr>
          <w:rFonts w:ascii="Times New Roman" w:hAnsi="Times New Roman" w:cs="Times New Roman"/>
          <w:color w:val="000000" w:themeColor="text1"/>
          <w:sz w:val="24"/>
          <w:szCs w:val="24"/>
        </w:rPr>
        <w:t xml:space="preserve">. </w:t>
      </w:r>
    </w:p>
    <w:p w:rsidR="00C2794E" w:rsidRPr="00C2794E" w:rsidRDefault="00C2794E" w:rsidP="00C2794E">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Н</w:t>
      </w:r>
      <w:r w:rsidRPr="00C2794E">
        <w:rPr>
          <w:rFonts w:ascii="Times New Roman" w:hAnsi="Times New Roman" w:cs="Times New Roman"/>
          <w:b/>
          <w:bCs/>
          <w:color w:val="000000" w:themeColor="text1"/>
          <w:sz w:val="24"/>
          <w:szCs w:val="24"/>
        </w:rPr>
        <w:t xml:space="preserve">аиболее благоприятная ситуация </w:t>
      </w:r>
      <w:r w:rsidRPr="00C2794E">
        <w:rPr>
          <w:rFonts w:ascii="Times New Roman" w:hAnsi="Times New Roman" w:cs="Times New Roman"/>
          <w:bCs/>
          <w:color w:val="000000" w:themeColor="text1"/>
          <w:sz w:val="24"/>
          <w:szCs w:val="24"/>
        </w:rPr>
        <w:t>с точки зрения преодолимости административных барьеров,</w:t>
      </w:r>
      <w:r w:rsidRPr="00C2794E">
        <w:rPr>
          <w:rFonts w:ascii="Times New Roman" w:hAnsi="Times New Roman" w:cs="Times New Roman"/>
          <w:color w:val="000000" w:themeColor="text1"/>
          <w:sz w:val="24"/>
          <w:szCs w:val="24"/>
        </w:rPr>
        <w:t xml:space="preserve"> отмечается предпринимателями на следующих рынках (от 40% респондентов и более отмечают возможность преодоления барьеров без существенных затрат):</w:t>
      </w:r>
    </w:p>
    <w:p w:rsidR="00C2794E" w:rsidRPr="00C2794E" w:rsidRDefault="00C2794E"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C2794E">
        <w:rPr>
          <w:rFonts w:ascii="Times New Roman" w:hAnsi="Times New Roman" w:cs="Times New Roman"/>
          <w:color w:val="000000" w:themeColor="text1"/>
          <w:sz w:val="24"/>
          <w:szCs w:val="24"/>
        </w:rPr>
        <w:t>Рынок ритуальных услуг (57%);</w:t>
      </w:r>
    </w:p>
    <w:p w:rsidR="00C2794E" w:rsidRPr="00C2794E" w:rsidRDefault="00C2794E"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C2794E">
        <w:rPr>
          <w:rFonts w:ascii="Times New Roman" w:hAnsi="Times New Roman" w:cs="Times New Roman"/>
          <w:color w:val="000000" w:themeColor="text1"/>
          <w:sz w:val="24"/>
          <w:szCs w:val="24"/>
        </w:rPr>
        <w:t>Рынок оказания услуг по перевозке пассажиров и багажа легковым такси на территории Ленинградской области (44%);</w:t>
      </w:r>
    </w:p>
    <w:p w:rsidR="00C2794E" w:rsidRPr="00C2794E" w:rsidRDefault="00C2794E"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C2794E">
        <w:rPr>
          <w:rFonts w:ascii="Times New Roman" w:hAnsi="Times New Roman" w:cs="Times New Roman"/>
          <w:color w:val="000000" w:themeColor="text1"/>
          <w:sz w:val="24"/>
          <w:szCs w:val="24"/>
        </w:rPr>
        <w:t>Рынок услуг связи, в том числе услуг по предоставлению широкополосного доступа к информационно-телекоммуникационной сети "Интернет" (41%);</w:t>
      </w:r>
    </w:p>
    <w:p w:rsidR="00C2794E" w:rsidRPr="00C2794E" w:rsidRDefault="00C2794E"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C2794E">
        <w:rPr>
          <w:rFonts w:ascii="Times New Roman" w:hAnsi="Times New Roman" w:cs="Times New Roman"/>
          <w:color w:val="000000" w:themeColor="text1"/>
          <w:sz w:val="24"/>
          <w:szCs w:val="24"/>
        </w:rPr>
        <w:t>Рынок услуг общего образования (40%);</w:t>
      </w:r>
    </w:p>
    <w:p w:rsidR="00C2794E" w:rsidRPr="00C2794E" w:rsidRDefault="00C2794E"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C2794E">
        <w:rPr>
          <w:rFonts w:ascii="Times New Roman" w:hAnsi="Times New Roman" w:cs="Times New Roman"/>
          <w:color w:val="000000" w:themeColor="text1"/>
          <w:sz w:val="24"/>
          <w:szCs w:val="24"/>
        </w:rPr>
        <w:t>Сфера наружной рекламы (40%);</w:t>
      </w:r>
    </w:p>
    <w:p w:rsidR="00C2794E" w:rsidRPr="00C2794E" w:rsidRDefault="00C2794E"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C2794E">
        <w:rPr>
          <w:rFonts w:ascii="Times New Roman" w:hAnsi="Times New Roman" w:cs="Times New Roman"/>
          <w:color w:val="000000" w:themeColor="text1"/>
          <w:sz w:val="24"/>
          <w:szCs w:val="24"/>
        </w:rPr>
        <w:t>Рынок вылова водных биоресурсов (40%).</w:t>
      </w:r>
    </w:p>
    <w:p w:rsidR="00C2794E" w:rsidRPr="00C2794E" w:rsidRDefault="00C2794E" w:rsidP="00C2794E">
      <w:pPr>
        <w:spacing w:after="0" w:line="360" w:lineRule="auto"/>
        <w:ind w:firstLine="709"/>
        <w:jc w:val="both"/>
        <w:rPr>
          <w:rFonts w:ascii="Times New Roman" w:hAnsi="Times New Roman" w:cs="Times New Roman"/>
          <w:color w:val="000000" w:themeColor="text1"/>
          <w:sz w:val="24"/>
          <w:szCs w:val="24"/>
        </w:rPr>
      </w:pPr>
      <w:r w:rsidRPr="00C2794E">
        <w:rPr>
          <w:rFonts w:ascii="Times New Roman" w:hAnsi="Times New Roman" w:cs="Times New Roman"/>
          <w:b/>
          <w:bCs/>
          <w:color w:val="000000" w:themeColor="text1"/>
          <w:sz w:val="24"/>
          <w:szCs w:val="24"/>
        </w:rPr>
        <w:t>Наличием барьеров, преодолимых при осуществлении значительных затрат</w:t>
      </w:r>
      <w:r w:rsidRPr="00C2794E">
        <w:rPr>
          <w:rFonts w:ascii="Times New Roman" w:hAnsi="Times New Roman" w:cs="Times New Roman"/>
          <w:color w:val="000000" w:themeColor="text1"/>
          <w:sz w:val="24"/>
          <w:szCs w:val="24"/>
        </w:rPr>
        <w:t>,</w:t>
      </w:r>
      <w:r w:rsidRPr="00C2794E">
        <w:rPr>
          <w:rFonts w:ascii="Times New Roman" w:hAnsi="Times New Roman" w:cs="Times New Roman"/>
          <w:b/>
          <w:bCs/>
          <w:color w:val="000000" w:themeColor="text1"/>
          <w:sz w:val="24"/>
          <w:szCs w:val="24"/>
        </w:rPr>
        <w:t xml:space="preserve"> </w:t>
      </w:r>
      <w:r w:rsidRPr="00C2794E">
        <w:rPr>
          <w:rFonts w:ascii="Times New Roman" w:hAnsi="Times New Roman" w:cs="Times New Roman"/>
          <w:color w:val="000000" w:themeColor="text1"/>
          <w:sz w:val="24"/>
          <w:szCs w:val="24"/>
        </w:rPr>
        <w:t>по мнению хозяйствующих субъектов, в наибольшей степени характеризуются следующие рынки:</w:t>
      </w:r>
    </w:p>
    <w:p w:rsidR="00C2794E" w:rsidRPr="00C2794E" w:rsidRDefault="00C2794E"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C2794E">
        <w:rPr>
          <w:rFonts w:ascii="Times New Roman" w:hAnsi="Times New Roman" w:cs="Times New Roman"/>
          <w:color w:val="000000" w:themeColor="text1"/>
          <w:sz w:val="24"/>
          <w:szCs w:val="24"/>
        </w:rPr>
        <w:t>Рынок нефтепродуктов (78%);</w:t>
      </w:r>
    </w:p>
    <w:p w:rsidR="00C2794E" w:rsidRPr="00C2794E" w:rsidRDefault="00C2794E"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C2794E">
        <w:rPr>
          <w:rFonts w:ascii="Times New Roman" w:hAnsi="Times New Roman" w:cs="Times New Roman"/>
          <w:color w:val="000000" w:themeColor="text1"/>
          <w:sz w:val="24"/>
          <w:szCs w:val="24"/>
        </w:rPr>
        <w:t>Рынок оказания услуг по перевозке пассажиров автомобильным транспортом по межмуниципальным маршрутам регулярных перевозок (70%);</w:t>
      </w:r>
    </w:p>
    <w:p w:rsidR="00C2794E" w:rsidRPr="00C2794E" w:rsidRDefault="00C2794E"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C2794E">
        <w:rPr>
          <w:rFonts w:ascii="Times New Roman" w:hAnsi="Times New Roman" w:cs="Times New Roman"/>
          <w:color w:val="000000" w:themeColor="text1"/>
          <w:sz w:val="24"/>
          <w:szCs w:val="24"/>
        </w:rPr>
        <w:t>Рынок услуг по сбору и транспортированию твердых коммунальных отходов (70%);</w:t>
      </w:r>
    </w:p>
    <w:p w:rsidR="00C2794E" w:rsidRPr="00C2794E" w:rsidRDefault="00C2794E"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C2794E">
        <w:rPr>
          <w:rFonts w:ascii="Times New Roman" w:hAnsi="Times New Roman" w:cs="Times New Roman"/>
          <w:color w:val="000000" w:themeColor="text1"/>
          <w:sz w:val="24"/>
          <w:szCs w:val="24"/>
        </w:rPr>
        <w:t>Рынок медицинских услуг (69%);</w:t>
      </w:r>
    </w:p>
    <w:p w:rsidR="00C2794E" w:rsidRPr="00C2794E" w:rsidRDefault="00C2794E"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C2794E">
        <w:rPr>
          <w:rFonts w:ascii="Times New Roman" w:hAnsi="Times New Roman" w:cs="Times New Roman"/>
          <w:color w:val="000000" w:themeColor="text1"/>
          <w:sz w:val="24"/>
          <w:szCs w:val="24"/>
        </w:rPr>
        <w:t>Рынок архитектурно-строительного проектирования (65%).</w:t>
      </w:r>
    </w:p>
    <w:p w:rsidR="00C2794E" w:rsidRPr="00C2794E" w:rsidRDefault="00C2794E" w:rsidP="00C2794E">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w:t>
      </w:r>
      <w:r w:rsidRPr="00C2794E">
        <w:rPr>
          <w:rFonts w:ascii="Times New Roman" w:hAnsi="Times New Roman" w:cs="Times New Roman"/>
          <w:color w:val="000000" w:themeColor="text1"/>
          <w:sz w:val="24"/>
          <w:szCs w:val="24"/>
        </w:rPr>
        <w:t xml:space="preserve"> </w:t>
      </w:r>
      <w:r w:rsidRPr="00C2794E">
        <w:rPr>
          <w:rFonts w:ascii="Times New Roman" w:hAnsi="Times New Roman" w:cs="Times New Roman"/>
          <w:b/>
          <w:bCs/>
          <w:color w:val="000000" w:themeColor="text1"/>
          <w:sz w:val="24"/>
          <w:szCs w:val="24"/>
        </w:rPr>
        <w:t>непреодолимых административных барьерах</w:t>
      </w:r>
      <w:r w:rsidRPr="00C2794E">
        <w:rPr>
          <w:rFonts w:ascii="Times New Roman" w:hAnsi="Times New Roman" w:cs="Times New Roman"/>
          <w:color w:val="000000" w:themeColor="text1"/>
          <w:sz w:val="24"/>
          <w:szCs w:val="24"/>
        </w:rPr>
        <w:t xml:space="preserve"> чаще всего сообщали (25% и выше представителей бизнеса отметили, что административные барьеры непреодолимы) на таких рынках, как:</w:t>
      </w:r>
    </w:p>
    <w:p w:rsidR="00C2794E" w:rsidRPr="00C2794E" w:rsidRDefault="00C2794E"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C2794E">
        <w:rPr>
          <w:rFonts w:ascii="Times New Roman" w:hAnsi="Times New Roman" w:cs="Times New Roman"/>
          <w:color w:val="000000" w:themeColor="text1"/>
          <w:sz w:val="24"/>
          <w:szCs w:val="24"/>
        </w:rPr>
        <w:t>Рынок теплоснабжения (производство тепловой энергии) (38%);</w:t>
      </w:r>
    </w:p>
    <w:p w:rsidR="00C2794E" w:rsidRPr="00C2794E" w:rsidRDefault="00C2794E"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C2794E">
        <w:rPr>
          <w:rFonts w:ascii="Times New Roman" w:hAnsi="Times New Roman" w:cs="Times New Roman"/>
          <w:color w:val="000000" w:themeColor="text1"/>
          <w:sz w:val="24"/>
          <w:szCs w:val="24"/>
        </w:rPr>
        <w:t>Рынок оказания услуг по перевозке пассажиров автомобильным транспортом по муниципальным маршрутам регулярных перевозок (30%);</w:t>
      </w:r>
    </w:p>
    <w:p w:rsidR="00C2794E" w:rsidRPr="00C2794E" w:rsidRDefault="00C2794E"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C2794E">
        <w:rPr>
          <w:rFonts w:ascii="Times New Roman" w:hAnsi="Times New Roman" w:cs="Times New Roman"/>
          <w:color w:val="000000" w:themeColor="text1"/>
          <w:sz w:val="24"/>
          <w:szCs w:val="24"/>
        </w:rPr>
        <w:t>Рынок добычи общераспространенных полезных ископаемых на участках недр местного значения (30%);</w:t>
      </w:r>
    </w:p>
    <w:p w:rsidR="00C2794E" w:rsidRPr="00C2794E" w:rsidRDefault="00C2794E"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C2794E">
        <w:rPr>
          <w:rFonts w:ascii="Times New Roman" w:hAnsi="Times New Roman" w:cs="Times New Roman"/>
          <w:color w:val="000000" w:themeColor="text1"/>
          <w:sz w:val="24"/>
          <w:szCs w:val="24"/>
        </w:rPr>
        <w:t>Рынок обработки древесины и производства изделий из дерева (26%);</w:t>
      </w:r>
    </w:p>
    <w:p w:rsidR="00C2794E" w:rsidRPr="00C2794E" w:rsidRDefault="00C2794E" w:rsidP="00080A73">
      <w:pPr>
        <w:numPr>
          <w:ilvl w:val="0"/>
          <w:numId w:val="8"/>
        </w:numPr>
        <w:spacing w:after="0" w:line="360" w:lineRule="auto"/>
        <w:ind w:left="0" w:firstLine="709"/>
        <w:jc w:val="both"/>
        <w:rPr>
          <w:rFonts w:ascii="Times New Roman" w:hAnsi="Times New Roman" w:cs="Times New Roman"/>
          <w:color w:val="000000" w:themeColor="text1"/>
          <w:sz w:val="24"/>
          <w:szCs w:val="24"/>
        </w:rPr>
      </w:pPr>
      <w:r w:rsidRPr="00C2794E">
        <w:rPr>
          <w:rFonts w:ascii="Times New Roman" w:hAnsi="Times New Roman" w:cs="Times New Roman"/>
          <w:color w:val="000000" w:themeColor="text1"/>
          <w:sz w:val="24"/>
          <w:szCs w:val="24"/>
        </w:rPr>
        <w:t>Рынок услуг детского отдыха и оздоровления (25%).</w:t>
      </w:r>
    </w:p>
    <w:p w:rsidR="00976DAC" w:rsidRPr="00976DAC" w:rsidRDefault="00976DAC" w:rsidP="00C2794E">
      <w:pPr>
        <w:spacing w:after="0" w:line="360" w:lineRule="auto"/>
        <w:jc w:val="both"/>
        <w:rPr>
          <w:rFonts w:ascii="Times New Roman" w:hAnsi="Times New Roman" w:cs="Times New Roman"/>
          <w:color w:val="000000" w:themeColor="text1"/>
          <w:sz w:val="24"/>
          <w:szCs w:val="24"/>
        </w:rPr>
      </w:pPr>
    </w:p>
    <w:p w:rsidR="00976DAC" w:rsidRPr="00976DAC" w:rsidRDefault="00C2794E" w:rsidP="00C2794E">
      <w:pPr>
        <w:spacing w:after="0" w:line="360" w:lineRule="auto"/>
        <w:ind w:firstLine="709"/>
        <w:jc w:val="center"/>
        <w:rPr>
          <w:rFonts w:ascii="Times New Roman" w:hAnsi="Times New Roman" w:cs="Times New Roman"/>
          <w:b/>
          <w:color w:val="000000" w:themeColor="text1"/>
          <w:sz w:val="24"/>
          <w:szCs w:val="24"/>
        </w:rPr>
      </w:pPr>
      <w:bookmarkStart w:id="6" w:name="_Toc122720220"/>
      <w:r>
        <w:rPr>
          <w:rFonts w:ascii="Times New Roman" w:hAnsi="Times New Roman" w:cs="Times New Roman"/>
          <w:b/>
          <w:color w:val="000000" w:themeColor="text1"/>
          <w:sz w:val="24"/>
          <w:szCs w:val="24"/>
        </w:rPr>
        <w:t>3</w:t>
      </w:r>
      <w:r w:rsidR="00976DAC" w:rsidRPr="00976DAC">
        <w:rPr>
          <w:rFonts w:ascii="Times New Roman" w:hAnsi="Times New Roman" w:cs="Times New Roman"/>
          <w:b/>
          <w:color w:val="000000" w:themeColor="text1"/>
          <w:sz w:val="24"/>
          <w:szCs w:val="24"/>
        </w:rPr>
        <w:t>.10. Об изменении уровня административных барьеров за последние 3 года по масштабам бизнеса (для крупных, средних, малых (в том числе микропредприятий) и по сферам деятельности предприятий</w:t>
      </w:r>
      <w:bookmarkEnd w:id="6"/>
    </w:p>
    <w:p w:rsidR="00976DAC" w:rsidRPr="00976DAC" w:rsidRDefault="00976DAC" w:rsidP="00976DAC">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Изменения уровня административных барьеров в течение последних 3 лет на рынке, основном для бизнеса, который респонденты представляли, отражены на рисунке ниже.</w:t>
      </w:r>
    </w:p>
    <w:p w:rsidR="00976DAC" w:rsidRPr="00976DAC" w:rsidRDefault="00976DAC" w:rsidP="00C2794E">
      <w:pPr>
        <w:spacing w:after="0" w:line="360" w:lineRule="auto"/>
        <w:ind w:firstLine="709"/>
        <w:jc w:val="center"/>
        <w:rPr>
          <w:rFonts w:ascii="Times New Roman" w:hAnsi="Times New Roman" w:cs="Times New Roman"/>
          <w:color w:val="000000" w:themeColor="text1"/>
          <w:sz w:val="24"/>
          <w:szCs w:val="24"/>
        </w:rPr>
      </w:pPr>
      <w:r w:rsidRPr="00976DAC">
        <w:rPr>
          <w:rFonts w:ascii="Times New Roman" w:hAnsi="Times New Roman" w:cs="Times New Roman"/>
          <w:iCs/>
          <w:color w:val="000000" w:themeColor="text1"/>
          <w:sz w:val="24"/>
          <w:szCs w:val="24"/>
        </w:rPr>
        <w:t xml:space="preserve">Рисунок </w:t>
      </w:r>
      <w:r w:rsidR="00C2794E">
        <w:rPr>
          <w:rFonts w:ascii="Times New Roman" w:hAnsi="Times New Roman" w:cs="Times New Roman"/>
          <w:iCs/>
          <w:color w:val="000000" w:themeColor="text1"/>
          <w:sz w:val="24"/>
          <w:szCs w:val="24"/>
        </w:rPr>
        <w:t>9</w:t>
      </w:r>
      <w:r w:rsidRPr="00976DAC">
        <w:rPr>
          <w:rFonts w:ascii="Times New Roman" w:hAnsi="Times New Roman" w:cs="Times New Roman"/>
          <w:iCs/>
          <w:color w:val="000000" w:themeColor="text1"/>
          <w:sz w:val="24"/>
          <w:szCs w:val="24"/>
        </w:rPr>
        <w:t xml:space="preserve">. Изменения уровня административных барьеров в течение последних 3 лет </w:t>
      </w:r>
      <w:r w:rsidRPr="00976DAC">
        <w:rPr>
          <w:rFonts w:ascii="Times New Roman" w:hAnsi="Times New Roman" w:cs="Times New Roman"/>
          <w:color w:val="000000" w:themeColor="text1"/>
          <w:sz w:val="24"/>
          <w:szCs w:val="24"/>
        </w:rPr>
        <w:t xml:space="preserve">(опрос предпринимателей, </w:t>
      </w:r>
      <w:r w:rsidRPr="00976DAC">
        <w:rPr>
          <w:rFonts w:ascii="Times New Roman" w:hAnsi="Times New Roman" w:cs="Times New Roman"/>
          <w:color w:val="000000" w:themeColor="text1"/>
          <w:sz w:val="24"/>
          <w:szCs w:val="24"/>
          <w:lang w:val="en-US"/>
        </w:rPr>
        <w:t>n</w:t>
      </w:r>
      <w:r w:rsidRPr="00976DAC">
        <w:rPr>
          <w:rFonts w:ascii="Times New Roman" w:hAnsi="Times New Roman" w:cs="Times New Roman"/>
          <w:color w:val="000000" w:themeColor="text1"/>
          <w:sz w:val="24"/>
          <w:szCs w:val="24"/>
        </w:rPr>
        <w:t>=500)</w:t>
      </w:r>
    </w:p>
    <w:p w:rsidR="00976DAC" w:rsidRPr="00976DAC" w:rsidRDefault="00976DAC" w:rsidP="00976DAC">
      <w:pPr>
        <w:spacing w:after="0" w:line="360" w:lineRule="auto"/>
        <w:ind w:firstLine="709"/>
        <w:jc w:val="both"/>
        <w:rPr>
          <w:rFonts w:ascii="Times New Roman" w:hAnsi="Times New Roman" w:cs="Times New Roman"/>
          <w:b/>
          <w:iCs/>
          <w:color w:val="000000" w:themeColor="text1"/>
          <w:sz w:val="24"/>
          <w:szCs w:val="24"/>
        </w:rPr>
      </w:pPr>
      <w:r w:rsidRPr="00976DAC">
        <w:rPr>
          <w:rFonts w:ascii="Times New Roman" w:hAnsi="Times New Roman" w:cs="Times New Roman"/>
          <w:b/>
          <w:bCs/>
          <w:noProof/>
          <w:color w:val="000000" w:themeColor="text1"/>
          <w:sz w:val="24"/>
          <w:szCs w:val="24"/>
          <w:lang w:eastAsia="ru-RU"/>
        </w:rPr>
        <w:drawing>
          <wp:inline distT="0" distB="0" distL="0" distR="0" wp14:anchorId="098B2223" wp14:editId="39A9406D">
            <wp:extent cx="6390005" cy="2462953"/>
            <wp:effectExtent l="0" t="0" r="0" b="0"/>
            <wp:docPr id="2415" name="Диаграмма 24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76DAC" w:rsidRPr="00976DAC" w:rsidRDefault="00976DAC" w:rsidP="00976DAC">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Почти каждый третий предприниматель (32%) считает, что уровень и количество административных барьеров в течение последних 3 лет </w:t>
      </w:r>
      <w:r w:rsidRPr="00976DAC">
        <w:rPr>
          <w:rFonts w:ascii="Times New Roman" w:hAnsi="Times New Roman" w:cs="Times New Roman"/>
          <w:b/>
          <w:color w:val="000000" w:themeColor="text1"/>
          <w:sz w:val="24"/>
          <w:szCs w:val="24"/>
        </w:rPr>
        <w:t>не изменились</w:t>
      </w:r>
      <w:r w:rsidRPr="00976DAC">
        <w:rPr>
          <w:rFonts w:ascii="Times New Roman" w:hAnsi="Times New Roman" w:cs="Times New Roman"/>
          <w:color w:val="000000" w:themeColor="text1"/>
          <w:sz w:val="24"/>
          <w:szCs w:val="24"/>
        </w:rPr>
        <w:t>.</w:t>
      </w:r>
    </w:p>
    <w:p w:rsidR="00976DAC" w:rsidRPr="00976DAC" w:rsidRDefault="00976DAC" w:rsidP="00976DAC">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О </w:t>
      </w:r>
      <w:r w:rsidRPr="00976DAC">
        <w:rPr>
          <w:rFonts w:ascii="Times New Roman" w:hAnsi="Times New Roman" w:cs="Times New Roman"/>
          <w:b/>
          <w:color w:val="000000" w:themeColor="text1"/>
          <w:sz w:val="24"/>
          <w:szCs w:val="24"/>
        </w:rPr>
        <w:t>полном устранении</w:t>
      </w:r>
      <w:r w:rsidRPr="00976DAC">
        <w:rPr>
          <w:rFonts w:ascii="Times New Roman" w:hAnsi="Times New Roman" w:cs="Times New Roman"/>
          <w:color w:val="000000" w:themeColor="text1"/>
          <w:sz w:val="24"/>
          <w:szCs w:val="24"/>
        </w:rPr>
        <w:t xml:space="preserve"> рассматриваемых препятствий или </w:t>
      </w:r>
      <w:r w:rsidRPr="00976DAC">
        <w:rPr>
          <w:rFonts w:ascii="Times New Roman" w:hAnsi="Times New Roman" w:cs="Times New Roman"/>
          <w:b/>
          <w:color w:val="000000" w:themeColor="text1"/>
          <w:sz w:val="24"/>
          <w:szCs w:val="24"/>
        </w:rPr>
        <w:t>более легком их преодолении</w:t>
      </w:r>
      <w:r w:rsidRPr="00976DAC">
        <w:rPr>
          <w:rFonts w:ascii="Times New Roman" w:hAnsi="Times New Roman" w:cs="Times New Roman"/>
          <w:color w:val="000000" w:themeColor="text1"/>
          <w:sz w:val="24"/>
          <w:szCs w:val="24"/>
        </w:rPr>
        <w:t xml:space="preserve"> сообщают 23% респондентов.</w:t>
      </w:r>
    </w:p>
    <w:p w:rsidR="00976DAC" w:rsidRPr="00976DAC" w:rsidRDefault="00976DAC" w:rsidP="00976DAC">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Примерно такая же доля хозяйствующих субъектов (22%), напротив, полагает что </w:t>
      </w:r>
      <w:r w:rsidRPr="00976DAC">
        <w:rPr>
          <w:rFonts w:ascii="Times New Roman" w:hAnsi="Times New Roman" w:cs="Times New Roman"/>
          <w:b/>
          <w:color w:val="000000" w:themeColor="text1"/>
          <w:sz w:val="24"/>
          <w:szCs w:val="24"/>
        </w:rPr>
        <w:t>административные барьеры стало преодолевать труднее</w:t>
      </w:r>
      <w:r w:rsidRPr="00976DAC">
        <w:rPr>
          <w:rFonts w:ascii="Times New Roman" w:hAnsi="Times New Roman" w:cs="Times New Roman"/>
          <w:color w:val="000000" w:themeColor="text1"/>
          <w:sz w:val="24"/>
          <w:szCs w:val="24"/>
        </w:rPr>
        <w:t xml:space="preserve"> или </w:t>
      </w:r>
      <w:r w:rsidRPr="00976DAC">
        <w:rPr>
          <w:rFonts w:ascii="Times New Roman" w:hAnsi="Times New Roman" w:cs="Times New Roman"/>
          <w:b/>
          <w:color w:val="000000" w:themeColor="text1"/>
          <w:sz w:val="24"/>
          <w:szCs w:val="24"/>
        </w:rPr>
        <w:t>появились те препятствия, которых раньше не было</w:t>
      </w:r>
      <w:r w:rsidRPr="00976DAC">
        <w:rPr>
          <w:rFonts w:ascii="Times New Roman" w:hAnsi="Times New Roman" w:cs="Times New Roman"/>
          <w:color w:val="000000" w:themeColor="text1"/>
          <w:sz w:val="24"/>
          <w:szCs w:val="24"/>
        </w:rPr>
        <w:t>.</w:t>
      </w:r>
    </w:p>
    <w:p w:rsidR="00976DAC" w:rsidRDefault="00976DAC" w:rsidP="00C2794E">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Ещё 7% респондентов считают, что административные барьеры </w:t>
      </w:r>
      <w:r w:rsidRPr="00976DAC">
        <w:rPr>
          <w:rFonts w:ascii="Times New Roman" w:hAnsi="Times New Roman" w:cs="Times New Roman"/>
          <w:b/>
          <w:color w:val="000000" w:themeColor="text1"/>
          <w:sz w:val="24"/>
          <w:szCs w:val="24"/>
        </w:rPr>
        <w:t>отсутствуют, как и ранее</w:t>
      </w:r>
      <w:r w:rsidR="00C2794E">
        <w:rPr>
          <w:rFonts w:ascii="Times New Roman" w:hAnsi="Times New Roman" w:cs="Times New Roman"/>
          <w:color w:val="000000" w:themeColor="text1"/>
          <w:sz w:val="24"/>
          <w:szCs w:val="24"/>
        </w:rPr>
        <w:t xml:space="preserve">. </w:t>
      </w:r>
    </w:p>
    <w:p w:rsidR="00C2794E" w:rsidRPr="00976DAC" w:rsidRDefault="00C2794E" w:rsidP="00C2794E">
      <w:pPr>
        <w:spacing w:after="0" w:line="360" w:lineRule="auto"/>
        <w:ind w:firstLine="709"/>
        <w:jc w:val="both"/>
        <w:rPr>
          <w:rFonts w:ascii="Times New Roman" w:hAnsi="Times New Roman" w:cs="Times New Roman"/>
          <w:color w:val="000000" w:themeColor="text1"/>
          <w:sz w:val="24"/>
          <w:szCs w:val="24"/>
        </w:rPr>
      </w:pPr>
    </w:p>
    <w:p w:rsidR="00976DAC" w:rsidRPr="00976DAC" w:rsidRDefault="00C2794E" w:rsidP="00C2794E">
      <w:pPr>
        <w:spacing w:after="0" w:line="360" w:lineRule="auto"/>
        <w:ind w:firstLine="709"/>
        <w:jc w:val="center"/>
        <w:rPr>
          <w:rFonts w:ascii="Times New Roman" w:hAnsi="Times New Roman" w:cs="Times New Roman"/>
          <w:b/>
          <w:color w:val="000000" w:themeColor="text1"/>
          <w:sz w:val="24"/>
          <w:szCs w:val="24"/>
        </w:rPr>
      </w:pPr>
      <w:bookmarkStart w:id="7" w:name="_Toc122720221"/>
      <w:r>
        <w:rPr>
          <w:rFonts w:ascii="Times New Roman" w:hAnsi="Times New Roman" w:cs="Times New Roman"/>
          <w:b/>
          <w:color w:val="000000" w:themeColor="text1"/>
          <w:sz w:val="24"/>
          <w:szCs w:val="24"/>
        </w:rPr>
        <w:t>3</w:t>
      </w:r>
      <w:r w:rsidR="00976DAC" w:rsidRPr="00976DAC">
        <w:rPr>
          <w:rFonts w:ascii="Times New Roman" w:hAnsi="Times New Roman" w:cs="Times New Roman"/>
          <w:b/>
          <w:color w:val="000000" w:themeColor="text1"/>
          <w:sz w:val="24"/>
          <w:szCs w:val="24"/>
        </w:rPr>
        <w:t>.11. Об эффективности деятельности органов власти на основном рынке респондентов по масштабам бизнеса (для крупных, средних, малых (в том числе микропредприятий) и по сферам деятельности предприятий</w:t>
      </w:r>
      <w:bookmarkEnd w:id="7"/>
    </w:p>
    <w:p w:rsidR="00976DAC" w:rsidRPr="00976DAC" w:rsidRDefault="00976DAC" w:rsidP="00976DAC">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Эффективность деятельности органов власти на рынке, основном для бизнеса, который представляют опрошенные предприниматели, в основном </w:t>
      </w:r>
      <w:r w:rsidRPr="00976DAC">
        <w:rPr>
          <w:rFonts w:ascii="Times New Roman" w:hAnsi="Times New Roman" w:cs="Times New Roman"/>
          <w:b/>
          <w:bCs/>
          <w:color w:val="000000" w:themeColor="text1"/>
          <w:sz w:val="24"/>
          <w:szCs w:val="24"/>
        </w:rPr>
        <w:t>оценивается положительно</w:t>
      </w:r>
      <w:r w:rsidRPr="00976DAC">
        <w:rPr>
          <w:rFonts w:ascii="Times New Roman" w:hAnsi="Times New Roman" w:cs="Times New Roman"/>
          <w:color w:val="000000" w:themeColor="text1"/>
          <w:sz w:val="24"/>
          <w:szCs w:val="24"/>
        </w:rPr>
        <w:t>: 60% респондентов выразили удовлетворенность работой органов власти. Недовольство деятельностью властей высказали 26% респондентов, а 14% затруднились дать какую-либо оценку их действиям.</w:t>
      </w:r>
    </w:p>
    <w:p w:rsidR="00976DAC" w:rsidRPr="00976DAC" w:rsidRDefault="00976DAC" w:rsidP="00C2794E">
      <w:pPr>
        <w:spacing w:after="0" w:line="360" w:lineRule="auto"/>
        <w:ind w:firstLine="709"/>
        <w:jc w:val="center"/>
        <w:rPr>
          <w:rFonts w:ascii="Times New Roman" w:hAnsi="Times New Roman" w:cs="Times New Roman"/>
          <w:b/>
          <w:iCs/>
          <w:color w:val="000000" w:themeColor="text1"/>
          <w:sz w:val="24"/>
          <w:szCs w:val="24"/>
        </w:rPr>
      </w:pPr>
      <w:r w:rsidRPr="00976DAC">
        <w:rPr>
          <w:rFonts w:ascii="Times New Roman" w:hAnsi="Times New Roman" w:cs="Times New Roman"/>
          <w:iCs/>
          <w:color w:val="000000" w:themeColor="text1"/>
          <w:sz w:val="24"/>
          <w:szCs w:val="24"/>
        </w:rPr>
        <w:t xml:space="preserve">Рисунок </w:t>
      </w:r>
      <w:r w:rsidR="00C2794E">
        <w:rPr>
          <w:rFonts w:ascii="Times New Roman" w:hAnsi="Times New Roman" w:cs="Times New Roman"/>
          <w:iCs/>
          <w:color w:val="000000" w:themeColor="text1"/>
          <w:sz w:val="24"/>
          <w:szCs w:val="24"/>
        </w:rPr>
        <w:t>10</w:t>
      </w:r>
      <w:r w:rsidRPr="00976DAC">
        <w:rPr>
          <w:rFonts w:ascii="Times New Roman" w:hAnsi="Times New Roman" w:cs="Times New Roman"/>
          <w:iCs/>
          <w:color w:val="000000" w:themeColor="text1"/>
          <w:sz w:val="24"/>
          <w:szCs w:val="24"/>
        </w:rPr>
        <w:t xml:space="preserve">. </w:t>
      </w:r>
      <w:r w:rsidRPr="00976DAC">
        <w:rPr>
          <w:rFonts w:ascii="Times New Roman" w:hAnsi="Times New Roman" w:cs="Times New Roman"/>
          <w:b/>
          <w:iCs/>
          <w:color w:val="000000" w:themeColor="text1"/>
          <w:sz w:val="24"/>
          <w:szCs w:val="24"/>
        </w:rPr>
        <w:t>Насколько Вы удовлетворены деятельностью органов власти на основном рынке для бизнеса, который Вы представляете?</w:t>
      </w:r>
      <w:r w:rsidRPr="00976DAC">
        <w:rPr>
          <w:rFonts w:ascii="Times New Roman" w:hAnsi="Times New Roman" w:cs="Times New Roman"/>
          <w:i/>
          <w:color w:val="000000" w:themeColor="text1"/>
          <w:sz w:val="24"/>
          <w:szCs w:val="24"/>
        </w:rPr>
        <w:t xml:space="preserve"> </w:t>
      </w:r>
      <w:r w:rsidRPr="00976DAC">
        <w:rPr>
          <w:rFonts w:ascii="Times New Roman" w:hAnsi="Times New Roman" w:cs="Times New Roman"/>
          <w:color w:val="000000" w:themeColor="text1"/>
          <w:sz w:val="24"/>
          <w:szCs w:val="24"/>
        </w:rPr>
        <w:t xml:space="preserve">(опрос предпринимателей, </w:t>
      </w:r>
      <w:r w:rsidRPr="00976DAC">
        <w:rPr>
          <w:rFonts w:ascii="Times New Roman" w:hAnsi="Times New Roman" w:cs="Times New Roman"/>
          <w:color w:val="000000" w:themeColor="text1"/>
          <w:sz w:val="24"/>
          <w:szCs w:val="24"/>
          <w:lang w:val="en-US"/>
        </w:rPr>
        <w:t>n</w:t>
      </w:r>
      <w:r w:rsidRPr="00976DAC">
        <w:rPr>
          <w:rFonts w:ascii="Times New Roman" w:hAnsi="Times New Roman" w:cs="Times New Roman"/>
          <w:color w:val="000000" w:themeColor="text1"/>
          <w:sz w:val="24"/>
          <w:szCs w:val="24"/>
        </w:rPr>
        <w:t>=500)</w:t>
      </w:r>
    </w:p>
    <w:p w:rsidR="00976DAC" w:rsidRPr="00976DAC" w:rsidRDefault="00976DAC" w:rsidP="00976DAC">
      <w:pPr>
        <w:spacing w:after="0" w:line="360" w:lineRule="auto"/>
        <w:ind w:firstLine="709"/>
        <w:jc w:val="both"/>
        <w:rPr>
          <w:rFonts w:ascii="Times New Roman" w:hAnsi="Times New Roman" w:cs="Times New Roman"/>
          <w:b/>
          <w:bCs/>
          <w:color w:val="000000" w:themeColor="text1"/>
          <w:sz w:val="24"/>
          <w:szCs w:val="24"/>
        </w:rPr>
      </w:pPr>
      <w:r w:rsidRPr="00976DAC">
        <w:rPr>
          <w:rFonts w:ascii="Times New Roman" w:hAnsi="Times New Roman" w:cs="Times New Roman"/>
          <w:b/>
          <w:bCs/>
          <w:noProof/>
          <w:color w:val="000000" w:themeColor="text1"/>
          <w:sz w:val="24"/>
          <w:szCs w:val="24"/>
          <w:lang w:eastAsia="ru-RU"/>
        </w:rPr>
        <w:drawing>
          <wp:inline distT="0" distB="0" distL="0" distR="0" wp14:anchorId="2D1979C7" wp14:editId="45619B83">
            <wp:extent cx="6188075" cy="2155372"/>
            <wp:effectExtent l="0" t="0" r="3175" b="0"/>
            <wp:docPr id="2416" name="Диаграмма 24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76DAC" w:rsidRPr="00976DAC" w:rsidRDefault="00976DAC" w:rsidP="00C2794E">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В разрезе </w:t>
      </w:r>
      <w:r w:rsidRPr="00976DAC">
        <w:rPr>
          <w:rFonts w:ascii="Times New Roman" w:hAnsi="Times New Roman" w:cs="Times New Roman"/>
          <w:b/>
          <w:bCs/>
          <w:color w:val="000000" w:themeColor="text1"/>
          <w:sz w:val="24"/>
          <w:szCs w:val="24"/>
        </w:rPr>
        <w:t>сфер деятельности</w:t>
      </w:r>
      <w:r w:rsidRPr="00976DAC">
        <w:rPr>
          <w:rFonts w:ascii="Times New Roman" w:hAnsi="Times New Roman" w:cs="Times New Roman"/>
          <w:color w:val="000000" w:themeColor="text1"/>
          <w:sz w:val="24"/>
          <w:szCs w:val="24"/>
        </w:rPr>
        <w:t xml:space="preserve"> можно отметить, что на следующих рынках Ленинградской области зафиксированы наиболее </w:t>
      </w:r>
      <w:r w:rsidRPr="00976DAC">
        <w:rPr>
          <w:rFonts w:ascii="Times New Roman" w:hAnsi="Times New Roman" w:cs="Times New Roman"/>
          <w:b/>
          <w:bCs/>
          <w:color w:val="000000" w:themeColor="text1"/>
          <w:sz w:val="24"/>
          <w:szCs w:val="24"/>
        </w:rPr>
        <w:t>высокие показатели</w:t>
      </w:r>
      <w:r w:rsidRPr="00976DAC">
        <w:rPr>
          <w:rFonts w:ascii="Times New Roman" w:hAnsi="Times New Roman" w:cs="Times New Roman"/>
          <w:color w:val="000000" w:themeColor="text1"/>
          <w:sz w:val="24"/>
          <w:szCs w:val="24"/>
        </w:rPr>
        <w:t xml:space="preserve"> удовлетворённости действиями властей региона (в скобках представлены совокупные доли оценок "удовлетворен" и "скорее удовлетворен"):</w:t>
      </w:r>
    </w:p>
    <w:p w:rsidR="00976DAC" w:rsidRPr="00976DAC" w:rsidRDefault="00976DAC" w:rsidP="00080A73">
      <w:pPr>
        <w:numPr>
          <w:ilvl w:val="0"/>
          <w:numId w:val="14"/>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нефтепродуктов (91%);</w:t>
      </w:r>
    </w:p>
    <w:p w:rsidR="00976DAC" w:rsidRPr="00976DAC" w:rsidRDefault="00976DAC" w:rsidP="00080A73">
      <w:pPr>
        <w:numPr>
          <w:ilvl w:val="0"/>
          <w:numId w:val="14"/>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племенного животноводства (88%);</w:t>
      </w:r>
    </w:p>
    <w:p w:rsidR="00976DAC" w:rsidRPr="00976DAC" w:rsidRDefault="00976DAC" w:rsidP="00080A73">
      <w:pPr>
        <w:numPr>
          <w:ilvl w:val="0"/>
          <w:numId w:val="14"/>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услуг розничной торговли лекарственными препаратами, медицинскими изделиями и сопутствующими товарами (86%);</w:t>
      </w:r>
    </w:p>
    <w:p w:rsidR="00976DAC" w:rsidRPr="00976DAC" w:rsidRDefault="00976DAC" w:rsidP="00080A73">
      <w:pPr>
        <w:numPr>
          <w:ilvl w:val="0"/>
          <w:numId w:val="14"/>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услуг связи, в том числе услуг по предоставлению широкополосного доступа к информационно-телекоммуникационной сети "Интернет" (77%);</w:t>
      </w:r>
    </w:p>
    <w:p w:rsidR="00976DAC" w:rsidRPr="00976DAC" w:rsidRDefault="00976DAC" w:rsidP="00080A73">
      <w:pPr>
        <w:numPr>
          <w:ilvl w:val="0"/>
          <w:numId w:val="14"/>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семеноводства (71%).</w:t>
      </w:r>
    </w:p>
    <w:p w:rsidR="00976DAC" w:rsidRPr="00976DAC" w:rsidRDefault="00976DAC" w:rsidP="00C2794E">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Самые </w:t>
      </w:r>
      <w:r w:rsidRPr="00976DAC">
        <w:rPr>
          <w:rFonts w:ascii="Times New Roman" w:hAnsi="Times New Roman" w:cs="Times New Roman"/>
          <w:b/>
          <w:bCs/>
          <w:color w:val="000000" w:themeColor="text1"/>
          <w:sz w:val="24"/>
          <w:szCs w:val="24"/>
        </w:rPr>
        <w:t>низкие доли</w:t>
      </w:r>
      <w:r w:rsidRPr="00976DAC">
        <w:rPr>
          <w:rFonts w:ascii="Times New Roman" w:hAnsi="Times New Roman" w:cs="Times New Roman"/>
          <w:color w:val="000000" w:themeColor="text1"/>
          <w:sz w:val="24"/>
          <w:szCs w:val="24"/>
        </w:rPr>
        <w:t xml:space="preserve"> предпринимателей, довольных действиями органов власти, наблюдаются на следующих рассматриваемых рынках:</w:t>
      </w:r>
    </w:p>
    <w:p w:rsidR="00976DAC" w:rsidRPr="00976DAC" w:rsidRDefault="00976DAC" w:rsidP="00080A73">
      <w:pPr>
        <w:numPr>
          <w:ilvl w:val="0"/>
          <w:numId w:val="14"/>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услуг дошкольного образования (45%);</w:t>
      </w:r>
    </w:p>
    <w:p w:rsidR="00976DAC" w:rsidRPr="00976DAC" w:rsidRDefault="00976DAC" w:rsidP="00080A73">
      <w:pPr>
        <w:numPr>
          <w:ilvl w:val="0"/>
          <w:numId w:val="14"/>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кадастровых и землеустроительных работ (45%);</w:t>
      </w:r>
    </w:p>
    <w:p w:rsidR="00976DAC" w:rsidRPr="00976DAC" w:rsidRDefault="00976DAC" w:rsidP="00080A73">
      <w:pPr>
        <w:numPr>
          <w:ilvl w:val="0"/>
          <w:numId w:val="14"/>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оказания услуг по перевозке пассажиров и багажа легковым такси на территории Ленинградской области (45%);</w:t>
      </w:r>
    </w:p>
    <w:p w:rsidR="00976DAC" w:rsidRPr="00976DAC" w:rsidRDefault="00976DAC" w:rsidP="00080A73">
      <w:pPr>
        <w:numPr>
          <w:ilvl w:val="0"/>
          <w:numId w:val="14"/>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услуг среднего профессионального образования (40%);</w:t>
      </w:r>
    </w:p>
    <w:p w:rsidR="00976DAC" w:rsidRPr="00976DAC" w:rsidRDefault="00976DAC" w:rsidP="00080A73">
      <w:pPr>
        <w:numPr>
          <w:ilvl w:val="0"/>
          <w:numId w:val="14"/>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производства кирпича (33%);</w:t>
      </w:r>
    </w:p>
    <w:p w:rsidR="00976DAC" w:rsidRPr="00976DAC" w:rsidRDefault="00976DAC" w:rsidP="00080A73">
      <w:pPr>
        <w:numPr>
          <w:ilvl w:val="0"/>
          <w:numId w:val="14"/>
        </w:numPr>
        <w:spacing w:after="0" w:line="360" w:lineRule="auto"/>
        <w:ind w:left="0"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Рынок переработки водных биоресурсов (30%).</w:t>
      </w:r>
    </w:p>
    <w:p w:rsidR="00976DAC" w:rsidRPr="00976DAC" w:rsidRDefault="00976DAC" w:rsidP="00976DAC">
      <w:pPr>
        <w:spacing w:after="0" w:line="360" w:lineRule="auto"/>
        <w:ind w:firstLine="709"/>
        <w:jc w:val="both"/>
        <w:rPr>
          <w:rFonts w:ascii="Times New Roman" w:hAnsi="Times New Roman" w:cs="Times New Roman"/>
          <w:color w:val="000000" w:themeColor="text1"/>
          <w:sz w:val="24"/>
          <w:szCs w:val="24"/>
        </w:rPr>
      </w:pPr>
    </w:p>
    <w:p w:rsidR="00976DAC" w:rsidRPr="00976DAC" w:rsidRDefault="00C2794E" w:rsidP="00C2794E">
      <w:pPr>
        <w:spacing w:after="0" w:line="360" w:lineRule="auto"/>
        <w:ind w:firstLine="709"/>
        <w:jc w:val="center"/>
        <w:rPr>
          <w:rFonts w:ascii="Times New Roman" w:hAnsi="Times New Roman" w:cs="Times New Roman"/>
          <w:b/>
          <w:color w:val="000000" w:themeColor="text1"/>
          <w:sz w:val="24"/>
          <w:szCs w:val="24"/>
        </w:rPr>
      </w:pPr>
      <w:bookmarkStart w:id="8" w:name="_Toc122720222"/>
      <w:r>
        <w:rPr>
          <w:rFonts w:ascii="Times New Roman" w:hAnsi="Times New Roman" w:cs="Times New Roman"/>
          <w:b/>
          <w:color w:val="000000" w:themeColor="text1"/>
          <w:sz w:val="24"/>
          <w:szCs w:val="24"/>
        </w:rPr>
        <w:t>3</w:t>
      </w:r>
      <w:r w:rsidR="00976DAC" w:rsidRPr="00976DAC">
        <w:rPr>
          <w:rFonts w:ascii="Times New Roman" w:hAnsi="Times New Roman" w:cs="Times New Roman"/>
          <w:b/>
          <w:color w:val="000000" w:themeColor="text1"/>
          <w:sz w:val="24"/>
          <w:szCs w:val="24"/>
        </w:rPr>
        <w:t>.12. О структуре жалоб в надзорные органы об устранении административных барьеров (с распределением по надзорным органам, масштабам бизнеса и сферам деятельности) и динамике их поступления в сравнении с предыдущим отчетным периодом</w:t>
      </w:r>
      <w:bookmarkEnd w:id="8"/>
    </w:p>
    <w:p w:rsidR="00976DAC" w:rsidRPr="00976DAC" w:rsidRDefault="00976DAC" w:rsidP="00D52A03">
      <w:pPr>
        <w:spacing w:after="0" w:line="360" w:lineRule="auto"/>
        <w:ind w:firstLine="709"/>
        <w:jc w:val="both"/>
        <w:rPr>
          <w:rFonts w:ascii="Times New Roman" w:hAnsi="Times New Roman" w:cs="Times New Roman"/>
          <w:color w:val="000000" w:themeColor="text1"/>
          <w:sz w:val="24"/>
          <w:szCs w:val="24"/>
        </w:rPr>
      </w:pPr>
      <w:bookmarkStart w:id="9" w:name="_Hlk122697525"/>
      <w:r w:rsidRPr="00976DAC">
        <w:rPr>
          <w:rFonts w:ascii="Times New Roman" w:hAnsi="Times New Roman" w:cs="Times New Roman"/>
          <w:color w:val="000000" w:themeColor="text1"/>
          <w:sz w:val="24"/>
          <w:szCs w:val="24"/>
        </w:rPr>
        <w:t>В 2022 г. в соответствии с Постановлением Правительств</w:t>
      </w:r>
      <w:r w:rsidR="00CD2F82">
        <w:rPr>
          <w:rFonts w:ascii="Times New Roman" w:hAnsi="Times New Roman" w:cs="Times New Roman"/>
          <w:color w:val="000000" w:themeColor="text1"/>
          <w:sz w:val="24"/>
          <w:szCs w:val="24"/>
        </w:rPr>
        <w:t>а РФ от 10 марта 2022 г. № 366 «</w:t>
      </w:r>
      <w:r w:rsidRPr="00976DAC">
        <w:rPr>
          <w:rFonts w:ascii="Times New Roman" w:hAnsi="Times New Roman" w:cs="Times New Roman"/>
          <w:color w:val="000000" w:themeColor="text1"/>
          <w:sz w:val="24"/>
          <w:szCs w:val="24"/>
        </w:rPr>
        <w:t>Об особенностях организации и осуществления государственного контроля (надзора), муниципального контроля</w:t>
      </w:r>
      <w:r w:rsidR="00CD2F82">
        <w:rPr>
          <w:rFonts w:ascii="Times New Roman" w:hAnsi="Times New Roman" w:cs="Times New Roman"/>
          <w:color w:val="000000" w:themeColor="text1"/>
          <w:sz w:val="24"/>
          <w:szCs w:val="24"/>
        </w:rPr>
        <w:t xml:space="preserve">» </w:t>
      </w:r>
      <w:r w:rsidRPr="00976DAC">
        <w:rPr>
          <w:rFonts w:ascii="Times New Roman" w:hAnsi="Times New Roman" w:cs="Times New Roman"/>
          <w:color w:val="000000" w:themeColor="text1"/>
          <w:sz w:val="24"/>
          <w:szCs w:val="24"/>
        </w:rPr>
        <w:t>не допускается проведение (осуществление) плановых и внеплановых мероприятий, плановых и внеплановых проверок при осуществлении видов государственного контроля (надзора), муниципального контроля, порядок которых ре</w:t>
      </w:r>
      <w:r w:rsidR="00CD2F82">
        <w:rPr>
          <w:rFonts w:ascii="Times New Roman" w:hAnsi="Times New Roman" w:cs="Times New Roman"/>
          <w:color w:val="000000" w:themeColor="text1"/>
          <w:sz w:val="24"/>
          <w:szCs w:val="24"/>
        </w:rPr>
        <w:t>гулируется Федеральным законом «</w:t>
      </w:r>
      <w:r w:rsidRPr="00976DAC">
        <w:rPr>
          <w:rFonts w:ascii="Times New Roman" w:hAnsi="Times New Roman" w:cs="Times New Roman"/>
          <w:color w:val="000000" w:themeColor="text1"/>
          <w:sz w:val="24"/>
          <w:szCs w:val="24"/>
        </w:rPr>
        <w:t xml:space="preserve">О государственном контроле (надзоре) и муниципальном </w:t>
      </w:r>
      <w:r w:rsidR="00CD2F82">
        <w:rPr>
          <w:rFonts w:ascii="Times New Roman" w:hAnsi="Times New Roman" w:cs="Times New Roman"/>
          <w:color w:val="000000" w:themeColor="text1"/>
          <w:sz w:val="24"/>
          <w:szCs w:val="24"/>
        </w:rPr>
        <w:t>контроле в Российской Федерации»</w:t>
      </w:r>
      <w:r w:rsidRPr="00976DAC">
        <w:rPr>
          <w:rFonts w:ascii="Times New Roman" w:hAnsi="Times New Roman" w:cs="Times New Roman"/>
          <w:color w:val="000000" w:themeColor="text1"/>
          <w:sz w:val="24"/>
          <w:szCs w:val="24"/>
        </w:rPr>
        <w:t xml:space="preserve"> и Федеральным законом </w:t>
      </w:r>
      <w:r w:rsidR="00CD2F82">
        <w:rPr>
          <w:rFonts w:ascii="Times New Roman" w:hAnsi="Times New Roman" w:cs="Times New Roman"/>
          <w:color w:val="000000" w:themeColor="text1"/>
          <w:sz w:val="24"/>
          <w:szCs w:val="24"/>
        </w:rPr>
        <w:t>«</w:t>
      </w:r>
      <w:r w:rsidRPr="00976DAC">
        <w:rPr>
          <w:rFonts w:ascii="Times New Roman" w:hAnsi="Times New Roman" w:cs="Times New Roman"/>
          <w:color w:val="000000" w:themeColor="text1"/>
          <w:sz w:val="24"/>
          <w:szCs w:val="24"/>
        </w:rPr>
        <w:t>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00CD2F82">
        <w:rPr>
          <w:rFonts w:ascii="Times New Roman" w:hAnsi="Times New Roman" w:cs="Times New Roman"/>
          <w:color w:val="000000" w:themeColor="text1"/>
          <w:sz w:val="24"/>
          <w:szCs w:val="24"/>
        </w:rPr>
        <w:t>»</w:t>
      </w:r>
      <w:r w:rsidRPr="00976DAC">
        <w:rPr>
          <w:rFonts w:ascii="Times New Roman" w:hAnsi="Times New Roman" w:cs="Times New Roman"/>
          <w:color w:val="000000" w:themeColor="text1"/>
          <w:sz w:val="24"/>
          <w:szCs w:val="24"/>
        </w:rPr>
        <w:t>, а также при осуществлении государственного контроля (надзора) за деятельностью органов государственной власти субъектов Российской Федерации и должностных лиц органов государственной власти субъектов Российской Федерации и за деятельностью органов местного самоуправления и должностных лиц органов местного самоуправления (включая контроль за эффективностью и качеством осуществления органами государственной власти субъектов Российской Федерации переданных полномочий, а также контроль за осуществлением органами местного самоуправления отдельных государственных полномочий), за исключением случаев, предусмотренных указанным Постановлением. Ограничения, установленные данным Постановлением, влияют на показатели результатов рассмотрения обращ</w:t>
      </w:r>
      <w:r w:rsidR="00C2794E">
        <w:rPr>
          <w:rFonts w:ascii="Times New Roman" w:hAnsi="Times New Roman" w:cs="Times New Roman"/>
          <w:color w:val="000000" w:themeColor="text1"/>
          <w:sz w:val="24"/>
          <w:szCs w:val="24"/>
        </w:rPr>
        <w:t>ений предпринимателей в 2022 году.</w:t>
      </w:r>
    </w:p>
    <w:p w:rsidR="00976DAC" w:rsidRPr="00976DAC" w:rsidRDefault="00976DAC" w:rsidP="00D52A03">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В ходе мониторинга наличия (отсутствия) административных барьеров и оценки состояния конкуренции субъектами предпринимательской деятельности в отношении товарных рынков Ленинградской области, включенных в Перечень, утвержденный Распоряжением Губернатора Ленинградской области от 29 декабря 2021 г. № 1298-рг, для содействия развитию конкуренции, проанализированы данные об обращениях в надзорные органы, осуществляющие государственный региональный надзор в Ленинградской области.</w:t>
      </w:r>
    </w:p>
    <w:bookmarkEnd w:id="9"/>
    <w:p w:rsidR="00976DAC" w:rsidRPr="00976DAC" w:rsidRDefault="00976DAC" w:rsidP="00D52A03">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Как показывает анализ, наибольшее количество обращений (жалоб), поступивших в органы власти региона, приходится на Комитет государственного строительного надзора и государственной экспертизы Ленинградской области, Управление Федеральной антимонопольной службы по Ленинградской области и Северо-Западное управление Росприроднадзора.</w:t>
      </w:r>
    </w:p>
    <w:p w:rsidR="00976DAC" w:rsidRPr="00976DAC" w:rsidRDefault="00976DAC" w:rsidP="00D52A03">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Отмечается тенденция к снижению количества поступающих обращений Комитет государственного строительного надзора и государственной экспертизы Ленинградской области (2020 г. – 4026, 2021 г. – 3350, за три квартала 2022 г. – 1967), Северо-Западное управление Росприроднадзора (2020 г. – 4302, 2021 г. – 4163, за три квартала 2022 г. – 4048), Северо-Западное управление Ростехнадзора (2020 г. – 3492, 2021 г. – 3361, за три квартала 2022 г. –2351); можно прогнозировать положительную динамику количества обращений в Управление Федеральной антимонопольной службы по Ленинградской области (2021 г. – 4533, за I и II квартал 2022 г. – 2259).</w:t>
      </w:r>
    </w:p>
    <w:p w:rsidR="00976DAC" w:rsidRPr="00976DAC" w:rsidRDefault="00976DAC" w:rsidP="00D52A03">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В других структурах наблюдается тенденция к некоторому повышению количества обращений; наиболее заметное повышение – в Комитет градостроительной политики Ленинградской области (с 718 в 2020 г. до 1054 в 2021 г., за I квартал 2022 г. – 235) и в Комитет по строительству Ленинградской области (с 1030 в 2020 г. до 1371 в 2021 г., за I и II квартал 2022 г. – 769).</w:t>
      </w:r>
    </w:p>
    <w:p w:rsidR="00976DAC" w:rsidRPr="00976DAC" w:rsidRDefault="00976DAC" w:rsidP="007734D5">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Данные </w:t>
      </w:r>
      <w:bookmarkStart w:id="10" w:name="_Hlk120478452"/>
      <w:r w:rsidRPr="00976DAC">
        <w:rPr>
          <w:rFonts w:ascii="Times New Roman" w:hAnsi="Times New Roman" w:cs="Times New Roman"/>
          <w:b/>
          <w:bCs/>
          <w:color w:val="000000" w:themeColor="text1"/>
          <w:sz w:val="24"/>
          <w:szCs w:val="24"/>
        </w:rPr>
        <w:t>Управления Федеральной антимонопольной службы по Ленинградской области</w:t>
      </w:r>
      <w:bookmarkEnd w:id="10"/>
      <w:r w:rsidR="00C2794E">
        <w:rPr>
          <w:rFonts w:ascii="Times New Roman" w:hAnsi="Times New Roman" w:cs="Times New Roman"/>
          <w:color w:val="000000" w:themeColor="text1"/>
          <w:sz w:val="24"/>
          <w:szCs w:val="24"/>
        </w:rPr>
        <w:t xml:space="preserve"> </w:t>
      </w:r>
      <w:r w:rsidRPr="00976DAC">
        <w:rPr>
          <w:rFonts w:ascii="Times New Roman" w:hAnsi="Times New Roman" w:cs="Times New Roman"/>
          <w:color w:val="000000" w:themeColor="text1"/>
          <w:sz w:val="24"/>
          <w:szCs w:val="24"/>
        </w:rPr>
        <w:t xml:space="preserve">иллюстрируют тенденцию к значительному увеличению количества заявлений и обращений, поступивших от юридических и физических лиц. Так, в 2021 г. – более чем в два раза по сравнению с 2020 г.; в первой половине 2022 г. количество заявлений и обращений превысило общее количество в 2020 г. Количество жалоб на действия (бездействия) заказчиков при организации и проведении торгов, заключении договоров по результатам торгов </w:t>
      </w:r>
      <w:r w:rsidR="007734D5">
        <w:rPr>
          <w:rFonts w:ascii="Times New Roman" w:hAnsi="Times New Roman" w:cs="Times New Roman"/>
          <w:color w:val="000000" w:themeColor="text1"/>
          <w:sz w:val="24"/>
          <w:szCs w:val="24"/>
        </w:rPr>
        <w:t>остается достаточно стабильным.</w:t>
      </w:r>
    </w:p>
    <w:p w:rsidR="00976DAC" w:rsidRPr="00976DAC" w:rsidRDefault="00976DAC" w:rsidP="00976DAC">
      <w:pPr>
        <w:spacing w:after="0" w:line="360" w:lineRule="auto"/>
        <w:ind w:firstLine="709"/>
        <w:jc w:val="both"/>
        <w:rPr>
          <w:rFonts w:ascii="Times New Roman" w:hAnsi="Times New Roman" w:cs="Times New Roman"/>
          <w:color w:val="000000" w:themeColor="text1"/>
          <w:sz w:val="24"/>
          <w:szCs w:val="24"/>
        </w:rPr>
      </w:pPr>
      <w:bookmarkStart w:id="11" w:name="_Hlk122686506"/>
      <w:r w:rsidRPr="00976DAC">
        <w:rPr>
          <w:rFonts w:ascii="Times New Roman" w:hAnsi="Times New Roman" w:cs="Times New Roman"/>
          <w:color w:val="000000" w:themeColor="text1"/>
          <w:sz w:val="24"/>
          <w:szCs w:val="24"/>
        </w:rPr>
        <w:t>Анализ тематики поступивших обращений (жалоб) показывает существенное возрастание в текущем году жалоб от предпринимателей на ограничение конкуренции вследствие злоупотребления доминирующим положением, заключения ограничивающих конкуренцию соглашений между хозяйствующими субъектами, недобросовестной конкуренции, нарушение правил недискриминационного доступа, ограничение конкуренции на торгах (1978 обращений за период с января по октябрь 2022 г., тогда как в 2020 и 2021 гг. – менее 500 за год).</w:t>
      </w:r>
      <w:bookmarkEnd w:id="11"/>
    </w:p>
    <w:p w:rsidR="00976DAC" w:rsidRPr="00976DAC" w:rsidRDefault="00976DAC" w:rsidP="007734D5">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При этом </w:t>
      </w:r>
      <w:bookmarkStart w:id="12" w:name="_Hlk120478431"/>
      <w:r w:rsidRPr="00976DAC">
        <w:rPr>
          <w:rFonts w:ascii="Times New Roman" w:hAnsi="Times New Roman" w:cs="Times New Roman"/>
          <w:color w:val="000000" w:themeColor="text1"/>
          <w:sz w:val="24"/>
          <w:szCs w:val="24"/>
        </w:rPr>
        <w:t>отмечается значительное снижение количества жалоб от юридических лиц / предпринимателей на административные барьеры (ограничение конкуренции) со стороны органов власти, в т.ч. на торгах, а также вследствие заключения антиконкурентного соглашения с иными органами власти или хозяйствующими субъектами, неправомерной передачи государственного и муниципального имущества, предоставления преференции и т.д. (в 2020 г. – 2933 обращений, в 2021 г. – 2197 обращений, за период с января по октябрь 2022 г. – 1460 обращений).</w:t>
      </w:r>
      <w:bookmarkEnd w:id="12"/>
    </w:p>
    <w:p w:rsidR="00976DAC" w:rsidRPr="00976DAC" w:rsidRDefault="00976DAC" w:rsidP="00976DAC">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По данным </w:t>
      </w:r>
      <w:r w:rsidRPr="00976DAC">
        <w:rPr>
          <w:rFonts w:ascii="Times New Roman" w:hAnsi="Times New Roman" w:cs="Times New Roman"/>
          <w:b/>
          <w:bCs/>
          <w:color w:val="000000" w:themeColor="text1"/>
          <w:sz w:val="24"/>
          <w:szCs w:val="24"/>
        </w:rPr>
        <w:t>Федеральной налоговой службы по Ленинградской области</w:t>
      </w:r>
      <w:r w:rsidRPr="00976DAC">
        <w:rPr>
          <w:rFonts w:ascii="Times New Roman" w:hAnsi="Times New Roman" w:cs="Times New Roman"/>
          <w:color w:val="000000" w:themeColor="text1"/>
          <w:sz w:val="24"/>
          <w:szCs w:val="24"/>
        </w:rPr>
        <w:t>, представленным на официальном сайте, отмечается некоторое возрастание количества обращений в 2021 г. по сравнению с 2020 г. (2604 в 2021 г., тогда как в 2020 г. – 2478 обращений). Однако при этом можно прогнозировать положительную динамику в 2022 г. (за три квартала – 1858 обращений).</w:t>
      </w:r>
    </w:p>
    <w:p w:rsidR="00976DAC" w:rsidRPr="00976DAC" w:rsidRDefault="00976DAC" w:rsidP="00976DAC">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Наиболее часто встречаются обращения, связанные с контролем и надзором в налоговой сфере, контролем исполнения налогового законодательства физическими и юридическими лицами, задолженностью по налогам и сборам, обжалованием решений государственных органов и должностных лиц, актуализацией сведений об объектах налогообложения, отдельными видами налогов (налог на доходы физических лиц, налог на имущество, земельный налог, транспортный налог), налогообложением малого бизнеса, организацией работы с налогоплательщиками.</w:t>
      </w:r>
    </w:p>
    <w:p w:rsidR="00976DAC" w:rsidRDefault="00976DAC" w:rsidP="00976DAC">
      <w:pPr>
        <w:spacing w:after="0" w:line="360" w:lineRule="auto"/>
        <w:ind w:firstLine="709"/>
        <w:jc w:val="both"/>
        <w:rPr>
          <w:rFonts w:ascii="Times New Roman" w:hAnsi="Times New Roman" w:cs="Times New Roman"/>
          <w:color w:val="000000" w:themeColor="text1"/>
          <w:sz w:val="24"/>
          <w:szCs w:val="24"/>
        </w:rPr>
      </w:pPr>
      <w:bookmarkStart w:id="13" w:name="_Hlk121092924"/>
      <w:r w:rsidRPr="00976DAC">
        <w:rPr>
          <w:rFonts w:ascii="Times New Roman" w:hAnsi="Times New Roman" w:cs="Times New Roman"/>
          <w:color w:val="000000" w:themeColor="text1"/>
          <w:sz w:val="24"/>
          <w:szCs w:val="24"/>
        </w:rPr>
        <w:t xml:space="preserve">Согласно данным, приведенным на официальном сайте </w:t>
      </w:r>
      <w:r w:rsidRPr="00976DAC">
        <w:rPr>
          <w:rFonts w:ascii="Times New Roman" w:hAnsi="Times New Roman" w:cs="Times New Roman"/>
          <w:b/>
          <w:bCs/>
          <w:color w:val="000000" w:themeColor="text1"/>
          <w:sz w:val="24"/>
          <w:szCs w:val="24"/>
        </w:rPr>
        <w:t>Северо-Западного межрегионального управления Росприроднадзора</w:t>
      </w:r>
      <w:r w:rsidRPr="00976DAC">
        <w:rPr>
          <w:rFonts w:ascii="Times New Roman" w:hAnsi="Times New Roman" w:cs="Times New Roman"/>
          <w:color w:val="000000" w:themeColor="text1"/>
          <w:sz w:val="24"/>
          <w:szCs w:val="24"/>
        </w:rPr>
        <w:t>, отмечается умеренно позитивная динамика - некоторое снижение количества обращений в 2021 г. (3361) по сравнению с 2020 г. (3492). Позитивная динамика продолжается также в 2022 г. (2351 обращение за три квартала).</w:t>
      </w:r>
      <w:bookmarkEnd w:id="13"/>
    </w:p>
    <w:p w:rsidR="007734D5" w:rsidRPr="00976DAC" w:rsidRDefault="007734D5" w:rsidP="00976DAC">
      <w:pPr>
        <w:spacing w:after="0" w:line="360" w:lineRule="auto"/>
        <w:ind w:firstLine="709"/>
        <w:jc w:val="both"/>
        <w:rPr>
          <w:rFonts w:ascii="Times New Roman" w:hAnsi="Times New Roman" w:cs="Times New Roman"/>
          <w:color w:val="000000" w:themeColor="text1"/>
          <w:sz w:val="24"/>
          <w:szCs w:val="24"/>
        </w:rPr>
      </w:pPr>
    </w:p>
    <w:p w:rsidR="00976DAC" w:rsidRDefault="007734D5" w:rsidP="007734D5">
      <w:pPr>
        <w:spacing w:after="0" w:line="360" w:lineRule="auto"/>
        <w:ind w:firstLine="709"/>
        <w:jc w:val="center"/>
        <w:rPr>
          <w:rFonts w:ascii="Times New Roman" w:hAnsi="Times New Roman" w:cs="Times New Roman"/>
          <w:b/>
          <w:color w:val="000000" w:themeColor="text1"/>
          <w:sz w:val="24"/>
          <w:szCs w:val="24"/>
        </w:rPr>
      </w:pPr>
      <w:bookmarkStart w:id="14" w:name="_Toc122720223"/>
      <w:bookmarkStart w:id="15" w:name="_Hlk120231454"/>
      <w:r>
        <w:rPr>
          <w:rFonts w:ascii="Times New Roman" w:hAnsi="Times New Roman" w:cs="Times New Roman"/>
          <w:b/>
          <w:color w:val="000000" w:themeColor="text1"/>
          <w:sz w:val="24"/>
          <w:szCs w:val="24"/>
        </w:rPr>
        <w:t>3</w:t>
      </w:r>
      <w:r w:rsidR="00976DAC" w:rsidRPr="00976DAC">
        <w:rPr>
          <w:rFonts w:ascii="Times New Roman" w:hAnsi="Times New Roman" w:cs="Times New Roman"/>
          <w:b/>
          <w:color w:val="000000" w:themeColor="text1"/>
          <w:sz w:val="24"/>
          <w:szCs w:val="24"/>
        </w:rPr>
        <w:t>.13. О результатах рассмотрения обращений предпринимателей с жалобами об устранении административных барьеров (удалось или не удалось отстоять свои права)</w:t>
      </w:r>
      <w:bookmarkEnd w:id="14"/>
    </w:p>
    <w:p w:rsidR="007734D5" w:rsidRPr="00976DAC" w:rsidRDefault="007734D5" w:rsidP="00976DAC">
      <w:pPr>
        <w:spacing w:after="0" w:line="360" w:lineRule="auto"/>
        <w:ind w:firstLine="709"/>
        <w:jc w:val="both"/>
        <w:rPr>
          <w:rFonts w:ascii="Times New Roman" w:hAnsi="Times New Roman" w:cs="Times New Roman"/>
          <w:b/>
          <w:color w:val="000000" w:themeColor="text1"/>
          <w:sz w:val="24"/>
          <w:szCs w:val="24"/>
        </w:rPr>
      </w:pPr>
    </w:p>
    <w:p w:rsidR="00976DAC" w:rsidRPr="00976DAC" w:rsidRDefault="00976DAC" w:rsidP="00976DAC">
      <w:pPr>
        <w:spacing w:after="0" w:line="360" w:lineRule="auto"/>
        <w:ind w:firstLine="709"/>
        <w:jc w:val="both"/>
        <w:rPr>
          <w:rFonts w:ascii="Times New Roman" w:hAnsi="Times New Roman" w:cs="Times New Roman"/>
          <w:color w:val="000000" w:themeColor="text1"/>
          <w:sz w:val="24"/>
          <w:szCs w:val="24"/>
        </w:rPr>
      </w:pPr>
      <w:bookmarkStart w:id="16" w:name="_Hlk120478875"/>
      <w:r w:rsidRPr="00976DAC">
        <w:rPr>
          <w:rFonts w:ascii="Times New Roman" w:hAnsi="Times New Roman" w:cs="Times New Roman"/>
          <w:color w:val="000000" w:themeColor="text1"/>
          <w:sz w:val="24"/>
          <w:szCs w:val="24"/>
        </w:rPr>
        <w:t xml:space="preserve">Согласно данным </w:t>
      </w:r>
      <w:r w:rsidRPr="00976DAC">
        <w:rPr>
          <w:rFonts w:ascii="Times New Roman" w:hAnsi="Times New Roman" w:cs="Times New Roman"/>
          <w:b/>
          <w:bCs/>
          <w:color w:val="000000" w:themeColor="text1"/>
          <w:sz w:val="24"/>
          <w:szCs w:val="24"/>
        </w:rPr>
        <w:t>Управления Федеральной антимонопольной службы по Ленинградской области</w:t>
      </w:r>
      <w:r w:rsidRPr="00976DAC">
        <w:rPr>
          <w:rFonts w:ascii="Times New Roman" w:hAnsi="Times New Roman" w:cs="Times New Roman"/>
          <w:color w:val="000000" w:themeColor="text1"/>
          <w:sz w:val="24"/>
          <w:szCs w:val="24"/>
        </w:rPr>
        <w:t xml:space="preserve"> о результатах рассмотрения заявлений и обращений, представленным в ответе на запрос № КЭР-1-9832/2022 от 08.11.2022, </w:t>
      </w:r>
      <w:bookmarkEnd w:id="16"/>
      <w:r w:rsidRPr="00976DAC">
        <w:rPr>
          <w:rFonts w:ascii="Times New Roman" w:hAnsi="Times New Roman" w:cs="Times New Roman"/>
          <w:color w:val="000000" w:themeColor="text1"/>
          <w:sz w:val="24"/>
          <w:szCs w:val="24"/>
        </w:rPr>
        <w:t xml:space="preserve">количество обращений о наличии административных барьеров остается стабильно высоким (3902 в 2020 г., 4416 в 2021 г., 3314 за период с января по октябрь 2022 г.). </w:t>
      </w:r>
    </w:p>
    <w:p w:rsidR="00976DAC" w:rsidRDefault="00976DAC" w:rsidP="00976DAC">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Количество обращений, которые были разрешены положительно в пользу обратившихся лиц, является достаточно низким по отношению к общему количеству обращений (за период с января по октябрь – 166, всего – 3314). При этом </w:t>
      </w:r>
      <w:bookmarkStart w:id="17" w:name="_Hlk120478843"/>
      <w:r w:rsidRPr="00976DAC">
        <w:rPr>
          <w:rFonts w:ascii="Times New Roman" w:hAnsi="Times New Roman" w:cs="Times New Roman"/>
          <w:color w:val="000000" w:themeColor="text1"/>
          <w:sz w:val="24"/>
          <w:szCs w:val="24"/>
        </w:rPr>
        <w:t>отмечается положительная динамика положительных решений в 2021 г. по сравнению с 2020 г. (2021 г. – 238 решений в пользу обратившихся, 2020 г. – 97 решений). В 2022 г. сохраняется положительная тенденция (количество решений в пользу обратившегося – 166).</w:t>
      </w:r>
    </w:p>
    <w:p w:rsidR="007734D5" w:rsidRPr="00976DAC" w:rsidRDefault="007734D5" w:rsidP="00976DAC">
      <w:pPr>
        <w:spacing w:after="0" w:line="360" w:lineRule="auto"/>
        <w:ind w:firstLine="709"/>
        <w:jc w:val="both"/>
        <w:rPr>
          <w:rFonts w:ascii="Times New Roman" w:hAnsi="Times New Roman" w:cs="Times New Roman"/>
          <w:color w:val="000000" w:themeColor="text1"/>
          <w:sz w:val="24"/>
          <w:szCs w:val="24"/>
        </w:rPr>
      </w:pPr>
    </w:p>
    <w:bookmarkEnd w:id="17"/>
    <w:p w:rsidR="00976DAC" w:rsidRDefault="00976DAC" w:rsidP="007734D5">
      <w:pPr>
        <w:spacing w:after="0" w:line="360" w:lineRule="auto"/>
        <w:ind w:firstLine="709"/>
        <w:jc w:val="center"/>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Таблица </w:t>
      </w:r>
      <w:r w:rsidR="007734D5">
        <w:rPr>
          <w:rFonts w:ascii="Times New Roman" w:hAnsi="Times New Roman" w:cs="Times New Roman"/>
          <w:color w:val="000000" w:themeColor="text1"/>
          <w:sz w:val="24"/>
          <w:szCs w:val="24"/>
        </w:rPr>
        <w:t>7.</w:t>
      </w:r>
      <w:r w:rsidRPr="00976DAC">
        <w:rPr>
          <w:rFonts w:ascii="Times New Roman" w:hAnsi="Times New Roman" w:cs="Times New Roman"/>
          <w:color w:val="000000" w:themeColor="text1"/>
          <w:sz w:val="24"/>
          <w:szCs w:val="24"/>
        </w:rPr>
        <w:t xml:space="preserve"> </w:t>
      </w:r>
      <w:r w:rsidRPr="00976DAC">
        <w:rPr>
          <w:rFonts w:ascii="Times New Roman" w:hAnsi="Times New Roman" w:cs="Times New Roman"/>
          <w:bCs/>
          <w:color w:val="000000" w:themeColor="text1"/>
          <w:sz w:val="24"/>
          <w:szCs w:val="24"/>
        </w:rPr>
        <w:t>Количество рассмотренных обращений (жалоб) в рамках полномочий</w:t>
      </w:r>
      <w:r w:rsidRPr="00976DAC">
        <w:rPr>
          <w:rFonts w:ascii="Times New Roman" w:hAnsi="Times New Roman" w:cs="Times New Roman"/>
          <w:color w:val="000000" w:themeColor="text1"/>
          <w:sz w:val="24"/>
          <w:szCs w:val="24"/>
        </w:rPr>
        <w:t xml:space="preserve"> (данные Управления Федеральной антимонопольной службы по Ленинградской области)</w:t>
      </w:r>
    </w:p>
    <w:tbl>
      <w:tblPr>
        <w:tblW w:w="9752" w:type="dxa"/>
        <w:tblInd w:w="-5" w:type="dxa"/>
        <w:tblLook w:val="04A0" w:firstRow="1" w:lastRow="0" w:firstColumn="1" w:lastColumn="0" w:noHBand="0" w:noVBand="1"/>
      </w:tblPr>
      <w:tblGrid>
        <w:gridCol w:w="4892"/>
        <w:gridCol w:w="1590"/>
        <w:gridCol w:w="1590"/>
        <w:gridCol w:w="1849"/>
      </w:tblGrid>
      <w:tr w:rsidR="007734D5" w:rsidRPr="007734D5" w:rsidTr="00CD2F82">
        <w:trPr>
          <w:trHeight w:val="576"/>
        </w:trPr>
        <w:tc>
          <w:tcPr>
            <w:tcW w:w="48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34D5" w:rsidRPr="007734D5" w:rsidRDefault="007734D5" w:rsidP="007734D5">
            <w:pPr>
              <w:spacing w:after="0" w:line="240" w:lineRule="auto"/>
              <w:rPr>
                <w:rFonts w:ascii="Times New Roman" w:eastAsia="Calibri" w:hAnsi="Times New Roman" w:cs="Times New Roman"/>
                <w:color w:val="000000"/>
              </w:rPr>
            </w:pPr>
          </w:p>
        </w:tc>
        <w:tc>
          <w:tcPr>
            <w:tcW w:w="1526" w:type="dxa"/>
            <w:tcBorders>
              <w:top w:val="single" w:sz="4" w:space="0" w:color="auto"/>
              <w:left w:val="nil"/>
              <w:bottom w:val="single" w:sz="4" w:space="0" w:color="auto"/>
              <w:right w:val="single" w:sz="4" w:space="0" w:color="auto"/>
            </w:tcBorders>
            <w:shd w:val="clear" w:color="auto" w:fill="auto"/>
            <w:noWrap/>
            <w:vAlign w:val="center"/>
            <w:hideMark/>
          </w:tcPr>
          <w:p w:rsidR="007734D5" w:rsidRPr="00CD2F82" w:rsidRDefault="00CD2F82" w:rsidP="00CD2F82">
            <w:pPr>
              <w:spacing w:after="0" w:line="240" w:lineRule="auto"/>
              <w:jc w:val="center"/>
              <w:rPr>
                <w:rFonts w:ascii="Times New Roman" w:eastAsia="Calibri" w:hAnsi="Times New Roman" w:cs="Times New Roman"/>
                <w:b/>
                <w:color w:val="000000"/>
              </w:rPr>
            </w:pPr>
            <w:r>
              <w:rPr>
                <w:rFonts w:ascii="Times New Roman" w:eastAsia="Calibri" w:hAnsi="Times New Roman" w:cs="Times New Roman"/>
                <w:b/>
                <w:color w:val="000000"/>
              </w:rPr>
              <w:t>2020 г.</w:t>
            </w:r>
          </w:p>
        </w:tc>
        <w:tc>
          <w:tcPr>
            <w:tcW w:w="1526" w:type="dxa"/>
            <w:tcBorders>
              <w:top w:val="single" w:sz="4" w:space="0" w:color="auto"/>
              <w:left w:val="nil"/>
              <w:bottom w:val="single" w:sz="4" w:space="0" w:color="auto"/>
              <w:right w:val="single" w:sz="4" w:space="0" w:color="auto"/>
            </w:tcBorders>
            <w:shd w:val="clear" w:color="auto" w:fill="auto"/>
            <w:noWrap/>
            <w:vAlign w:val="center"/>
            <w:hideMark/>
          </w:tcPr>
          <w:p w:rsidR="007734D5" w:rsidRPr="00CD2F82" w:rsidRDefault="00CD2F82" w:rsidP="00CD2F82">
            <w:pPr>
              <w:spacing w:after="0" w:line="240" w:lineRule="auto"/>
              <w:jc w:val="center"/>
              <w:rPr>
                <w:rFonts w:ascii="Times New Roman" w:eastAsia="Calibri" w:hAnsi="Times New Roman" w:cs="Times New Roman"/>
                <w:b/>
                <w:color w:val="000000"/>
              </w:rPr>
            </w:pPr>
            <w:r>
              <w:rPr>
                <w:rFonts w:ascii="Times New Roman" w:eastAsia="Calibri" w:hAnsi="Times New Roman" w:cs="Times New Roman"/>
                <w:b/>
                <w:color w:val="000000"/>
              </w:rPr>
              <w:t>2021 г.</w:t>
            </w:r>
          </w:p>
        </w:tc>
        <w:tc>
          <w:tcPr>
            <w:tcW w:w="1808" w:type="dxa"/>
            <w:tcBorders>
              <w:top w:val="single" w:sz="4" w:space="0" w:color="auto"/>
              <w:left w:val="nil"/>
              <w:bottom w:val="single" w:sz="4" w:space="0" w:color="auto"/>
              <w:right w:val="single" w:sz="4" w:space="0" w:color="auto"/>
            </w:tcBorders>
            <w:shd w:val="clear" w:color="auto" w:fill="auto"/>
            <w:vAlign w:val="center"/>
            <w:hideMark/>
          </w:tcPr>
          <w:p w:rsidR="007734D5" w:rsidRPr="00CD2F82" w:rsidRDefault="007734D5" w:rsidP="00CD2F82">
            <w:pPr>
              <w:spacing w:after="0" w:line="240" w:lineRule="auto"/>
              <w:jc w:val="center"/>
              <w:rPr>
                <w:rFonts w:ascii="Times New Roman" w:eastAsia="Calibri" w:hAnsi="Times New Roman" w:cs="Times New Roman"/>
                <w:b/>
                <w:color w:val="000000"/>
              </w:rPr>
            </w:pPr>
            <w:r w:rsidRPr="00CD2F82">
              <w:rPr>
                <w:rFonts w:ascii="Times New Roman" w:eastAsia="Calibri" w:hAnsi="Times New Roman" w:cs="Times New Roman"/>
                <w:b/>
                <w:color w:val="000000"/>
              </w:rPr>
              <w:t>2022 г.</w:t>
            </w:r>
          </w:p>
          <w:p w:rsidR="007734D5" w:rsidRPr="00CD2F82" w:rsidRDefault="00CD2F82" w:rsidP="00CD2F82">
            <w:pPr>
              <w:spacing w:after="0" w:line="240" w:lineRule="auto"/>
              <w:jc w:val="center"/>
              <w:rPr>
                <w:rFonts w:ascii="Times New Roman" w:eastAsia="Calibri" w:hAnsi="Times New Roman" w:cs="Times New Roman"/>
                <w:b/>
                <w:color w:val="000000"/>
              </w:rPr>
            </w:pPr>
            <w:r>
              <w:rPr>
                <w:rFonts w:ascii="Times New Roman" w:eastAsia="Calibri" w:hAnsi="Times New Roman" w:cs="Times New Roman"/>
                <w:b/>
                <w:color w:val="000000"/>
              </w:rPr>
              <w:t>янв.- окт.</w:t>
            </w:r>
          </w:p>
        </w:tc>
      </w:tr>
      <w:tr w:rsidR="007734D5" w:rsidRPr="007734D5" w:rsidTr="00C230F8">
        <w:trPr>
          <w:trHeight w:val="288"/>
        </w:trPr>
        <w:tc>
          <w:tcPr>
            <w:tcW w:w="4892" w:type="dxa"/>
            <w:tcBorders>
              <w:top w:val="nil"/>
              <w:left w:val="single" w:sz="4" w:space="0" w:color="auto"/>
              <w:bottom w:val="single" w:sz="4" w:space="0" w:color="auto"/>
              <w:right w:val="single" w:sz="4" w:space="0" w:color="auto"/>
            </w:tcBorders>
            <w:shd w:val="clear" w:color="auto" w:fill="auto"/>
            <w:noWrap/>
            <w:vAlign w:val="bottom"/>
            <w:hideMark/>
          </w:tcPr>
          <w:p w:rsidR="007734D5" w:rsidRPr="007734D5" w:rsidRDefault="007734D5" w:rsidP="007734D5">
            <w:pPr>
              <w:spacing w:after="0" w:line="240" w:lineRule="auto"/>
              <w:jc w:val="both"/>
              <w:rPr>
                <w:rFonts w:ascii="Times New Roman" w:eastAsia="Calibri" w:hAnsi="Times New Roman" w:cs="Times New Roman"/>
                <w:color w:val="000000"/>
              </w:rPr>
            </w:pPr>
            <w:r w:rsidRPr="007734D5">
              <w:rPr>
                <w:rFonts w:ascii="Times New Roman" w:eastAsia="Calibri" w:hAnsi="Times New Roman" w:cs="Times New Roman"/>
                <w:color w:val="000000"/>
              </w:rPr>
              <w:t>Всего рассмотрено в рамках полномочий</w:t>
            </w:r>
          </w:p>
        </w:tc>
        <w:tc>
          <w:tcPr>
            <w:tcW w:w="1526" w:type="dxa"/>
            <w:tcBorders>
              <w:top w:val="nil"/>
              <w:left w:val="nil"/>
              <w:bottom w:val="single" w:sz="4" w:space="0" w:color="auto"/>
              <w:right w:val="single" w:sz="4" w:space="0" w:color="auto"/>
            </w:tcBorders>
            <w:shd w:val="clear" w:color="auto" w:fill="auto"/>
            <w:noWrap/>
            <w:vAlign w:val="bottom"/>
          </w:tcPr>
          <w:p w:rsidR="007734D5" w:rsidRPr="007734D5" w:rsidRDefault="007734D5" w:rsidP="007734D5">
            <w:pPr>
              <w:spacing w:after="0" w:line="240" w:lineRule="auto"/>
              <w:jc w:val="center"/>
              <w:rPr>
                <w:rFonts w:ascii="Times New Roman" w:eastAsia="Times New Roman" w:hAnsi="Times New Roman" w:cs="Times New Roman"/>
                <w:bCs/>
                <w:color w:val="000000"/>
                <w:lang w:eastAsia="ru-RU"/>
              </w:rPr>
            </w:pPr>
            <w:r w:rsidRPr="007734D5">
              <w:rPr>
                <w:rFonts w:ascii="Times New Roman" w:eastAsia="Times New Roman" w:hAnsi="Times New Roman" w:cs="Times New Roman"/>
                <w:bCs/>
                <w:color w:val="000000"/>
                <w:lang w:eastAsia="ru-RU"/>
              </w:rPr>
              <w:t>3902</w:t>
            </w:r>
          </w:p>
        </w:tc>
        <w:tc>
          <w:tcPr>
            <w:tcW w:w="1526" w:type="dxa"/>
            <w:tcBorders>
              <w:top w:val="nil"/>
              <w:left w:val="nil"/>
              <w:bottom w:val="single" w:sz="4" w:space="0" w:color="auto"/>
              <w:right w:val="single" w:sz="4" w:space="0" w:color="auto"/>
            </w:tcBorders>
            <w:shd w:val="clear" w:color="auto" w:fill="auto"/>
            <w:noWrap/>
            <w:vAlign w:val="bottom"/>
          </w:tcPr>
          <w:p w:rsidR="007734D5" w:rsidRPr="007734D5" w:rsidRDefault="007734D5" w:rsidP="007734D5">
            <w:pPr>
              <w:spacing w:after="0" w:line="240" w:lineRule="auto"/>
              <w:jc w:val="center"/>
              <w:rPr>
                <w:rFonts w:ascii="Times New Roman" w:eastAsia="Times New Roman" w:hAnsi="Times New Roman" w:cs="Times New Roman"/>
                <w:bCs/>
                <w:color w:val="000000"/>
                <w:lang w:eastAsia="ru-RU"/>
              </w:rPr>
            </w:pPr>
            <w:r w:rsidRPr="007734D5">
              <w:rPr>
                <w:rFonts w:ascii="Times New Roman" w:eastAsia="Times New Roman" w:hAnsi="Times New Roman" w:cs="Times New Roman"/>
                <w:bCs/>
                <w:color w:val="000000"/>
                <w:lang w:eastAsia="ru-RU"/>
              </w:rPr>
              <w:t>4416</w:t>
            </w:r>
          </w:p>
        </w:tc>
        <w:tc>
          <w:tcPr>
            <w:tcW w:w="1808" w:type="dxa"/>
            <w:tcBorders>
              <w:top w:val="nil"/>
              <w:left w:val="nil"/>
              <w:bottom w:val="single" w:sz="4" w:space="0" w:color="auto"/>
              <w:right w:val="single" w:sz="4" w:space="0" w:color="auto"/>
            </w:tcBorders>
            <w:shd w:val="clear" w:color="auto" w:fill="auto"/>
            <w:vAlign w:val="bottom"/>
          </w:tcPr>
          <w:p w:rsidR="007734D5" w:rsidRPr="007734D5" w:rsidRDefault="007734D5" w:rsidP="007734D5">
            <w:pPr>
              <w:spacing w:after="0" w:line="240" w:lineRule="auto"/>
              <w:jc w:val="center"/>
              <w:rPr>
                <w:rFonts w:ascii="Times New Roman" w:eastAsia="Times New Roman" w:hAnsi="Times New Roman" w:cs="Times New Roman"/>
                <w:bCs/>
                <w:color w:val="000000"/>
                <w:lang w:eastAsia="ru-RU"/>
              </w:rPr>
            </w:pPr>
            <w:r w:rsidRPr="007734D5">
              <w:rPr>
                <w:rFonts w:ascii="Times New Roman" w:eastAsia="Times New Roman" w:hAnsi="Times New Roman" w:cs="Times New Roman"/>
                <w:bCs/>
                <w:color w:val="000000"/>
                <w:lang w:eastAsia="ru-RU"/>
              </w:rPr>
              <w:t>3314</w:t>
            </w:r>
          </w:p>
        </w:tc>
      </w:tr>
      <w:tr w:rsidR="007734D5" w:rsidRPr="007734D5" w:rsidTr="00C230F8">
        <w:trPr>
          <w:trHeight w:val="288"/>
        </w:trPr>
        <w:tc>
          <w:tcPr>
            <w:tcW w:w="4892" w:type="dxa"/>
            <w:tcBorders>
              <w:top w:val="nil"/>
              <w:left w:val="single" w:sz="4" w:space="0" w:color="auto"/>
              <w:bottom w:val="single" w:sz="4" w:space="0" w:color="auto"/>
              <w:right w:val="single" w:sz="4" w:space="0" w:color="auto"/>
            </w:tcBorders>
            <w:shd w:val="clear" w:color="auto" w:fill="auto"/>
            <w:noWrap/>
            <w:vAlign w:val="bottom"/>
            <w:hideMark/>
          </w:tcPr>
          <w:p w:rsidR="007734D5" w:rsidRPr="007734D5" w:rsidRDefault="007734D5" w:rsidP="007734D5">
            <w:pPr>
              <w:spacing w:after="0" w:line="240" w:lineRule="auto"/>
              <w:jc w:val="both"/>
              <w:rPr>
                <w:rFonts w:ascii="Times New Roman" w:eastAsia="Calibri" w:hAnsi="Times New Roman" w:cs="Times New Roman"/>
                <w:color w:val="000000"/>
              </w:rPr>
            </w:pPr>
            <w:r w:rsidRPr="007734D5">
              <w:rPr>
                <w:rFonts w:ascii="Times New Roman" w:eastAsia="Calibri" w:hAnsi="Times New Roman" w:cs="Times New Roman"/>
                <w:color w:val="000000"/>
              </w:rPr>
              <w:t>в том числе:</w:t>
            </w:r>
          </w:p>
        </w:tc>
        <w:tc>
          <w:tcPr>
            <w:tcW w:w="1526" w:type="dxa"/>
            <w:tcBorders>
              <w:top w:val="nil"/>
              <w:left w:val="nil"/>
              <w:bottom w:val="single" w:sz="4" w:space="0" w:color="auto"/>
              <w:right w:val="single" w:sz="4" w:space="0" w:color="auto"/>
            </w:tcBorders>
            <w:shd w:val="clear" w:color="auto" w:fill="auto"/>
            <w:noWrap/>
            <w:vAlign w:val="bottom"/>
          </w:tcPr>
          <w:p w:rsidR="007734D5" w:rsidRPr="007734D5" w:rsidRDefault="007734D5" w:rsidP="007734D5">
            <w:pPr>
              <w:spacing w:after="0" w:line="240" w:lineRule="auto"/>
              <w:rPr>
                <w:rFonts w:ascii="Times New Roman" w:eastAsia="Calibri" w:hAnsi="Times New Roman" w:cs="Times New Roman"/>
                <w:color w:val="000000"/>
              </w:rPr>
            </w:pPr>
          </w:p>
        </w:tc>
        <w:tc>
          <w:tcPr>
            <w:tcW w:w="1526" w:type="dxa"/>
            <w:tcBorders>
              <w:top w:val="nil"/>
              <w:left w:val="nil"/>
              <w:bottom w:val="single" w:sz="4" w:space="0" w:color="auto"/>
              <w:right w:val="single" w:sz="4" w:space="0" w:color="auto"/>
            </w:tcBorders>
            <w:shd w:val="clear" w:color="auto" w:fill="auto"/>
            <w:noWrap/>
            <w:vAlign w:val="bottom"/>
          </w:tcPr>
          <w:p w:rsidR="007734D5" w:rsidRPr="007734D5" w:rsidRDefault="007734D5" w:rsidP="007734D5">
            <w:pPr>
              <w:spacing w:after="0" w:line="240" w:lineRule="auto"/>
              <w:rPr>
                <w:rFonts w:ascii="Times New Roman" w:eastAsia="Calibri" w:hAnsi="Times New Roman" w:cs="Times New Roman"/>
                <w:color w:val="000000"/>
              </w:rPr>
            </w:pPr>
          </w:p>
        </w:tc>
        <w:tc>
          <w:tcPr>
            <w:tcW w:w="1808" w:type="dxa"/>
            <w:tcBorders>
              <w:top w:val="nil"/>
              <w:left w:val="nil"/>
              <w:bottom w:val="single" w:sz="4" w:space="0" w:color="auto"/>
              <w:right w:val="single" w:sz="4" w:space="0" w:color="auto"/>
            </w:tcBorders>
            <w:shd w:val="clear" w:color="auto" w:fill="auto"/>
            <w:noWrap/>
            <w:vAlign w:val="bottom"/>
          </w:tcPr>
          <w:p w:rsidR="007734D5" w:rsidRPr="007734D5" w:rsidRDefault="007734D5" w:rsidP="007734D5">
            <w:pPr>
              <w:spacing w:after="0" w:line="240" w:lineRule="auto"/>
              <w:rPr>
                <w:rFonts w:ascii="Times New Roman" w:eastAsia="Calibri" w:hAnsi="Times New Roman" w:cs="Times New Roman"/>
                <w:color w:val="000000"/>
              </w:rPr>
            </w:pPr>
          </w:p>
        </w:tc>
      </w:tr>
      <w:tr w:rsidR="007734D5" w:rsidRPr="007734D5" w:rsidTr="00C230F8">
        <w:trPr>
          <w:trHeight w:val="288"/>
        </w:trPr>
        <w:tc>
          <w:tcPr>
            <w:tcW w:w="4892" w:type="dxa"/>
            <w:tcBorders>
              <w:top w:val="nil"/>
              <w:left w:val="single" w:sz="4" w:space="0" w:color="auto"/>
              <w:bottom w:val="single" w:sz="4" w:space="0" w:color="auto"/>
              <w:right w:val="single" w:sz="4" w:space="0" w:color="auto"/>
            </w:tcBorders>
            <w:shd w:val="clear" w:color="auto" w:fill="auto"/>
            <w:noWrap/>
            <w:vAlign w:val="bottom"/>
          </w:tcPr>
          <w:p w:rsidR="007734D5" w:rsidRPr="007734D5" w:rsidRDefault="007734D5" w:rsidP="007734D5">
            <w:pPr>
              <w:spacing w:after="0" w:line="240" w:lineRule="auto"/>
              <w:jc w:val="both"/>
              <w:rPr>
                <w:rFonts w:ascii="Times New Roman" w:eastAsia="Calibri" w:hAnsi="Times New Roman" w:cs="Times New Roman"/>
                <w:color w:val="000000"/>
              </w:rPr>
            </w:pPr>
            <w:r w:rsidRPr="007734D5">
              <w:rPr>
                <w:rFonts w:ascii="Times New Roman" w:eastAsia="Calibri" w:hAnsi="Times New Roman" w:cs="Times New Roman"/>
                <w:color w:val="000000"/>
              </w:rPr>
              <w:t>Количество обращений о наличии административных барьеров</w:t>
            </w:r>
          </w:p>
        </w:tc>
        <w:tc>
          <w:tcPr>
            <w:tcW w:w="1526" w:type="dxa"/>
            <w:tcBorders>
              <w:top w:val="nil"/>
              <w:left w:val="nil"/>
              <w:bottom w:val="single" w:sz="4" w:space="0" w:color="auto"/>
              <w:right w:val="single" w:sz="4" w:space="0" w:color="auto"/>
            </w:tcBorders>
            <w:shd w:val="clear" w:color="auto" w:fill="auto"/>
            <w:noWrap/>
            <w:vAlign w:val="bottom"/>
          </w:tcPr>
          <w:p w:rsidR="007734D5" w:rsidRPr="007734D5" w:rsidRDefault="007734D5" w:rsidP="007734D5">
            <w:pPr>
              <w:spacing w:after="0" w:line="240" w:lineRule="auto"/>
              <w:jc w:val="center"/>
              <w:rPr>
                <w:rFonts w:ascii="Times New Roman" w:eastAsia="Calibri" w:hAnsi="Times New Roman" w:cs="Times New Roman"/>
                <w:color w:val="000000"/>
              </w:rPr>
            </w:pPr>
            <w:r w:rsidRPr="007734D5">
              <w:rPr>
                <w:rFonts w:ascii="Times New Roman" w:eastAsia="Calibri" w:hAnsi="Times New Roman" w:cs="Times New Roman"/>
                <w:color w:val="000000"/>
              </w:rPr>
              <w:t>3563</w:t>
            </w:r>
          </w:p>
        </w:tc>
        <w:tc>
          <w:tcPr>
            <w:tcW w:w="1526" w:type="dxa"/>
            <w:tcBorders>
              <w:top w:val="nil"/>
              <w:left w:val="nil"/>
              <w:bottom w:val="single" w:sz="4" w:space="0" w:color="auto"/>
              <w:right w:val="single" w:sz="4" w:space="0" w:color="auto"/>
            </w:tcBorders>
            <w:shd w:val="clear" w:color="auto" w:fill="auto"/>
            <w:noWrap/>
            <w:vAlign w:val="bottom"/>
          </w:tcPr>
          <w:p w:rsidR="007734D5" w:rsidRPr="007734D5" w:rsidRDefault="007734D5" w:rsidP="007734D5">
            <w:pPr>
              <w:spacing w:after="0" w:line="240" w:lineRule="auto"/>
              <w:jc w:val="center"/>
              <w:rPr>
                <w:rFonts w:ascii="Times New Roman" w:eastAsia="Calibri" w:hAnsi="Times New Roman" w:cs="Times New Roman"/>
                <w:color w:val="000000"/>
              </w:rPr>
            </w:pPr>
            <w:r w:rsidRPr="007734D5">
              <w:rPr>
                <w:rFonts w:ascii="Times New Roman" w:eastAsia="Calibri" w:hAnsi="Times New Roman" w:cs="Times New Roman"/>
                <w:color w:val="000000"/>
              </w:rPr>
              <w:t>3944</w:t>
            </w:r>
          </w:p>
        </w:tc>
        <w:tc>
          <w:tcPr>
            <w:tcW w:w="1808" w:type="dxa"/>
            <w:tcBorders>
              <w:top w:val="nil"/>
              <w:left w:val="nil"/>
              <w:bottom w:val="single" w:sz="4" w:space="0" w:color="auto"/>
              <w:right w:val="single" w:sz="4" w:space="0" w:color="auto"/>
            </w:tcBorders>
            <w:shd w:val="clear" w:color="auto" w:fill="auto"/>
            <w:noWrap/>
            <w:vAlign w:val="bottom"/>
          </w:tcPr>
          <w:p w:rsidR="007734D5" w:rsidRPr="007734D5" w:rsidRDefault="007734D5" w:rsidP="007734D5">
            <w:pPr>
              <w:spacing w:after="0" w:line="240" w:lineRule="auto"/>
              <w:jc w:val="center"/>
              <w:rPr>
                <w:rFonts w:ascii="Times New Roman" w:eastAsia="Calibri" w:hAnsi="Times New Roman" w:cs="Times New Roman"/>
                <w:color w:val="000000"/>
              </w:rPr>
            </w:pPr>
            <w:r w:rsidRPr="007734D5">
              <w:rPr>
                <w:rFonts w:ascii="Times New Roman" w:eastAsia="Calibri" w:hAnsi="Times New Roman" w:cs="Times New Roman"/>
                <w:color w:val="000000"/>
              </w:rPr>
              <w:t>3116</w:t>
            </w:r>
          </w:p>
        </w:tc>
      </w:tr>
      <w:tr w:rsidR="007734D5" w:rsidRPr="007734D5" w:rsidTr="00C230F8">
        <w:trPr>
          <w:trHeight w:val="864"/>
        </w:trPr>
        <w:tc>
          <w:tcPr>
            <w:tcW w:w="4892" w:type="dxa"/>
            <w:tcBorders>
              <w:top w:val="nil"/>
              <w:left w:val="single" w:sz="4" w:space="0" w:color="auto"/>
              <w:bottom w:val="single" w:sz="4" w:space="0" w:color="auto"/>
              <w:right w:val="single" w:sz="4" w:space="0" w:color="auto"/>
            </w:tcBorders>
            <w:shd w:val="clear" w:color="auto" w:fill="auto"/>
            <w:vAlign w:val="bottom"/>
            <w:hideMark/>
          </w:tcPr>
          <w:p w:rsidR="007734D5" w:rsidRPr="007734D5" w:rsidRDefault="007734D5" w:rsidP="007734D5">
            <w:pPr>
              <w:spacing w:after="0" w:line="240" w:lineRule="auto"/>
              <w:jc w:val="both"/>
              <w:rPr>
                <w:rFonts w:ascii="Times New Roman" w:eastAsia="Calibri" w:hAnsi="Times New Roman" w:cs="Times New Roman"/>
                <w:color w:val="000000"/>
              </w:rPr>
            </w:pPr>
            <w:r w:rsidRPr="007734D5">
              <w:rPr>
                <w:rFonts w:ascii="Times New Roman" w:eastAsia="Calibri" w:hAnsi="Times New Roman" w:cs="Times New Roman"/>
                <w:color w:val="000000"/>
              </w:rPr>
              <w:t>Количество обращений, в результате которых выявлены нарушения прав потребителей/субъектов предпринимательства</w:t>
            </w:r>
          </w:p>
        </w:tc>
        <w:tc>
          <w:tcPr>
            <w:tcW w:w="1526" w:type="dxa"/>
            <w:tcBorders>
              <w:top w:val="nil"/>
              <w:left w:val="nil"/>
              <w:bottom w:val="single" w:sz="4" w:space="0" w:color="auto"/>
              <w:right w:val="single" w:sz="4" w:space="0" w:color="auto"/>
            </w:tcBorders>
            <w:shd w:val="clear" w:color="auto" w:fill="auto"/>
            <w:noWrap/>
            <w:vAlign w:val="bottom"/>
          </w:tcPr>
          <w:p w:rsidR="007734D5" w:rsidRPr="007734D5" w:rsidRDefault="007734D5" w:rsidP="007734D5">
            <w:pPr>
              <w:spacing w:after="0" w:line="240" w:lineRule="auto"/>
              <w:jc w:val="center"/>
              <w:rPr>
                <w:rFonts w:ascii="Times New Roman" w:eastAsia="Calibri" w:hAnsi="Times New Roman" w:cs="Times New Roman"/>
                <w:color w:val="000000"/>
              </w:rPr>
            </w:pPr>
            <w:r w:rsidRPr="007734D5">
              <w:rPr>
                <w:rFonts w:ascii="Times New Roman" w:eastAsia="Calibri" w:hAnsi="Times New Roman" w:cs="Times New Roman"/>
                <w:color w:val="000000"/>
              </w:rPr>
              <w:t>876</w:t>
            </w:r>
          </w:p>
        </w:tc>
        <w:tc>
          <w:tcPr>
            <w:tcW w:w="1526" w:type="dxa"/>
            <w:tcBorders>
              <w:top w:val="nil"/>
              <w:left w:val="nil"/>
              <w:bottom w:val="single" w:sz="4" w:space="0" w:color="auto"/>
              <w:right w:val="single" w:sz="4" w:space="0" w:color="auto"/>
            </w:tcBorders>
            <w:shd w:val="clear" w:color="auto" w:fill="auto"/>
            <w:noWrap/>
            <w:vAlign w:val="bottom"/>
          </w:tcPr>
          <w:p w:rsidR="007734D5" w:rsidRPr="007734D5" w:rsidRDefault="007734D5" w:rsidP="007734D5">
            <w:pPr>
              <w:spacing w:after="0" w:line="240" w:lineRule="auto"/>
              <w:jc w:val="center"/>
              <w:rPr>
                <w:rFonts w:ascii="Times New Roman" w:eastAsia="Calibri" w:hAnsi="Times New Roman" w:cs="Times New Roman"/>
                <w:color w:val="000000"/>
              </w:rPr>
            </w:pPr>
            <w:r w:rsidRPr="007734D5">
              <w:rPr>
                <w:rFonts w:ascii="Times New Roman" w:eastAsia="Calibri" w:hAnsi="Times New Roman" w:cs="Times New Roman"/>
                <w:color w:val="000000"/>
              </w:rPr>
              <w:t>277</w:t>
            </w:r>
          </w:p>
        </w:tc>
        <w:tc>
          <w:tcPr>
            <w:tcW w:w="1808" w:type="dxa"/>
            <w:tcBorders>
              <w:top w:val="nil"/>
              <w:left w:val="nil"/>
              <w:bottom w:val="single" w:sz="4" w:space="0" w:color="auto"/>
              <w:right w:val="single" w:sz="4" w:space="0" w:color="auto"/>
            </w:tcBorders>
            <w:shd w:val="clear" w:color="auto" w:fill="auto"/>
            <w:noWrap/>
            <w:vAlign w:val="bottom"/>
          </w:tcPr>
          <w:p w:rsidR="007734D5" w:rsidRPr="007734D5" w:rsidRDefault="007734D5" w:rsidP="007734D5">
            <w:pPr>
              <w:spacing w:after="0" w:line="240" w:lineRule="auto"/>
              <w:jc w:val="center"/>
              <w:rPr>
                <w:rFonts w:ascii="Times New Roman" w:eastAsia="Calibri" w:hAnsi="Times New Roman" w:cs="Times New Roman"/>
                <w:color w:val="000000"/>
              </w:rPr>
            </w:pPr>
            <w:r w:rsidRPr="007734D5">
              <w:rPr>
                <w:rFonts w:ascii="Times New Roman" w:eastAsia="Calibri" w:hAnsi="Times New Roman" w:cs="Times New Roman"/>
                <w:color w:val="000000"/>
              </w:rPr>
              <w:t>414</w:t>
            </w:r>
          </w:p>
        </w:tc>
      </w:tr>
      <w:tr w:rsidR="007734D5" w:rsidRPr="007734D5" w:rsidTr="00C230F8">
        <w:trPr>
          <w:trHeight w:val="864"/>
        </w:trPr>
        <w:tc>
          <w:tcPr>
            <w:tcW w:w="4892" w:type="dxa"/>
            <w:tcBorders>
              <w:top w:val="nil"/>
              <w:left w:val="single" w:sz="4" w:space="0" w:color="auto"/>
              <w:bottom w:val="single" w:sz="4" w:space="0" w:color="auto"/>
              <w:right w:val="single" w:sz="4" w:space="0" w:color="auto"/>
            </w:tcBorders>
            <w:shd w:val="clear" w:color="auto" w:fill="auto"/>
            <w:vAlign w:val="bottom"/>
          </w:tcPr>
          <w:p w:rsidR="007734D5" w:rsidRPr="007734D5" w:rsidRDefault="007734D5" w:rsidP="007734D5">
            <w:pPr>
              <w:spacing w:after="0" w:line="240" w:lineRule="auto"/>
              <w:jc w:val="both"/>
              <w:rPr>
                <w:rFonts w:ascii="Times New Roman" w:eastAsia="Calibri" w:hAnsi="Times New Roman" w:cs="Times New Roman"/>
                <w:color w:val="000000"/>
              </w:rPr>
            </w:pPr>
            <w:r w:rsidRPr="007734D5">
              <w:rPr>
                <w:rFonts w:ascii="Times New Roman" w:eastAsia="Calibri" w:hAnsi="Times New Roman" w:cs="Times New Roman"/>
                <w:color w:val="000000"/>
              </w:rPr>
              <w:t xml:space="preserve">Количество обращений о наличии недискриминационного доступа на товарные рынки Ленинградской области и товарные рынки приграничных субъектов РФ </w:t>
            </w:r>
          </w:p>
        </w:tc>
        <w:tc>
          <w:tcPr>
            <w:tcW w:w="1526" w:type="dxa"/>
            <w:tcBorders>
              <w:top w:val="nil"/>
              <w:left w:val="nil"/>
              <w:bottom w:val="single" w:sz="4" w:space="0" w:color="auto"/>
              <w:right w:val="single" w:sz="4" w:space="0" w:color="auto"/>
            </w:tcBorders>
            <w:shd w:val="clear" w:color="auto" w:fill="auto"/>
            <w:noWrap/>
            <w:vAlign w:val="bottom"/>
          </w:tcPr>
          <w:p w:rsidR="007734D5" w:rsidRPr="007734D5" w:rsidRDefault="007734D5" w:rsidP="007734D5">
            <w:pPr>
              <w:spacing w:after="0" w:line="240" w:lineRule="auto"/>
              <w:jc w:val="center"/>
              <w:rPr>
                <w:rFonts w:ascii="Times New Roman" w:eastAsia="Calibri" w:hAnsi="Times New Roman" w:cs="Times New Roman"/>
                <w:color w:val="000000"/>
              </w:rPr>
            </w:pPr>
            <w:r w:rsidRPr="007734D5">
              <w:rPr>
                <w:rFonts w:ascii="Times New Roman" w:eastAsia="Calibri" w:hAnsi="Times New Roman" w:cs="Times New Roman"/>
                <w:color w:val="000000"/>
              </w:rPr>
              <w:t>339</w:t>
            </w:r>
          </w:p>
        </w:tc>
        <w:tc>
          <w:tcPr>
            <w:tcW w:w="1526" w:type="dxa"/>
            <w:tcBorders>
              <w:top w:val="nil"/>
              <w:left w:val="nil"/>
              <w:bottom w:val="single" w:sz="4" w:space="0" w:color="auto"/>
              <w:right w:val="single" w:sz="4" w:space="0" w:color="auto"/>
            </w:tcBorders>
            <w:shd w:val="clear" w:color="auto" w:fill="auto"/>
            <w:noWrap/>
            <w:vAlign w:val="bottom"/>
          </w:tcPr>
          <w:p w:rsidR="007734D5" w:rsidRPr="007734D5" w:rsidRDefault="007734D5" w:rsidP="007734D5">
            <w:pPr>
              <w:spacing w:after="0" w:line="240" w:lineRule="auto"/>
              <w:jc w:val="center"/>
              <w:rPr>
                <w:rFonts w:ascii="Times New Roman" w:eastAsia="Calibri" w:hAnsi="Times New Roman" w:cs="Times New Roman"/>
                <w:color w:val="000000"/>
              </w:rPr>
            </w:pPr>
            <w:r w:rsidRPr="007734D5">
              <w:rPr>
                <w:rFonts w:ascii="Times New Roman" w:eastAsia="Calibri" w:hAnsi="Times New Roman" w:cs="Times New Roman"/>
                <w:color w:val="000000"/>
              </w:rPr>
              <w:t>472</w:t>
            </w:r>
          </w:p>
        </w:tc>
        <w:tc>
          <w:tcPr>
            <w:tcW w:w="1808" w:type="dxa"/>
            <w:tcBorders>
              <w:top w:val="nil"/>
              <w:left w:val="nil"/>
              <w:bottom w:val="single" w:sz="4" w:space="0" w:color="auto"/>
              <w:right w:val="single" w:sz="4" w:space="0" w:color="auto"/>
            </w:tcBorders>
            <w:shd w:val="clear" w:color="auto" w:fill="auto"/>
            <w:noWrap/>
            <w:vAlign w:val="bottom"/>
          </w:tcPr>
          <w:p w:rsidR="007734D5" w:rsidRPr="007734D5" w:rsidRDefault="007734D5" w:rsidP="007734D5">
            <w:pPr>
              <w:spacing w:after="0" w:line="240" w:lineRule="auto"/>
              <w:jc w:val="center"/>
              <w:rPr>
                <w:rFonts w:ascii="Times New Roman" w:eastAsia="Calibri" w:hAnsi="Times New Roman" w:cs="Times New Roman"/>
                <w:color w:val="000000"/>
              </w:rPr>
            </w:pPr>
            <w:r w:rsidRPr="007734D5">
              <w:rPr>
                <w:rFonts w:ascii="Times New Roman" w:eastAsia="Calibri" w:hAnsi="Times New Roman" w:cs="Times New Roman"/>
                <w:color w:val="000000"/>
              </w:rPr>
              <w:t>198</w:t>
            </w:r>
          </w:p>
        </w:tc>
      </w:tr>
      <w:tr w:rsidR="007734D5" w:rsidRPr="007734D5" w:rsidTr="00C230F8">
        <w:trPr>
          <w:trHeight w:val="288"/>
        </w:trPr>
        <w:tc>
          <w:tcPr>
            <w:tcW w:w="4892" w:type="dxa"/>
            <w:tcBorders>
              <w:top w:val="nil"/>
              <w:left w:val="single" w:sz="4" w:space="0" w:color="auto"/>
              <w:bottom w:val="single" w:sz="4" w:space="0" w:color="auto"/>
              <w:right w:val="single" w:sz="4" w:space="0" w:color="auto"/>
            </w:tcBorders>
            <w:shd w:val="clear" w:color="auto" w:fill="auto"/>
            <w:noWrap/>
            <w:vAlign w:val="bottom"/>
            <w:hideMark/>
          </w:tcPr>
          <w:p w:rsidR="007734D5" w:rsidRPr="007734D5" w:rsidRDefault="007734D5" w:rsidP="007734D5">
            <w:pPr>
              <w:spacing w:after="0" w:line="240" w:lineRule="auto"/>
              <w:jc w:val="both"/>
              <w:rPr>
                <w:rFonts w:ascii="Times New Roman" w:eastAsia="Calibri" w:hAnsi="Times New Roman" w:cs="Times New Roman"/>
                <w:color w:val="000000"/>
              </w:rPr>
            </w:pPr>
            <w:r w:rsidRPr="007734D5">
              <w:rPr>
                <w:rFonts w:ascii="Times New Roman" w:eastAsia="Calibri" w:hAnsi="Times New Roman" w:cs="Times New Roman"/>
                <w:color w:val="000000"/>
              </w:rPr>
              <w:t>Решено положительно в пользу обратившихся лиц</w:t>
            </w:r>
          </w:p>
        </w:tc>
        <w:tc>
          <w:tcPr>
            <w:tcW w:w="1526" w:type="dxa"/>
            <w:tcBorders>
              <w:top w:val="nil"/>
              <w:left w:val="nil"/>
              <w:bottom w:val="single" w:sz="4" w:space="0" w:color="auto"/>
              <w:right w:val="single" w:sz="4" w:space="0" w:color="auto"/>
            </w:tcBorders>
            <w:shd w:val="clear" w:color="auto" w:fill="auto"/>
            <w:noWrap/>
            <w:vAlign w:val="bottom"/>
          </w:tcPr>
          <w:p w:rsidR="007734D5" w:rsidRPr="007734D5" w:rsidRDefault="007734D5" w:rsidP="007734D5">
            <w:pPr>
              <w:spacing w:after="0" w:line="240" w:lineRule="auto"/>
              <w:jc w:val="center"/>
              <w:rPr>
                <w:rFonts w:ascii="Times New Roman" w:eastAsia="Calibri" w:hAnsi="Times New Roman" w:cs="Times New Roman"/>
                <w:color w:val="000000"/>
              </w:rPr>
            </w:pPr>
            <w:r w:rsidRPr="007734D5">
              <w:rPr>
                <w:rFonts w:ascii="Times New Roman" w:eastAsia="Calibri" w:hAnsi="Times New Roman" w:cs="Times New Roman"/>
                <w:color w:val="000000"/>
              </w:rPr>
              <w:t>97</w:t>
            </w:r>
          </w:p>
        </w:tc>
        <w:tc>
          <w:tcPr>
            <w:tcW w:w="1526" w:type="dxa"/>
            <w:tcBorders>
              <w:top w:val="nil"/>
              <w:left w:val="nil"/>
              <w:bottom w:val="single" w:sz="4" w:space="0" w:color="auto"/>
              <w:right w:val="single" w:sz="4" w:space="0" w:color="auto"/>
            </w:tcBorders>
            <w:shd w:val="clear" w:color="auto" w:fill="auto"/>
            <w:noWrap/>
            <w:vAlign w:val="bottom"/>
          </w:tcPr>
          <w:p w:rsidR="007734D5" w:rsidRPr="007734D5" w:rsidRDefault="007734D5" w:rsidP="007734D5">
            <w:pPr>
              <w:spacing w:after="0" w:line="240" w:lineRule="auto"/>
              <w:jc w:val="center"/>
              <w:rPr>
                <w:rFonts w:ascii="Times New Roman" w:eastAsia="Calibri" w:hAnsi="Times New Roman" w:cs="Times New Roman"/>
                <w:color w:val="000000"/>
              </w:rPr>
            </w:pPr>
            <w:r w:rsidRPr="007734D5">
              <w:rPr>
                <w:rFonts w:ascii="Times New Roman" w:eastAsia="Calibri" w:hAnsi="Times New Roman" w:cs="Times New Roman"/>
                <w:color w:val="000000"/>
              </w:rPr>
              <w:t>238</w:t>
            </w:r>
          </w:p>
        </w:tc>
        <w:tc>
          <w:tcPr>
            <w:tcW w:w="1808" w:type="dxa"/>
            <w:tcBorders>
              <w:top w:val="nil"/>
              <w:left w:val="nil"/>
              <w:bottom w:val="single" w:sz="4" w:space="0" w:color="auto"/>
              <w:right w:val="single" w:sz="4" w:space="0" w:color="auto"/>
            </w:tcBorders>
            <w:shd w:val="clear" w:color="auto" w:fill="auto"/>
            <w:noWrap/>
            <w:vAlign w:val="bottom"/>
          </w:tcPr>
          <w:p w:rsidR="007734D5" w:rsidRPr="007734D5" w:rsidRDefault="007734D5" w:rsidP="007734D5">
            <w:pPr>
              <w:spacing w:after="0" w:line="240" w:lineRule="auto"/>
              <w:jc w:val="center"/>
              <w:rPr>
                <w:rFonts w:ascii="Times New Roman" w:eastAsia="Calibri" w:hAnsi="Times New Roman" w:cs="Times New Roman"/>
                <w:color w:val="000000"/>
              </w:rPr>
            </w:pPr>
            <w:r w:rsidRPr="007734D5">
              <w:rPr>
                <w:rFonts w:ascii="Times New Roman" w:eastAsia="Calibri" w:hAnsi="Times New Roman" w:cs="Times New Roman"/>
                <w:color w:val="000000"/>
              </w:rPr>
              <w:t>166</w:t>
            </w:r>
          </w:p>
        </w:tc>
      </w:tr>
      <w:tr w:rsidR="007734D5" w:rsidRPr="007734D5" w:rsidTr="00C230F8">
        <w:trPr>
          <w:trHeight w:val="288"/>
        </w:trPr>
        <w:tc>
          <w:tcPr>
            <w:tcW w:w="4892" w:type="dxa"/>
            <w:tcBorders>
              <w:top w:val="nil"/>
              <w:left w:val="single" w:sz="4" w:space="0" w:color="auto"/>
              <w:bottom w:val="single" w:sz="4" w:space="0" w:color="auto"/>
              <w:right w:val="single" w:sz="4" w:space="0" w:color="auto"/>
            </w:tcBorders>
            <w:shd w:val="clear" w:color="auto" w:fill="auto"/>
            <w:noWrap/>
            <w:vAlign w:val="bottom"/>
            <w:hideMark/>
          </w:tcPr>
          <w:p w:rsidR="007734D5" w:rsidRPr="007734D5" w:rsidRDefault="007734D5" w:rsidP="007734D5">
            <w:pPr>
              <w:spacing w:after="0" w:line="240" w:lineRule="auto"/>
              <w:jc w:val="both"/>
              <w:rPr>
                <w:rFonts w:ascii="Times New Roman" w:eastAsia="Calibri" w:hAnsi="Times New Roman" w:cs="Times New Roman"/>
                <w:color w:val="000000"/>
              </w:rPr>
            </w:pPr>
            <w:r w:rsidRPr="007734D5">
              <w:rPr>
                <w:rFonts w:ascii="Times New Roman" w:eastAsia="Calibri" w:hAnsi="Times New Roman" w:cs="Times New Roman"/>
                <w:color w:val="000000"/>
              </w:rPr>
              <w:t>Иной результат, способствующий защите прав потребителей / предпринимателей</w:t>
            </w:r>
          </w:p>
        </w:tc>
        <w:tc>
          <w:tcPr>
            <w:tcW w:w="1526" w:type="dxa"/>
            <w:tcBorders>
              <w:top w:val="nil"/>
              <w:left w:val="nil"/>
              <w:bottom w:val="single" w:sz="4" w:space="0" w:color="auto"/>
              <w:right w:val="single" w:sz="4" w:space="0" w:color="auto"/>
            </w:tcBorders>
            <w:shd w:val="clear" w:color="auto" w:fill="auto"/>
            <w:noWrap/>
            <w:vAlign w:val="bottom"/>
          </w:tcPr>
          <w:p w:rsidR="007734D5" w:rsidRPr="007734D5" w:rsidRDefault="007734D5" w:rsidP="007734D5">
            <w:pPr>
              <w:spacing w:after="0" w:line="240" w:lineRule="auto"/>
              <w:jc w:val="center"/>
              <w:rPr>
                <w:rFonts w:ascii="Times New Roman" w:eastAsia="Calibri" w:hAnsi="Times New Roman" w:cs="Times New Roman"/>
                <w:color w:val="000000"/>
              </w:rPr>
            </w:pPr>
            <w:r w:rsidRPr="007734D5">
              <w:rPr>
                <w:rFonts w:ascii="Times New Roman" w:eastAsia="Calibri" w:hAnsi="Times New Roman" w:cs="Times New Roman"/>
                <w:color w:val="000000"/>
              </w:rPr>
              <w:t>1 представление</w:t>
            </w:r>
          </w:p>
        </w:tc>
        <w:tc>
          <w:tcPr>
            <w:tcW w:w="1526" w:type="dxa"/>
            <w:tcBorders>
              <w:top w:val="nil"/>
              <w:left w:val="nil"/>
              <w:bottom w:val="single" w:sz="4" w:space="0" w:color="auto"/>
              <w:right w:val="single" w:sz="4" w:space="0" w:color="auto"/>
            </w:tcBorders>
            <w:shd w:val="clear" w:color="auto" w:fill="auto"/>
            <w:noWrap/>
            <w:vAlign w:val="bottom"/>
          </w:tcPr>
          <w:p w:rsidR="007734D5" w:rsidRPr="007734D5" w:rsidRDefault="007734D5" w:rsidP="007734D5">
            <w:pPr>
              <w:spacing w:after="0" w:line="240" w:lineRule="auto"/>
              <w:jc w:val="center"/>
              <w:rPr>
                <w:rFonts w:ascii="Times New Roman" w:eastAsia="Calibri" w:hAnsi="Times New Roman" w:cs="Times New Roman"/>
                <w:color w:val="000000"/>
              </w:rPr>
            </w:pPr>
            <w:r w:rsidRPr="007734D5">
              <w:rPr>
                <w:rFonts w:ascii="Times New Roman" w:eastAsia="Calibri" w:hAnsi="Times New Roman" w:cs="Times New Roman"/>
                <w:color w:val="000000"/>
              </w:rPr>
              <w:t>2 представление</w:t>
            </w:r>
          </w:p>
        </w:tc>
        <w:tc>
          <w:tcPr>
            <w:tcW w:w="1808" w:type="dxa"/>
            <w:tcBorders>
              <w:top w:val="nil"/>
              <w:left w:val="nil"/>
              <w:bottom w:val="single" w:sz="4" w:space="0" w:color="auto"/>
              <w:right w:val="single" w:sz="4" w:space="0" w:color="auto"/>
            </w:tcBorders>
            <w:shd w:val="clear" w:color="auto" w:fill="auto"/>
            <w:noWrap/>
            <w:vAlign w:val="bottom"/>
          </w:tcPr>
          <w:p w:rsidR="007734D5" w:rsidRPr="007734D5" w:rsidRDefault="007734D5" w:rsidP="007734D5">
            <w:pPr>
              <w:spacing w:after="0" w:line="240" w:lineRule="auto"/>
              <w:jc w:val="center"/>
              <w:rPr>
                <w:rFonts w:ascii="Times New Roman" w:eastAsia="Calibri" w:hAnsi="Times New Roman" w:cs="Times New Roman"/>
                <w:color w:val="000000"/>
              </w:rPr>
            </w:pPr>
            <w:r w:rsidRPr="007734D5">
              <w:rPr>
                <w:rFonts w:ascii="Times New Roman" w:eastAsia="Calibri" w:hAnsi="Times New Roman" w:cs="Times New Roman"/>
                <w:color w:val="000000"/>
              </w:rPr>
              <w:t>4 предостережения</w:t>
            </w:r>
          </w:p>
        </w:tc>
      </w:tr>
    </w:tbl>
    <w:p w:rsidR="00976DAC" w:rsidRPr="00976DAC" w:rsidRDefault="00976DAC" w:rsidP="007734D5">
      <w:pPr>
        <w:spacing w:after="0" w:line="360" w:lineRule="auto"/>
        <w:jc w:val="both"/>
        <w:rPr>
          <w:rFonts w:ascii="Times New Roman" w:hAnsi="Times New Roman" w:cs="Times New Roman"/>
          <w:color w:val="000000" w:themeColor="text1"/>
          <w:sz w:val="24"/>
          <w:szCs w:val="24"/>
        </w:rPr>
      </w:pPr>
    </w:p>
    <w:p w:rsidR="00976DAC" w:rsidRPr="00976DAC" w:rsidRDefault="00976DAC" w:rsidP="00976DAC">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В соответствии с представленными данными</w:t>
      </w:r>
      <w:bookmarkEnd w:id="15"/>
      <w:r w:rsidRPr="00976DAC">
        <w:rPr>
          <w:rFonts w:ascii="Times New Roman" w:hAnsi="Times New Roman" w:cs="Times New Roman"/>
          <w:color w:val="000000" w:themeColor="text1"/>
          <w:sz w:val="24"/>
          <w:szCs w:val="24"/>
        </w:rPr>
        <w:t xml:space="preserve">, отмечается положительная динамика в отношении количества возбужденных дел: 27 дел в 2020 г. против 13 дел в 2021 г. (Таблица </w:t>
      </w:r>
      <w:r w:rsidR="00786D2A">
        <w:rPr>
          <w:rFonts w:ascii="Times New Roman" w:hAnsi="Times New Roman" w:cs="Times New Roman"/>
          <w:color w:val="000000" w:themeColor="text1"/>
          <w:sz w:val="24"/>
          <w:szCs w:val="24"/>
        </w:rPr>
        <w:t>8</w:t>
      </w:r>
      <w:r w:rsidRPr="00976DAC">
        <w:rPr>
          <w:rFonts w:ascii="Times New Roman" w:hAnsi="Times New Roman" w:cs="Times New Roman"/>
          <w:color w:val="000000" w:themeColor="text1"/>
          <w:sz w:val="24"/>
          <w:szCs w:val="24"/>
        </w:rPr>
        <w:t>.).</w:t>
      </w:r>
    </w:p>
    <w:p w:rsidR="00786D2A" w:rsidRDefault="00976DAC" w:rsidP="00786D2A">
      <w:pPr>
        <w:spacing w:after="0" w:line="360" w:lineRule="auto"/>
        <w:ind w:firstLine="709"/>
        <w:jc w:val="center"/>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Таблица </w:t>
      </w:r>
      <w:r w:rsidR="00786D2A">
        <w:rPr>
          <w:rFonts w:ascii="Times New Roman" w:hAnsi="Times New Roman" w:cs="Times New Roman"/>
          <w:color w:val="000000" w:themeColor="text1"/>
          <w:sz w:val="24"/>
          <w:szCs w:val="24"/>
        </w:rPr>
        <w:t>8</w:t>
      </w:r>
      <w:r w:rsidRPr="00976DAC">
        <w:rPr>
          <w:rFonts w:ascii="Times New Roman" w:hAnsi="Times New Roman" w:cs="Times New Roman"/>
          <w:color w:val="000000" w:themeColor="text1"/>
          <w:sz w:val="24"/>
          <w:szCs w:val="24"/>
        </w:rPr>
        <w:t xml:space="preserve">. </w:t>
      </w:r>
      <w:r w:rsidRPr="00976DAC">
        <w:rPr>
          <w:rFonts w:ascii="Times New Roman" w:hAnsi="Times New Roman" w:cs="Times New Roman"/>
          <w:bCs/>
          <w:color w:val="000000" w:themeColor="text1"/>
          <w:sz w:val="24"/>
          <w:szCs w:val="24"/>
        </w:rPr>
        <w:t>Результаты рассмотрения заявлений и обращений, поступивших в период с 2020 г. по I полугодие 2022 г. включительно</w:t>
      </w:r>
      <w:r w:rsidRPr="00976DAC">
        <w:rPr>
          <w:rFonts w:ascii="Times New Roman" w:hAnsi="Times New Roman" w:cs="Times New Roman"/>
          <w:color w:val="000000" w:themeColor="text1"/>
          <w:sz w:val="24"/>
          <w:szCs w:val="24"/>
        </w:rPr>
        <w:t xml:space="preserve"> </w:t>
      </w:r>
    </w:p>
    <w:tbl>
      <w:tblPr>
        <w:tblStyle w:val="160"/>
        <w:tblW w:w="9889" w:type="dxa"/>
        <w:tblLook w:val="04A0" w:firstRow="1" w:lastRow="0" w:firstColumn="1" w:lastColumn="0" w:noHBand="0" w:noVBand="1"/>
      </w:tblPr>
      <w:tblGrid>
        <w:gridCol w:w="4252"/>
        <w:gridCol w:w="1587"/>
        <w:gridCol w:w="1587"/>
        <w:gridCol w:w="2463"/>
      </w:tblGrid>
      <w:tr w:rsidR="00786D2A" w:rsidRPr="00786D2A" w:rsidTr="00CD2F82">
        <w:trPr>
          <w:tblHeader/>
        </w:trPr>
        <w:tc>
          <w:tcPr>
            <w:tcW w:w="4252" w:type="dxa"/>
            <w:vAlign w:val="center"/>
          </w:tcPr>
          <w:p w:rsidR="00786D2A" w:rsidRPr="00CD2F82" w:rsidRDefault="00786D2A" w:rsidP="00CD2F82">
            <w:pPr>
              <w:jc w:val="center"/>
              <w:rPr>
                <w:rFonts w:ascii="Times New Roman" w:eastAsia="Calibri" w:hAnsi="Times New Roman" w:cs="Times New Roman"/>
                <w:b/>
                <w:color w:val="000000"/>
              </w:rPr>
            </w:pPr>
          </w:p>
        </w:tc>
        <w:tc>
          <w:tcPr>
            <w:tcW w:w="1587" w:type="dxa"/>
            <w:vAlign w:val="center"/>
          </w:tcPr>
          <w:p w:rsidR="00786D2A" w:rsidRPr="00CD2F82" w:rsidRDefault="00786D2A" w:rsidP="00CD2F82">
            <w:pPr>
              <w:jc w:val="center"/>
              <w:rPr>
                <w:rFonts w:ascii="Times New Roman" w:eastAsia="Calibri" w:hAnsi="Times New Roman" w:cs="Times New Roman"/>
                <w:b/>
                <w:color w:val="000000"/>
              </w:rPr>
            </w:pPr>
            <w:r w:rsidRPr="00CD2F82">
              <w:rPr>
                <w:rFonts w:ascii="Times New Roman" w:eastAsia="Calibri" w:hAnsi="Times New Roman" w:cs="Times New Roman"/>
                <w:b/>
                <w:color w:val="000000"/>
              </w:rPr>
              <w:t>2020 г.</w:t>
            </w:r>
          </w:p>
        </w:tc>
        <w:tc>
          <w:tcPr>
            <w:tcW w:w="1587" w:type="dxa"/>
            <w:vAlign w:val="center"/>
          </w:tcPr>
          <w:p w:rsidR="00786D2A" w:rsidRPr="00CD2F82" w:rsidRDefault="00786D2A" w:rsidP="00CD2F82">
            <w:pPr>
              <w:jc w:val="center"/>
              <w:rPr>
                <w:rFonts w:ascii="Times New Roman" w:eastAsia="Calibri" w:hAnsi="Times New Roman" w:cs="Times New Roman"/>
                <w:b/>
                <w:color w:val="000000"/>
              </w:rPr>
            </w:pPr>
            <w:r w:rsidRPr="00CD2F82">
              <w:rPr>
                <w:rFonts w:ascii="Times New Roman" w:eastAsia="Calibri" w:hAnsi="Times New Roman" w:cs="Times New Roman"/>
                <w:b/>
                <w:color w:val="000000"/>
              </w:rPr>
              <w:t>2021 г.</w:t>
            </w:r>
          </w:p>
        </w:tc>
        <w:tc>
          <w:tcPr>
            <w:tcW w:w="2463" w:type="dxa"/>
            <w:vAlign w:val="center"/>
          </w:tcPr>
          <w:p w:rsidR="00786D2A" w:rsidRPr="00CD2F82" w:rsidRDefault="00786D2A" w:rsidP="00CD2F82">
            <w:pPr>
              <w:jc w:val="center"/>
              <w:rPr>
                <w:rFonts w:ascii="Times New Roman" w:eastAsia="Calibri" w:hAnsi="Times New Roman" w:cs="Times New Roman"/>
                <w:b/>
                <w:color w:val="000000"/>
              </w:rPr>
            </w:pPr>
            <w:r w:rsidRPr="00CD2F82">
              <w:rPr>
                <w:rFonts w:ascii="Times New Roman" w:eastAsia="Calibri" w:hAnsi="Times New Roman" w:cs="Times New Roman"/>
                <w:b/>
                <w:color w:val="000000"/>
                <w:lang w:val="en-US"/>
              </w:rPr>
              <w:t>I</w:t>
            </w:r>
            <w:r w:rsidRPr="00CD2F82">
              <w:rPr>
                <w:rFonts w:ascii="Times New Roman" w:eastAsia="Calibri" w:hAnsi="Times New Roman" w:cs="Times New Roman"/>
                <w:b/>
                <w:color w:val="000000"/>
              </w:rPr>
              <w:t xml:space="preserve"> полугодие 2022 г.</w:t>
            </w:r>
          </w:p>
        </w:tc>
      </w:tr>
      <w:tr w:rsidR="00786D2A" w:rsidRPr="00786D2A" w:rsidTr="00786D2A">
        <w:tc>
          <w:tcPr>
            <w:tcW w:w="4252" w:type="dxa"/>
          </w:tcPr>
          <w:p w:rsidR="00786D2A" w:rsidRPr="00786D2A" w:rsidRDefault="00786D2A" w:rsidP="00786D2A">
            <w:pPr>
              <w:jc w:val="both"/>
              <w:rPr>
                <w:rFonts w:ascii="Times New Roman" w:eastAsia="Calibri" w:hAnsi="Times New Roman" w:cs="Times New Roman"/>
                <w:color w:val="000000"/>
              </w:rPr>
            </w:pPr>
            <w:r w:rsidRPr="00786D2A">
              <w:rPr>
                <w:rFonts w:ascii="Times New Roman" w:eastAsia="Calibri" w:hAnsi="Times New Roman" w:cs="Times New Roman"/>
                <w:color w:val="000000"/>
              </w:rPr>
              <w:t>Выдано предупреждений</w:t>
            </w:r>
          </w:p>
        </w:tc>
        <w:tc>
          <w:tcPr>
            <w:tcW w:w="1587" w:type="dxa"/>
          </w:tcPr>
          <w:p w:rsidR="00786D2A" w:rsidRPr="00786D2A" w:rsidRDefault="00786D2A" w:rsidP="00786D2A">
            <w:pPr>
              <w:jc w:val="center"/>
              <w:rPr>
                <w:rFonts w:ascii="Times New Roman" w:eastAsia="Calibri" w:hAnsi="Times New Roman" w:cs="Times New Roman"/>
                <w:color w:val="000000"/>
              </w:rPr>
            </w:pPr>
            <w:r w:rsidRPr="00786D2A">
              <w:rPr>
                <w:rFonts w:ascii="Times New Roman" w:eastAsia="Calibri" w:hAnsi="Times New Roman" w:cs="Times New Roman"/>
                <w:color w:val="000000"/>
              </w:rPr>
              <w:t>10</w:t>
            </w:r>
          </w:p>
          <w:p w:rsidR="00786D2A" w:rsidRPr="00786D2A" w:rsidRDefault="00786D2A" w:rsidP="00786D2A">
            <w:pPr>
              <w:jc w:val="center"/>
              <w:rPr>
                <w:rFonts w:ascii="Times New Roman" w:eastAsia="Calibri" w:hAnsi="Times New Roman" w:cs="Times New Roman"/>
                <w:color w:val="000000"/>
              </w:rPr>
            </w:pPr>
            <w:r w:rsidRPr="00786D2A">
              <w:rPr>
                <w:rFonts w:ascii="Times New Roman" w:eastAsia="Calibri" w:hAnsi="Times New Roman" w:cs="Times New Roman"/>
                <w:color w:val="000000"/>
              </w:rPr>
              <w:t>нет данных, сколько исполнено</w:t>
            </w:r>
          </w:p>
        </w:tc>
        <w:tc>
          <w:tcPr>
            <w:tcW w:w="1587" w:type="dxa"/>
          </w:tcPr>
          <w:p w:rsidR="00786D2A" w:rsidRPr="00786D2A" w:rsidRDefault="00786D2A" w:rsidP="00786D2A">
            <w:pPr>
              <w:jc w:val="center"/>
              <w:rPr>
                <w:rFonts w:ascii="Times New Roman" w:eastAsia="Calibri" w:hAnsi="Times New Roman" w:cs="Times New Roman"/>
                <w:color w:val="000000"/>
              </w:rPr>
            </w:pPr>
            <w:r w:rsidRPr="00786D2A">
              <w:rPr>
                <w:rFonts w:ascii="Times New Roman" w:eastAsia="Calibri" w:hAnsi="Times New Roman" w:cs="Times New Roman"/>
                <w:color w:val="000000"/>
              </w:rPr>
              <w:t>7</w:t>
            </w:r>
          </w:p>
          <w:p w:rsidR="00786D2A" w:rsidRPr="00786D2A" w:rsidRDefault="00786D2A" w:rsidP="00786D2A">
            <w:pPr>
              <w:jc w:val="center"/>
              <w:rPr>
                <w:rFonts w:ascii="Times New Roman" w:eastAsia="Calibri" w:hAnsi="Times New Roman" w:cs="Times New Roman"/>
                <w:color w:val="000000"/>
              </w:rPr>
            </w:pPr>
            <w:r w:rsidRPr="00786D2A">
              <w:rPr>
                <w:rFonts w:ascii="Times New Roman" w:eastAsia="Calibri" w:hAnsi="Times New Roman" w:cs="Times New Roman"/>
                <w:color w:val="000000"/>
              </w:rPr>
              <w:t>нет данных, сколько исполнено</w:t>
            </w:r>
          </w:p>
        </w:tc>
        <w:tc>
          <w:tcPr>
            <w:tcW w:w="2463" w:type="dxa"/>
          </w:tcPr>
          <w:p w:rsidR="00786D2A" w:rsidRPr="00786D2A" w:rsidRDefault="00786D2A" w:rsidP="00786D2A">
            <w:pPr>
              <w:jc w:val="center"/>
              <w:rPr>
                <w:rFonts w:ascii="Times New Roman" w:eastAsia="Calibri" w:hAnsi="Times New Roman" w:cs="Times New Roman"/>
                <w:color w:val="000000"/>
              </w:rPr>
            </w:pPr>
            <w:r w:rsidRPr="00786D2A">
              <w:rPr>
                <w:rFonts w:ascii="Times New Roman" w:eastAsia="Calibri" w:hAnsi="Times New Roman" w:cs="Times New Roman"/>
                <w:color w:val="000000"/>
              </w:rPr>
              <w:t>14</w:t>
            </w:r>
          </w:p>
          <w:p w:rsidR="00786D2A" w:rsidRPr="00786D2A" w:rsidRDefault="00786D2A" w:rsidP="00786D2A">
            <w:pPr>
              <w:jc w:val="center"/>
              <w:rPr>
                <w:rFonts w:ascii="Times New Roman" w:eastAsia="Calibri" w:hAnsi="Times New Roman" w:cs="Times New Roman"/>
                <w:color w:val="000000"/>
              </w:rPr>
            </w:pPr>
            <w:r w:rsidRPr="00786D2A">
              <w:rPr>
                <w:rFonts w:ascii="Times New Roman" w:eastAsia="Calibri" w:hAnsi="Times New Roman" w:cs="Times New Roman"/>
                <w:color w:val="000000"/>
              </w:rPr>
              <w:t>(исполнено 7)</w:t>
            </w:r>
          </w:p>
        </w:tc>
      </w:tr>
      <w:tr w:rsidR="00786D2A" w:rsidRPr="00786D2A" w:rsidTr="00786D2A">
        <w:tc>
          <w:tcPr>
            <w:tcW w:w="4252" w:type="dxa"/>
          </w:tcPr>
          <w:p w:rsidR="00786D2A" w:rsidRPr="00786D2A" w:rsidRDefault="00786D2A" w:rsidP="00786D2A">
            <w:pPr>
              <w:jc w:val="both"/>
              <w:rPr>
                <w:rFonts w:ascii="Times New Roman" w:eastAsia="Calibri" w:hAnsi="Times New Roman" w:cs="Times New Roman"/>
                <w:color w:val="000000"/>
              </w:rPr>
            </w:pPr>
            <w:r w:rsidRPr="00786D2A">
              <w:rPr>
                <w:rFonts w:ascii="Times New Roman" w:eastAsia="Calibri" w:hAnsi="Times New Roman" w:cs="Times New Roman"/>
                <w:color w:val="000000"/>
              </w:rPr>
              <w:t xml:space="preserve">Возбуждено дел </w:t>
            </w:r>
          </w:p>
        </w:tc>
        <w:tc>
          <w:tcPr>
            <w:tcW w:w="1587" w:type="dxa"/>
          </w:tcPr>
          <w:p w:rsidR="00786D2A" w:rsidRPr="00786D2A" w:rsidRDefault="00786D2A" w:rsidP="00786D2A">
            <w:pPr>
              <w:jc w:val="center"/>
              <w:rPr>
                <w:rFonts w:ascii="Times New Roman" w:eastAsia="Calibri" w:hAnsi="Times New Roman" w:cs="Times New Roman"/>
                <w:color w:val="000000"/>
              </w:rPr>
            </w:pPr>
            <w:r w:rsidRPr="00786D2A">
              <w:rPr>
                <w:rFonts w:ascii="Times New Roman" w:eastAsia="Calibri" w:hAnsi="Times New Roman" w:cs="Times New Roman"/>
                <w:color w:val="000000"/>
              </w:rPr>
              <w:t>27</w:t>
            </w:r>
          </w:p>
          <w:p w:rsidR="00786D2A" w:rsidRPr="00786D2A" w:rsidRDefault="00786D2A" w:rsidP="00786D2A">
            <w:pPr>
              <w:jc w:val="center"/>
              <w:rPr>
                <w:rFonts w:ascii="Times New Roman" w:eastAsia="Calibri" w:hAnsi="Times New Roman" w:cs="Times New Roman"/>
                <w:color w:val="000000"/>
              </w:rPr>
            </w:pPr>
            <w:r w:rsidRPr="00786D2A">
              <w:rPr>
                <w:rFonts w:ascii="Times New Roman" w:eastAsia="Calibri" w:hAnsi="Times New Roman" w:cs="Times New Roman"/>
                <w:color w:val="000000"/>
              </w:rPr>
              <w:t>нет данных, сколько прекращено</w:t>
            </w:r>
          </w:p>
        </w:tc>
        <w:tc>
          <w:tcPr>
            <w:tcW w:w="1587" w:type="dxa"/>
          </w:tcPr>
          <w:p w:rsidR="00786D2A" w:rsidRPr="00786D2A" w:rsidRDefault="00786D2A" w:rsidP="00786D2A">
            <w:pPr>
              <w:jc w:val="center"/>
              <w:rPr>
                <w:rFonts w:ascii="Times New Roman" w:eastAsia="Calibri" w:hAnsi="Times New Roman" w:cs="Times New Roman"/>
                <w:color w:val="000000"/>
              </w:rPr>
            </w:pPr>
            <w:r w:rsidRPr="00786D2A">
              <w:rPr>
                <w:rFonts w:ascii="Times New Roman" w:eastAsia="Calibri" w:hAnsi="Times New Roman" w:cs="Times New Roman"/>
                <w:color w:val="000000"/>
              </w:rPr>
              <w:t>13</w:t>
            </w:r>
          </w:p>
          <w:p w:rsidR="00786D2A" w:rsidRPr="00786D2A" w:rsidRDefault="00786D2A" w:rsidP="00786D2A">
            <w:pPr>
              <w:jc w:val="center"/>
              <w:rPr>
                <w:rFonts w:ascii="Times New Roman" w:eastAsia="Calibri" w:hAnsi="Times New Roman" w:cs="Times New Roman"/>
                <w:color w:val="000000"/>
              </w:rPr>
            </w:pPr>
            <w:r w:rsidRPr="00786D2A">
              <w:rPr>
                <w:rFonts w:ascii="Times New Roman" w:eastAsia="Calibri" w:hAnsi="Times New Roman" w:cs="Times New Roman"/>
                <w:color w:val="000000"/>
              </w:rPr>
              <w:t>нет данных, сколько исполнено</w:t>
            </w:r>
          </w:p>
        </w:tc>
        <w:tc>
          <w:tcPr>
            <w:tcW w:w="2463" w:type="dxa"/>
          </w:tcPr>
          <w:p w:rsidR="00786D2A" w:rsidRPr="00786D2A" w:rsidRDefault="00786D2A" w:rsidP="00786D2A">
            <w:pPr>
              <w:jc w:val="center"/>
              <w:rPr>
                <w:rFonts w:ascii="Times New Roman" w:eastAsia="Calibri" w:hAnsi="Times New Roman" w:cs="Times New Roman"/>
                <w:color w:val="000000"/>
              </w:rPr>
            </w:pPr>
            <w:r w:rsidRPr="00786D2A">
              <w:rPr>
                <w:rFonts w:ascii="Times New Roman" w:eastAsia="Calibri" w:hAnsi="Times New Roman" w:cs="Times New Roman"/>
                <w:color w:val="000000"/>
              </w:rPr>
              <w:t>13</w:t>
            </w:r>
          </w:p>
          <w:p w:rsidR="00786D2A" w:rsidRPr="00786D2A" w:rsidRDefault="00786D2A" w:rsidP="00786D2A">
            <w:pPr>
              <w:jc w:val="center"/>
              <w:rPr>
                <w:rFonts w:ascii="Times New Roman" w:eastAsia="Calibri" w:hAnsi="Times New Roman" w:cs="Times New Roman"/>
                <w:color w:val="000000"/>
              </w:rPr>
            </w:pPr>
            <w:r w:rsidRPr="00786D2A">
              <w:rPr>
                <w:rFonts w:ascii="Times New Roman" w:eastAsia="Calibri" w:hAnsi="Times New Roman" w:cs="Times New Roman"/>
                <w:color w:val="000000"/>
              </w:rPr>
              <w:t>(6 прекращены, по 7 вынесено решение)</w:t>
            </w:r>
          </w:p>
        </w:tc>
      </w:tr>
      <w:tr w:rsidR="00786D2A" w:rsidRPr="00786D2A" w:rsidTr="00786D2A">
        <w:tc>
          <w:tcPr>
            <w:tcW w:w="4252" w:type="dxa"/>
          </w:tcPr>
          <w:p w:rsidR="00786D2A" w:rsidRPr="00786D2A" w:rsidRDefault="00786D2A" w:rsidP="00786D2A">
            <w:pPr>
              <w:jc w:val="both"/>
              <w:rPr>
                <w:rFonts w:ascii="Times New Roman" w:eastAsia="Calibri" w:hAnsi="Times New Roman" w:cs="Times New Roman"/>
                <w:color w:val="000000"/>
              </w:rPr>
            </w:pPr>
            <w:r w:rsidRPr="00786D2A">
              <w:rPr>
                <w:rFonts w:ascii="Times New Roman" w:eastAsia="Calibri" w:hAnsi="Times New Roman" w:cs="Times New Roman"/>
                <w:color w:val="000000"/>
              </w:rPr>
              <w:t>Выдано предписаний</w:t>
            </w:r>
          </w:p>
        </w:tc>
        <w:tc>
          <w:tcPr>
            <w:tcW w:w="1587" w:type="dxa"/>
          </w:tcPr>
          <w:p w:rsidR="00786D2A" w:rsidRPr="00786D2A" w:rsidRDefault="00786D2A" w:rsidP="00786D2A">
            <w:pPr>
              <w:jc w:val="center"/>
              <w:rPr>
                <w:rFonts w:ascii="Times New Roman" w:eastAsia="Calibri" w:hAnsi="Times New Roman" w:cs="Times New Roman"/>
                <w:color w:val="000000"/>
              </w:rPr>
            </w:pPr>
            <w:r w:rsidRPr="00786D2A">
              <w:rPr>
                <w:rFonts w:ascii="Times New Roman" w:eastAsia="Calibri" w:hAnsi="Times New Roman" w:cs="Times New Roman"/>
                <w:color w:val="000000"/>
              </w:rPr>
              <w:t>нет данных</w:t>
            </w:r>
          </w:p>
        </w:tc>
        <w:tc>
          <w:tcPr>
            <w:tcW w:w="1587" w:type="dxa"/>
          </w:tcPr>
          <w:p w:rsidR="00786D2A" w:rsidRPr="00786D2A" w:rsidRDefault="00786D2A" w:rsidP="00786D2A">
            <w:pPr>
              <w:jc w:val="center"/>
              <w:rPr>
                <w:rFonts w:ascii="Times New Roman" w:eastAsia="Calibri" w:hAnsi="Times New Roman" w:cs="Times New Roman"/>
                <w:color w:val="000000"/>
              </w:rPr>
            </w:pPr>
            <w:r w:rsidRPr="00786D2A">
              <w:rPr>
                <w:rFonts w:ascii="Times New Roman" w:eastAsia="Calibri" w:hAnsi="Times New Roman" w:cs="Times New Roman"/>
                <w:color w:val="000000"/>
              </w:rPr>
              <w:t>нет данных</w:t>
            </w:r>
          </w:p>
        </w:tc>
        <w:tc>
          <w:tcPr>
            <w:tcW w:w="2463" w:type="dxa"/>
          </w:tcPr>
          <w:p w:rsidR="00786D2A" w:rsidRPr="00786D2A" w:rsidRDefault="00786D2A" w:rsidP="00786D2A">
            <w:pPr>
              <w:jc w:val="center"/>
              <w:rPr>
                <w:rFonts w:ascii="Times New Roman" w:eastAsia="Calibri" w:hAnsi="Times New Roman" w:cs="Times New Roman"/>
                <w:color w:val="000000"/>
              </w:rPr>
            </w:pPr>
            <w:r w:rsidRPr="00786D2A">
              <w:rPr>
                <w:rFonts w:ascii="Times New Roman" w:eastAsia="Calibri" w:hAnsi="Times New Roman" w:cs="Times New Roman"/>
                <w:color w:val="000000"/>
              </w:rPr>
              <w:t>5 (1 исполнено, 4 в стадии исполнения)</w:t>
            </w:r>
          </w:p>
        </w:tc>
      </w:tr>
    </w:tbl>
    <w:p w:rsidR="00786D2A" w:rsidRPr="00976DAC" w:rsidRDefault="00786D2A" w:rsidP="00786D2A">
      <w:pPr>
        <w:spacing w:after="0" w:line="360" w:lineRule="auto"/>
        <w:jc w:val="center"/>
        <w:rPr>
          <w:rFonts w:ascii="Times New Roman" w:hAnsi="Times New Roman" w:cs="Times New Roman"/>
          <w:color w:val="000000" w:themeColor="text1"/>
          <w:sz w:val="24"/>
          <w:szCs w:val="24"/>
        </w:rPr>
      </w:pPr>
    </w:p>
    <w:p w:rsidR="00976DAC" w:rsidRPr="00976DAC" w:rsidRDefault="00976DAC" w:rsidP="00976DAC">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Данные о практике выявления и пресечения нарушений Закона о защите конкуренции представлены в Таблице </w:t>
      </w:r>
      <w:r w:rsidR="00786D2A">
        <w:rPr>
          <w:rFonts w:ascii="Times New Roman" w:hAnsi="Times New Roman" w:cs="Times New Roman"/>
          <w:color w:val="000000" w:themeColor="text1"/>
          <w:sz w:val="24"/>
          <w:szCs w:val="24"/>
        </w:rPr>
        <w:t>9</w:t>
      </w:r>
      <w:r w:rsidRPr="00976DAC">
        <w:rPr>
          <w:rFonts w:ascii="Times New Roman" w:hAnsi="Times New Roman" w:cs="Times New Roman"/>
          <w:color w:val="000000" w:themeColor="text1"/>
          <w:sz w:val="24"/>
          <w:szCs w:val="24"/>
        </w:rPr>
        <w:t xml:space="preserve">. Как показывает Таблица </w:t>
      </w:r>
      <w:r w:rsidR="00786D2A">
        <w:rPr>
          <w:rFonts w:ascii="Times New Roman" w:hAnsi="Times New Roman" w:cs="Times New Roman"/>
          <w:color w:val="000000" w:themeColor="text1"/>
          <w:sz w:val="24"/>
          <w:szCs w:val="24"/>
        </w:rPr>
        <w:t>9</w:t>
      </w:r>
      <w:r w:rsidRPr="00976DAC">
        <w:rPr>
          <w:rFonts w:ascii="Times New Roman" w:hAnsi="Times New Roman" w:cs="Times New Roman"/>
          <w:color w:val="000000" w:themeColor="text1"/>
          <w:sz w:val="24"/>
          <w:szCs w:val="24"/>
        </w:rPr>
        <w:t>, наибольшее количество рассмотренных заявлений связано с нарушениями статьи 10 (злоупотребление хозяйствующих субъектов доминирующим положением на рынке). Отмечается также тенденция к увеличению количества заявлений в связи с нарушениями по этой статье.</w:t>
      </w:r>
    </w:p>
    <w:p w:rsidR="00786D2A" w:rsidRDefault="00786D2A" w:rsidP="00786D2A">
      <w:pPr>
        <w:spacing w:after="0" w:line="360" w:lineRule="auto"/>
        <w:ind w:firstLine="709"/>
        <w:jc w:val="center"/>
        <w:rPr>
          <w:rFonts w:ascii="Times New Roman" w:hAnsi="Times New Roman" w:cs="Times New Roman"/>
          <w:color w:val="000000" w:themeColor="text1"/>
          <w:sz w:val="24"/>
          <w:szCs w:val="24"/>
        </w:rPr>
      </w:pPr>
    </w:p>
    <w:p w:rsidR="00786D2A" w:rsidRDefault="00976DAC" w:rsidP="00786D2A">
      <w:pPr>
        <w:spacing w:after="0" w:line="360" w:lineRule="auto"/>
        <w:ind w:firstLine="709"/>
        <w:jc w:val="center"/>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Таблица </w:t>
      </w:r>
      <w:r w:rsidR="00786D2A">
        <w:rPr>
          <w:rFonts w:ascii="Times New Roman" w:hAnsi="Times New Roman" w:cs="Times New Roman"/>
          <w:color w:val="000000" w:themeColor="text1"/>
          <w:sz w:val="24"/>
          <w:szCs w:val="24"/>
        </w:rPr>
        <w:t>9</w:t>
      </w:r>
      <w:r w:rsidRPr="00976DAC">
        <w:rPr>
          <w:rFonts w:ascii="Times New Roman" w:hAnsi="Times New Roman" w:cs="Times New Roman"/>
          <w:color w:val="000000" w:themeColor="text1"/>
          <w:sz w:val="24"/>
          <w:szCs w:val="24"/>
        </w:rPr>
        <w:t xml:space="preserve">. </w:t>
      </w:r>
      <w:r w:rsidRPr="00976DAC">
        <w:rPr>
          <w:rFonts w:ascii="Times New Roman" w:hAnsi="Times New Roman" w:cs="Times New Roman"/>
          <w:bCs/>
          <w:color w:val="000000" w:themeColor="text1"/>
          <w:sz w:val="24"/>
          <w:szCs w:val="24"/>
        </w:rPr>
        <w:t>Практика выявления и пресечения нарушений Закона о защите конкуренции</w:t>
      </w:r>
      <w:r w:rsidRPr="00976DAC">
        <w:rPr>
          <w:rFonts w:ascii="Times New Roman" w:hAnsi="Times New Roman" w:cs="Times New Roman"/>
          <w:color w:val="000000" w:themeColor="text1"/>
          <w:sz w:val="24"/>
          <w:szCs w:val="24"/>
        </w:rPr>
        <w:t xml:space="preserve"> </w:t>
      </w:r>
    </w:p>
    <w:tbl>
      <w:tblPr>
        <w:tblStyle w:val="170"/>
        <w:tblW w:w="9523" w:type="dxa"/>
        <w:tblLook w:val="04A0" w:firstRow="1" w:lastRow="0" w:firstColumn="1" w:lastColumn="0" w:noHBand="0" w:noVBand="1"/>
      </w:tblPr>
      <w:tblGrid>
        <w:gridCol w:w="1929"/>
        <w:gridCol w:w="774"/>
        <w:gridCol w:w="470"/>
        <w:gridCol w:w="1440"/>
        <w:gridCol w:w="867"/>
        <w:gridCol w:w="470"/>
        <w:gridCol w:w="1646"/>
        <w:gridCol w:w="773"/>
        <w:gridCol w:w="470"/>
        <w:gridCol w:w="1440"/>
      </w:tblGrid>
      <w:tr w:rsidR="00786D2A" w:rsidRPr="00786D2A" w:rsidTr="00CD2F82">
        <w:trPr>
          <w:tblHeader/>
        </w:trPr>
        <w:tc>
          <w:tcPr>
            <w:tcW w:w="1361" w:type="dxa"/>
            <w:vAlign w:val="center"/>
          </w:tcPr>
          <w:p w:rsidR="00786D2A" w:rsidRPr="00CD2F82" w:rsidRDefault="00786D2A" w:rsidP="00CD2F82">
            <w:pPr>
              <w:jc w:val="center"/>
              <w:rPr>
                <w:rFonts w:ascii="Times New Roman" w:eastAsia="Times New Roman" w:hAnsi="Times New Roman" w:cs="Times New Roman"/>
                <w:b/>
                <w:color w:val="000000"/>
                <w:lang w:eastAsia="ru-RU"/>
              </w:rPr>
            </w:pPr>
          </w:p>
        </w:tc>
        <w:tc>
          <w:tcPr>
            <w:tcW w:w="2739" w:type="dxa"/>
            <w:gridSpan w:val="3"/>
            <w:vAlign w:val="center"/>
          </w:tcPr>
          <w:p w:rsidR="00786D2A" w:rsidRPr="00CD2F82" w:rsidRDefault="00786D2A" w:rsidP="00CD2F82">
            <w:pPr>
              <w:jc w:val="center"/>
              <w:rPr>
                <w:rFonts w:ascii="Times New Roman" w:eastAsia="Times New Roman" w:hAnsi="Times New Roman" w:cs="Times New Roman"/>
                <w:b/>
                <w:color w:val="000000"/>
                <w:lang w:eastAsia="ru-RU"/>
              </w:rPr>
            </w:pPr>
            <w:r w:rsidRPr="00CD2F82">
              <w:rPr>
                <w:rFonts w:ascii="Times New Roman" w:eastAsia="Times New Roman" w:hAnsi="Times New Roman" w:cs="Times New Roman"/>
                <w:b/>
                <w:color w:val="000000"/>
                <w:lang w:eastAsia="ru-RU"/>
              </w:rPr>
              <w:t>2020 г.</w:t>
            </w:r>
          </w:p>
        </w:tc>
        <w:tc>
          <w:tcPr>
            <w:tcW w:w="2702" w:type="dxa"/>
            <w:gridSpan w:val="3"/>
            <w:vAlign w:val="center"/>
          </w:tcPr>
          <w:p w:rsidR="00786D2A" w:rsidRPr="00CD2F82" w:rsidRDefault="00786D2A" w:rsidP="00CD2F82">
            <w:pPr>
              <w:jc w:val="center"/>
              <w:rPr>
                <w:rFonts w:ascii="Times New Roman" w:eastAsia="Times New Roman" w:hAnsi="Times New Roman" w:cs="Times New Roman"/>
                <w:b/>
                <w:color w:val="000000"/>
                <w:lang w:eastAsia="ru-RU"/>
              </w:rPr>
            </w:pPr>
            <w:r w:rsidRPr="00CD2F82">
              <w:rPr>
                <w:rFonts w:ascii="Times New Roman" w:eastAsia="Times New Roman" w:hAnsi="Times New Roman" w:cs="Times New Roman"/>
                <w:b/>
                <w:color w:val="000000"/>
                <w:lang w:eastAsia="ru-RU"/>
              </w:rPr>
              <w:t>2021 г.</w:t>
            </w:r>
          </w:p>
        </w:tc>
        <w:tc>
          <w:tcPr>
            <w:tcW w:w="2721" w:type="dxa"/>
            <w:gridSpan w:val="3"/>
            <w:vAlign w:val="center"/>
          </w:tcPr>
          <w:p w:rsidR="00786D2A" w:rsidRPr="00CD2F82" w:rsidRDefault="00786D2A" w:rsidP="00CD2F82">
            <w:pPr>
              <w:jc w:val="center"/>
              <w:rPr>
                <w:rFonts w:ascii="Times New Roman" w:eastAsia="Times New Roman" w:hAnsi="Times New Roman" w:cs="Times New Roman"/>
                <w:b/>
                <w:color w:val="000000"/>
                <w:lang w:eastAsia="ru-RU"/>
              </w:rPr>
            </w:pPr>
            <w:r w:rsidRPr="00CD2F82">
              <w:rPr>
                <w:rFonts w:ascii="Times New Roman" w:eastAsia="Calibri" w:hAnsi="Times New Roman" w:cs="Times New Roman"/>
                <w:b/>
                <w:color w:val="000000"/>
                <w:lang w:val="en-US"/>
              </w:rPr>
              <w:t>I</w:t>
            </w:r>
            <w:r w:rsidRPr="00CD2F82">
              <w:rPr>
                <w:rFonts w:ascii="Times New Roman" w:eastAsia="Calibri" w:hAnsi="Times New Roman" w:cs="Times New Roman"/>
                <w:b/>
                <w:color w:val="000000"/>
              </w:rPr>
              <w:t xml:space="preserve"> полугодие 2022 г.</w:t>
            </w:r>
          </w:p>
        </w:tc>
      </w:tr>
      <w:tr w:rsidR="00786D2A" w:rsidRPr="00786D2A" w:rsidTr="00CD2F82">
        <w:trPr>
          <w:cantSplit/>
          <w:trHeight w:val="2608"/>
          <w:tblHeader/>
        </w:trPr>
        <w:tc>
          <w:tcPr>
            <w:tcW w:w="1361" w:type="dxa"/>
            <w:vAlign w:val="center"/>
          </w:tcPr>
          <w:p w:rsidR="00786D2A" w:rsidRPr="00CD2F82" w:rsidRDefault="00786D2A" w:rsidP="00CD2F82">
            <w:pPr>
              <w:jc w:val="center"/>
              <w:rPr>
                <w:rFonts w:ascii="Times New Roman" w:eastAsia="Times New Roman" w:hAnsi="Times New Roman" w:cs="Times New Roman"/>
                <w:b/>
                <w:color w:val="000000"/>
                <w:lang w:eastAsia="ru-RU"/>
              </w:rPr>
            </w:pPr>
          </w:p>
        </w:tc>
        <w:tc>
          <w:tcPr>
            <w:tcW w:w="913" w:type="dxa"/>
            <w:textDirection w:val="btLr"/>
            <w:vAlign w:val="center"/>
          </w:tcPr>
          <w:p w:rsidR="00786D2A" w:rsidRPr="00CD2F82" w:rsidRDefault="00786D2A" w:rsidP="00CD2F82">
            <w:pPr>
              <w:ind w:left="113" w:right="113"/>
              <w:jc w:val="center"/>
              <w:rPr>
                <w:rFonts w:ascii="Times New Roman" w:eastAsia="Times New Roman" w:hAnsi="Times New Roman" w:cs="Times New Roman"/>
                <w:b/>
                <w:color w:val="000000"/>
                <w:lang w:eastAsia="ru-RU"/>
              </w:rPr>
            </w:pPr>
            <w:r w:rsidRPr="00CD2F82">
              <w:rPr>
                <w:rFonts w:ascii="Times New Roman" w:eastAsia="Times New Roman" w:hAnsi="Times New Roman" w:cs="Times New Roman"/>
                <w:b/>
                <w:color w:val="000000"/>
                <w:lang w:eastAsia="ru-RU"/>
              </w:rPr>
              <w:t>Рассмотрено заявлений</w:t>
            </w:r>
          </w:p>
        </w:tc>
        <w:tc>
          <w:tcPr>
            <w:tcW w:w="913" w:type="dxa"/>
            <w:textDirection w:val="btLr"/>
            <w:vAlign w:val="center"/>
          </w:tcPr>
          <w:p w:rsidR="00786D2A" w:rsidRPr="00CD2F82" w:rsidRDefault="00786D2A" w:rsidP="00CD2F82">
            <w:pPr>
              <w:ind w:left="113" w:right="113"/>
              <w:jc w:val="center"/>
              <w:rPr>
                <w:rFonts w:ascii="Times New Roman" w:eastAsia="Times New Roman" w:hAnsi="Times New Roman" w:cs="Times New Roman"/>
                <w:b/>
                <w:color w:val="000000"/>
                <w:lang w:eastAsia="ru-RU"/>
              </w:rPr>
            </w:pPr>
            <w:r w:rsidRPr="00CD2F82">
              <w:rPr>
                <w:rFonts w:ascii="Times New Roman" w:eastAsia="Times New Roman" w:hAnsi="Times New Roman" w:cs="Times New Roman"/>
                <w:b/>
                <w:color w:val="000000"/>
                <w:lang w:eastAsia="ru-RU"/>
              </w:rPr>
              <w:t>Выдано предписаний</w:t>
            </w:r>
          </w:p>
        </w:tc>
        <w:tc>
          <w:tcPr>
            <w:tcW w:w="913" w:type="dxa"/>
            <w:textDirection w:val="btLr"/>
            <w:vAlign w:val="center"/>
          </w:tcPr>
          <w:p w:rsidR="00786D2A" w:rsidRPr="00CD2F82" w:rsidRDefault="00786D2A" w:rsidP="00CD2F82">
            <w:pPr>
              <w:ind w:left="113" w:right="113"/>
              <w:jc w:val="center"/>
              <w:rPr>
                <w:rFonts w:ascii="Times New Roman" w:eastAsia="Times New Roman" w:hAnsi="Times New Roman" w:cs="Times New Roman"/>
                <w:b/>
                <w:color w:val="000000"/>
                <w:lang w:eastAsia="ru-RU"/>
              </w:rPr>
            </w:pPr>
            <w:r w:rsidRPr="00CD2F82">
              <w:rPr>
                <w:rFonts w:ascii="Times New Roman" w:eastAsia="Times New Roman" w:hAnsi="Times New Roman" w:cs="Times New Roman"/>
                <w:b/>
                <w:color w:val="000000"/>
                <w:lang w:eastAsia="ru-RU"/>
              </w:rPr>
              <w:t>Возбуждено дел</w:t>
            </w:r>
          </w:p>
        </w:tc>
        <w:tc>
          <w:tcPr>
            <w:tcW w:w="900" w:type="dxa"/>
            <w:textDirection w:val="btLr"/>
            <w:vAlign w:val="center"/>
          </w:tcPr>
          <w:p w:rsidR="00786D2A" w:rsidRPr="00CD2F82" w:rsidRDefault="00786D2A" w:rsidP="00CD2F82">
            <w:pPr>
              <w:ind w:left="113" w:right="113"/>
              <w:jc w:val="center"/>
              <w:rPr>
                <w:rFonts w:ascii="Times New Roman" w:eastAsia="Times New Roman" w:hAnsi="Times New Roman" w:cs="Times New Roman"/>
                <w:b/>
                <w:color w:val="000000"/>
                <w:lang w:eastAsia="ru-RU"/>
              </w:rPr>
            </w:pPr>
            <w:r w:rsidRPr="00CD2F82">
              <w:rPr>
                <w:rFonts w:ascii="Times New Roman" w:eastAsia="Times New Roman" w:hAnsi="Times New Roman" w:cs="Times New Roman"/>
                <w:b/>
                <w:color w:val="000000"/>
                <w:lang w:eastAsia="ru-RU"/>
              </w:rPr>
              <w:t>Рассмотрено заявлений</w:t>
            </w:r>
          </w:p>
        </w:tc>
        <w:tc>
          <w:tcPr>
            <w:tcW w:w="901" w:type="dxa"/>
            <w:textDirection w:val="btLr"/>
            <w:vAlign w:val="center"/>
          </w:tcPr>
          <w:p w:rsidR="00786D2A" w:rsidRPr="00CD2F82" w:rsidRDefault="00786D2A" w:rsidP="00CD2F82">
            <w:pPr>
              <w:ind w:left="113" w:right="113"/>
              <w:jc w:val="center"/>
              <w:rPr>
                <w:rFonts w:ascii="Times New Roman" w:eastAsia="Times New Roman" w:hAnsi="Times New Roman" w:cs="Times New Roman"/>
                <w:b/>
                <w:color w:val="000000"/>
                <w:lang w:eastAsia="ru-RU"/>
              </w:rPr>
            </w:pPr>
            <w:r w:rsidRPr="00CD2F82">
              <w:rPr>
                <w:rFonts w:ascii="Times New Roman" w:eastAsia="Times New Roman" w:hAnsi="Times New Roman" w:cs="Times New Roman"/>
                <w:b/>
                <w:color w:val="000000"/>
                <w:lang w:eastAsia="ru-RU"/>
              </w:rPr>
              <w:t>Выдано предписаний</w:t>
            </w:r>
          </w:p>
        </w:tc>
        <w:tc>
          <w:tcPr>
            <w:tcW w:w="901" w:type="dxa"/>
            <w:textDirection w:val="btLr"/>
            <w:vAlign w:val="center"/>
          </w:tcPr>
          <w:p w:rsidR="00786D2A" w:rsidRPr="00CD2F82" w:rsidRDefault="00786D2A" w:rsidP="00CD2F82">
            <w:pPr>
              <w:ind w:left="113" w:right="113"/>
              <w:jc w:val="center"/>
              <w:rPr>
                <w:rFonts w:ascii="Times New Roman" w:eastAsia="Times New Roman" w:hAnsi="Times New Roman" w:cs="Times New Roman"/>
                <w:b/>
                <w:color w:val="000000"/>
                <w:lang w:eastAsia="ru-RU"/>
              </w:rPr>
            </w:pPr>
            <w:r w:rsidRPr="00CD2F82">
              <w:rPr>
                <w:rFonts w:ascii="Times New Roman" w:eastAsia="Times New Roman" w:hAnsi="Times New Roman" w:cs="Times New Roman"/>
                <w:b/>
                <w:color w:val="000000"/>
                <w:lang w:eastAsia="ru-RU"/>
              </w:rPr>
              <w:t>Возбуждено дел</w:t>
            </w:r>
          </w:p>
        </w:tc>
        <w:tc>
          <w:tcPr>
            <w:tcW w:w="907" w:type="dxa"/>
            <w:textDirection w:val="btLr"/>
            <w:vAlign w:val="center"/>
          </w:tcPr>
          <w:p w:rsidR="00786D2A" w:rsidRPr="00CD2F82" w:rsidRDefault="00786D2A" w:rsidP="00CD2F82">
            <w:pPr>
              <w:ind w:left="113" w:right="113"/>
              <w:jc w:val="center"/>
              <w:rPr>
                <w:rFonts w:ascii="Times New Roman" w:eastAsia="Times New Roman" w:hAnsi="Times New Roman" w:cs="Times New Roman"/>
                <w:b/>
                <w:color w:val="000000"/>
                <w:lang w:eastAsia="ru-RU"/>
              </w:rPr>
            </w:pPr>
            <w:r w:rsidRPr="00CD2F82">
              <w:rPr>
                <w:rFonts w:ascii="Times New Roman" w:eastAsia="Times New Roman" w:hAnsi="Times New Roman" w:cs="Times New Roman"/>
                <w:b/>
                <w:color w:val="000000"/>
                <w:lang w:eastAsia="ru-RU"/>
              </w:rPr>
              <w:t>Рассмотрено заявлений</w:t>
            </w:r>
          </w:p>
        </w:tc>
        <w:tc>
          <w:tcPr>
            <w:tcW w:w="901" w:type="dxa"/>
            <w:textDirection w:val="btLr"/>
            <w:vAlign w:val="center"/>
          </w:tcPr>
          <w:p w:rsidR="00786D2A" w:rsidRPr="00CD2F82" w:rsidRDefault="00786D2A" w:rsidP="00CD2F82">
            <w:pPr>
              <w:ind w:left="113" w:right="113"/>
              <w:jc w:val="center"/>
              <w:rPr>
                <w:rFonts w:ascii="Times New Roman" w:eastAsia="Times New Roman" w:hAnsi="Times New Roman" w:cs="Times New Roman"/>
                <w:b/>
                <w:color w:val="000000"/>
                <w:lang w:eastAsia="ru-RU"/>
              </w:rPr>
            </w:pPr>
            <w:r w:rsidRPr="00CD2F82">
              <w:rPr>
                <w:rFonts w:ascii="Times New Roman" w:eastAsia="Times New Roman" w:hAnsi="Times New Roman" w:cs="Times New Roman"/>
                <w:b/>
                <w:color w:val="000000"/>
                <w:lang w:eastAsia="ru-RU"/>
              </w:rPr>
              <w:t>Выдано предписаний</w:t>
            </w:r>
          </w:p>
        </w:tc>
        <w:tc>
          <w:tcPr>
            <w:tcW w:w="901" w:type="dxa"/>
            <w:textDirection w:val="btLr"/>
            <w:vAlign w:val="center"/>
          </w:tcPr>
          <w:p w:rsidR="00786D2A" w:rsidRPr="00CD2F82" w:rsidRDefault="00786D2A" w:rsidP="00CD2F82">
            <w:pPr>
              <w:ind w:left="113" w:right="113"/>
              <w:jc w:val="center"/>
              <w:rPr>
                <w:rFonts w:ascii="Times New Roman" w:eastAsia="Times New Roman" w:hAnsi="Times New Roman" w:cs="Times New Roman"/>
                <w:b/>
                <w:color w:val="000000"/>
                <w:lang w:eastAsia="ru-RU"/>
              </w:rPr>
            </w:pPr>
            <w:r w:rsidRPr="00CD2F82">
              <w:rPr>
                <w:rFonts w:ascii="Times New Roman" w:eastAsia="Times New Roman" w:hAnsi="Times New Roman" w:cs="Times New Roman"/>
                <w:b/>
                <w:color w:val="000000"/>
                <w:lang w:eastAsia="ru-RU"/>
              </w:rPr>
              <w:t>Возбуждено дел</w:t>
            </w:r>
          </w:p>
        </w:tc>
      </w:tr>
      <w:tr w:rsidR="00786D2A" w:rsidRPr="00786D2A" w:rsidTr="00C230F8">
        <w:tc>
          <w:tcPr>
            <w:tcW w:w="1361" w:type="dxa"/>
          </w:tcPr>
          <w:p w:rsidR="00786D2A" w:rsidRPr="00786D2A" w:rsidRDefault="00786D2A" w:rsidP="00786D2A">
            <w:pP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Статья 10 (злоупотребление хозяйствующих субъектов доминирующим положением на рынке)</w:t>
            </w:r>
          </w:p>
        </w:tc>
        <w:tc>
          <w:tcPr>
            <w:tcW w:w="913"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247</w:t>
            </w:r>
          </w:p>
        </w:tc>
        <w:tc>
          <w:tcPr>
            <w:tcW w:w="913"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4</w:t>
            </w:r>
          </w:p>
        </w:tc>
        <w:tc>
          <w:tcPr>
            <w:tcW w:w="913"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5 (установлены нарушения – 2, прекращены – 3)</w:t>
            </w:r>
          </w:p>
        </w:tc>
        <w:tc>
          <w:tcPr>
            <w:tcW w:w="900"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1117</w:t>
            </w:r>
          </w:p>
        </w:tc>
        <w:tc>
          <w:tcPr>
            <w:tcW w:w="901"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4</w:t>
            </w:r>
          </w:p>
        </w:tc>
        <w:tc>
          <w:tcPr>
            <w:tcW w:w="901"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4 (3 - установлены нарушения, 1 – прекращено)</w:t>
            </w:r>
          </w:p>
        </w:tc>
        <w:tc>
          <w:tcPr>
            <w:tcW w:w="907"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952</w:t>
            </w:r>
          </w:p>
        </w:tc>
        <w:tc>
          <w:tcPr>
            <w:tcW w:w="901"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1</w:t>
            </w:r>
          </w:p>
        </w:tc>
        <w:tc>
          <w:tcPr>
            <w:tcW w:w="901"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4 (установлены нарушения – 3, прекращено – 1)</w:t>
            </w:r>
          </w:p>
        </w:tc>
      </w:tr>
      <w:tr w:rsidR="00786D2A" w:rsidRPr="00786D2A" w:rsidTr="00C230F8">
        <w:tc>
          <w:tcPr>
            <w:tcW w:w="1361" w:type="dxa"/>
          </w:tcPr>
          <w:p w:rsidR="00786D2A" w:rsidRPr="00786D2A" w:rsidRDefault="00786D2A" w:rsidP="00786D2A">
            <w:pP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Статья 11 (соглашения хозяйствующих субъектов, ограничивающие конкуренцию)</w:t>
            </w:r>
          </w:p>
        </w:tc>
        <w:tc>
          <w:tcPr>
            <w:tcW w:w="913"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54</w:t>
            </w:r>
          </w:p>
        </w:tc>
        <w:tc>
          <w:tcPr>
            <w:tcW w:w="913"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 xml:space="preserve">- </w:t>
            </w:r>
          </w:p>
        </w:tc>
        <w:tc>
          <w:tcPr>
            <w:tcW w:w="913"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10</w:t>
            </w:r>
          </w:p>
        </w:tc>
        <w:tc>
          <w:tcPr>
            <w:tcW w:w="900"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17</w:t>
            </w:r>
          </w:p>
        </w:tc>
        <w:tc>
          <w:tcPr>
            <w:tcW w:w="901"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w:t>
            </w:r>
          </w:p>
        </w:tc>
        <w:tc>
          <w:tcPr>
            <w:tcW w:w="901"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2; проведено 6 внеплановых проверок хозяйствующих субъектов</w:t>
            </w:r>
          </w:p>
        </w:tc>
        <w:tc>
          <w:tcPr>
            <w:tcW w:w="907"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2</w:t>
            </w:r>
          </w:p>
        </w:tc>
        <w:tc>
          <w:tcPr>
            <w:tcW w:w="901"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2</w:t>
            </w:r>
          </w:p>
        </w:tc>
        <w:tc>
          <w:tcPr>
            <w:tcW w:w="901"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2 (прекращено – 2)</w:t>
            </w:r>
          </w:p>
        </w:tc>
      </w:tr>
      <w:tr w:rsidR="00786D2A" w:rsidRPr="00786D2A" w:rsidTr="00C230F8">
        <w:tc>
          <w:tcPr>
            <w:tcW w:w="1361" w:type="dxa"/>
          </w:tcPr>
          <w:p w:rsidR="00786D2A" w:rsidRPr="00786D2A" w:rsidRDefault="00786D2A" w:rsidP="00786D2A">
            <w:pP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Статьи 14.1 – 14.8 (пресечение фактов недобросовестной конкуренции)</w:t>
            </w:r>
          </w:p>
        </w:tc>
        <w:tc>
          <w:tcPr>
            <w:tcW w:w="913"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17</w:t>
            </w:r>
          </w:p>
        </w:tc>
        <w:tc>
          <w:tcPr>
            <w:tcW w:w="913"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4</w:t>
            </w:r>
          </w:p>
        </w:tc>
        <w:tc>
          <w:tcPr>
            <w:tcW w:w="913"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3</w:t>
            </w:r>
          </w:p>
        </w:tc>
        <w:tc>
          <w:tcPr>
            <w:tcW w:w="900"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14</w:t>
            </w:r>
          </w:p>
        </w:tc>
        <w:tc>
          <w:tcPr>
            <w:tcW w:w="901"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1</w:t>
            </w:r>
          </w:p>
        </w:tc>
        <w:tc>
          <w:tcPr>
            <w:tcW w:w="901"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w:t>
            </w:r>
          </w:p>
        </w:tc>
        <w:tc>
          <w:tcPr>
            <w:tcW w:w="907"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5</w:t>
            </w:r>
          </w:p>
        </w:tc>
        <w:tc>
          <w:tcPr>
            <w:tcW w:w="901"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w:t>
            </w:r>
          </w:p>
        </w:tc>
        <w:tc>
          <w:tcPr>
            <w:tcW w:w="901"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2 (прекращено – 2)</w:t>
            </w:r>
          </w:p>
        </w:tc>
      </w:tr>
      <w:tr w:rsidR="00786D2A" w:rsidRPr="00786D2A" w:rsidTr="00C230F8">
        <w:tc>
          <w:tcPr>
            <w:tcW w:w="1361" w:type="dxa"/>
          </w:tcPr>
          <w:p w:rsidR="00786D2A" w:rsidRPr="00786D2A" w:rsidRDefault="00786D2A" w:rsidP="00786D2A">
            <w:pP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Статья 15 (выявление и пресечение актов и действий (бездействия) федеральных органов исполнительной власти, органов государственной власти субъектов Российской Федерации, органов местного самоуправления, иных осуществляющих функции указанных органов власти органов или организаций, организаций, участвующих в предоставлении государственных или муниципальных услуг, а также государственных внебюджетных фондов, Центрального банка Российской Федерации, направленных на недопущение, ограничение, устранение конкуренции</w:t>
            </w:r>
          </w:p>
        </w:tc>
        <w:tc>
          <w:tcPr>
            <w:tcW w:w="913"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73</w:t>
            </w:r>
          </w:p>
        </w:tc>
        <w:tc>
          <w:tcPr>
            <w:tcW w:w="913"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4</w:t>
            </w:r>
          </w:p>
        </w:tc>
        <w:tc>
          <w:tcPr>
            <w:tcW w:w="913"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3</w:t>
            </w:r>
          </w:p>
        </w:tc>
        <w:tc>
          <w:tcPr>
            <w:tcW w:w="900"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69</w:t>
            </w:r>
          </w:p>
        </w:tc>
        <w:tc>
          <w:tcPr>
            <w:tcW w:w="901"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46</w:t>
            </w:r>
          </w:p>
        </w:tc>
        <w:tc>
          <w:tcPr>
            <w:tcW w:w="901"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2 (установлены нарушения – 2)</w:t>
            </w:r>
          </w:p>
        </w:tc>
        <w:tc>
          <w:tcPr>
            <w:tcW w:w="907"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26</w:t>
            </w:r>
          </w:p>
        </w:tc>
        <w:tc>
          <w:tcPr>
            <w:tcW w:w="901"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13</w:t>
            </w:r>
          </w:p>
        </w:tc>
        <w:tc>
          <w:tcPr>
            <w:tcW w:w="901"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3 (установлены нарушения – 2, прекращено – 1)</w:t>
            </w:r>
          </w:p>
        </w:tc>
      </w:tr>
      <w:tr w:rsidR="00786D2A" w:rsidRPr="00786D2A" w:rsidTr="00C230F8">
        <w:tc>
          <w:tcPr>
            <w:tcW w:w="1361" w:type="dxa"/>
          </w:tcPr>
          <w:p w:rsidR="00786D2A" w:rsidRPr="00786D2A" w:rsidRDefault="00786D2A" w:rsidP="00786D2A">
            <w:pP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Статья 16 (пресечение ограничивающих конкуренцию соглашений или согласованных действий органов власти)</w:t>
            </w:r>
          </w:p>
        </w:tc>
        <w:tc>
          <w:tcPr>
            <w:tcW w:w="913"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14</w:t>
            </w:r>
          </w:p>
        </w:tc>
        <w:tc>
          <w:tcPr>
            <w:tcW w:w="913"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w:t>
            </w:r>
          </w:p>
        </w:tc>
        <w:tc>
          <w:tcPr>
            <w:tcW w:w="913"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w:t>
            </w:r>
          </w:p>
        </w:tc>
        <w:tc>
          <w:tcPr>
            <w:tcW w:w="900"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29</w:t>
            </w:r>
          </w:p>
        </w:tc>
        <w:tc>
          <w:tcPr>
            <w:tcW w:w="901"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w:t>
            </w:r>
          </w:p>
        </w:tc>
        <w:tc>
          <w:tcPr>
            <w:tcW w:w="901"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2 (установлены нарушения – 2)</w:t>
            </w:r>
          </w:p>
        </w:tc>
        <w:tc>
          <w:tcPr>
            <w:tcW w:w="907"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4</w:t>
            </w:r>
          </w:p>
        </w:tc>
        <w:tc>
          <w:tcPr>
            <w:tcW w:w="901"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w:t>
            </w:r>
          </w:p>
        </w:tc>
        <w:tc>
          <w:tcPr>
            <w:tcW w:w="901"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1 (прекращено – 1)</w:t>
            </w:r>
          </w:p>
        </w:tc>
      </w:tr>
      <w:tr w:rsidR="00786D2A" w:rsidRPr="00786D2A" w:rsidTr="00C230F8">
        <w:tc>
          <w:tcPr>
            <w:tcW w:w="1361" w:type="dxa"/>
          </w:tcPr>
          <w:p w:rsidR="00786D2A" w:rsidRPr="00786D2A" w:rsidRDefault="00786D2A" w:rsidP="00786D2A">
            <w:pP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Статья 17 (соблюдение антимонопольных требований к торгам, запросу котировок цен на товары)</w:t>
            </w:r>
          </w:p>
        </w:tc>
        <w:tc>
          <w:tcPr>
            <w:tcW w:w="913"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33</w:t>
            </w:r>
          </w:p>
        </w:tc>
        <w:tc>
          <w:tcPr>
            <w:tcW w:w="913"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w:t>
            </w:r>
          </w:p>
        </w:tc>
        <w:tc>
          <w:tcPr>
            <w:tcW w:w="913"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5 (установлены нарушения – 5)</w:t>
            </w:r>
          </w:p>
        </w:tc>
        <w:tc>
          <w:tcPr>
            <w:tcW w:w="900"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29</w:t>
            </w:r>
          </w:p>
        </w:tc>
        <w:tc>
          <w:tcPr>
            <w:tcW w:w="901"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w:t>
            </w:r>
          </w:p>
        </w:tc>
        <w:tc>
          <w:tcPr>
            <w:tcW w:w="901"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2 (установлены нарушения – 2)</w:t>
            </w:r>
          </w:p>
        </w:tc>
        <w:tc>
          <w:tcPr>
            <w:tcW w:w="907"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1</w:t>
            </w:r>
          </w:p>
        </w:tc>
        <w:tc>
          <w:tcPr>
            <w:tcW w:w="901"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w:t>
            </w:r>
          </w:p>
        </w:tc>
        <w:tc>
          <w:tcPr>
            <w:tcW w:w="901"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1 (прекращено – 1)</w:t>
            </w:r>
          </w:p>
        </w:tc>
      </w:tr>
      <w:tr w:rsidR="00786D2A" w:rsidRPr="00786D2A" w:rsidTr="00C230F8">
        <w:tc>
          <w:tcPr>
            <w:tcW w:w="1361" w:type="dxa"/>
          </w:tcPr>
          <w:p w:rsidR="00786D2A" w:rsidRPr="00786D2A" w:rsidRDefault="00786D2A" w:rsidP="00786D2A">
            <w:pPr>
              <w:jc w:val="both"/>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Статья 17.1 (особенности порядка заключения договоров в отношении государственного и муниципального имущества)</w:t>
            </w:r>
          </w:p>
        </w:tc>
        <w:tc>
          <w:tcPr>
            <w:tcW w:w="913"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1</w:t>
            </w:r>
          </w:p>
        </w:tc>
        <w:tc>
          <w:tcPr>
            <w:tcW w:w="913"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w:t>
            </w:r>
          </w:p>
        </w:tc>
        <w:tc>
          <w:tcPr>
            <w:tcW w:w="913"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1 (установлены нарушения – 1)</w:t>
            </w:r>
          </w:p>
        </w:tc>
        <w:tc>
          <w:tcPr>
            <w:tcW w:w="900"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1</w:t>
            </w:r>
          </w:p>
        </w:tc>
        <w:tc>
          <w:tcPr>
            <w:tcW w:w="901"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w:t>
            </w:r>
          </w:p>
        </w:tc>
        <w:tc>
          <w:tcPr>
            <w:tcW w:w="901"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1 (установлены нарушения – 1)</w:t>
            </w:r>
          </w:p>
        </w:tc>
        <w:tc>
          <w:tcPr>
            <w:tcW w:w="907"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1</w:t>
            </w:r>
          </w:p>
        </w:tc>
        <w:tc>
          <w:tcPr>
            <w:tcW w:w="901"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w:t>
            </w:r>
          </w:p>
        </w:tc>
        <w:tc>
          <w:tcPr>
            <w:tcW w:w="901"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1 (прекращено – 1)</w:t>
            </w:r>
          </w:p>
        </w:tc>
      </w:tr>
      <w:tr w:rsidR="00786D2A" w:rsidRPr="00786D2A" w:rsidTr="00C230F8">
        <w:tc>
          <w:tcPr>
            <w:tcW w:w="1361" w:type="dxa"/>
          </w:tcPr>
          <w:p w:rsidR="00786D2A" w:rsidRPr="00786D2A" w:rsidRDefault="00786D2A" w:rsidP="00786D2A">
            <w:pPr>
              <w:jc w:val="both"/>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Статья 18.1</w:t>
            </w:r>
            <w:r w:rsidRPr="00786D2A">
              <w:rPr>
                <w:rFonts w:ascii="Times New Roman" w:eastAsia="Times New Roman" w:hAnsi="Times New Roman" w:cs="Times New Roman"/>
                <w:color w:val="000000"/>
                <w:sz w:val="16"/>
                <w:szCs w:val="16"/>
                <w:vertAlign w:val="superscript"/>
              </w:rPr>
              <w:footnoteReference w:id="1"/>
            </w:r>
            <w:r w:rsidRPr="00786D2A">
              <w:rPr>
                <w:rFonts w:ascii="Times New Roman" w:eastAsia="Times New Roman" w:hAnsi="Times New Roman" w:cs="Times New Roman"/>
                <w:color w:val="000000"/>
                <w:lang w:eastAsia="ru-RU"/>
              </w:rPr>
              <w:t xml:space="preserve"> (соблюдение требований законодательства РФ при организации и проведении торгов, заключении договоров по результатам торгов или в случае, если торги, проведение которых является обязательным в соответствии с законодательством РФ, признаны несостоявшимися)</w:t>
            </w:r>
          </w:p>
        </w:tc>
        <w:tc>
          <w:tcPr>
            <w:tcW w:w="913"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189 жалоб</w:t>
            </w:r>
          </w:p>
        </w:tc>
        <w:tc>
          <w:tcPr>
            <w:tcW w:w="913"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23</w:t>
            </w:r>
          </w:p>
        </w:tc>
        <w:tc>
          <w:tcPr>
            <w:tcW w:w="913"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 xml:space="preserve">- </w:t>
            </w:r>
          </w:p>
        </w:tc>
        <w:tc>
          <w:tcPr>
            <w:tcW w:w="900"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191 жалоба</w:t>
            </w:r>
          </w:p>
        </w:tc>
        <w:tc>
          <w:tcPr>
            <w:tcW w:w="901"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48</w:t>
            </w:r>
          </w:p>
        </w:tc>
        <w:tc>
          <w:tcPr>
            <w:tcW w:w="901"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 xml:space="preserve">- </w:t>
            </w:r>
          </w:p>
        </w:tc>
        <w:tc>
          <w:tcPr>
            <w:tcW w:w="907"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79 жалоб</w:t>
            </w:r>
          </w:p>
        </w:tc>
        <w:tc>
          <w:tcPr>
            <w:tcW w:w="901"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14</w:t>
            </w:r>
          </w:p>
        </w:tc>
        <w:tc>
          <w:tcPr>
            <w:tcW w:w="901"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 xml:space="preserve">- </w:t>
            </w:r>
          </w:p>
        </w:tc>
      </w:tr>
    </w:tbl>
    <w:p w:rsidR="00976DAC" w:rsidRPr="00976DAC" w:rsidRDefault="00976DAC" w:rsidP="00786D2A">
      <w:pPr>
        <w:spacing w:after="0" w:line="360" w:lineRule="auto"/>
        <w:jc w:val="both"/>
        <w:rPr>
          <w:rFonts w:ascii="Times New Roman" w:hAnsi="Times New Roman" w:cs="Times New Roman"/>
          <w:color w:val="000000" w:themeColor="text1"/>
          <w:sz w:val="24"/>
          <w:szCs w:val="24"/>
        </w:rPr>
      </w:pPr>
    </w:p>
    <w:p w:rsidR="00976DAC" w:rsidRPr="00976DAC" w:rsidRDefault="00976DAC" w:rsidP="00976DAC">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Как показывает анализ рассмотрения жалоб на нарушение процедуры проведения торгов в рамках Федерального закона от 18.07.2011 № 223-ФЗ "О закупках товаров, работ, услуг отдельными видами юридических лиц", наиболее частые нарушения связаны с необоснованным отклонением заявки участника закупки, нарушением порядка допуска к участию в торгах, оценки поступивших заявок.</w:t>
      </w:r>
    </w:p>
    <w:p w:rsidR="00976DAC" w:rsidRDefault="00976DAC" w:rsidP="00786D2A">
      <w:pPr>
        <w:spacing w:after="0" w:line="360" w:lineRule="auto"/>
        <w:ind w:firstLine="709"/>
        <w:jc w:val="center"/>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Таблица </w:t>
      </w:r>
      <w:r w:rsidR="00786D2A">
        <w:rPr>
          <w:rFonts w:ascii="Times New Roman" w:hAnsi="Times New Roman" w:cs="Times New Roman"/>
          <w:color w:val="000000" w:themeColor="text1"/>
          <w:sz w:val="24"/>
          <w:szCs w:val="24"/>
        </w:rPr>
        <w:t>10</w:t>
      </w:r>
      <w:r w:rsidRPr="00976DAC">
        <w:rPr>
          <w:rFonts w:ascii="Times New Roman" w:hAnsi="Times New Roman" w:cs="Times New Roman"/>
          <w:color w:val="000000" w:themeColor="text1"/>
          <w:sz w:val="24"/>
          <w:szCs w:val="24"/>
        </w:rPr>
        <w:t xml:space="preserve">. </w:t>
      </w:r>
      <w:r w:rsidRPr="00976DAC">
        <w:rPr>
          <w:rFonts w:ascii="Times New Roman" w:hAnsi="Times New Roman" w:cs="Times New Roman"/>
          <w:bCs/>
          <w:color w:val="000000" w:themeColor="text1"/>
          <w:sz w:val="24"/>
          <w:szCs w:val="24"/>
        </w:rPr>
        <w:t>Практика рассмотрения жалоб на нарушение процедуры проведения торгов в рамках Федерального закона от 18.07.2011 № 223-ФЗ "О закупках товаров, работ, услуг отдельными видами юридических лиц</w:t>
      </w:r>
      <w:r w:rsidRPr="00976DAC">
        <w:rPr>
          <w:rFonts w:ascii="Times New Roman" w:hAnsi="Times New Roman" w:cs="Times New Roman"/>
          <w:b/>
          <w:bCs/>
          <w:color w:val="000000" w:themeColor="text1"/>
          <w:sz w:val="24"/>
          <w:szCs w:val="24"/>
        </w:rPr>
        <w:t>"</w:t>
      </w:r>
      <w:r w:rsidRPr="00976DAC">
        <w:rPr>
          <w:rFonts w:ascii="Times New Roman" w:hAnsi="Times New Roman" w:cs="Times New Roman"/>
          <w:color w:val="000000" w:themeColor="text1"/>
          <w:sz w:val="24"/>
          <w:szCs w:val="24"/>
        </w:rPr>
        <w:t xml:space="preserve"> </w:t>
      </w:r>
    </w:p>
    <w:tbl>
      <w:tblPr>
        <w:tblStyle w:val="180"/>
        <w:tblW w:w="0" w:type="auto"/>
        <w:tblLook w:val="04A0" w:firstRow="1" w:lastRow="0" w:firstColumn="1" w:lastColumn="0" w:noHBand="0" w:noVBand="1"/>
      </w:tblPr>
      <w:tblGrid>
        <w:gridCol w:w="1384"/>
        <w:gridCol w:w="976"/>
        <w:gridCol w:w="1168"/>
        <w:gridCol w:w="1168"/>
        <w:gridCol w:w="1168"/>
        <w:gridCol w:w="1168"/>
        <w:gridCol w:w="1168"/>
        <w:gridCol w:w="1547"/>
      </w:tblGrid>
      <w:tr w:rsidR="00786D2A" w:rsidRPr="00786D2A" w:rsidTr="00786D2A">
        <w:trPr>
          <w:cantSplit/>
          <w:trHeight w:val="2324"/>
        </w:trPr>
        <w:tc>
          <w:tcPr>
            <w:tcW w:w="1384" w:type="dxa"/>
          </w:tcPr>
          <w:p w:rsidR="00786D2A" w:rsidRPr="00786D2A" w:rsidRDefault="00786D2A" w:rsidP="00786D2A">
            <w:pPr>
              <w:jc w:val="center"/>
              <w:rPr>
                <w:rFonts w:ascii="Times New Roman" w:eastAsia="Times New Roman" w:hAnsi="Times New Roman" w:cs="Times New Roman"/>
                <w:color w:val="000000"/>
                <w:lang w:eastAsia="ru-RU"/>
              </w:rPr>
            </w:pPr>
          </w:p>
        </w:tc>
        <w:tc>
          <w:tcPr>
            <w:tcW w:w="976" w:type="dxa"/>
            <w:textDirection w:val="btLr"/>
            <w:vAlign w:val="center"/>
          </w:tcPr>
          <w:p w:rsidR="00786D2A" w:rsidRPr="00CD2F82" w:rsidRDefault="00786D2A" w:rsidP="00786D2A">
            <w:pPr>
              <w:ind w:left="113" w:right="113"/>
              <w:jc w:val="center"/>
              <w:rPr>
                <w:rFonts w:ascii="Times New Roman" w:eastAsia="Times New Roman" w:hAnsi="Times New Roman" w:cs="Times New Roman"/>
                <w:b/>
                <w:color w:val="000000"/>
                <w:lang w:eastAsia="ru-RU"/>
              </w:rPr>
            </w:pPr>
            <w:r w:rsidRPr="00CD2F82">
              <w:rPr>
                <w:rFonts w:ascii="Times New Roman" w:eastAsia="Times New Roman" w:hAnsi="Times New Roman" w:cs="Times New Roman"/>
                <w:b/>
                <w:color w:val="000000"/>
                <w:lang w:eastAsia="ru-RU"/>
              </w:rPr>
              <w:t>Всего</w:t>
            </w:r>
          </w:p>
        </w:tc>
        <w:tc>
          <w:tcPr>
            <w:tcW w:w="1168" w:type="dxa"/>
            <w:textDirection w:val="btLr"/>
            <w:vAlign w:val="center"/>
          </w:tcPr>
          <w:p w:rsidR="00786D2A" w:rsidRPr="00CD2F82" w:rsidRDefault="00786D2A" w:rsidP="00786D2A">
            <w:pPr>
              <w:ind w:left="113" w:right="113"/>
              <w:jc w:val="center"/>
              <w:rPr>
                <w:rFonts w:ascii="Times New Roman" w:eastAsia="Times New Roman" w:hAnsi="Times New Roman" w:cs="Times New Roman"/>
                <w:b/>
                <w:color w:val="000000"/>
                <w:lang w:eastAsia="ru-RU"/>
              </w:rPr>
            </w:pPr>
            <w:r w:rsidRPr="00CD2F82">
              <w:rPr>
                <w:rFonts w:ascii="Times New Roman" w:eastAsia="Times New Roman" w:hAnsi="Times New Roman" w:cs="Times New Roman"/>
                <w:b/>
                <w:color w:val="000000"/>
                <w:lang w:eastAsia="ru-RU"/>
              </w:rPr>
              <w:t>Возвращены заявителю</w:t>
            </w:r>
          </w:p>
        </w:tc>
        <w:tc>
          <w:tcPr>
            <w:tcW w:w="1168" w:type="dxa"/>
            <w:textDirection w:val="btLr"/>
            <w:vAlign w:val="center"/>
          </w:tcPr>
          <w:p w:rsidR="00786D2A" w:rsidRPr="00CD2F82" w:rsidRDefault="00786D2A" w:rsidP="00786D2A">
            <w:pPr>
              <w:ind w:left="113" w:right="113"/>
              <w:jc w:val="center"/>
              <w:rPr>
                <w:rFonts w:ascii="Times New Roman" w:eastAsia="Times New Roman" w:hAnsi="Times New Roman" w:cs="Times New Roman"/>
                <w:b/>
                <w:color w:val="000000"/>
                <w:lang w:eastAsia="ru-RU"/>
              </w:rPr>
            </w:pPr>
            <w:r w:rsidRPr="00CD2F82">
              <w:rPr>
                <w:rFonts w:ascii="Times New Roman" w:eastAsia="Times New Roman" w:hAnsi="Times New Roman" w:cs="Times New Roman"/>
                <w:b/>
                <w:color w:val="000000"/>
                <w:lang w:eastAsia="ru-RU"/>
              </w:rPr>
              <w:t>Перенаправлены по подведомственности</w:t>
            </w:r>
          </w:p>
        </w:tc>
        <w:tc>
          <w:tcPr>
            <w:tcW w:w="1168" w:type="dxa"/>
            <w:textDirection w:val="btLr"/>
            <w:vAlign w:val="center"/>
          </w:tcPr>
          <w:p w:rsidR="00786D2A" w:rsidRPr="00CD2F82" w:rsidRDefault="00786D2A" w:rsidP="00786D2A">
            <w:pPr>
              <w:ind w:left="113" w:right="113"/>
              <w:jc w:val="center"/>
              <w:rPr>
                <w:rFonts w:ascii="Times New Roman" w:eastAsia="Times New Roman" w:hAnsi="Times New Roman" w:cs="Times New Roman"/>
                <w:b/>
                <w:color w:val="000000"/>
                <w:lang w:eastAsia="ru-RU"/>
              </w:rPr>
            </w:pPr>
            <w:r w:rsidRPr="00CD2F82">
              <w:rPr>
                <w:rFonts w:ascii="Times New Roman" w:eastAsia="Times New Roman" w:hAnsi="Times New Roman" w:cs="Times New Roman"/>
                <w:b/>
                <w:color w:val="000000"/>
                <w:lang w:eastAsia="ru-RU"/>
              </w:rPr>
              <w:t>Признаны обоснованными</w:t>
            </w:r>
          </w:p>
        </w:tc>
        <w:tc>
          <w:tcPr>
            <w:tcW w:w="1168" w:type="dxa"/>
            <w:textDirection w:val="btLr"/>
            <w:vAlign w:val="center"/>
          </w:tcPr>
          <w:p w:rsidR="00786D2A" w:rsidRPr="00CD2F82" w:rsidRDefault="00786D2A" w:rsidP="00786D2A">
            <w:pPr>
              <w:ind w:left="113" w:right="113"/>
              <w:jc w:val="center"/>
              <w:rPr>
                <w:rFonts w:ascii="Times New Roman" w:eastAsia="Times New Roman" w:hAnsi="Times New Roman" w:cs="Times New Roman"/>
                <w:b/>
                <w:color w:val="000000"/>
                <w:lang w:eastAsia="ru-RU"/>
              </w:rPr>
            </w:pPr>
            <w:r w:rsidRPr="00CD2F82">
              <w:rPr>
                <w:rFonts w:ascii="Times New Roman" w:eastAsia="Times New Roman" w:hAnsi="Times New Roman" w:cs="Times New Roman"/>
                <w:b/>
                <w:color w:val="000000"/>
                <w:lang w:eastAsia="ru-RU"/>
              </w:rPr>
              <w:t>Признаны необоснованными</w:t>
            </w:r>
          </w:p>
        </w:tc>
        <w:tc>
          <w:tcPr>
            <w:tcW w:w="1168" w:type="dxa"/>
            <w:textDirection w:val="btLr"/>
            <w:vAlign w:val="center"/>
          </w:tcPr>
          <w:p w:rsidR="00786D2A" w:rsidRPr="00CD2F82" w:rsidRDefault="00786D2A" w:rsidP="00786D2A">
            <w:pPr>
              <w:ind w:left="113" w:right="113"/>
              <w:jc w:val="center"/>
              <w:rPr>
                <w:rFonts w:ascii="Times New Roman" w:eastAsia="Times New Roman" w:hAnsi="Times New Roman" w:cs="Times New Roman"/>
                <w:b/>
                <w:color w:val="000000"/>
                <w:lang w:eastAsia="ru-RU"/>
              </w:rPr>
            </w:pPr>
            <w:r w:rsidRPr="00CD2F82">
              <w:rPr>
                <w:rFonts w:ascii="Times New Roman" w:eastAsia="Times New Roman" w:hAnsi="Times New Roman" w:cs="Times New Roman"/>
                <w:b/>
                <w:color w:val="000000"/>
                <w:lang w:eastAsia="ru-RU"/>
              </w:rPr>
              <w:t>Отозваны заявителем</w:t>
            </w:r>
          </w:p>
        </w:tc>
        <w:tc>
          <w:tcPr>
            <w:tcW w:w="1547" w:type="dxa"/>
            <w:textDirection w:val="btLr"/>
            <w:vAlign w:val="center"/>
          </w:tcPr>
          <w:p w:rsidR="00786D2A" w:rsidRPr="00CD2F82" w:rsidRDefault="00786D2A" w:rsidP="00786D2A">
            <w:pPr>
              <w:ind w:left="113" w:right="113"/>
              <w:jc w:val="center"/>
              <w:rPr>
                <w:rFonts w:ascii="Times New Roman" w:eastAsia="Times New Roman" w:hAnsi="Times New Roman" w:cs="Times New Roman"/>
                <w:b/>
                <w:color w:val="000000"/>
                <w:lang w:eastAsia="ru-RU"/>
              </w:rPr>
            </w:pPr>
            <w:r w:rsidRPr="00CD2F82">
              <w:rPr>
                <w:rFonts w:ascii="Times New Roman" w:eastAsia="Times New Roman" w:hAnsi="Times New Roman" w:cs="Times New Roman"/>
                <w:b/>
                <w:color w:val="000000"/>
                <w:lang w:eastAsia="ru-RU"/>
              </w:rPr>
              <w:t>Выдано предписаний</w:t>
            </w:r>
          </w:p>
        </w:tc>
      </w:tr>
      <w:tr w:rsidR="00786D2A" w:rsidRPr="00786D2A" w:rsidTr="00786D2A">
        <w:tc>
          <w:tcPr>
            <w:tcW w:w="1384"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2020 г.</w:t>
            </w:r>
          </w:p>
        </w:tc>
        <w:tc>
          <w:tcPr>
            <w:tcW w:w="976"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189</w:t>
            </w:r>
          </w:p>
        </w:tc>
        <w:tc>
          <w:tcPr>
            <w:tcW w:w="1168"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46</w:t>
            </w:r>
          </w:p>
        </w:tc>
        <w:tc>
          <w:tcPr>
            <w:tcW w:w="1168"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21</w:t>
            </w:r>
          </w:p>
        </w:tc>
        <w:tc>
          <w:tcPr>
            <w:tcW w:w="1168"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28</w:t>
            </w:r>
          </w:p>
        </w:tc>
        <w:tc>
          <w:tcPr>
            <w:tcW w:w="1168"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83</w:t>
            </w:r>
          </w:p>
        </w:tc>
        <w:tc>
          <w:tcPr>
            <w:tcW w:w="1168"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11</w:t>
            </w:r>
          </w:p>
        </w:tc>
        <w:tc>
          <w:tcPr>
            <w:tcW w:w="1547"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25</w:t>
            </w:r>
          </w:p>
        </w:tc>
      </w:tr>
      <w:tr w:rsidR="00786D2A" w:rsidRPr="00786D2A" w:rsidTr="00786D2A">
        <w:tc>
          <w:tcPr>
            <w:tcW w:w="1384"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2021 г.</w:t>
            </w:r>
          </w:p>
        </w:tc>
        <w:tc>
          <w:tcPr>
            <w:tcW w:w="976"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191</w:t>
            </w:r>
          </w:p>
        </w:tc>
        <w:tc>
          <w:tcPr>
            <w:tcW w:w="1168"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25</w:t>
            </w:r>
          </w:p>
        </w:tc>
        <w:tc>
          <w:tcPr>
            <w:tcW w:w="1168"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18</w:t>
            </w:r>
          </w:p>
        </w:tc>
        <w:tc>
          <w:tcPr>
            <w:tcW w:w="1168"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51</w:t>
            </w:r>
          </w:p>
        </w:tc>
        <w:tc>
          <w:tcPr>
            <w:tcW w:w="1168"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87</w:t>
            </w:r>
          </w:p>
        </w:tc>
        <w:tc>
          <w:tcPr>
            <w:tcW w:w="1168"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5</w:t>
            </w:r>
          </w:p>
        </w:tc>
        <w:tc>
          <w:tcPr>
            <w:tcW w:w="1547"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48</w:t>
            </w:r>
          </w:p>
        </w:tc>
      </w:tr>
      <w:tr w:rsidR="00786D2A" w:rsidRPr="00786D2A" w:rsidTr="00786D2A">
        <w:tc>
          <w:tcPr>
            <w:tcW w:w="1384"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Calibri" w:hAnsi="Times New Roman" w:cs="Times New Roman"/>
                <w:color w:val="000000"/>
                <w:lang w:val="en-US"/>
              </w:rPr>
              <w:t>I</w:t>
            </w:r>
            <w:r w:rsidRPr="00786D2A">
              <w:rPr>
                <w:rFonts w:ascii="Times New Roman" w:eastAsia="Calibri" w:hAnsi="Times New Roman" w:cs="Times New Roman"/>
                <w:color w:val="000000"/>
              </w:rPr>
              <w:t xml:space="preserve"> полугодие 2022 г.</w:t>
            </w:r>
          </w:p>
        </w:tc>
        <w:tc>
          <w:tcPr>
            <w:tcW w:w="976"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79</w:t>
            </w:r>
          </w:p>
        </w:tc>
        <w:tc>
          <w:tcPr>
            <w:tcW w:w="1168"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6</w:t>
            </w:r>
          </w:p>
        </w:tc>
        <w:tc>
          <w:tcPr>
            <w:tcW w:w="1168"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3</w:t>
            </w:r>
          </w:p>
        </w:tc>
        <w:tc>
          <w:tcPr>
            <w:tcW w:w="1168"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21</w:t>
            </w:r>
          </w:p>
        </w:tc>
        <w:tc>
          <w:tcPr>
            <w:tcW w:w="1168"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48</w:t>
            </w:r>
          </w:p>
        </w:tc>
        <w:tc>
          <w:tcPr>
            <w:tcW w:w="1168"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1</w:t>
            </w:r>
          </w:p>
        </w:tc>
        <w:tc>
          <w:tcPr>
            <w:tcW w:w="1547" w:type="dxa"/>
          </w:tcPr>
          <w:p w:rsidR="00786D2A" w:rsidRPr="00786D2A" w:rsidRDefault="00786D2A" w:rsidP="00786D2A">
            <w:pPr>
              <w:jc w:val="center"/>
              <w:rPr>
                <w:rFonts w:ascii="Times New Roman" w:eastAsia="Times New Roman" w:hAnsi="Times New Roman" w:cs="Times New Roman"/>
                <w:color w:val="000000"/>
                <w:lang w:eastAsia="ru-RU"/>
              </w:rPr>
            </w:pPr>
            <w:r w:rsidRPr="00786D2A">
              <w:rPr>
                <w:rFonts w:ascii="Times New Roman" w:eastAsia="Times New Roman" w:hAnsi="Times New Roman" w:cs="Times New Roman"/>
                <w:color w:val="000000"/>
                <w:lang w:eastAsia="ru-RU"/>
              </w:rPr>
              <w:t>14</w:t>
            </w:r>
          </w:p>
        </w:tc>
      </w:tr>
    </w:tbl>
    <w:p w:rsidR="00976DAC" w:rsidRPr="00976DAC" w:rsidRDefault="00976DAC" w:rsidP="00786D2A">
      <w:pPr>
        <w:spacing w:after="0" w:line="360" w:lineRule="auto"/>
        <w:jc w:val="both"/>
        <w:rPr>
          <w:rFonts w:ascii="Times New Roman" w:hAnsi="Times New Roman" w:cs="Times New Roman"/>
          <w:color w:val="000000" w:themeColor="text1"/>
          <w:sz w:val="24"/>
          <w:szCs w:val="24"/>
        </w:rPr>
      </w:pPr>
    </w:p>
    <w:p w:rsidR="00976DAC" w:rsidRPr="00976DAC" w:rsidRDefault="00976DAC" w:rsidP="00976DAC">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Согласно данным рассмотрения жалоб на действия государственных и муниципальных заказчиков при проведении торгов, обязательных к проведению в силу закона (Таблица </w:t>
      </w:r>
      <w:r w:rsidR="00984D79">
        <w:rPr>
          <w:rFonts w:ascii="Times New Roman" w:hAnsi="Times New Roman" w:cs="Times New Roman"/>
          <w:color w:val="000000" w:themeColor="text1"/>
          <w:sz w:val="24"/>
          <w:szCs w:val="24"/>
        </w:rPr>
        <w:t>11</w:t>
      </w:r>
      <w:r w:rsidRPr="00976DAC">
        <w:rPr>
          <w:rFonts w:ascii="Times New Roman" w:hAnsi="Times New Roman" w:cs="Times New Roman"/>
          <w:color w:val="000000" w:themeColor="text1"/>
          <w:sz w:val="24"/>
          <w:szCs w:val="24"/>
        </w:rPr>
        <w:t>), наибольшее количество жалоб поступило на действия организаторов торгов и заказчиков при проведении торгов по реализации имущества должников в порядке, установленном Федеральным законом "Об исполнительном производстве", торгов на предоставление в аренду (продажу) земельных участков и конкурсов по отбору управляющей организации для управления многоквартирным домом.</w:t>
      </w:r>
    </w:p>
    <w:p w:rsidR="00984D79" w:rsidRPr="00976DAC" w:rsidRDefault="00976DAC" w:rsidP="00984D79">
      <w:pPr>
        <w:spacing w:after="0" w:line="360" w:lineRule="auto"/>
        <w:ind w:firstLine="709"/>
        <w:jc w:val="center"/>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Таблица 1</w:t>
      </w:r>
      <w:r w:rsidR="00984D79">
        <w:rPr>
          <w:rFonts w:ascii="Times New Roman" w:hAnsi="Times New Roman" w:cs="Times New Roman"/>
          <w:color w:val="000000" w:themeColor="text1"/>
          <w:sz w:val="24"/>
          <w:szCs w:val="24"/>
        </w:rPr>
        <w:t>1</w:t>
      </w:r>
      <w:r w:rsidRPr="00976DAC">
        <w:rPr>
          <w:rFonts w:ascii="Times New Roman" w:hAnsi="Times New Roman" w:cs="Times New Roman"/>
          <w:color w:val="000000" w:themeColor="text1"/>
          <w:sz w:val="24"/>
          <w:szCs w:val="24"/>
        </w:rPr>
        <w:t xml:space="preserve">. </w:t>
      </w:r>
      <w:r w:rsidRPr="00976DAC">
        <w:rPr>
          <w:rFonts w:ascii="Times New Roman" w:hAnsi="Times New Roman" w:cs="Times New Roman"/>
          <w:bCs/>
          <w:color w:val="000000" w:themeColor="text1"/>
          <w:sz w:val="24"/>
          <w:szCs w:val="24"/>
        </w:rPr>
        <w:t>Практика рассмотрения жалоб на нарушение процедуры проведения торгов в рамках Федерального закона от 18.07.2011 № 223-ФЗ "О закупках товаров, работ, услуг отдельными видами юридических лиц"</w:t>
      </w:r>
    </w:p>
    <w:tbl>
      <w:tblPr>
        <w:tblStyle w:val="190"/>
        <w:tblW w:w="0" w:type="auto"/>
        <w:tblLook w:val="04A0" w:firstRow="1" w:lastRow="0" w:firstColumn="1" w:lastColumn="0" w:noHBand="0" w:noVBand="1"/>
      </w:tblPr>
      <w:tblGrid>
        <w:gridCol w:w="1384"/>
        <w:gridCol w:w="976"/>
        <w:gridCol w:w="1168"/>
        <w:gridCol w:w="1168"/>
        <w:gridCol w:w="1168"/>
        <w:gridCol w:w="1168"/>
        <w:gridCol w:w="1168"/>
        <w:gridCol w:w="1547"/>
      </w:tblGrid>
      <w:tr w:rsidR="00984D79" w:rsidRPr="00984D79" w:rsidTr="00984D79">
        <w:trPr>
          <w:cantSplit/>
          <w:trHeight w:val="2324"/>
        </w:trPr>
        <w:tc>
          <w:tcPr>
            <w:tcW w:w="1384" w:type="dxa"/>
          </w:tcPr>
          <w:p w:rsidR="00984D79" w:rsidRPr="00984D79" w:rsidRDefault="00984D79" w:rsidP="00984D79">
            <w:pPr>
              <w:jc w:val="both"/>
              <w:rPr>
                <w:rFonts w:ascii="Times New Roman" w:eastAsia="Times New Roman" w:hAnsi="Times New Roman" w:cs="Times New Roman"/>
                <w:color w:val="000000"/>
                <w:lang w:eastAsia="ru-RU"/>
              </w:rPr>
            </w:pPr>
          </w:p>
        </w:tc>
        <w:tc>
          <w:tcPr>
            <w:tcW w:w="976" w:type="dxa"/>
            <w:textDirection w:val="btLr"/>
            <w:vAlign w:val="center"/>
          </w:tcPr>
          <w:p w:rsidR="00984D79" w:rsidRPr="00CD2F82" w:rsidRDefault="00984D79" w:rsidP="00984D79">
            <w:pPr>
              <w:ind w:left="113" w:right="113"/>
              <w:rPr>
                <w:rFonts w:ascii="Times New Roman" w:eastAsia="Times New Roman" w:hAnsi="Times New Roman" w:cs="Times New Roman"/>
                <w:b/>
                <w:color w:val="000000"/>
                <w:lang w:eastAsia="ru-RU"/>
              </w:rPr>
            </w:pPr>
            <w:r w:rsidRPr="00CD2F82">
              <w:rPr>
                <w:rFonts w:ascii="Times New Roman" w:eastAsia="Times New Roman" w:hAnsi="Times New Roman" w:cs="Times New Roman"/>
                <w:b/>
                <w:color w:val="000000"/>
                <w:lang w:eastAsia="ru-RU"/>
              </w:rPr>
              <w:t>Всего</w:t>
            </w:r>
          </w:p>
        </w:tc>
        <w:tc>
          <w:tcPr>
            <w:tcW w:w="1168" w:type="dxa"/>
            <w:textDirection w:val="btLr"/>
            <w:vAlign w:val="center"/>
          </w:tcPr>
          <w:p w:rsidR="00984D79" w:rsidRPr="00CD2F82" w:rsidRDefault="00984D79" w:rsidP="00984D79">
            <w:pPr>
              <w:ind w:left="113" w:right="113"/>
              <w:rPr>
                <w:rFonts w:ascii="Times New Roman" w:eastAsia="Times New Roman" w:hAnsi="Times New Roman" w:cs="Times New Roman"/>
                <w:b/>
                <w:color w:val="000000"/>
                <w:lang w:eastAsia="ru-RU"/>
              </w:rPr>
            </w:pPr>
            <w:r w:rsidRPr="00CD2F82">
              <w:rPr>
                <w:rFonts w:ascii="Times New Roman" w:eastAsia="Times New Roman" w:hAnsi="Times New Roman" w:cs="Times New Roman"/>
                <w:b/>
                <w:color w:val="000000"/>
                <w:lang w:eastAsia="ru-RU"/>
              </w:rPr>
              <w:t>Возвращены заявителю</w:t>
            </w:r>
          </w:p>
        </w:tc>
        <w:tc>
          <w:tcPr>
            <w:tcW w:w="1168" w:type="dxa"/>
            <w:textDirection w:val="btLr"/>
            <w:vAlign w:val="center"/>
          </w:tcPr>
          <w:p w:rsidR="00984D79" w:rsidRPr="00CD2F82" w:rsidRDefault="00984D79" w:rsidP="00984D79">
            <w:pPr>
              <w:ind w:left="113" w:right="113"/>
              <w:rPr>
                <w:rFonts w:ascii="Times New Roman" w:eastAsia="Times New Roman" w:hAnsi="Times New Roman" w:cs="Times New Roman"/>
                <w:b/>
                <w:color w:val="000000"/>
                <w:lang w:eastAsia="ru-RU"/>
              </w:rPr>
            </w:pPr>
            <w:r w:rsidRPr="00CD2F82">
              <w:rPr>
                <w:rFonts w:ascii="Times New Roman" w:eastAsia="Times New Roman" w:hAnsi="Times New Roman" w:cs="Times New Roman"/>
                <w:b/>
                <w:color w:val="000000"/>
                <w:lang w:eastAsia="ru-RU"/>
              </w:rPr>
              <w:t>Перенаправлены по подведомственности</w:t>
            </w:r>
          </w:p>
        </w:tc>
        <w:tc>
          <w:tcPr>
            <w:tcW w:w="1168" w:type="dxa"/>
            <w:textDirection w:val="btLr"/>
            <w:vAlign w:val="center"/>
          </w:tcPr>
          <w:p w:rsidR="00984D79" w:rsidRPr="00CD2F82" w:rsidRDefault="00984D79" w:rsidP="00984D79">
            <w:pPr>
              <w:ind w:left="113" w:right="113"/>
              <w:rPr>
                <w:rFonts w:ascii="Times New Roman" w:eastAsia="Times New Roman" w:hAnsi="Times New Roman" w:cs="Times New Roman"/>
                <w:b/>
                <w:color w:val="000000"/>
                <w:lang w:eastAsia="ru-RU"/>
              </w:rPr>
            </w:pPr>
            <w:r w:rsidRPr="00CD2F82">
              <w:rPr>
                <w:rFonts w:ascii="Times New Roman" w:eastAsia="Times New Roman" w:hAnsi="Times New Roman" w:cs="Times New Roman"/>
                <w:b/>
                <w:color w:val="000000"/>
                <w:lang w:eastAsia="ru-RU"/>
              </w:rPr>
              <w:t>Признаны обоснованными</w:t>
            </w:r>
          </w:p>
        </w:tc>
        <w:tc>
          <w:tcPr>
            <w:tcW w:w="1168" w:type="dxa"/>
            <w:textDirection w:val="btLr"/>
            <w:vAlign w:val="center"/>
          </w:tcPr>
          <w:p w:rsidR="00984D79" w:rsidRPr="00CD2F82" w:rsidRDefault="00984D79" w:rsidP="00984D79">
            <w:pPr>
              <w:ind w:left="113" w:right="113"/>
              <w:rPr>
                <w:rFonts w:ascii="Times New Roman" w:eastAsia="Times New Roman" w:hAnsi="Times New Roman" w:cs="Times New Roman"/>
                <w:b/>
                <w:color w:val="000000"/>
                <w:lang w:eastAsia="ru-RU"/>
              </w:rPr>
            </w:pPr>
            <w:r w:rsidRPr="00CD2F82">
              <w:rPr>
                <w:rFonts w:ascii="Times New Roman" w:eastAsia="Times New Roman" w:hAnsi="Times New Roman" w:cs="Times New Roman"/>
                <w:b/>
                <w:color w:val="000000"/>
                <w:lang w:eastAsia="ru-RU"/>
              </w:rPr>
              <w:t>Признаны необоснованными</w:t>
            </w:r>
          </w:p>
        </w:tc>
        <w:tc>
          <w:tcPr>
            <w:tcW w:w="1168" w:type="dxa"/>
            <w:textDirection w:val="btLr"/>
            <w:vAlign w:val="center"/>
          </w:tcPr>
          <w:p w:rsidR="00984D79" w:rsidRPr="00CD2F82" w:rsidRDefault="00984D79" w:rsidP="00984D79">
            <w:pPr>
              <w:ind w:left="113" w:right="113"/>
              <w:rPr>
                <w:rFonts w:ascii="Times New Roman" w:eastAsia="Times New Roman" w:hAnsi="Times New Roman" w:cs="Times New Roman"/>
                <w:b/>
                <w:color w:val="000000"/>
                <w:lang w:eastAsia="ru-RU"/>
              </w:rPr>
            </w:pPr>
            <w:r w:rsidRPr="00CD2F82">
              <w:rPr>
                <w:rFonts w:ascii="Times New Roman" w:eastAsia="Times New Roman" w:hAnsi="Times New Roman" w:cs="Times New Roman"/>
                <w:b/>
                <w:color w:val="000000"/>
                <w:lang w:eastAsia="ru-RU"/>
              </w:rPr>
              <w:t>Отозваны заявителем</w:t>
            </w:r>
          </w:p>
        </w:tc>
        <w:tc>
          <w:tcPr>
            <w:tcW w:w="1547" w:type="dxa"/>
            <w:textDirection w:val="btLr"/>
            <w:vAlign w:val="center"/>
          </w:tcPr>
          <w:p w:rsidR="00984D79" w:rsidRPr="00CD2F82" w:rsidRDefault="00984D79" w:rsidP="00984D79">
            <w:pPr>
              <w:ind w:left="113" w:right="113"/>
              <w:rPr>
                <w:rFonts w:ascii="Times New Roman" w:eastAsia="Times New Roman" w:hAnsi="Times New Roman" w:cs="Times New Roman"/>
                <w:b/>
                <w:color w:val="000000"/>
                <w:lang w:eastAsia="ru-RU"/>
              </w:rPr>
            </w:pPr>
            <w:r w:rsidRPr="00CD2F82">
              <w:rPr>
                <w:rFonts w:ascii="Times New Roman" w:eastAsia="Times New Roman" w:hAnsi="Times New Roman" w:cs="Times New Roman"/>
                <w:b/>
                <w:color w:val="000000"/>
                <w:lang w:eastAsia="ru-RU"/>
              </w:rPr>
              <w:t>Выдано предписаний</w:t>
            </w:r>
          </w:p>
        </w:tc>
      </w:tr>
      <w:tr w:rsidR="00984D79" w:rsidRPr="00984D79" w:rsidTr="00984D79">
        <w:tc>
          <w:tcPr>
            <w:tcW w:w="1384" w:type="dxa"/>
          </w:tcPr>
          <w:p w:rsidR="00984D79" w:rsidRPr="00984D79" w:rsidRDefault="00984D79" w:rsidP="00984D79">
            <w:pPr>
              <w:rPr>
                <w:rFonts w:ascii="Times New Roman" w:eastAsia="Times New Roman" w:hAnsi="Times New Roman" w:cs="Times New Roman"/>
                <w:color w:val="000000"/>
                <w:lang w:eastAsia="ru-RU"/>
              </w:rPr>
            </w:pPr>
            <w:r w:rsidRPr="00984D79">
              <w:rPr>
                <w:rFonts w:ascii="Times New Roman" w:eastAsia="Times New Roman" w:hAnsi="Times New Roman" w:cs="Times New Roman"/>
                <w:color w:val="000000"/>
                <w:lang w:eastAsia="ru-RU"/>
              </w:rPr>
              <w:t>2020 г.</w:t>
            </w:r>
          </w:p>
        </w:tc>
        <w:tc>
          <w:tcPr>
            <w:tcW w:w="976" w:type="dxa"/>
          </w:tcPr>
          <w:p w:rsidR="00984D79" w:rsidRPr="00984D79" w:rsidRDefault="00984D79" w:rsidP="00984D79">
            <w:pPr>
              <w:jc w:val="center"/>
              <w:rPr>
                <w:rFonts w:ascii="Times New Roman" w:eastAsia="Times New Roman" w:hAnsi="Times New Roman" w:cs="Times New Roman"/>
                <w:color w:val="000000"/>
                <w:lang w:eastAsia="ru-RU"/>
              </w:rPr>
            </w:pPr>
            <w:r w:rsidRPr="00984D79">
              <w:rPr>
                <w:rFonts w:ascii="Times New Roman" w:eastAsia="Times New Roman" w:hAnsi="Times New Roman" w:cs="Times New Roman"/>
                <w:color w:val="000000"/>
                <w:lang w:eastAsia="ru-RU"/>
              </w:rPr>
              <w:t>259</w:t>
            </w:r>
          </w:p>
        </w:tc>
        <w:tc>
          <w:tcPr>
            <w:tcW w:w="1168" w:type="dxa"/>
          </w:tcPr>
          <w:p w:rsidR="00984D79" w:rsidRPr="00984D79" w:rsidRDefault="00984D79" w:rsidP="00984D79">
            <w:pPr>
              <w:jc w:val="center"/>
              <w:rPr>
                <w:rFonts w:ascii="Times New Roman" w:eastAsia="Times New Roman" w:hAnsi="Times New Roman" w:cs="Times New Roman"/>
                <w:color w:val="000000"/>
                <w:lang w:eastAsia="ru-RU"/>
              </w:rPr>
            </w:pPr>
            <w:r w:rsidRPr="00984D79">
              <w:rPr>
                <w:rFonts w:ascii="Times New Roman" w:eastAsia="Times New Roman" w:hAnsi="Times New Roman" w:cs="Times New Roman"/>
                <w:color w:val="000000"/>
                <w:lang w:eastAsia="ru-RU"/>
              </w:rPr>
              <w:t>98</w:t>
            </w:r>
          </w:p>
        </w:tc>
        <w:tc>
          <w:tcPr>
            <w:tcW w:w="1168" w:type="dxa"/>
          </w:tcPr>
          <w:p w:rsidR="00984D79" w:rsidRPr="00984D79" w:rsidRDefault="00984D79" w:rsidP="00984D79">
            <w:pPr>
              <w:jc w:val="center"/>
              <w:rPr>
                <w:rFonts w:ascii="Times New Roman" w:eastAsia="Times New Roman" w:hAnsi="Times New Roman" w:cs="Times New Roman"/>
                <w:color w:val="000000"/>
                <w:lang w:eastAsia="ru-RU"/>
              </w:rPr>
            </w:pPr>
            <w:r w:rsidRPr="00984D79">
              <w:rPr>
                <w:rFonts w:ascii="Times New Roman" w:eastAsia="Times New Roman" w:hAnsi="Times New Roman" w:cs="Times New Roman"/>
                <w:color w:val="000000"/>
                <w:lang w:eastAsia="ru-RU"/>
              </w:rPr>
              <w:t>15</w:t>
            </w:r>
          </w:p>
        </w:tc>
        <w:tc>
          <w:tcPr>
            <w:tcW w:w="1168" w:type="dxa"/>
          </w:tcPr>
          <w:p w:rsidR="00984D79" w:rsidRPr="00984D79" w:rsidRDefault="00984D79" w:rsidP="00984D79">
            <w:pPr>
              <w:jc w:val="center"/>
              <w:rPr>
                <w:rFonts w:ascii="Times New Roman" w:eastAsia="Times New Roman" w:hAnsi="Times New Roman" w:cs="Times New Roman"/>
                <w:color w:val="000000"/>
                <w:lang w:eastAsia="ru-RU"/>
              </w:rPr>
            </w:pPr>
            <w:r w:rsidRPr="00984D79">
              <w:rPr>
                <w:rFonts w:ascii="Times New Roman" w:eastAsia="Times New Roman" w:hAnsi="Times New Roman" w:cs="Times New Roman"/>
                <w:color w:val="000000"/>
                <w:lang w:eastAsia="ru-RU"/>
              </w:rPr>
              <w:t>36</w:t>
            </w:r>
          </w:p>
        </w:tc>
        <w:tc>
          <w:tcPr>
            <w:tcW w:w="1168" w:type="dxa"/>
          </w:tcPr>
          <w:p w:rsidR="00984D79" w:rsidRPr="00984D79" w:rsidRDefault="00984D79" w:rsidP="00984D79">
            <w:pPr>
              <w:jc w:val="center"/>
              <w:rPr>
                <w:rFonts w:ascii="Times New Roman" w:eastAsia="Times New Roman" w:hAnsi="Times New Roman" w:cs="Times New Roman"/>
                <w:color w:val="000000"/>
                <w:lang w:eastAsia="ru-RU"/>
              </w:rPr>
            </w:pPr>
            <w:r w:rsidRPr="00984D79">
              <w:rPr>
                <w:rFonts w:ascii="Times New Roman" w:eastAsia="Times New Roman" w:hAnsi="Times New Roman" w:cs="Times New Roman"/>
                <w:color w:val="000000"/>
                <w:lang w:eastAsia="ru-RU"/>
              </w:rPr>
              <w:t>99</w:t>
            </w:r>
          </w:p>
        </w:tc>
        <w:tc>
          <w:tcPr>
            <w:tcW w:w="1168" w:type="dxa"/>
          </w:tcPr>
          <w:p w:rsidR="00984D79" w:rsidRPr="00984D79" w:rsidRDefault="00984D79" w:rsidP="00984D79">
            <w:pPr>
              <w:jc w:val="center"/>
              <w:rPr>
                <w:rFonts w:ascii="Times New Roman" w:eastAsia="Times New Roman" w:hAnsi="Times New Roman" w:cs="Times New Roman"/>
                <w:color w:val="000000"/>
                <w:lang w:eastAsia="ru-RU"/>
              </w:rPr>
            </w:pPr>
            <w:r w:rsidRPr="00984D79">
              <w:rPr>
                <w:rFonts w:ascii="Times New Roman" w:eastAsia="Times New Roman" w:hAnsi="Times New Roman" w:cs="Times New Roman"/>
                <w:color w:val="000000"/>
                <w:lang w:eastAsia="ru-RU"/>
              </w:rPr>
              <w:t>11</w:t>
            </w:r>
          </w:p>
        </w:tc>
        <w:tc>
          <w:tcPr>
            <w:tcW w:w="1547" w:type="dxa"/>
          </w:tcPr>
          <w:p w:rsidR="00984D79" w:rsidRPr="00984D79" w:rsidRDefault="00984D79" w:rsidP="00984D79">
            <w:pPr>
              <w:jc w:val="center"/>
              <w:rPr>
                <w:rFonts w:ascii="Times New Roman" w:eastAsia="Times New Roman" w:hAnsi="Times New Roman" w:cs="Times New Roman"/>
                <w:color w:val="000000"/>
                <w:lang w:eastAsia="ru-RU"/>
              </w:rPr>
            </w:pPr>
            <w:r w:rsidRPr="00984D79">
              <w:rPr>
                <w:rFonts w:ascii="Times New Roman" w:eastAsia="Times New Roman" w:hAnsi="Times New Roman" w:cs="Times New Roman"/>
                <w:color w:val="000000"/>
                <w:lang w:eastAsia="ru-RU"/>
              </w:rPr>
              <w:t>23</w:t>
            </w:r>
          </w:p>
        </w:tc>
      </w:tr>
      <w:tr w:rsidR="00984D79" w:rsidRPr="00984D79" w:rsidTr="00984D79">
        <w:tc>
          <w:tcPr>
            <w:tcW w:w="1384" w:type="dxa"/>
          </w:tcPr>
          <w:p w:rsidR="00984D79" w:rsidRPr="00984D79" w:rsidRDefault="00984D79" w:rsidP="00984D79">
            <w:pPr>
              <w:rPr>
                <w:rFonts w:ascii="Times New Roman" w:eastAsia="Times New Roman" w:hAnsi="Times New Roman" w:cs="Times New Roman"/>
                <w:color w:val="000000"/>
                <w:lang w:eastAsia="ru-RU"/>
              </w:rPr>
            </w:pPr>
            <w:r w:rsidRPr="00984D79">
              <w:rPr>
                <w:rFonts w:ascii="Times New Roman" w:eastAsia="Times New Roman" w:hAnsi="Times New Roman" w:cs="Times New Roman"/>
                <w:color w:val="000000"/>
                <w:lang w:eastAsia="ru-RU"/>
              </w:rPr>
              <w:t>2021 г.</w:t>
            </w:r>
          </w:p>
        </w:tc>
        <w:tc>
          <w:tcPr>
            <w:tcW w:w="976" w:type="dxa"/>
          </w:tcPr>
          <w:p w:rsidR="00984D79" w:rsidRPr="00984D79" w:rsidRDefault="00984D79" w:rsidP="00984D79">
            <w:pPr>
              <w:jc w:val="center"/>
              <w:rPr>
                <w:rFonts w:ascii="Times New Roman" w:eastAsia="Times New Roman" w:hAnsi="Times New Roman" w:cs="Times New Roman"/>
                <w:color w:val="000000"/>
                <w:lang w:eastAsia="ru-RU"/>
              </w:rPr>
            </w:pPr>
            <w:r w:rsidRPr="00984D79">
              <w:rPr>
                <w:rFonts w:ascii="Times New Roman" w:eastAsia="Times New Roman" w:hAnsi="Times New Roman" w:cs="Times New Roman"/>
                <w:color w:val="000000"/>
                <w:lang w:eastAsia="ru-RU"/>
              </w:rPr>
              <w:t>380</w:t>
            </w:r>
          </w:p>
        </w:tc>
        <w:tc>
          <w:tcPr>
            <w:tcW w:w="1168" w:type="dxa"/>
          </w:tcPr>
          <w:p w:rsidR="00984D79" w:rsidRPr="00984D79" w:rsidRDefault="00984D79" w:rsidP="00984D79">
            <w:pPr>
              <w:jc w:val="center"/>
              <w:rPr>
                <w:rFonts w:ascii="Times New Roman" w:eastAsia="Times New Roman" w:hAnsi="Times New Roman" w:cs="Times New Roman"/>
                <w:color w:val="000000"/>
                <w:lang w:eastAsia="ru-RU"/>
              </w:rPr>
            </w:pPr>
            <w:r w:rsidRPr="00984D79">
              <w:rPr>
                <w:rFonts w:ascii="Times New Roman" w:eastAsia="Times New Roman" w:hAnsi="Times New Roman" w:cs="Times New Roman"/>
                <w:color w:val="000000"/>
                <w:lang w:eastAsia="ru-RU"/>
              </w:rPr>
              <w:t>81</w:t>
            </w:r>
          </w:p>
        </w:tc>
        <w:tc>
          <w:tcPr>
            <w:tcW w:w="1168" w:type="dxa"/>
          </w:tcPr>
          <w:p w:rsidR="00984D79" w:rsidRPr="00984D79" w:rsidRDefault="00984D79" w:rsidP="00984D79">
            <w:pPr>
              <w:jc w:val="center"/>
              <w:rPr>
                <w:rFonts w:ascii="Times New Roman" w:eastAsia="Times New Roman" w:hAnsi="Times New Roman" w:cs="Times New Roman"/>
                <w:color w:val="000000"/>
                <w:lang w:eastAsia="ru-RU"/>
              </w:rPr>
            </w:pPr>
            <w:r w:rsidRPr="00984D79">
              <w:rPr>
                <w:rFonts w:ascii="Times New Roman" w:eastAsia="Times New Roman" w:hAnsi="Times New Roman" w:cs="Times New Roman"/>
                <w:color w:val="000000"/>
                <w:lang w:eastAsia="ru-RU"/>
              </w:rPr>
              <w:t>47</w:t>
            </w:r>
          </w:p>
        </w:tc>
        <w:tc>
          <w:tcPr>
            <w:tcW w:w="1168" w:type="dxa"/>
          </w:tcPr>
          <w:p w:rsidR="00984D79" w:rsidRPr="00984D79" w:rsidRDefault="00984D79" w:rsidP="00984D79">
            <w:pPr>
              <w:jc w:val="center"/>
              <w:rPr>
                <w:rFonts w:ascii="Times New Roman" w:eastAsia="Times New Roman" w:hAnsi="Times New Roman" w:cs="Times New Roman"/>
                <w:color w:val="000000"/>
                <w:lang w:eastAsia="ru-RU"/>
              </w:rPr>
            </w:pPr>
            <w:r w:rsidRPr="00984D79">
              <w:rPr>
                <w:rFonts w:ascii="Times New Roman" w:eastAsia="Times New Roman" w:hAnsi="Times New Roman" w:cs="Times New Roman"/>
                <w:color w:val="000000"/>
                <w:lang w:eastAsia="ru-RU"/>
              </w:rPr>
              <w:t>44</w:t>
            </w:r>
          </w:p>
        </w:tc>
        <w:tc>
          <w:tcPr>
            <w:tcW w:w="1168" w:type="dxa"/>
          </w:tcPr>
          <w:p w:rsidR="00984D79" w:rsidRPr="00984D79" w:rsidRDefault="00984D79" w:rsidP="00984D79">
            <w:pPr>
              <w:jc w:val="center"/>
              <w:rPr>
                <w:rFonts w:ascii="Times New Roman" w:eastAsia="Times New Roman" w:hAnsi="Times New Roman" w:cs="Times New Roman"/>
                <w:color w:val="000000"/>
                <w:lang w:eastAsia="ru-RU"/>
              </w:rPr>
            </w:pPr>
            <w:r w:rsidRPr="00984D79">
              <w:rPr>
                <w:rFonts w:ascii="Times New Roman" w:eastAsia="Times New Roman" w:hAnsi="Times New Roman" w:cs="Times New Roman"/>
                <w:color w:val="000000"/>
                <w:lang w:eastAsia="ru-RU"/>
              </w:rPr>
              <w:t>148</w:t>
            </w:r>
          </w:p>
        </w:tc>
        <w:tc>
          <w:tcPr>
            <w:tcW w:w="1168" w:type="dxa"/>
          </w:tcPr>
          <w:p w:rsidR="00984D79" w:rsidRPr="00984D79" w:rsidRDefault="00984D79" w:rsidP="00984D79">
            <w:pPr>
              <w:jc w:val="center"/>
              <w:rPr>
                <w:rFonts w:ascii="Times New Roman" w:eastAsia="Times New Roman" w:hAnsi="Times New Roman" w:cs="Times New Roman"/>
                <w:color w:val="000000"/>
                <w:lang w:eastAsia="ru-RU"/>
              </w:rPr>
            </w:pPr>
            <w:r w:rsidRPr="00984D79">
              <w:rPr>
                <w:rFonts w:ascii="Times New Roman" w:eastAsia="Times New Roman" w:hAnsi="Times New Roman" w:cs="Times New Roman"/>
                <w:color w:val="000000"/>
                <w:lang w:eastAsia="ru-RU"/>
              </w:rPr>
              <w:t>30</w:t>
            </w:r>
          </w:p>
        </w:tc>
        <w:tc>
          <w:tcPr>
            <w:tcW w:w="1547" w:type="dxa"/>
          </w:tcPr>
          <w:p w:rsidR="00984D79" w:rsidRPr="00984D79" w:rsidRDefault="00984D79" w:rsidP="00984D79">
            <w:pPr>
              <w:jc w:val="center"/>
              <w:rPr>
                <w:rFonts w:ascii="Times New Roman" w:eastAsia="Times New Roman" w:hAnsi="Times New Roman" w:cs="Times New Roman"/>
                <w:color w:val="000000"/>
                <w:lang w:eastAsia="ru-RU"/>
              </w:rPr>
            </w:pPr>
            <w:r w:rsidRPr="00984D79">
              <w:rPr>
                <w:rFonts w:ascii="Times New Roman" w:eastAsia="Times New Roman" w:hAnsi="Times New Roman" w:cs="Times New Roman"/>
                <w:color w:val="000000"/>
                <w:lang w:eastAsia="ru-RU"/>
              </w:rPr>
              <w:t>26</w:t>
            </w:r>
          </w:p>
        </w:tc>
      </w:tr>
      <w:tr w:rsidR="00984D79" w:rsidRPr="00984D79" w:rsidTr="00984D79">
        <w:tc>
          <w:tcPr>
            <w:tcW w:w="1384" w:type="dxa"/>
          </w:tcPr>
          <w:p w:rsidR="00984D79" w:rsidRPr="00984D79" w:rsidRDefault="00984D79" w:rsidP="00984D79">
            <w:pPr>
              <w:rPr>
                <w:rFonts w:ascii="Times New Roman" w:eastAsia="Times New Roman" w:hAnsi="Times New Roman" w:cs="Times New Roman"/>
                <w:color w:val="000000"/>
                <w:lang w:eastAsia="ru-RU"/>
              </w:rPr>
            </w:pPr>
            <w:r w:rsidRPr="00984D79">
              <w:rPr>
                <w:rFonts w:ascii="Times New Roman" w:eastAsia="Calibri" w:hAnsi="Times New Roman" w:cs="Times New Roman"/>
                <w:color w:val="000000"/>
                <w:lang w:val="en-US"/>
              </w:rPr>
              <w:t>I</w:t>
            </w:r>
            <w:r w:rsidRPr="00984D79">
              <w:rPr>
                <w:rFonts w:ascii="Times New Roman" w:eastAsia="Calibri" w:hAnsi="Times New Roman" w:cs="Times New Roman"/>
                <w:color w:val="000000"/>
              </w:rPr>
              <w:t xml:space="preserve"> полугодие 2022 г.</w:t>
            </w:r>
          </w:p>
        </w:tc>
        <w:tc>
          <w:tcPr>
            <w:tcW w:w="976" w:type="dxa"/>
          </w:tcPr>
          <w:p w:rsidR="00984D79" w:rsidRPr="00984D79" w:rsidRDefault="00984D79" w:rsidP="00984D79">
            <w:pPr>
              <w:jc w:val="center"/>
              <w:rPr>
                <w:rFonts w:ascii="Times New Roman" w:eastAsia="Times New Roman" w:hAnsi="Times New Roman" w:cs="Times New Roman"/>
                <w:color w:val="000000"/>
                <w:lang w:eastAsia="ru-RU"/>
              </w:rPr>
            </w:pPr>
            <w:r w:rsidRPr="00984D79">
              <w:rPr>
                <w:rFonts w:ascii="Times New Roman" w:eastAsia="Times New Roman" w:hAnsi="Times New Roman" w:cs="Times New Roman"/>
                <w:color w:val="000000"/>
                <w:lang w:eastAsia="ru-RU"/>
              </w:rPr>
              <w:t>152</w:t>
            </w:r>
          </w:p>
        </w:tc>
        <w:tc>
          <w:tcPr>
            <w:tcW w:w="1168" w:type="dxa"/>
          </w:tcPr>
          <w:p w:rsidR="00984D79" w:rsidRPr="00984D79" w:rsidRDefault="00984D79" w:rsidP="00984D79">
            <w:pPr>
              <w:jc w:val="center"/>
              <w:rPr>
                <w:rFonts w:ascii="Times New Roman" w:eastAsia="Times New Roman" w:hAnsi="Times New Roman" w:cs="Times New Roman"/>
                <w:color w:val="000000"/>
                <w:lang w:eastAsia="ru-RU"/>
              </w:rPr>
            </w:pPr>
            <w:r w:rsidRPr="00984D79">
              <w:rPr>
                <w:rFonts w:ascii="Times New Roman" w:eastAsia="Times New Roman" w:hAnsi="Times New Roman" w:cs="Times New Roman"/>
                <w:color w:val="000000"/>
                <w:lang w:eastAsia="ru-RU"/>
              </w:rPr>
              <w:t>53</w:t>
            </w:r>
          </w:p>
        </w:tc>
        <w:tc>
          <w:tcPr>
            <w:tcW w:w="1168" w:type="dxa"/>
          </w:tcPr>
          <w:p w:rsidR="00984D79" w:rsidRPr="00984D79" w:rsidRDefault="00984D79" w:rsidP="00984D79">
            <w:pPr>
              <w:jc w:val="center"/>
              <w:rPr>
                <w:rFonts w:ascii="Times New Roman" w:eastAsia="Times New Roman" w:hAnsi="Times New Roman" w:cs="Times New Roman"/>
                <w:color w:val="000000"/>
                <w:lang w:eastAsia="ru-RU"/>
              </w:rPr>
            </w:pPr>
            <w:r w:rsidRPr="00984D79">
              <w:rPr>
                <w:rFonts w:ascii="Times New Roman" w:eastAsia="Times New Roman" w:hAnsi="Times New Roman" w:cs="Times New Roman"/>
                <w:color w:val="000000"/>
                <w:lang w:eastAsia="ru-RU"/>
              </w:rPr>
              <w:t>9</w:t>
            </w:r>
          </w:p>
        </w:tc>
        <w:tc>
          <w:tcPr>
            <w:tcW w:w="1168" w:type="dxa"/>
          </w:tcPr>
          <w:p w:rsidR="00984D79" w:rsidRPr="00984D79" w:rsidRDefault="00984D79" w:rsidP="00984D79">
            <w:pPr>
              <w:jc w:val="center"/>
              <w:rPr>
                <w:rFonts w:ascii="Times New Roman" w:eastAsia="Times New Roman" w:hAnsi="Times New Roman" w:cs="Times New Roman"/>
                <w:color w:val="000000"/>
                <w:lang w:eastAsia="ru-RU"/>
              </w:rPr>
            </w:pPr>
            <w:r w:rsidRPr="00984D79">
              <w:rPr>
                <w:rFonts w:ascii="Times New Roman" w:eastAsia="Times New Roman" w:hAnsi="Times New Roman" w:cs="Times New Roman"/>
                <w:color w:val="000000"/>
                <w:lang w:eastAsia="ru-RU"/>
              </w:rPr>
              <w:t>25</w:t>
            </w:r>
          </w:p>
        </w:tc>
        <w:tc>
          <w:tcPr>
            <w:tcW w:w="1168" w:type="dxa"/>
          </w:tcPr>
          <w:p w:rsidR="00984D79" w:rsidRPr="00984D79" w:rsidRDefault="00984D79" w:rsidP="00984D79">
            <w:pPr>
              <w:jc w:val="center"/>
              <w:rPr>
                <w:rFonts w:ascii="Times New Roman" w:eastAsia="Times New Roman" w:hAnsi="Times New Roman" w:cs="Times New Roman"/>
                <w:color w:val="000000"/>
                <w:lang w:eastAsia="ru-RU"/>
              </w:rPr>
            </w:pPr>
            <w:r w:rsidRPr="00984D79">
              <w:rPr>
                <w:rFonts w:ascii="Times New Roman" w:eastAsia="Times New Roman" w:hAnsi="Times New Roman" w:cs="Times New Roman"/>
                <w:color w:val="000000"/>
                <w:lang w:eastAsia="ru-RU"/>
              </w:rPr>
              <w:t>56</w:t>
            </w:r>
          </w:p>
        </w:tc>
        <w:tc>
          <w:tcPr>
            <w:tcW w:w="1168" w:type="dxa"/>
          </w:tcPr>
          <w:p w:rsidR="00984D79" w:rsidRPr="00984D79" w:rsidRDefault="00984D79" w:rsidP="00984D79">
            <w:pPr>
              <w:jc w:val="center"/>
              <w:rPr>
                <w:rFonts w:ascii="Times New Roman" w:eastAsia="Times New Roman" w:hAnsi="Times New Roman" w:cs="Times New Roman"/>
                <w:color w:val="000000"/>
                <w:lang w:eastAsia="ru-RU"/>
              </w:rPr>
            </w:pPr>
            <w:r w:rsidRPr="00984D79">
              <w:rPr>
                <w:rFonts w:ascii="Times New Roman" w:eastAsia="Times New Roman" w:hAnsi="Times New Roman" w:cs="Times New Roman"/>
                <w:color w:val="000000"/>
                <w:lang w:eastAsia="ru-RU"/>
              </w:rPr>
              <w:t>9</w:t>
            </w:r>
          </w:p>
        </w:tc>
        <w:tc>
          <w:tcPr>
            <w:tcW w:w="1547" w:type="dxa"/>
          </w:tcPr>
          <w:p w:rsidR="00984D79" w:rsidRPr="00984D79" w:rsidRDefault="00984D79" w:rsidP="00984D79">
            <w:pPr>
              <w:jc w:val="center"/>
              <w:rPr>
                <w:rFonts w:ascii="Times New Roman" w:eastAsia="Times New Roman" w:hAnsi="Times New Roman" w:cs="Times New Roman"/>
                <w:color w:val="000000"/>
                <w:lang w:eastAsia="ru-RU"/>
              </w:rPr>
            </w:pPr>
            <w:r w:rsidRPr="00984D79">
              <w:rPr>
                <w:rFonts w:ascii="Times New Roman" w:eastAsia="Times New Roman" w:hAnsi="Times New Roman" w:cs="Times New Roman"/>
                <w:color w:val="000000"/>
                <w:lang w:eastAsia="ru-RU"/>
              </w:rPr>
              <w:t>13</w:t>
            </w:r>
          </w:p>
        </w:tc>
      </w:tr>
    </w:tbl>
    <w:p w:rsidR="00984D79" w:rsidRDefault="00984D79" w:rsidP="00174DFE">
      <w:pPr>
        <w:spacing w:after="0" w:line="360" w:lineRule="auto"/>
        <w:jc w:val="both"/>
        <w:rPr>
          <w:rFonts w:ascii="Times New Roman" w:hAnsi="Times New Roman" w:cs="Times New Roman"/>
          <w:color w:val="000000" w:themeColor="text1"/>
          <w:sz w:val="24"/>
          <w:szCs w:val="24"/>
        </w:rPr>
      </w:pPr>
    </w:p>
    <w:p w:rsidR="00976DAC" w:rsidRPr="00976DAC" w:rsidRDefault="00984D79" w:rsidP="00984D79">
      <w:pPr>
        <w:spacing w:after="0" w:line="360" w:lineRule="auto"/>
        <w:ind w:firstLine="709"/>
        <w:jc w:val="both"/>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u w:val="single"/>
        </w:rPr>
        <w:t>В</w:t>
      </w:r>
      <w:r w:rsidR="00976DAC" w:rsidRPr="00976DAC">
        <w:rPr>
          <w:rFonts w:ascii="Times New Roman" w:hAnsi="Times New Roman" w:cs="Times New Roman"/>
          <w:color w:val="000000" w:themeColor="text1"/>
          <w:sz w:val="24"/>
          <w:szCs w:val="24"/>
          <w:u w:val="single"/>
        </w:rPr>
        <w:t>ыводы по итогам проведения мониторинга наличия (отсутствия) административных барьеров и оценки состояния конкуренции субъектами предпринимательской деятельности в части обращений в надзорные органы за последние 3 года</w:t>
      </w:r>
    </w:p>
    <w:p w:rsidR="00976DAC" w:rsidRPr="00976DAC" w:rsidRDefault="00976DAC" w:rsidP="00984D79">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1. Согласно данным Управления Федеральной антимонопольной службы по Ленинградской области, представленным в ответе на запрос № КЭР-1-9832/2022 от 08.11.2022, отмечается значительное снижение количества жалоб от юридических лиц / предпринимателей на административные барьеры (ограничение конкуренции) со стороны органов власти, в т.ч. на торгах по ФЗ-44 и иным НПА, а также вследствие заключения антиконкурентного соглашения с иными органами власти или хозяйствующими субъектами, неправомерной передачи гос. и муниципального имущества, предоставления преференции и т.д. (в 2020 г. – 2933 обращений, в 2021 г. – 2197 обращений, за период с января по октябрь 2022 г. – 1460 обращений). Также отмечается положительная динамика положительных решений в 2021 г. по сравнению с 2020 г. (2021 г. – 238 решений в пользу обратившихся, 2020 г. – 97 решений, за период с января по октябрь 2022 г. – 166).</w:t>
      </w:r>
    </w:p>
    <w:p w:rsidR="00976DAC" w:rsidRPr="00976DAC" w:rsidRDefault="00976DAC" w:rsidP="00984D79">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2. Отмечается тенденция к снижению количества поступающих обращений в следующие органы власти: Комитет государственного строительного надзора и государственной экспертизы Ленинградской области (2020 г. – 4026, 2021 г. – 3350, за три квартала 2022 г. – 1967), Северо-Западное управление Росприроднадзора (2020 г. – 4302, 2021 г. – 4163, за три квартала 2022 г. – 4048), Северо-Западное управление Ростехнадзора (2020 г. – 3492, 2021 г. – 3361, за три квартала 2022 г. –2351).</w:t>
      </w:r>
    </w:p>
    <w:p w:rsidR="00976DAC" w:rsidRPr="00976DAC" w:rsidRDefault="00976DAC" w:rsidP="00984D79">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Данные, представленные в Докладе о деятельности Уполномоченного по защите прав предпринимателей в Ленинградской области за 2020 г. и за 2021 г., иллюстрируют снижение общего количества письменных жалоб и обращений, которые поступили в адрес уполномоченного (и с 337 в 2020 г. до 224 в 2021 г.).</w:t>
      </w:r>
    </w:p>
    <w:p w:rsidR="00976DAC" w:rsidRPr="00976DAC" w:rsidRDefault="00976DAC" w:rsidP="00976DAC">
      <w:pPr>
        <w:spacing w:after="0" w:line="360" w:lineRule="auto"/>
        <w:ind w:firstLine="709"/>
        <w:jc w:val="both"/>
        <w:rPr>
          <w:rFonts w:ascii="Times New Roman" w:hAnsi="Times New Roman" w:cs="Times New Roman"/>
          <w:color w:val="000000" w:themeColor="text1"/>
          <w:sz w:val="24"/>
          <w:szCs w:val="24"/>
        </w:rPr>
      </w:pPr>
    </w:p>
    <w:p w:rsidR="00976DAC" w:rsidRPr="00976DAC" w:rsidRDefault="00174DFE" w:rsidP="00174DFE">
      <w:pPr>
        <w:spacing w:after="0" w:line="360" w:lineRule="auto"/>
        <w:ind w:firstLine="709"/>
        <w:jc w:val="center"/>
        <w:rPr>
          <w:rFonts w:ascii="Times New Roman" w:hAnsi="Times New Roman" w:cs="Times New Roman"/>
          <w:b/>
          <w:color w:val="000000" w:themeColor="text1"/>
          <w:sz w:val="24"/>
          <w:szCs w:val="24"/>
        </w:rPr>
      </w:pPr>
      <w:bookmarkStart w:id="18" w:name="_Toc122720224"/>
      <w:r>
        <w:rPr>
          <w:rFonts w:ascii="Times New Roman" w:hAnsi="Times New Roman" w:cs="Times New Roman"/>
          <w:b/>
          <w:color w:val="000000" w:themeColor="text1"/>
          <w:sz w:val="24"/>
          <w:szCs w:val="24"/>
        </w:rPr>
        <w:t>3</w:t>
      </w:r>
      <w:r w:rsidR="00976DAC" w:rsidRPr="00976DAC">
        <w:rPr>
          <w:rFonts w:ascii="Times New Roman" w:hAnsi="Times New Roman" w:cs="Times New Roman"/>
          <w:b/>
          <w:color w:val="000000" w:themeColor="text1"/>
          <w:sz w:val="24"/>
          <w:szCs w:val="24"/>
        </w:rPr>
        <w:t>.14. О наличии (отсутствии) возможности недискриминационного доступа на товарные рынки субъекта Ленинградской области и на товарные рынки приграничных субъектов Российской Федерации</w:t>
      </w:r>
      <w:bookmarkEnd w:id="18"/>
    </w:p>
    <w:p w:rsidR="00976DAC" w:rsidRPr="00976DAC" w:rsidRDefault="00976DAC" w:rsidP="00976DAC">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Более половины опрошенных предпринимателей (55%) </w:t>
      </w:r>
      <w:r w:rsidRPr="00976DAC">
        <w:rPr>
          <w:rFonts w:ascii="Times New Roman" w:hAnsi="Times New Roman" w:cs="Times New Roman"/>
          <w:b/>
          <w:color w:val="000000" w:themeColor="text1"/>
          <w:sz w:val="24"/>
          <w:szCs w:val="24"/>
        </w:rPr>
        <w:t>не сталкивались с дискриминационными условиями</w:t>
      </w:r>
      <w:r w:rsidRPr="00976DAC">
        <w:rPr>
          <w:rFonts w:ascii="Times New Roman" w:hAnsi="Times New Roman" w:cs="Times New Roman"/>
          <w:color w:val="000000" w:themeColor="text1"/>
          <w:sz w:val="24"/>
          <w:szCs w:val="24"/>
        </w:rPr>
        <w:t xml:space="preserve"> доступа на товарный рынок, где они реализуют свой основной бизнес. </w:t>
      </w:r>
    </w:p>
    <w:p w:rsidR="00976DAC" w:rsidRPr="00976DAC" w:rsidRDefault="00976DAC" w:rsidP="00174DFE">
      <w:pPr>
        <w:spacing w:after="0" w:line="360" w:lineRule="auto"/>
        <w:ind w:firstLine="709"/>
        <w:jc w:val="center"/>
        <w:rPr>
          <w:rFonts w:ascii="Times New Roman" w:hAnsi="Times New Roman" w:cs="Times New Roman"/>
          <w:b/>
          <w:iCs/>
          <w:color w:val="000000" w:themeColor="text1"/>
          <w:sz w:val="24"/>
          <w:szCs w:val="24"/>
        </w:rPr>
      </w:pPr>
      <w:r w:rsidRPr="00976DAC">
        <w:rPr>
          <w:rFonts w:ascii="Times New Roman" w:hAnsi="Times New Roman" w:cs="Times New Roman"/>
          <w:iCs/>
          <w:color w:val="000000" w:themeColor="text1"/>
          <w:sz w:val="24"/>
          <w:szCs w:val="24"/>
        </w:rPr>
        <w:t>Рисунок 1</w:t>
      </w:r>
      <w:r w:rsidR="00174DFE">
        <w:rPr>
          <w:rFonts w:ascii="Times New Roman" w:hAnsi="Times New Roman" w:cs="Times New Roman"/>
          <w:iCs/>
          <w:color w:val="000000" w:themeColor="text1"/>
          <w:sz w:val="24"/>
          <w:szCs w:val="24"/>
        </w:rPr>
        <w:t>1</w:t>
      </w:r>
      <w:r w:rsidRPr="00976DAC">
        <w:rPr>
          <w:rFonts w:ascii="Times New Roman" w:hAnsi="Times New Roman" w:cs="Times New Roman"/>
          <w:iCs/>
          <w:color w:val="000000" w:themeColor="text1"/>
          <w:sz w:val="24"/>
          <w:szCs w:val="24"/>
        </w:rPr>
        <w:t>. Опыт дискриминационных условий доступа на товарный рынок</w:t>
      </w:r>
      <w:r w:rsidRPr="00976DAC">
        <w:rPr>
          <w:rFonts w:ascii="Times New Roman" w:hAnsi="Times New Roman" w:cs="Times New Roman"/>
          <w:b/>
          <w:iCs/>
          <w:color w:val="000000" w:themeColor="text1"/>
          <w:sz w:val="24"/>
          <w:szCs w:val="24"/>
        </w:rPr>
        <w:t xml:space="preserve"> </w:t>
      </w:r>
      <w:r w:rsidRPr="00976DAC">
        <w:rPr>
          <w:rFonts w:ascii="Times New Roman" w:hAnsi="Times New Roman" w:cs="Times New Roman"/>
          <w:color w:val="000000" w:themeColor="text1"/>
          <w:sz w:val="24"/>
          <w:szCs w:val="24"/>
        </w:rPr>
        <w:t xml:space="preserve">(опрос предпринимателей, </w:t>
      </w:r>
      <w:r w:rsidRPr="00976DAC">
        <w:rPr>
          <w:rFonts w:ascii="Times New Roman" w:hAnsi="Times New Roman" w:cs="Times New Roman"/>
          <w:color w:val="000000" w:themeColor="text1"/>
          <w:sz w:val="24"/>
          <w:szCs w:val="24"/>
          <w:lang w:val="en-US"/>
        </w:rPr>
        <w:t>n</w:t>
      </w:r>
      <w:r w:rsidRPr="00976DAC">
        <w:rPr>
          <w:rFonts w:ascii="Times New Roman" w:hAnsi="Times New Roman" w:cs="Times New Roman"/>
          <w:color w:val="000000" w:themeColor="text1"/>
          <w:sz w:val="24"/>
          <w:szCs w:val="24"/>
        </w:rPr>
        <w:t>=500)</w:t>
      </w:r>
    </w:p>
    <w:p w:rsidR="00976DAC" w:rsidRPr="00976DAC" w:rsidRDefault="00174DFE" w:rsidP="00174DFE">
      <w:pPr>
        <w:spacing w:after="0" w:line="360" w:lineRule="auto"/>
        <w:jc w:val="both"/>
        <w:rPr>
          <w:rFonts w:ascii="Times New Roman" w:hAnsi="Times New Roman" w:cs="Times New Roman"/>
          <w:b/>
          <w:bCs/>
          <w:color w:val="000000" w:themeColor="text1"/>
          <w:sz w:val="24"/>
          <w:szCs w:val="24"/>
        </w:rPr>
      </w:pPr>
      <w:r w:rsidRPr="00250D73">
        <w:rPr>
          <w:rFonts w:ascii="Times New Roman" w:hAnsi="Times New Roman" w:cs="Times New Roman"/>
          <w:noProof/>
          <w:color w:val="000000" w:themeColor="text1"/>
          <w:sz w:val="28"/>
          <w:szCs w:val="28"/>
          <w:lang w:eastAsia="ru-RU"/>
        </w:rPr>
        <w:drawing>
          <wp:inline distT="0" distB="0" distL="0" distR="0" wp14:anchorId="4C97D0B9" wp14:editId="772F24C4">
            <wp:extent cx="6209665" cy="4971428"/>
            <wp:effectExtent l="0" t="0" r="635" b="635"/>
            <wp:docPr id="91"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76DAC" w:rsidRDefault="00976DAC" w:rsidP="00976DAC">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Хозяйствующие субъекты, которые имели опыт неравных условий доступа на товарный рынок, чаще всего подвергались </w:t>
      </w:r>
      <w:r w:rsidRPr="00976DAC">
        <w:rPr>
          <w:rFonts w:ascii="Times New Roman" w:hAnsi="Times New Roman" w:cs="Times New Roman"/>
          <w:b/>
          <w:color w:val="000000" w:themeColor="text1"/>
          <w:sz w:val="24"/>
          <w:szCs w:val="24"/>
        </w:rPr>
        <w:t>ценовой дискриминации</w:t>
      </w:r>
      <w:r w:rsidRPr="00976DAC">
        <w:rPr>
          <w:rFonts w:ascii="Times New Roman" w:hAnsi="Times New Roman" w:cs="Times New Roman"/>
          <w:color w:val="000000" w:themeColor="text1"/>
          <w:sz w:val="24"/>
          <w:szCs w:val="24"/>
        </w:rPr>
        <w:t xml:space="preserve"> (14%).</w:t>
      </w:r>
    </w:p>
    <w:p w:rsidR="00174DFE" w:rsidRPr="00174DFE" w:rsidRDefault="00174DFE" w:rsidP="00174DFE">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Ч</w:t>
      </w:r>
      <w:r w:rsidRPr="00174DFE">
        <w:rPr>
          <w:rFonts w:ascii="Times New Roman" w:hAnsi="Times New Roman" w:cs="Times New Roman"/>
          <w:color w:val="000000" w:themeColor="text1"/>
          <w:sz w:val="24"/>
          <w:szCs w:val="24"/>
        </w:rPr>
        <w:t>аще всего с условиями дискриминации предприниматели сталкиваются на таких рынках, как:</w:t>
      </w:r>
    </w:p>
    <w:p w:rsidR="00174DFE" w:rsidRPr="00174DFE" w:rsidRDefault="00174DFE" w:rsidP="00174DFE">
      <w:pPr>
        <w:spacing w:after="0" w:line="360" w:lineRule="auto"/>
        <w:ind w:firstLine="709"/>
        <w:jc w:val="both"/>
        <w:rPr>
          <w:rFonts w:ascii="Times New Roman" w:hAnsi="Times New Roman" w:cs="Times New Roman"/>
          <w:color w:val="000000" w:themeColor="text1"/>
          <w:sz w:val="24"/>
          <w:szCs w:val="24"/>
        </w:rPr>
      </w:pPr>
      <w:r w:rsidRPr="00174DFE">
        <w:rPr>
          <w:rFonts w:ascii="Times New Roman" w:hAnsi="Times New Roman" w:cs="Times New Roman"/>
          <w:color w:val="000000" w:themeColor="text1"/>
          <w:sz w:val="24"/>
          <w:szCs w:val="24"/>
        </w:rPr>
        <w:t>-</w:t>
      </w:r>
      <w:r w:rsidRPr="00174DFE">
        <w:rPr>
          <w:rFonts w:ascii="Times New Roman" w:hAnsi="Times New Roman" w:cs="Times New Roman"/>
          <w:color w:val="000000" w:themeColor="text1"/>
          <w:sz w:val="24"/>
          <w:szCs w:val="24"/>
        </w:rPr>
        <w:tab/>
        <w:t>Рынок услуг по сбору и транспортированию твердых коммунальных отходов (только 20% представителей бизнеса не сталкивались с неравными условиями доступа на товарный рынок);</w:t>
      </w:r>
    </w:p>
    <w:p w:rsidR="00174DFE" w:rsidRPr="00174DFE" w:rsidRDefault="00174DFE" w:rsidP="00174DFE">
      <w:pPr>
        <w:spacing w:after="0" w:line="360" w:lineRule="auto"/>
        <w:ind w:firstLine="709"/>
        <w:jc w:val="both"/>
        <w:rPr>
          <w:rFonts w:ascii="Times New Roman" w:hAnsi="Times New Roman" w:cs="Times New Roman"/>
          <w:color w:val="000000" w:themeColor="text1"/>
          <w:sz w:val="24"/>
          <w:szCs w:val="24"/>
        </w:rPr>
      </w:pPr>
      <w:r w:rsidRPr="00174DFE">
        <w:rPr>
          <w:rFonts w:ascii="Times New Roman" w:hAnsi="Times New Roman" w:cs="Times New Roman"/>
          <w:color w:val="000000" w:themeColor="text1"/>
          <w:sz w:val="24"/>
          <w:szCs w:val="24"/>
        </w:rPr>
        <w:t>-</w:t>
      </w:r>
      <w:r w:rsidRPr="00174DFE">
        <w:rPr>
          <w:rFonts w:ascii="Times New Roman" w:hAnsi="Times New Roman" w:cs="Times New Roman"/>
          <w:color w:val="000000" w:themeColor="text1"/>
          <w:sz w:val="24"/>
          <w:szCs w:val="24"/>
        </w:rPr>
        <w:tab/>
        <w:t>Рынок оказания услуг по перевозке пассажиров автомобильным транспортом по межмуниципальным маршрутам регулярных перевозок (20%);</w:t>
      </w:r>
    </w:p>
    <w:p w:rsidR="00174DFE" w:rsidRPr="00174DFE" w:rsidRDefault="00174DFE" w:rsidP="00174DFE">
      <w:pPr>
        <w:spacing w:after="0" w:line="360" w:lineRule="auto"/>
        <w:ind w:firstLine="709"/>
        <w:jc w:val="both"/>
        <w:rPr>
          <w:rFonts w:ascii="Times New Roman" w:hAnsi="Times New Roman" w:cs="Times New Roman"/>
          <w:color w:val="000000" w:themeColor="text1"/>
          <w:sz w:val="24"/>
          <w:szCs w:val="24"/>
        </w:rPr>
      </w:pPr>
      <w:r w:rsidRPr="00174DFE">
        <w:rPr>
          <w:rFonts w:ascii="Times New Roman" w:hAnsi="Times New Roman" w:cs="Times New Roman"/>
          <w:color w:val="000000" w:themeColor="text1"/>
          <w:sz w:val="24"/>
          <w:szCs w:val="24"/>
        </w:rPr>
        <w:t>-</w:t>
      </w:r>
      <w:r w:rsidRPr="00174DFE">
        <w:rPr>
          <w:rFonts w:ascii="Times New Roman" w:hAnsi="Times New Roman" w:cs="Times New Roman"/>
          <w:color w:val="000000" w:themeColor="text1"/>
          <w:sz w:val="24"/>
          <w:szCs w:val="24"/>
        </w:rPr>
        <w:tab/>
        <w:t>Рынок архитектурно-строительного проектирования (29%).</w:t>
      </w:r>
    </w:p>
    <w:p w:rsidR="00174DFE" w:rsidRPr="00174DFE" w:rsidRDefault="00174DFE" w:rsidP="00174DFE">
      <w:pPr>
        <w:spacing w:after="0" w:line="360" w:lineRule="auto"/>
        <w:ind w:firstLine="709"/>
        <w:jc w:val="both"/>
        <w:rPr>
          <w:rFonts w:ascii="Times New Roman" w:hAnsi="Times New Roman" w:cs="Times New Roman"/>
          <w:color w:val="000000" w:themeColor="text1"/>
          <w:sz w:val="24"/>
          <w:szCs w:val="24"/>
        </w:rPr>
      </w:pPr>
      <w:r w:rsidRPr="00174DFE">
        <w:rPr>
          <w:rFonts w:ascii="Times New Roman" w:hAnsi="Times New Roman" w:cs="Times New Roman"/>
          <w:color w:val="000000" w:themeColor="text1"/>
          <w:sz w:val="24"/>
          <w:szCs w:val="24"/>
        </w:rPr>
        <w:t>Менее всего неравные условия проявляются по отношению к доступу на следующие товарные рынки:</w:t>
      </w:r>
    </w:p>
    <w:p w:rsidR="00174DFE" w:rsidRPr="00174DFE" w:rsidRDefault="00174DFE" w:rsidP="00174DFE">
      <w:pPr>
        <w:spacing w:after="0" w:line="360" w:lineRule="auto"/>
        <w:ind w:firstLine="709"/>
        <w:jc w:val="both"/>
        <w:rPr>
          <w:rFonts w:ascii="Times New Roman" w:hAnsi="Times New Roman" w:cs="Times New Roman"/>
          <w:color w:val="000000" w:themeColor="text1"/>
          <w:sz w:val="24"/>
          <w:szCs w:val="24"/>
        </w:rPr>
      </w:pPr>
      <w:r w:rsidRPr="00174DFE">
        <w:rPr>
          <w:rFonts w:ascii="Times New Roman" w:hAnsi="Times New Roman" w:cs="Times New Roman"/>
          <w:color w:val="000000" w:themeColor="text1"/>
          <w:sz w:val="24"/>
          <w:szCs w:val="24"/>
        </w:rPr>
        <w:t>-</w:t>
      </w:r>
      <w:r w:rsidRPr="00174DFE">
        <w:rPr>
          <w:rFonts w:ascii="Times New Roman" w:hAnsi="Times New Roman" w:cs="Times New Roman"/>
          <w:color w:val="000000" w:themeColor="text1"/>
          <w:sz w:val="24"/>
          <w:szCs w:val="24"/>
        </w:rPr>
        <w:tab/>
        <w:t>Рынок племенного животноводства (81% представителей бизнеса не сталкивались с дискриминационными ситуациями);</w:t>
      </w:r>
    </w:p>
    <w:p w:rsidR="00174DFE" w:rsidRPr="00174DFE" w:rsidRDefault="00174DFE" w:rsidP="00174DFE">
      <w:pPr>
        <w:spacing w:after="0" w:line="360" w:lineRule="auto"/>
        <w:ind w:firstLine="709"/>
        <w:jc w:val="both"/>
        <w:rPr>
          <w:rFonts w:ascii="Times New Roman" w:hAnsi="Times New Roman" w:cs="Times New Roman"/>
          <w:color w:val="000000" w:themeColor="text1"/>
          <w:sz w:val="24"/>
          <w:szCs w:val="24"/>
        </w:rPr>
      </w:pPr>
      <w:r w:rsidRPr="00174DFE">
        <w:rPr>
          <w:rFonts w:ascii="Times New Roman" w:hAnsi="Times New Roman" w:cs="Times New Roman"/>
          <w:color w:val="000000" w:themeColor="text1"/>
          <w:sz w:val="24"/>
          <w:szCs w:val="24"/>
        </w:rPr>
        <w:t>-</w:t>
      </w:r>
      <w:r w:rsidRPr="00174DFE">
        <w:rPr>
          <w:rFonts w:ascii="Times New Roman" w:hAnsi="Times New Roman" w:cs="Times New Roman"/>
          <w:color w:val="000000" w:themeColor="text1"/>
          <w:sz w:val="24"/>
          <w:szCs w:val="24"/>
        </w:rPr>
        <w:tab/>
        <w:t>Рынок купли-продажи электрической энергии (мощности) на розничном рынке электрической энергии (мощности) (80%);</w:t>
      </w:r>
    </w:p>
    <w:p w:rsidR="00174DFE" w:rsidRPr="00174DFE" w:rsidRDefault="00174DFE" w:rsidP="00174DFE">
      <w:pPr>
        <w:spacing w:after="0" w:line="360" w:lineRule="auto"/>
        <w:ind w:firstLine="709"/>
        <w:jc w:val="both"/>
        <w:rPr>
          <w:rFonts w:ascii="Times New Roman" w:hAnsi="Times New Roman" w:cs="Times New Roman"/>
          <w:color w:val="000000" w:themeColor="text1"/>
          <w:sz w:val="24"/>
          <w:szCs w:val="24"/>
        </w:rPr>
      </w:pPr>
      <w:r w:rsidRPr="00174DFE">
        <w:rPr>
          <w:rFonts w:ascii="Times New Roman" w:hAnsi="Times New Roman" w:cs="Times New Roman"/>
          <w:color w:val="000000" w:themeColor="text1"/>
          <w:sz w:val="24"/>
          <w:szCs w:val="24"/>
        </w:rPr>
        <w:t>-</w:t>
      </w:r>
      <w:r w:rsidRPr="00174DFE">
        <w:rPr>
          <w:rFonts w:ascii="Times New Roman" w:hAnsi="Times New Roman" w:cs="Times New Roman"/>
          <w:color w:val="000000" w:themeColor="text1"/>
          <w:sz w:val="24"/>
          <w:szCs w:val="24"/>
        </w:rPr>
        <w:tab/>
        <w:t>Рынок услуг детского отдыха и оздоровления (80%).</w:t>
      </w:r>
    </w:p>
    <w:p w:rsidR="00976DAC" w:rsidRPr="00976DAC" w:rsidRDefault="00174DFE" w:rsidP="00174DFE">
      <w:pPr>
        <w:spacing w:after="0" w:line="360" w:lineRule="auto"/>
        <w:ind w:firstLine="709"/>
        <w:jc w:val="both"/>
        <w:rPr>
          <w:rFonts w:ascii="Times New Roman" w:hAnsi="Times New Roman" w:cs="Times New Roman"/>
          <w:color w:val="000000" w:themeColor="text1"/>
          <w:sz w:val="24"/>
          <w:szCs w:val="24"/>
        </w:rPr>
      </w:pPr>
      <w:r w:rsidRPr="00174DFE">
        <w:rPr>
          <w:rFonts w:ascii="Times New Roman" w:hAnsi="Times New Roman" w:cs="Times New Roman"/>
          <w:color w:val="000000" w:themeColor="text1"/>
          <w:sz w:val="24"/>
          <w:szCs w:val="24"/>
        </w:rPr>
        <w:t>Также можно выделить следующие особенности: такую проблему, как продажу товара только в определенном ассортименте, в нагрузку и разные условия поставки значимо чаще других отмечали предприниматели, осуществляющие бизнес на рынке выполнения работ по содержанию и текущему ремонту общего имущества собственников помещений в многоквартирном доме (26% против 7% среди опрошенных компаний в целом). Проблема отсутствия организации и проведения торгов в тех случаях, когда они предусмотрены законодательством, в большей степени актуальна для рынка архитектурно-строительного проектирования по сравнению с другими сферами бизнеса (26% против 9% в среднем).</w:t>
      </w:r>
    </w:p>
    <w:p w:rsidR="00976DAC" w:rsidRPr="00976DAC" w:rsidRDefault="00976DAC" w:rsidP="00976DAC">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В разрезе по размеру бизнеса можно отметить, что представители микропредприятий реже всего </w:t>
      </w:r>
      <w:r w:rsidRPr="00976DAC">
        <w:rPr>
          <w:rFonts w:ascii="Times New Roman" w:hAnsi="Times New Roman" w:cs="Times New Roman"/>
          <w:b/>
          <w:color w:val="000000" w:themeColor="text1"/>
          <w:sz w:val="24"/>
          <w:szCs w:val="24"/>
        </w:rPr>
        <w:t>сталкивались с дискриминационными условиями</w:t>
      </w:r>
      <w:r w:rsidRPr="00976DAC">
        <w:rPr>
          <w:rFonts w:ascii="Times New Roman" w:hAnsi="Times New Roman" w:cs="Times New Roman"/>
          <w:color w:val="000000" w:themeColor="text1"/>
          <w:sz w:val="24"/>
          <w:szCs w:val="24"/>
        </w:rPr>
        <w:t xml:space="preserve"> </w:t>
      </w:r>
      <w:r w:rsidRPr="00976DAC">
        <w:rPr>
          <w:rFonts w:ascii="Times New Roman" w:hAnsi="Times New Roman" w:cs="Times New Roman"/>
          <w:b/>
          <w:color w:val="000000" w:themeColor="text1"/>
          <w:sz w:val="24"/>
          <w:szCs w:val="24"/>
        </w:rPr>
        <w:t>доступа</w:t>
      </w:r>
      <w:r w:rsidRPr="00976DAC">
        <w:rPr>
          <w:rFonts w:ascii="Times New Roman" w:hAnsi="Times New Roman" w:cs="Times New Roman"/>
          <w:color w:val="000000" w:themeColor="text1"/>
          <w:sz w:val="24"/>
          <w:szCs w:val="24"/>
        </w:rPr>
        <w:t xml:space="preserve"> на основной для их деятельности товарный рынок, а малые предприятия – наиболее часто. </w:t>
      </w:r>
    </w:p>
    <w:p w:rsidR="00976DAC" w:rsidRPr="00976DAC" w:rsidRDefault="00976DAC" w:rsidP="00976DAC">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Представители среднего бизнеса в большей степени, чем в целом по выборке, отмечают </w:t>
      </w:r>
      <w:r w:rsidRPr="00976DAC">
        <w:rPr>
          <w:rFonts w:ascii="Times New Roman" w:hAnsi="Times New Roman" w:cs="Times New Roman"/>
          <w:b/>
          <w:color w:val="000000" w:themeColor="text1"/>
          <w:sz w:val="24"/>
          <w:szCs w:val="24"/>
        </w:rPr>
        <w:t>опыт таких неравных условий</w:t>
      </w:r>
      <w:r w:rsidRPr="00976DAC">
        <w:rPr>
          <w:rFonts w:ascii="Times New Roman" w:hAnsi="Times New Roman" w:cs="Times New Roman"/>
          <w:color w:val="000000" w:themeColor="text1"/>
          <w:sz w:val="24"/>
          <w:szCs w:val="24"/>
        </w:rPr>
        <w:t>, как продажа товара только в определенном ассортименте, продажа в нагрузку и разные условия поставки.</w:t>
      </w:r>
    </w:p>
    <w:p w:rsidR="00976DAC" w:rsidRPr="00976DAC" w:rsidRDefault="00976DAC" w:rsidP="00174DFE">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Почти половина респондентов (49%), имеющих опыт ведения бизнеса в Санкт-Петербурге, сообщила о том, что с дискриминационными условиями доступа на основной для них рынок в данном субъекте не сталкивалась. Те, кто имел негативный опыт по рассматриваемому вопросу, чаще испытывали ограничения в виде ценовой дискриминации (</w:t>
      </w:r>
      <w:r w:rsidR="00174DFE">
        <w:rPr>
          <w:rFonts w:ascii="Times New Roman" w:hAnsi="Times New Roman" w:cs="Times New Roman"/>
          <w:color w:val="000000" w:themeColor="text1"/>
          <w:sz w:val="24"/>
          <w:szCs w:val="24"/>
        </w:rPr>
        <w:t>20%) и отсутствия торгов (20%).</w:t>
      </w:r>
    </w:p>
    <w:p w:rsidR="00976DAC" w:rsidRPr="00174DFE" w:rsidRDefault="00976DAC" w:rsidP="00174DFE">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47% представителей компаний, ведущих свою деятельность в Республике Карелия, заявили об отсутствии у них опыта неравного доступа на товарный рынок. Ценовая дискриминация в данном регионе затронула 22% опрошенных. С отсутствием проведения торгов респонденты сталкивались реже (13%). Почти треть (28%) затруднили</w:t>
      </w:r>
      <w:r w:rsidR="00174DFE">
        <w:rPr>
          <w:rFonts w:ascii="Times New Roman" w:hAnsi="Times New Roman" w:cs="Times New Roman"/>
          <w:color w:val="000000" w:themeColor="text1"/>
          <w:sz w:val="24"/>
          <w:szCs w:val="24"/>
        </w:rPr>
        <w:t>сь дать ответ на данный вопрос.</w:t>
      </w:r>
    </w:p>
    <w:p w:rsidR="00976DAC" w:rsidRPr="00174DFE" w:rsidRDefault="00976DAC" w:rsidP="00174DFE">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38% опрошенных, имеющих опыт ведения предпринимательской деятельности в Вологодской области, не сталкивались в этом регионе с неравными условиями доступа на товарные рынки. Респонденты, испытывавшие трудности, связанные с дискриминационными условиями, называли прежде всего ценовую дискриминацию (18%), и введение ограничений актами органов власти (12%). Около четверти опрошенных не смогли дат</w:t>
      </w:r>
      <w:r w:rsidR="00174DFE">
        <w:rPr>
          <w:rFonts w:ascii="Times New Roman" w:hAnsi="Times New Roman" w:cs="Times New Roman"/>
          <w:color w:val="000000" w:themeColor="text1"/>
          <w:sz w:val="24"/>
          <w:szCs w:val="24"/>
        </w:rPr>
        <w:t>ь ответ на данный вопрос (26%).</w:t>
      </w:r>
    </w:p>
    <w:p w:rsidR="00976DAC" w:rsidRPr="00976DAC" w:rsidRDefault="00976DAC" w:rsidP="00976DAC">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В Новгородской области опрошенные предприниматели чаще всего указывали на наличие ценовой дискриминации на основном для их бизнеса рынке (31%). Такие ограничения, как продажа в определенном ассортименте, продажа в нагрузку и разные условия поставки, отметили 17% респондентов. С отсутствием торгов на право заключения договора столкнулись 10%. 38% опрошенных ни с чем из перечисленного не сталкивались. </w:t>
      </w:r>
    </w:p>
    <w:p w:rsidR="00976DAC" w:rsidRDefault="00976DAC" w:rsidP="00976DAC">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Более половины респондентов (59%), имеющих опыт ведения бизнеса в Псковской области, сообщили о том, что с дискриминационными условиями доступа на основной для них рынок в данном субъекте не сталкивались. Те, кто имел негативный опыт по рассматриваемому вопросу, испытывали ограничения в виде ценовой дискриминации (12%) и отсутствия торгов на право заключения договора в случаях, когда это требуется по закону (12%). Почти треть опрошенных (29%) затруднились дать ответ о наличии неравных условий доступа на основной для них рынок.</w:t>
      </w:r>
    </w:p>
    <w:p w:rsidR="00174DFE" w:rsidRPr="00976DAC" w:rsidRDefault="00174DFE" w:rsidP="00976DAC">
      <w:pPr>
        <w:spacing w:after="0" w:line="360" w:lineRule="auto"/>
        <w:ind w:firstLine="709"/>
        <w:jc w:val="both"/>
        <w:rPr>
          <w:rFonts w:ascii="Times New Roman" w:hAnsi="Times New Roman" w:cs="Times New Roman"/>
          <w:color w:val="000000" w:themeColor="text1"/>
          <w:sz w:val="24"/>
          <w:szCs w:val="24"/>
        </w:rPr>
      </w:pPr>
    </w:p>
    <w:p w:rsidR="00976DAC" w:rsidRPr="00976DAC" w:rsidRDefault="000420C6" w:rsidP="00174DFE">
      <w:pPr>
        <w:spacing w:after="0" w:line="360" w:lineRule="auto"/>
        <w:ind w:firstLine="709"/>
        <w:jc w:val="center"/>
        <w:rPr>
          <w:rFonts w:ascii="Times New Roman" w:hAnsi="Times New Roman" w:cs="Times New Roman"/>
          <w:b/>
          <w:color w:val="000000" w:themeColor="text1"/>
          <w:sz w:val="24"/>
          <w:szCs w:val="24"/>
        </w:rPr>
      </w:pPr>
      <w:bookmarkStart w:id="19" w:name="_Toc122720225"/>
      <w:r>
        <w:rPr>
          <w:rFonts w:ascii="Times New Roman" w:hAnsi="Times New Roman" w:cs="Times New Roman"/>
          <w:b/>
          <w:color w:val="000000" w:themeColor="text1"/>
          <w:sz w:val="24"/>
          <w:szCs w:val="24"/>
        </w:rPr>
        <w:t>3</w:t>
      </w:r>
      <w:r w:rsidR="00976DAC" w:rsidRPr="00976DAC">
        <w:rPr>
          <w:rFonts w:ascii="Times New Roman" w:hAnsi="Times New Roman" w:cs="Times New Roman"/>
          <w:b/>
          <w:color w:val="000000" w:themeColor="text1"/>
          <w:sz w:val="24"/>
          <w:szCs w:val="24"/>
        </w:rPr>
        <w:t>.15. О благоприятных или неблагоприятных условиях ведения деятельности хозяйствующих субъектов (данные о продолжительности осуществления предпринимательской деятельности хозяйствующих субъектов, деятельность которых начата в период не ранее 5 и не позже 3 лет до начала сбора указанных данных)</w:t>
      </w:r>
      <w:bookmarkEnd w:id="19"/>
    </w:p>
    <w:p w:rsidR="00976DAC" w:rsidRPr="00976DAC" w:rsidRDefault="00976DAC" w:rsidP="00C230F8">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По данным Единого реестра субъектов малого и среднего предпринимательства (далее – субъекты МСП) Федеральной налоговой службы в Ленинградской области осуществляют деятельность более 72 тыс. субъектов МСП. Среди ни подавляющее большинство – почти 52 тыс. и более 72% – микропредприятия. </w:t>
      </w:r>
    </w:p>
    <w:p w:rsidR="00976DAC" w:rsidRPr="00976DAC" w:rsidRDefault="00C230F8" w:rsidP="00C230F8">
      <w:pPr>
        <w:spacing w:after="0" w:line="360" w:lineRule="auto"/>
        <w:ind w:firstLine="709"/>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Рисунок 12</w:t>
      </w:r>
      <w:r w:rsidR="00976DAC" w:rsidRPr="00976DAC">
        <w:rPr>
          <w:rFonts w:ascii="Times New Roman" w:hAnsi="Times New Roman" w:cs="Times New Roman"/>
          <w:color w:val="000000" w:themeColor="text1"/>
          <w:sz w:val="24"/>
          <w:szCs w:val="24"/>
        </w:rPr>
        <w:t>. Количество субъектов МСП по сегментам бизнеса в Ленинградской области в 2022 г.</w:t>
      </w:r>
    </w:p>
    <w:p w:rsidR="00976DAC" w:rsidRPr="00976DAC" w:rsidRDefault="00976DAC" w:rsidP="00976DAC">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noProof/>
          <w:color w:val="000000" w:themeColor="text1"/>
          <w:sz w:val="24"/>
          <w:szCs w:val="24"/>
          <w:lang w:eastAsia="ru-RU"/>
        </w:rPr>
        <w:drawing>
          <wp:inline distT="0" distB="0" distL="0" distR="0" wp14:anchorId="66A2720E" wp14:editId="00FE70DC">
            <wp:extent cx="6217920" cy="3200400"/>
            <wp:effectExtent l="0" t="0" r="0" b="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76DAC" w:rsidRPr="00976DAC" w:rsidRDefault="00976DAC" w:rsidP="00976DAC">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На протяжении 5 лет ежегодно количество субъектов МСП в Ленинградской области увеличивалось. При этом основной вклад в прирост числа субъектов МСП отмечен со стороны микропредприятий и индивидуальных предпринимателей. </w:t>
      </w:r>
    </w:p>
    <w:p w:rsidR="00976DAC" w:rsidRPr="00976DAC" w:rsidRDefault="00976DAC" w:rsidP="00976DAC">
      <w:pPr>
        <w:spacing w:after="0" w:line="360" w:lineRule="auto"/>
        <w:ind w:firstLine="709"/>
        <w:jc w:val="both"/>
        <w:rPr>
          <w:rFonts w:ascii="Times New Roman" w:hAnsi="Times New Roman" w:cs="Times New Roman"/>
          <w:color w:val="000000" w:themeColor="text1"/>
          <w:sz w:val="24"/>
          <w:szCs w:val="24"/>
        </w:rPr>
      </w:pPr>
    </w:p>
    <w:p w:rsidR="00976DAC" w:rsidRPr="00976DAC" w:rsidRDefault="00976DAC" w:rsidP="00C230F8">
      <w:pPr>
        <w:spacing w:after="0" w:line="360" w:lineRule="auto"/>
        <w:ind w:firstLine="709"/>
        <w:jc w:val="center"/>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Рисунок </w:t>
      </w:r>
      <w:r w:rsidR="00C230F8">
        <w:rPr>
          <w:rFonts w:ascii="Times New Roman" w:hAnsi="Times New Roman" w:cs="Times New Roman"/>
          <w:color w:val="000000" w:themeColor="text1"/>
          <w:sz w:val="24"/>
          <w:szCs w:val="24"/>
        </w:rPr>
        <w:t>13</w:t>
      </w:r>
      <w:r w:rsidRPr="00976DAC">
        <w:rPr>
          <w:rFonts w:ascii="Times New Roman" w:hAnsi="Times New Roman" w:cs="Times New Roman"/>
          <w:color w:val="000000" w:themeColor="text1"/>
          <w:sz w:val="24"/>
          <w:szCs w:val="24"/>
        </w:rPr>
        <w:t>. Количество субъектов МСП по организационно-правовой форме в Ленинградской области в 2022 г.</w:t>
      </w:r>
    </w:p>
    <w:p w:rsidR="00976DAC" w:rsidRPr="00976DAC" w:rsidRDefault="00976DAC" w:rsidP="00976DAC">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noProof/>
          <w:color w:val="000000" w:themeColor="text1"/>
          <w:sz w:val="24"/>
          <w:szCs w:val="24"/>
          <w:lang w:eastAsia="ru-RU"/>
        </w:rPr>
        <w:drawing>
          <wp:inline distT="0" distB="0" distL="0" distR="0" wp14:anchorId="3C3C5F5F" wp14:editId="732382DF">
            <wp:extent cx="6174740" cy="3200400"/>
            <wp:effectExtent l="0" t="0" r="0" b="0"/>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76DAC" w:rsidRPr="00976DAC" w:rsidRDefault="00976DAC" w:rsidP="00C230F8">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Ежегодно в реестре МСП число индивидуальных предпринимателей в режиме микропредприятий пополнялось на несколько тысяч человек. В то же время количество юридических лиц - микропредприятий хоть и росло (исключение 2021</w:t>
      </w:r>
      <w:r w:rsidR="00C230F8">
        <w:rPr>
          <w:rFonts w:ascii="Times New Roman" w:hAnsi="Times New Roman" w:cs="Times New Roman"/>
          <w:color w:val="000000" w:themeColor="text1"/>
          <w:sz w:val="24"/>
          <w:szCs w:val="24"/>
        </w:rPr>
        <w:t xml:space="preserve"> г.), но менее ярко выраженно. </w:t>
      </w:r>
    </w:p>
    <w:p w:rsidR="00976DAC" w:rsidRPr="00976DAC" w:rsidRDefault="00976DAC" w:rsidP="00976DAC">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В категории микропредприятий в 2017-2022 гг. наблюдалась положительная динамика общего числа субъектов МСП. При этом темпы роста числа индивидуальных предпринимателей практически ежегодно опережал аналогичный показатель у юридических лиц и среднее значение по всей группе (исключение составил 2020 г., когда индивидуальных предпринимателей стало несколько меньше, чем годом ранее, а юридические лица показали небольшой прирост (100% против 102% и 101% в среднем по группе в 2020 г.) Уже в следующем году (2021) темпы роста количества предпринимателей превысили значения последних лет и составили 111%, тогда как число юридических лиц несколько снизилось. В 2022 г. прослеживается положительная динамика как общего числа субъектов МСП, так и отдельно по категориям. При этом наибольший прирост отмечен среди предпринимателей (107% против 101% у юридических лиц и среднего значения по группе микропредприятий 105%).</w:t>
      </w:r>
    </w:p>
    <w:p w:rsidR="00976DAC" w:rsidRPr="00976DAC" w:rsidRDefault="00976DAC" w:rsidP="00C230F8">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 xml:space="preserve">В группе малых предприятий большинство составляют юридические лица (в 2022 г. – 1766 юридических, 346 индивидуальных предпринимателей). В 2019 г. произошло некоторое уменьшение количества юридических лиц – субъектов МСП, после чего при небольшом росте в 2021 г. наблюдается дальнейшее снижение в 2022 г. до наименьшего за последние пять лет значения (1766 в 2022 г., 1769 в 2019 г., максимум 1900 в 2017 г.) Группа индивидуальных предпринимателей в несколько раз меньше группы юридических лиц, она увеличивается ежегодно, более значимо – в последние два года (+38 человек в </w:t>
      </w:r>
      <w:r w:rsidR="00C230F8">
        <w:rPr>
          <w:rFonts w:ascii="Times New Roman" w:hAnsi="Times New Roman" w:cs="Times New Roman"/>
          <w:color w:val="000000" w:themeColor="text1"/>
          <w:sz w:val="24"/>
          <w:szCs w:val="24"/>
        </w:rPr>
        <w:t>2021 г., +53 человек в 2022 г.)</w:t>
      </w:r>
    </w:p>
    <w:p w:rsidR="00976DAC" w:rsidRDefault="00976DAC" w:rsidP="00C230F8">
      <w:pPr>
        <w:spacing w:after="0" w:line="360" w:lineRule="auto"/>
        <w:ind w:firstLine="709"/>
        <w:jc w:val="both"/>
        <w:rPr>
          <w:rFonts w:ascii="Times New Roman" w:hAnsi="Times New Roman" w:cs="Times New Roman"/>
          <w:color w:val="000000" w:themeColor="text1"/>
          <w:sz w:val="24"/>
          <w:szCs w:val="24"/>
        </w:rPr>
      </w:pPr>
      <w:r w:rsidRPr="00976DAC">
        <w:rPr>
          <w:rFonts w:ascii="Times New Roman" w:hAnsi="Times New Roman" w:cs="Times New Roman"/>
          <w:color w:val="000000" w:themeColor="text1"/>
          <w:sz w:val="24"/>
          <w:szCs w:val="24"/>
        </w:rPr>
        <w:t>Самая малочисленная категория субъектов МСП – это средние предприятия – практически полностью состоит из юридических лиц (исключениями являются отдельные индивидуальные предприниматели). Количество средних предприятий во временном промежутке 2016-2022 держит линию на увеличение, хотя в последние два года наблюдается некоторое уменьшение (236 в 2022 г. и 229 в 2022 г. при максимальном значении 249 в 2020 г., минимальное 195 - в 2016 г.)</w:t>
      </w:r>
      <w:r w:rsidR="00C230F8">
        <w:rPr>
          <w:rFonts w:ascii="Times New Roman" w:hAnsi="Times New Roman" w:cs="Times New Roman"/>
          <w:color w:val="000000" w:themeColor="text1"/>
          <w:sz w:val="24"/>
          <w:szCs w:val="24"/>
        </w:rPr>
        <w:t>.</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В целях государственной поддержки предприятий малого и среднего бизнеса в 2022 году были приняты областные законы:</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от 21.06.2022 N 72-оз, дополнивший  областной закон «О развитии малого и среднего предпринимательства на территории Ленинградской области» от 30.04.2009 года N 36-оз положениями, предусматривающими возможность получения государственной поддержки физическими лицами, не являющимися индивидуальными предпринимателями и применяющими специальный налоговый режим «Налог на профессиональный доход»;</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от 23.11.2022 N 146-оз, установивший налоговую ставку в размере одного процента для налогоплательщиков - организаций и индивидуальных предпринимателей, применяющих упрощенную систему налогообложения  и выбравших объектом налогообложения доходы и являющихся правообладателями программ для электронных вычислительных машин, включенных в единый реестр российских программ для электронных вычислительных машин и баз данных, и(или) получивших документ о государственной аккредитации организации, осуществляющей деятельность в области информационных технологий. Также этим законом продлены «налоговые каникулы» для предпринимателей, впервые зарегистрированных в качестве ИП,  применяющих упрощенную систему налогообложения  или патентную систему налогообложения, осуществляющих определенные виды деятельности.</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 xml:space="preserve">В целях стимулирования предпринимателей к легализации торговой деятельности и в связи с многочисленными обращениями граждан по вопросам осуществления незаконной торговой деятельности в 2022 году принят областной закон от 21.06.2022 N 66-оз, которым внесены изменения в областной закон от 02.07.2003 N 47-оз «Об административных правонарушениях», увеличившие размер административных штрафов по статье 3.3 «Торговля в не отведенных для этого местах» и статье 3.7 «Размещение нестационарных торговых объектов с нарушением схемы размещения нестационарных торговых объектов». </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В 2022 году государственная поддержка субъектов малого и среднего предпринимательства в Ленинградской области осуществлялась в соответствии</w:t>
      </w:r>
      <w:r w:rsidRPr="00167896">
        <w:rPr>
          <w:rFonts w:ascii="Times New Roman" w:hAnsi="Times New Roman" w:cs="Times New Roman"/>
          <w:color w:val="000000" w:themeColor="text1"/>
          <w:sz w:val="24"/>
          <w:szCs w:val="24"/>
        </w:rPr>
        <w:br/>
        <w:t>с подпрограммой «Развитие малого, среднего предпринимательства</w:t>
      </w:r>
      <w:r w:rsidRPr="00167896">
        <w:rPr>
          <w:rFonts w:ascii="Times New Roman" w:hAnsi="Times New Roman" w:cs="Times New Roman"/>
          <w:color w:val="000000" w:themeColor="text1"/>
          <w:sz w:val="24"/>
          <w:szCs w:val="24"/>
        </w:rPr>
        <w:br/>
        <w:t>и потребительского рынка Ленинградской области», утвержденной в составе государственной программы Ленинградской области «Стимулирование экономической активности Ленинградской области» (далее – Подпрограмма).</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Всего в 2021 году на цели Подпрограммы из средств областного, федерального и местных бюджетов выделены средства в объеме 1 563, 3 млн. руб.</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В рамках Подпрограммы реализован комплекс мероприятий, направленных</w:t>
      </w:r>
      <w:r w:rsidRPr="00167896">
        <w:rPr>
          <w:rFonts w:ascii="Times New Roman" w:hAnsi="Times New Roman" w:cs="Times New Roman"/>
          <w:color w:val="000000" w:themeColor="text1"/>
          <w:sz w:val="24"/>
          <w:szCs w:val="24"/>
        </w:rPr>
        <w:br/>
        <w:t xml:space="preserve">на стимулирование и развитие субъектов МСП Ленинградской области, включая налоговую, финансовую, информационную, консультационную и образовательную поддержку. </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 xml:space="preserve">На прямую финансовую поддержку бизнеса на 2022 год выделено 1 148,9 млн. рублей. По состоянию на 30.12.2022 проведены отборы среди субъектов малого и среднего предпринимательства и предоставлена поддержка по 15 мероприятиям подпрограмму на общую сумму 1 148,9 млн. рублей, что составляет 100% от общего объема финансовой поддержки. </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Также в целях создания благоприятных условий предпринимательской деятельности на региональном уровне разработаны и реализованы дополнительные меры по поддержке субъектов малого и среднего предпринимательства:</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Изменены параметры микрозайма, предоставляемого региональным фондом развития промышленности по программе «Экспорт» («экспортный заем»), в части увеличения суммы до 5 млн рублей, срока – до трех лет и установления ставки в размере 4%. В 2022 году данной мерой поддержки воспользовались 7 субъектов МСП.</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 xml:space="preserve">В период кризисной ситуации Фондом поддержки предпринимательства Ленинградской области были сохранены льготные ставки по микрозаймам на уровне 7% при среднерыночных ставках в коммерческих банках 23-27%%, впоследствии ставки были снижены до 4 (для приоритетных групп) – 5%%. </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Всего в 2022 году выдано 329 микрозаймов, прирост количества микрозаймов к 2021 году составило около 50%. Общий объем финансовой поддержки в виде микрозаймов составил 692 млн. Действующий портфель микрозаймов на конец года составил 765 млн рублей.</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Внесены изменения в порядки предоставления субсидий (грантов) субъектам МСП, предусматривающие для субъектов МСП, не достигших показателей результативности субсидий по возмещению затрат по итогам работы в 2021 году, продление сроков их достижения без применения штрафных санкций (постановление Правительства Ленинградской области от 17.06.2022 № 400 «О внесении изменений в отдельные постановления Правительства Ленинградской области об утверждении порядков предоставления субсидий субъектам малого и среднего предпринимательства в рамках государственной программы Ленинградской области «Стимулирование экономической активности Ленинградской области»).</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Внесены изменения в порядок организации ярмарки на территории Ленинградской области, предусматривающие сокращение общего срока открытия ярмарки до семи рабочих дней с даты обращения организатора ярмарки в уполномоченный орган (постановление Правительства Ленинградской области от 16.05.2022 № 325 «О внесении изменений в постановление Правительства Ленинградской области от 29 мая 2007 года № 120 «Об организации розничных рынков и ярмарок на территории Ленинградской области» и признании утратившими силу отдельных постановлений Правительства Ленинградской области»).</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Благодаря проделанной работе удалось смягчить влияние санкций. Экономика плавно адаптируется к новым вызовам, сохраняется макроэкономическая стабильность. Последовательно снижается административная нагрузка и улучшаются условия для реализации проектов.</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 xml:space="preserve">Положительная тенденция развития предпринимательства обеспечена, в том числе благодаря реализации национального проекта «Малое и среднее предпринимательство и поддержка индивидуальной предпринимательской инициативы» (далее – Национальный проект), реализуемого в соответствии с Указом Президента Российской федерации от 07.05.2018 № 204 «О национальных целях и стратегических задачах развития Российской Федерации на период до 2024 года». </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В целях реализации Национального проекта в 2022 году в Подпрограмму включено финансирование и обеспечено</w:t>
      </w:r>
      <w:r>
        <w:rPr>
          <w:rFonts w:ascii="Times New Roman" w:hAnsi="Times New Roman" w:cs="Times New Roman"/>
          <w:color w:val="000000" w:themeColor="text1"/>
          <w:sz w:val="24"/>
          <w:szCs w:val="24"/>
        </w:rPr>
        <w:t xml:space="preserve"> 100% освоение денежных средств </w:t>
      </w:r>
      <w:r w:rsidRPr="00167896">
        <w:rPr>
          <w:rFonts w:ascii="Times New Roman" w:hAnsi="Times New Roman" w:cs="Times New Roman"/>
          <w:color w:val="000000" w:themeColor="text1"/>
          <w:sz w:val="24"/>
          <w:szCs w:val="24"/>
        </w:rPr>
        <w:t>по следующим региональным проектам:</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167896">
        <w:rPr>
          <w:rFonts w:ascii="Times New Roman" w:hAnsi="Times New Roman" w:cs="Times New Roman"/>
          <w:color w:val="000000" w:themeColor="text1"/>
          <w:sz w:val="24"/>
          <w:szCs w:val="24"/>
        </w:rPr>
        <w:t>Создание благоприятных условий для осуществления деятельности самозанятыми гражданами;</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167896">
        <w:rPr>
          <w:rFonts w:ascii="Times New Roman" w:hAnsi="Times New Roman" w:cs="Times New Roman"/>
          <w:color w:val="000000" w:themeColor="text1"/>
          <w:sz w:val="24"/>
          <w:szCs w:val="24"/>
        </w:rPr>
        <w:t>Создание условий для легкого старта и комфортного ведения бизнеса;</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167896">
        <w:rPr>
          <w:rFonts w:ascii="Times New Roman" w:hAnsi="Times New Roman" w:cs="Times New Roman"/>
          <w:color w:val="000000" w:themeColor="text1"/>
          <w:sz w:val="24"/>
          <w:szCs w:val="24"/>
        </w:rPr>
        <w:t>Акселерация субъектов малого и среднего предпринимательства.</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Для обеспечения доступа субъектов МСП к различным мерам поддержки</w:t>
      </w:r>
      <w:r w:rsidRPr="00167896">
        <w:rPr>
          <w:rFonts w:ascii="Times New Roman" w:hAnsi="Times New Roman" w:cs="Times New Roman"/>
          <w:color w:val="000000" w:themeColor="text1"/>
          <w:sz w:val="24"/>
          <w:szCs w:val="24"/>
        </w:rPr>
        <w:br/>
        <w:t>в Ленинградской области созданы и функционируют:</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1. Фонд «Фонд поддержки предпринимательства и промышленности Ленинградской области, микрокредитная компания».</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Фонд является единым органом управления организациями, образующими инфраструктуру поддержки субъектов МСП Ленинградской области. Фонд предоставляет следующие меры поддержки субъектам МСП, осуществляющим деятельность на территории Ленинградской области:</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 предоставление микрозаймов субъектам МСП, самозанятым гражданам</w:t>
      </w:r>
      <w:r w:rsidRPr="00167896">
        <w:rPr>
          <w:rFonts w:ascii="Times New Roman" w:hAnsi="Times New Roman" w:cs="Times New Roman"/>
          <w:color w:val="000000" w:themeColor="text1"/>
          <w:sz w:val="24"/>
          <w:szCs w:val="24"/>
        </w:rPr>
        <w:br/>
        <w:t>и организациям, образующим инфраструктуру поддержки субъектов МСП;</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 предоставление поручительств (гарантий) по обязательствам субъектов МСП и организаций, образующих инфраструктуру поддержки субъектов МСП перед кредиторами;</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 предоставление льготного заемного финансирования на проекты, направленные на импортозамещение и производство конкурентоспособной продукции, по программам федерального Фонда развития промышленности;</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 информационная, консультационная, методическая поддержка субъектов малого, среднего предпринимательства, самозанятых граждан и организаций муниципальной инфраструктуры поддержки предпринимательства;</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 предоставление консультационных услуг в рамках государственной поддержки проектов модернизации, внедрения новых технологий, выпуска</w:t>
      </w:r>
      <w:r w:rsidRPr="00167896">
        <w:rPr>
          <w:rFonts w:ascii="Times New Roman" w:hAnsi="Times New Roman" w:cs="Times New Roman"/>
          <w:color w:val="000000" w:themeColor="text1"/>
          <w:sz w:val="24"/>
          <w:szCs w:val="24"/>
        </w:rPr>
        <w:br/>
        <w:t>и продвижения инновационной продукции, проектов в сфере импортозамещения</w:t>
      </w:r>
      <w:r w:rsidRPr="00167896">
        <w:rPr>
          <w:rFonts w:ascii="Times New Roman" w:hAnsi="Times New Roman" w:cs="Times New Roman"/>
          <w:color w:val="000000" w:themeColor="text1"/>
          <w:sz w:val="24"/>
          <w:szCs w:val="24"/>
        </w:rPr>
        <w:br/>
        <w:t>и несырьевого экспорта;</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 консультационная, образовательная и информационная поддержка проектов социального предпринимательства;</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 проведение обучающих программ, семинаров, тренингов, мастер-классов</w:t>
      </w:r>
      <w:r w:rsidRPr="00167896">
        <w:rPr>
          <w:rFonts w:ascii="Times New Roman" w:hAnsi="Times New Roman" w:cs="Times New Roman"/>
          <w:color w:val="000000" w:themeColor="text1"/>
          <w:sz w:val="24"/>
          <w:szCs w:val="24"/>
        </w:rPr>
        <w:br/>
        <w:t>для предпринимателей, самозанятых граждан, физических лиц и организаций поддержки;</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 оказание содействия в популяризации предпринимательской деятельности</w:t>
      </w:r>
      <w:r w:rsidRPr="00167896">
        <w:rPr>
          <w:rFonts w:ascii="Times New Roman" w:hAnsi="Times New Roman" w:cs="Times New Roman"/>
          <w:color w:val="000000" w:themeColor="text1"/>
          <w:sz w:val="24"/>
          <w:szCs w:val="24"/>
        </w:rPr>
        <w:br/>
        <w:t>и продвижении товаров и услуг предприятий, организация региональных конкурсов среди предприятий малого, среднего бизнеса;</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 изучение и распространение лучших практик развития и поддержки предпринимательства в других регионах Российской Федерации и за рубежом;</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 проведение форумов, конференций и других коммуникативных мероприятий.</w:t>
      </w:r>
    </w:p>
    <w:p w:rsidR="00167896" w:rsidRPr="00167896" w:rsidRDefault="00167896" w:rsidP="00167896">
      <w:pPr>
        <w:spacing w:after="0" w:line="360" w:lineRule="auto"/>
        <w:ind w:firstLine="709"/>
        <w:jc w:val="both"/>
        <w:rPr>
          <w:rFonts w:ascii="Times New Roman" w:hAnsi="Times New Roman" w:cs="Times New Roman"/>
          <w:i/>
          <w:color w:val="000000" w:themeColor="text1"/>
          <w:sz w:val="24"/>
          <w:szCs w:val="24"/>
        </w:rPr>
      </w:pPr>
      <w:r w:rsidRPr="00167896">
        <w:rPr>
          <w:rFonts w:ascii="Times New Roman" w:hAnsi="Times New Roman" w:cs="Times New Roman"/>
          <w:i/>
          <w:color w:val="000000" w:themeColor="text1"/>
          <w:sz w:val="24"/>
          <w:szCs w:val="24"/>
        </w:rPr>
        <w:t>Ссылка на официальный сайт:</w:t>
      </w:r>
      <w:r w:rsidRPr="00167896">
        <w:rPr>
          <w:rFonts w:ascii="Times New Roman" w:hAnsi="Times New Roman" w:cs="Times New Roman"/>
          <w:color w:val="000000" w:themeColor="text1"/>
          <w:sz w:val="24"/>
          <w:szCs w:val="24"/>
        </w:rPr>
        <w:t xml:space="preserve"> </w:t>
      </w:r>
      <w:hyperlink r:id="rId45" w:history="1">
        <w:r w:rsidRPr="00167896">
          <w:rPr>
            <w:rStyle w:val="a6"/>
            <w:rFonts w:ascii="Times New Roman" w:hAnsi="Times New Roman" w:cs="Times New Roman"/>
            <w:i/>
            <w:sz w:val="24"/>
            <w:szCs w:val="24"/>
          </w:rPr>
          <w:t>https://813.ru</w:t>
        </w:r>
      </w:hyperlink>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2. АНО «Центр развития промышленности Ленинградской области» (далее – АНО «ЦПР ЛО»).</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На базе АНО «ЦПР ЛО» осуществляет деятельность центр поддержки экспорта. Центр поддержки экспорта оказывает субъектам МСП Ленинградской области комплексную поддержку для развития экспортной деятельности.</w:t>
      </w:r>
    </w:p>
    <w:p w:rsidR="00167896" w:rsidRPr="00167896" w:rsidRDefault="00167896" w:rsidP="00167896">
      <w:pPr>
        <w:spacing w:after="0" w:line="360" w:lineRule="auto"/>
        <w:ind w:firstLine="709"/>
        <w:jc w:val="both"/>
        <w:rPr>
          <w:rFonts w:ascii="Times New Roman" w:hAnsi="Times New Roman" w:cs="Times New Roman"/>
          <w:i/>
          <w:color w:val="000000" w:themeColor="text1"/>
          <w:sz w:val="24"/>
          <w:szCs w:val="24"/>
        </w:rPr>
      </w:pPr>
      <w:r w:rsidRPr="00167896">
        <w:rPr>
          <w:rFonts w:ascii="Times New Roman" w:hAnsi="Times New Roman" w:cs="Times New Roman"/>
          <w:i/>
          <w:color w:val="000000" w:themeColor="text1"/>
          <w:sz w:val="24"/>
          <w:szCs w:val="24"/>
        </w:rPr>
        <w:t xml:space="preserve">Ссылка на официальный сайт: </w:t>
      </w:r>
      <w:hyperlink r:id="rId46" w:history="1">
        <w:r w:rsidRPr="00167896">
          <w:rPr>
            <w:rStyle w:val="a6"/>
            <w:rFonts w:ascii="Times New Roman" w:hAnsi="Times New Roman" w:cs="Times New Roman"/>
            <w:i/>
            <w:sz w:val="24"/>
            <w:szCs w:val="24"/>
          </w:rPr>
          <w:t>https://crplo.ru</w:t>
        </w:r>
      </w:hyperlink>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3. ГКУ ЛО «Агентство по обеспечению деятельности агропромышленного</w:t>
      </w:r>
      <w:r w:rsidRPr="00167896">
        <w:rPr>
          <w:rFonts w:ascii="Times New Roman" w:hAnsi="Times New Roman" w:cs="Times New Roman"/>
          <w:color w:val="000000" w:themeColor="text1"/>
          <w:sz w:val="24"/>
          <w:szCs w:val="24"/>
        </w:rPr>
        <w:br/>
        <w:t>и рыбохозяйственного комплекса Ленинградской области» (далее –</w:t>
      </w:r>
      <w:r w:rsidRPr="00167896">
        <w:rPr>
          <w:rFonts w:ascii="Times New Roman" w:hAnsi="Times New Roman" w:cs="Times New Roman"/>
          <w:color w:val="000000" w:themeColor="text1"/>
          <w:sz w:val="24"/>
          <w:szCs w:val="24"/>
        </w:rPr>
        <w:br/>
        <w:t>ГКУ ЛО «Агентство АПК ЛО»).</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 xml:space="preserve">На базе ГКУ ЛО «Агентство АПК ЛО» </w:t>
      </w:r>
      <w:r w:rsidRPr="00167896">
        <w:rPr>
          <w:rFonts w:ascii="Times New Roman" w:hAnsi="Times New Roman" w:cs="Times New Roman"/>
          <w:bCs/>
          <w:color w:val="000000" w:themeColor="text1"/>
          <w:sz w:val="24"/>
          <w:szCs w:val="24"/>
        </w:rPr>
        <w:t>осуществляет деятельность</w:t>
      </w:r>
      <w:r w:rsidRPr="00167896">
        <w:rPr>
          <w:rFonts w:ascii="Times New Roman" w:hAnsi="Times New Roman" w:cs="Times New Roman"/>
          <w:color w:val="000000" w:themeColor="text1"/>
          <w:sz w:val="24"/>
          <w:szCs w:val="24"/>
        </w:rPr>
        <w:t xml:space="preserve"> центр </w:t>
      </w:r>
      <w:r w:rsidRPr="00167896">
        <w:rPr>
          <w:rFonts w:ascii="Times New Roman" w:hAnsi="Times New Roman" w:cs="Times New Roman"/>
          <w:bCs/>
          <w:color w:val="000000" w:themeColor="text1"/>
          <w:sz w:val="24"/>
          <w:szCs w:val="24"/>
        </w:rPr>
        <w:t xml:space="preserve">компетенции в сфере сельскохозяйственной кооперации и поддержки фермеров. </w:t>
      </w:r>
      <w:r w:rsidRPr="00167896">
        <w:rPr>
          <w:rFonts w:ascii="Times New Roman" w:hAnsi="Times New Roman" w:cs="Times New Roman"/>
          <w:color w:val="000000" w:themeColor="text1"/>
          <w:sz w:val="24"/>
          <w:szCs w:val="24"/>
        </w:rPr>
        <w:t>Основными целями деятельности центра компетенций являются:</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участие в разработке и реализации государственных программ Ленинградской области, направленных на развитие </w:t>
      </w:r>
      <w:hyperlink r:id="rId47" w:history="1">
        <w:r w:rsidRPr="00167896">
          <w:rPr>
            <w:rStyle w:val="a6"/>
            <w:rFonts w:ascii="Times New Roman" w:hAnsi="Times New Roman" w:cs="Times New Roman"/>
            <w:sz w:val="24"/>
            <w:szCs w:val="24"/>
          </w:rPr>
          <w:t>АПК</w:t>
        </w:r>
      </w:hyperlink>
      <w:r w:rsidRPr="00167896">
        <w:rPr>
          <w:rFonts w:ascii="Times New Roman" w:hAnsi="Times New Roman" w:cs="Times New Roman"/>
          <w:color w:val="000000" w:themeColor="text1"/>
          <w:sz w:val="24"/>
          <w:szCs w:val="24"/>
        </w:rPr>
        <w:t xml:space="preserve">, государственных программ Ленинградской области, направленных на развитие и поддержку малого и среднего предпринимательства в </w:t>
      </w:r>
      <w:hyperlink r:id="rId48" w:history="1">
        <w:r w:rsidRPr="00167896">
          <w:rPr>
            <w:rStyle w:val="a6"/>
            <w:rFonts w:ascii="Times New Roman" w:hAnsi="Times New Roman" w:cs="Times New Roman"/>
            <w:sz w:val="24"/>
            <w:szCs w:val="24"/>
          </w:rPr>
          <w:t>АПК</w:t>
        </w:r>
      </w:hyperlink>
      <w:r w:rsidRPr="00167896">
        <w:rPr>
          <w:rFonts w:ascii="Times New Roman" w:hAnsi="Times New Roman" w:cs="Times New Roman"/>
          <w:color w:val="000000" w:themeColor="text1"/>
          <w:sz w:val="24"/>
          <w:szCs w:val="24"/>
        </w:rPr>
        <w:t>, сельскохозяйственной кооперации на территории Ленинградской области;</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содействие созданию на территории Ленинградской области субъектов МСП, сельскохозяйственных кооперативов;</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предоставление услуг для повышения эффективности деятельности субъектов МСП;</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организация систематической работы по повышению информированности граждан, ведущих личное подсобное хозяйство, субъектов МСП о преимуществах объединения в сельскохозяйственные кооперативы, консультированию населения</w:t>
      </w:r>
      <w:r w:rsidRPr="00167896">
        <w:rPr>
          <w:rFonts w:ascii="Times New Roman" w:hAnsi="Times New Roman" w:cs="Times New Roman"/>
          <w:color w:val="000000" w:themeColor="text1"/>
          <w:sz w:val="24"/>
          <w:szCs w:val="24"/>
        </w:rPr>
        <w:br/>
        <w:t>по вопросам создания и развития предпринимательской деятельности в области сельского хозяйства, в том числе проведение разъяснительных мероприятий, внедрение типовой документации;</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оказание информационных, консультационных, методических услуг;</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организация сопровождения деятельности микро-, малых и средних сельскохозяйственных товаропроизводителей (ветеринарное, зоотехническое, агрономическое, технологическое, бухгалтерское, юридическое, маркетинговое обслуживание и др.);</w:t>
      </w:r>
    </w:p>
    <w:p w:rsidR="00167896" w:rsidRPr="00167896" w:rsidRDefault="00167896" w:rsidP="00167896">
      <w:pPr>
        <w:spacing w:after="0" w:line="360" w:lineRule="auto"/>
        <w:ind w:firstLine="709"/>
        <w:jc w:val="both"/>
        <w:rPr>
          <w:rFonts w:ascii="Times New Roman" w:hAnsi="Times New Roman" w:cs="Times New Roman"/>
          <w:color w:val="000000" w:themeColor="text1"/>
          <w:sz w:val="24"/>
          <w:szCs w:val="24"/>
        </w:rPr>
      </w:pPr>
      <w:r w:rsidRPr="00167896">
        <w:rPr>
          <w:rFonts w:ascii="Times New Roman" w:hAnsi="Times New Roman" w:cs="Times New Roman"/>
          <w:color w:val="000000" w:themeColor="text1"/>
          <w:sz w:val="24"/>
          <w:szCs w:val="24"/>
        </w:rPr>
        <w:t>анализ и мониторинг деятельности субъектов МСП и сельскохозяйственных кооперативов, зарегистрированных в Ленинградской области.</w:t>
      </w:r>
    </w:p>
    <w:p w:rsidR="00C230F8" w:rsidRDefault="00C230F8" w:rsidP="00167896">
      <w:pPr>
        <w:spacing w:after="0" w:line="360" w:lineRule="auto"/>
        <w:jc w:val="both"/>
        <w:rPr>
          <w:rFonts w:ascii="Times New Roman" w:hAnsi="Times New Roman" w:cs="Times New Roman"/>
          <w:color w:val="000000" w:themeColor="text1"/>
          <w:sz w:val="24"/>
          <w:szCs w:val="24"/>
        </w:rPr>
      </w:pPr>
    </w:p>
    <w:p w:rsidR="000D159A" w:rsidRPr="00A23306" w:rsidRDefault="000D159A" w:rsidP="00167896">
      <w:pPr>
        <w:spacing w:after="0" w:line="360" w:lineRule="auto"/>
        <w:jc w:val="both"/>
        <w:rPr>
          <w:rFonts w:ascii="Times New Roman" w:hAnsi="Times New Roman" w:cs="Times New Roman"/>
          <w:color w:val="000000" w:themeColor="text1"/>
          <w:sz w:val="24"/>
          <w:szCs w:val="24"/>
        </w:rPr>
      </w:pPr>
    </w:p>
    <w:p w:rsidR="00A23306" w:rsidRPr="000420C6" w:rsidRDefault="00A23306" w:rsidP="00A23306">
      <w:pPr>
        <w:widowControl w:val="0"/>
        <w:spacing w:after="0" w:line="360" w:lineRule="auto"/>
        <w:jc w:val="center"/>
        <w:rPr>
          <w:rFonts w:ascii="Times New Roman" w:eastAsia="Times New Roman" w:hAnsi="Times New Roman" w:cs="Times New Roman"/>
          <w:b/>
          <w:color w:val="000000"/>
          <w:sz w:val="24"/>
          <w:szCs w:val="24"/>
          <w:lang w:eastAsia="ru-RU" w:bidi="ru-RU"/>
        </w:rPr>
      </w:pPr>
      <w:r w:rsidRPr="000420C6">
        <w:rPr>
          <w:rFonts w:ascii="Times New Roman" w:eastAsia="Times New Roman" w:hAnsi="Times New Roman" w:cs="Times New Roman"/>
          <w:b/>
          <w:color w:val="000000"/>
          <w:sz w:val="24"/>
          <w:szCs w:val="24"/>
          <w:lang w:eastAsia="ru-RU" w:bidi="ru-RU"/>
        </w:rPr>
        <w:t xml:space="preserve">3.2. </w:t>
      </w:r>
      <w:r w:rsidR="000824A7" w:rsidRPr="000420C6">
        <w:rPr>
          <w:rFonts w:ascii="Times New Roman" w:eastAsia="Times New Roman" w:hAnsi="Times New Roman" w:cs="Times New Roman"/>
          <w:b/>
          <w:color w:val="000000"/>
          <w:sz w:val="24"/>
          <w:szCs w:val="24"/>
          <w:lang w:eastAsia="ru-RU" w:bidi="ru-RU"/>
        </w:rPr>
        <w:t xml:space="preserve">Результаты мониторинга удовлетворенности потребителей качеством товаров, работ и услуг на рынках </w:t>
      </w:r>
      <w:r w:rsidRPr="000420C6">
        <w:rPr>
          <w:rFonts w:ascii="Times New Roman" w:eastAsia="Times New Roman" w:hAnsi="Times New Roman" w:cs="Times New Roman"/>
          <w:b/>
          <w:color w:val="000000"/>
          <w:sz w:val="24"/>
          <w:szCs w:val="24"/>
          <w:lang w:eastAsia="ru-RU" w:bidi="ru-RU"/>
        </w:rPr>
        <w:t xml:space="preserve">Ленинградской области </w:t>
      </w:r>
      <w:r w:rsidR="000824A7" w:rsidRPr="000420C6">
        <w:rPr>
          <w:rFonts w:ascii="Times New Roman" w:eastAsia="Times New Roman" w:hAnsi="Times New Roman" w:cs="Times New Roman"/>
          <w:b/>
          <w:color w:val="000000"/>
          <w:sz w:val="24"/>
          <w:szCs w:val="24"/>
          <w:lang w:eastAsia="ru-RU" w:bidi="ru-RU"/>
        </w:rPr>
        <w:t>и состоянием ценовой конкуренции</w:t>
      </w:r>
    </w:p>
    <w:p w:rsidR="000D159A" w:rsidRPr="000420C6" w:rsidRDefault="000D159A" w:rsidP="00A23306">
      <w:pPr>
        <w:widowControl w:val="0"/>
        <w:spacing w:after="0" w:line="360" w:lineRule="auto"/>
        <w:jc w:val="center"/>
        <w:rPr>
          <w:rFonts w:ascii="Times New Roman" w:eastAsia="Times New Roman" w:hAnsi="Times New Roman" w:cs="Times New Roman"/>
          <w:b/>
          <w:color w:val="000000"/>
          <w:sz w:val="24"/>
          <w:szCs w:val="24"/>
          <w:lang w:eastAsia="ru-RU" w:bidi="ru-RU"/>
        </w:rPr>
      </w:pPr>
    </w:p>
    <w:p w:rsidR="00A23306" w:rsidRPr="000420C6" w:rsidRDefault="000D159A" w:rsidP="000D159A">
      <w:pPr>
        <w:widowControl w:val="0"/>
        <w:spacing w:after="0" w:line="360" w:lineRule="auto"/>
        <w:jc w:val="center"/>
        <w:rPr>
          <w:rFonts w:ascii="Times New Roman" w:eastAsia="Times New Roman" w:hAnsi="Times New Roman" w:cs="Times New Roman"/>
          <w:b/>
          <w:color w:val="000000"/>
          <w:sz w:val="24"/>
          <w:szCs w:val="24"/>
          <w:lang w:eastAsia="ru-RU" w:bidi="ru-RU"/>
        </w:rPr>
      </w:pPr>
      <w:r w:rsidRPr="000420C6">
        <w:rPr>
          <w:rFonts w:ascii="Times New Roman" w:eastAsia="Times New Roman" w:hAnsi="Times New Roman" w:cs="Times New Roman"/>
          <w:b/>
          <w:color w:val="000000"/>
          <w:sz w:val="24"/>
          <w:szCs w:val="24"/>
          <w:lang w:eastAsia="ru-RU" w:bidi="ru-RU"/>
        </w:rPr>
        <w:t>3.2.1. О восприятии и динамике оценки потребителями (с учетом их социального статуса) состояния конкуренции между продавцами товаров, работ, услуг в Ленинградской области, количестве продавцов посредством ценообразования</w:t>
      </w:r>
    </w:p>
    <w:p w:rsidR="000D159A" w:rsidRPr="000420C6" w:rsidRDefault="000D159A" w:rsidP="000D159A">
      <w:pPr>
        <w:widowControl w:val="0"/>
        <w:spacing w:after="0" w:line="360" w:lineRule="auto"/>
        <w:jc w:val="center"/>
        <w:rPr>
          <w:rFonts w:ascii="Times New Roman" w:eastAsia="Times New Roman" w:hAnsi="Times New Roman" w:cs="Times New Roman"/>
          <w:b/>
          <w:color w:val="000000"/>
          <w:sz w:val="24"/>
          <w:szCs w:val="24"/>
          <w:lang w:eastAsia="ru-RU" w:bidi="ru-RU"/>
        </w:rPr>
      </w:pPr>
    </w:p>
    <w:p w:rsidR="000D159A" w:rsidRPr="000420C6" w:rsidRDefault="000D159A" w:rsidP="000D159A">
      <w:pPr>
        <w:spacing w:after="0" w:line="360" w:lineRule="auto"/>
        <w:ind w:firstLine="709"/>
        <w:jc w:val="both"/>
        <w:rPr>
          <w:rFonts w:ascii="Times New Roman" w:eastAsia="Times New Roman" w:hAnsi="Times New Roman" w:cs="Times New Roman"/>
          <w:color w:val="000000"/>
          <w:sz w:val="24"/>
          <w:szCs w:val="24"/>
          <w:lang w:eastAsia="ru-RU"/>
        </w:rPr>
      </w:pPr>
      <w:r w:rsidRPr="000420C6">
        <w:rPr>
          <w:rFonts w:ascii="Times New Roman" w:eastAsia="Times New Roman" w:hAnsi="Times New Roman" w:cs="Times New Roman"/>
          <w:b/>
          <w:bCs/>
          <w:color w:val="000000"/>
          <w:sz w:val="24"/>
          <w:szCs w:val="24"/>
          <w:lang w:eastAsia="ru-RU"/>
        </w:rPr>
        <w:t>Восприятие состояния конкуренции</w:t>
      </w:r>
      <w:r w:rsidRPr="000420C6">
        <w:rPr>
          <w:rFonts w:ascii="Times New Roman" w:eastAsia="Times New Roman" w:hAnsi="Times New Roman" w:cs="Times New Roman"/>
          <w:color w:val="000000"/>
          <w:sz w:val="24"/>
          <w:szCs w:val="24"/>
          <w:lang w:eastAsia="ru-RU"/>
        </w:rPr>
        <w:t xml:space="preserve"> между продавцами товаров, работ и услуг в Ленинградской области оценивалось потребителями через число организаций, предоставляющих соответствующие товары, работы и услуги (избыточно (много), достаточно, мало, нет совсем). Информация об оценках потребителями количества организаций, предоставляющих товары и услуги на исследуемых рынках в целом, в разрезах по каждому рынку и с учетом социального статуса респондентов, отражена на рисунках ниже.</w:t>
      </w:r>
    </w:p>
    <w:p w:rsidR="000D159A" w:rsidRPr="000420C6" w:rsidRDefault="000D159A" w:rsidP="000420C6">
      <w:pPr>
        <w:keepNext/>
        <w:keepLines/>
        <w:spacing w:before="120" w:after="120" w:line="240" w:lineRule="auto"/>
        <w:jc w:val="center"/>
        <w:rPr>
          <w:rFonts w:ascii="Times New Roman" w:eastAsia="Calibri" w:hAnsi="Times New Roman" w:cs="Times New Roman"/>
          <w:iCs/>
          <w:color w:val="000000"/>
          <w:sz w:val="24"/>
          <w:szCs w:val="24"/>
        </w:rPr>
      </w:pPr>
      <w:r w:rsidRPr="000420C6">
        <w:rPr>
          <w:rFonts w:ascii="Times New Roman" w:eastAsia="Calibri" w:hAnsi="Times New Roman" w:cs="Times New Roman"/>
          <w:iCs/>
          <w:color w:val="000000"/>
          <w:sz w:val="24"/>
          <w:szCs w:val="24"/>
        </w:rPr>
        <w:t xml:space="preserve">Рисунок </w:t>
      </w:r>
      <w:r w:rsidR="000420C6">
        <w:rPr>
          <w:rFonts w:ascii="Times New Roman" w:eastAsia="Calibri" w:hAnsi="Times New Roman" w:cs="Times New Roman"/>
          <w:iCs/>
          <w:color w:val="000000"/>
          <w:sz w:val="24"/>
          <w:szCs w:val="24"/>
        </w:rPr>
        <w:t>14</w:t>
      </w:r>
      <w:r w:rsidRPr="000420C6">
        <w:rPr>
          <w:rFonts w:ascii="Times New Roman" w:eastAsia="Calibri" w:hAnsi="Times New Roman" w:cs="Times New Roman"/>
          <w:iCs/>
          <w:color w:val="000000"/>
          <w:sz w:val="24"/>
          <w:szCs w:val="24"/>
        </w:rPr>
        <w:t>. Оценка количества организаций, предоставляющих товары и услуги на исследуемых рынках Ленинградской области в целом</w:t>
      </w:r>
    </w:p>
    <w:p w:rsidR="000D159A" w:rsidRPr="000D159A" w:rsidRDefault="000D159A" w:rsidP="000D159A">
      <w:pPr>
        <w:spacing w:before="100" w:beforeAutospacing="1" w:after="100" w:afterAutospacing="1" w:line="240" w:lineRule="auto"/>
        <w:jc w:val="center"/>
        <w:rPr>
          <w:rFonts w:ascii="Times New Roman" w:eastAsia="Calibri" w:hAnsi="Times New Roman" w:cs="Times New Roman"/>
          <w:iCs/>
          <w:color w:val="000000"/>
          <w:sz w:val="24"/>
          <w:szCs w:val="28"/>
        </w:rPr>
      </w:pPr>
      <w:r w:rsidRPr="000D159A">
        <w:rPr>
          <w:rFonts w:ascii="Times New Roman" w:eastAsia="Calibri" w:hAnsi="Times New Roman" w:cs="Times New Roman"/>
          <w:b/>
          <w:iCs/>
          <w:noProof/>
          <w:color w:val="000000"/>
          <w:sz w:val="24"/>
          <w:szCs w:val="28"/>
          <w:lang w:eastAsia="ru-RU"/>
        </w:rPr>
        <w:drawing>
          <wp:inline distT="0" distB="0" distL="0" distR="0" wp14:anchorId="570A3F34" wp14:editId="3F2797EA">
            <wp:extent cx="5372100" cy="2028825"/>
            <wp:effectExtent l="0" t="0" r="0" b="9525"/>
            <wp:docPr id="92" name="Диаграмма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D159A" w:rsidRPr="000D159A" w:rsidRDefault="000D159A" w:rsidP="000420C6">
      <w:pPr>
        <w:keepNext/>
        <w:keepLines/>
        <w:spacing w:before="120" w:after="120" w:line="240" w:lineRule="auto"/>
        <w:jc w:val="center"/>
        <w:rPr>
          <w:rFonts w:ascii="Times New Roman" w:eastAsia="Calibri" w:hAnsi="Times New Roman" w:cs="Times New Roman"/>
          <w:iCs/>
          <w:color w:val="000000"/>
          <w:sz w:val="24"/>
          <w:szCs w:val="28"/>
        </w:rPr>
      </w:pPr>
      <w:r w:rsidRPr="000D159A">
        <w:rPr>
          <w:rFonts w:ascii="Times New Roman" w:eastAsia="Calibri" w:hAnsi="Times New Roman" w:cs="Times New Roman"/>
          <w:iCs/>
          <w:color w:val="000000"/>
          <w:sz w:val="24"/>
          <w:szCs w:val="28"/>
        </w:rPr>
        <w:t xml:space="preserve">Рисунок </w:t>
      </w:r>
      <w:r w:rsidR="000420C6">
        <w:rPr>
          <w:rFonts w:ascii="Times New Roman" w:eastAsia="Calibri" w:hAnsi="Times New Roman" w:cs="Times New Roman"/>
          <w:iCs/>
          <w:color w:val="000000"/>
          <w:sz w:val="24"/>
          <w:szCs w:val="28"/>
        </w:rPr>
        <w:t>15</w:t>
      </w:r>
      <w:r w:rsidRPr="000D159A">
        <w:rPr>
          <w:rFonts w:ascii="Times New Roman" w:eastAsia="Calibri" w:hAnsi="Times New Roman" w:cs="Times New Roman"/>
          <w:iCs/>
          <w:color w:val="000000"/>
          <w:sz w:val="24"/>
          <w:szCs w:val="28"/>
        </w:rPr>
        <w:t>. Оценка количества организаций, предоставляющих товары и услуги на исследуемых рынках Ленинградской области в целом, в разрезе по социальному статусу</w:t>
      </w:r>
    </w:p>
    <w:p w:rsidR="000D159A" w:rsidRPr="000D159A" w:rsidRDefault="000D159A" w:rsidP="000D159A">
      <w:pPr>
        <w:spacing w:before="100" w:beforeAutospacing="1" w:after="100" w:afterAutospacing="1" w:line="240" w:lineRule="auto"/>
        <w:jc w:val="center"/>
        <w:rPr>
          <w:rFonts w:ascii="Times New Roman" w:eastAsia="Calibri" w:hAnsi="Times New Roman" w:cs="Times New Roman"/>
          <w:iCs/>
          <w:color w:val="000000"/>
          <w:sz w:val="24"/>
          <w:szCs w:val="28"/>
        </w:rPr>
      </w:pPr>
      <w:r w:rsidRPr="000D159A">
        <w:rPr>
          <w:rFonts w:ascii="Times New Roman" w:eastAsia="Franklin Gothic Book" w:hAnsi="Times New Roman" w:cs="Times New Roman"/>
          <w:noProof/>
          <w:color w:val="000000"/>
          <w:szCs w:val="24"/>
          <w:u w:color="000000"/>
          <w:lang w:eastAsia="ru-RU"/>
        </w:rPr>
        <w:drawing>
          <wp:inline distT="0" distB="0" distL="0" distR="0" wp14:anchorId="0D85B6AC" wp14:editId="5DBDAD8A">
            <wp:extent cx="6390005" cy="4029075"/>
            <wp:effectExtent l="0" t="0" r="0" b="0"/>
            <wp:docPr id="93" name="Диаграмма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D159A" w:rsidRPr="000420C6" w:rsidRDefault="000D159A" w:rsidP="000420C6">
      <w:pPr>
        <w:spacing w:after="0" w:line="360" w:lineRule="auto"/>
        <w:ind w:firstLine="709"/>
        <w:contextualSpacing/>
        <w:jc w:val="both"/>
        <w:rPr>
          <w:rFonts w:ascii="Times New Roman" w:eastAsia="Arial" w:hAnsi="Times New Roman" w:cs="Times New Roman"/>
          <w:bCs/>
          <w:color w:val="000000"/>
          <w:sz w:val="24"/>
          <w:szCs w:val="24"/>
          <w:lang w:eastAsia="ru-RU"/>
        </w:rPr>
      </w:pPr>
      <w:r w:rsidRPr="000420C6">
        <w:rPr>
          <w:rFonts w:ascii="Times New Roman" w:eastAsia="Arial" w:hAnsi="Times New Roman" w:cs="Times New Roman"/>
          <w:color w:val="000000"/>
          <w:sz w:val="24"/>
          <w:szCs w:val="24"/>
          <w:lang w:eastAsia="ru-RU"/>
        </w:rPr>
        <w:t>Из приведенных рисунков следует, что</w:t>
      </w:r>
      <w:r w:rsidRPr="000420C6">
        <w:rPr>
          <w:rFonts w:ascii="Times New Roman" w:eastAsia="Arial" w:hAnsi="Times New Roman" w:cs="Times New Roman"/>
          <w:bCs/>
          <w:color w:val="000000"/>
          <w:sz w:val="24"/>
          <w:szCs w:val="24"/>
          <w:lang w:eastAsia="ru-RU"/>
        </w:rPr>
        <w:t xml:space="preserve"> оценка потребителями количества организаций, предоставляющих товары и услуги на исследуемых рынках Ленинградской области, в целом находится на высоком уровне – 73% участников исследования отметили, что таких организаций много (5%) или достаточно (67%). Доля опрошенных, указавших на недостаточность исследуемого показателя составила 24% (из них 22% полагают, что на рынках региона мало организаций, предоставляющих товары и услуги, 2% - что их нет совсем). </w:t>
      </w:r>
    </w:p>
    <w:p w:rsidR="000D159A" w:rsidRPr="000420C6" w:rsidRDefault="000D159A" w:rsidP="000420C6">
      <w:pPr>
        <w:spacing w:after="0" w:line="360" w:lineRule="auto"/>
        <w:ind w:firstLine="709"/>
        <w:contextualSpacing/>
        <w:jc w:val="both"/>
        <w:rPr>
          <w:rFonts w:ascii="Times New Roman" w:eastAsia="Arial" w:hAnsi="Times New Roman" w:cs="Times New Roman"/>
          <w:bCs/>
          <w:color w:val="000000"/>
          <w:sz w:val="24"/>
          <w:szCs w:val="24"/>
          <w:lang w:eastAsia="ru-RU"/>
        </w:rPr>
      </w:pPr>
      <w:r w:rsidRPr="000420C6">
        <w:rPr>
          <w:rFonts w:ascii="Times New Roman" w:eastAsia="Arial" w:hAnsi="Times New Roman" w:cs="Times New Roman"/>
          <w:bCs/>
          <w:color w:val="000000"/>
          <w:sz w:val="24"/>
          <w:szCs w:val="24"/>
          <w:lang w:eastAsia="ru-RU"/>
        </w:rPr>
        <w:t xml:space="preserve">В разрезе по социальному статусу можно отметить, что наиболее высоко уровень конкуренции оценивают предприниматели и самозанятые граждане (сумма ответов </w:t>
      </w:r>
      <w:r w:rsidR="00CD2F82">
        <w:rPr>
          <w:rFonts w:ascii="Times New Roman" w:eastAsia="Arial" w:hAnsi="Times New Roman" w:cs="Times New Roman"/>
          <w:bCs/>
          <w:color w:val="000000"/>
          <w:sz w:val="24"/>
          <w:szCs w:val="24"/>
          <w:lang w:eastAsia="ru-RU"/>
        </w:rPr>
        <w:t>«</w:t>
      </w:r>
      <w:r w:rsidRPr="000420C6">
        <w:rPr>
          <w:rFonts w:ascii="Times New Roman" w:eastAsia="Arial" w:hAnsi="Times New Roman" w:cs="Times New Roman"/>
          <w:bCs/>
          <w:color w:val="000000"/>
          <w:sz w:val="24"/>
          <w:szCs w:val="24"/>
          <w:lang w:eastAsia="ru-RU"/>
        </w:rPr>
        <w:t>Избыточно (много)</w:t>
      </w:r>
      <w:r w:rsidR="00CD2F82">
        <w:rPr>
          <w:rFonts w:ascii="Times New Roman" w:eastAsia="Arial" w:hAnsi="Times New Roman" w:cs="Times New Roman"/>
          <w:bCs/>
          <w:color w:val="000000"/>
          <w:sz w:val="24"/>
          <w:szCs w:val="24"/>
          <w:lang w:eastAsia="ru-RU"/>
        </w:rPr>
        <w:t>»</w:t>
      </w:r>
      <w:r w:rsidRPr="000420C6">
        <w:rPr>
          <w:rFonts w:ascii="Times New Roman" w:eastAsia="Arial" w:hAnsi="Times New Roman" w:cs="Times New Roman"/>
          <w:bCs/>
          <w:color w:val="000000"/>
          <w:sz w:val="24"/>
          <w:szCs w:val="24"/>
          <w:lang w:eastAsia="ru-RU"/>
        </w:rPr>
        <w:t xml:space="preserve"> и </w:t>
      </w:r>
      <w:r w:rsidR="00CD2F82">
        <w:rPr>
          <w:rFonts w:ascii="Times New Roman" w:eastAsia="Arial" w:hAnsi="Times New Roman" w:cs="Times New Roman"/>
          <w:bCs/>
          <w:color w:val="000000"/>
          <w:sz w:val="24"/>
          <w:szCs w:val="24"/>
          <w:lang w:eastAsia="ru-RU"/>
        </w:rPr>
        <w:t>«</w:t>
      </w:r>
      <w:r w:rsidRPr="000420C6">
        <w:rPr>
          <w:rFonts w:ascii="Times New Roman" w:eastAsia="Arial" w:hAnsi="Times New Roman" w:cs="Times New Roman"/>
          <w:bCs/>
          <w:color w:val="000000"/>
          <w:sz w:val="24"/>
          <w:szCs w:val="24"/>
          <w:lang w:eastAsia="ru-RU"/>
        </w:rPr>
        <w:t>Достаточно</w:t>
      </w:r>
      <w:r w:rsidR="00CD2F82">
        <w:rPr>
          <w:rFonts w:ascii="Times New Roman" w:eastAsia="Arial" w:hAnsi="Times New Roman" w:cs="Times New Roman"/>
          <w:bCs/>
          <w:color w:val="000000"/>
          <w:sz w:val="24"/>
          <w:szCs w:val="24"/>
          <w:lang w:eastAsia="ru-RU"/>
        </w:rPr>
        <w:t>»</w:t>
      </w:r>
      <w:r w:rsidRPr="000420C6">
        <w:rPr>
          <w:rFonts w:ascii="Times New Roman" w:eastAsia="Arial" w:hAnsi="Times New Roman" w:cs="Times New Roman"/>
          <w:bCs/>
          <w:color w:val="000000"/>
          <w:sz w:val="24"/>
          <w:szCs w:val="24"/>
          <w:lang w:eastAsia="ru-RU"/>
        </w:rPr>
        <w:t xml:space="preserve"> составила по данным категориям респондентов 78% и 75% соответственно). Ниже других оценивают достаточность представленности на товарных рынках Ленинградской области различных организаций домохозяйки (66% отметили, что организаций много или достаточно, 30% - что мало или нет совсем).</w:t>
      </w:r>
    </w:p>
    <w:p w:rsidR="000D159A" w:rsidRPr="000D159A" w:rsidRDefault="000D159A" w:rsidP="000D159A">
      <w:pPr>
        <w:spacing w:before="120" w:after="120" w:line="360" w:lineRule="auto"/>
        <w:ind w:firstLine="709"/>
        <w:contextualSpacing/>
        <w:jc w:val="both"/>
        <w:rPr>
          <w:rFonts w:ascii="Times New Roman" w:eastAsia="Calibri" w:hAnsi="Times New Roman" w:cs="Times New Roman"/>
          <w:iCs/>
          <w:color w:val="000000"/>
          <w:sz w:val="24"/>
          <w:szCs w:val="28"/>
        </w:rPr>
      </w:pPr>
    </w:p>
    <w:p w:rsidR="000D159A" w:rsidRPr="000D159A" w:rsidRDefault="000D159A" w:rsidP="000420C6">
      <w:pPr>
        <w:keepNext/>
        <w:keepLines/>
        <w:spacing w:before="120" w:after="120" w:line="240" w:lineRule="auto"/>
        <w:jc w:val="center"/>
        <w:rPr>
          <w:rFonts w:ascii="Times New Roman" w:eastAsia="Calibri" w:hAnsi="Times New Roman" w:cs="Times New Roman"/>
          <w:iCs/>
          <w:color w:val="000000"/>
          <w:sz w:val="24"/>
          <w:szCs w:val="28"/>
        </w:rPr>
      </w:pPr>
      <w:r w:rsidRPr="000D159A">
        <w:rPr>
          <w:rFonts w:ascii="Times New Roman" w:eastAsia="Calibri" w:hAnsi="Times New Roman" w:cs="Times New Roman"/>
          <w:iCs/>
          <w:color w:val="000000"/>
          <w:sz w:val="24"/>
          <w:szCs w:val="28"/>
        </w:rPr>
        <w:t xml:space="preserve">Рисунок </w:t>
      </w:r>
      <w:r w:rsidR="000420C6">
        <w:rPr>
          <w:rFonts w:ascii="Times New Roman" w:eastAsia="Calibri" w:hAnsi="Times New Roman" w:cs="Times New Roman"/>
          <w:iCs/>
          <w:color w:val="000000"/>
          <w:sz w:val="24"/>
          <w:szCs w:val="28"/>
        </w:rPr>
        <w:t>16</w:t>
      </w:r>
      <w:r w:rsidRPr="000D159A">
        <w:rPr>
          <w:rFonts w:ascii="Times New Roman" w:eastAsia="Calibri" w:hAnsi="Times New Roman" w:cs="Times New Roman"/>
          <w:iCs/>
          <w:color w:val="000000"/>
          <w:sz w:val="24"/>
          <w:szCs w:val="28"/>
        </w:rPr>
        <w:t xml:space="preserve">. </w:t>
      </w:r>
      <w:r w:rsidRPr="000D159A">
        <w:rPr>
          <w:rFonts w:ascii="Times New Roman" w:eastAsia="Calibri" w:hAnsi="Times New Roman" w:cs="Times New Roman"/>
          <w:b/>
          <w:iCs/>
          <w:color w:val="000000"/>
          <w:sz w:val="24"/>
          <w:szCs w:val="28"/>
        </w:rPr>
        <w:t xml:space="preserve">Какое количество организаций предоставляют следующие товары и услуги на рынках Вашего района/города? </w:t>
      </w:r>
      <w:r w:rsidRPr="000D159A">
        <w:rPr>
          <w:rFonts w:ascii="Times New Roman" w:eastAsia="Calibri" w:hAnsi="Times New Roman" w:cs="Times New Roman"/>
          <w:iCs/>
          <w:color w:val="000000"/>
          <w:sz w:val="24"/>
          <w:szCs w:val="28"/>
        </w:rPr>
        <w:t>(в разрезе по рынкам, % от числа потребителей)</w:t>
      </w:r>
    </w:p>
    <w:p w:rsidR="000D159A" w:rsidRPr="000D159A" w:rsidRDefault="000D159A" w:rsidP="000D159A">
      <w:pPr>
        <w:spacing w:before="120" w:after="120" w:line="360" w:lineRule="auto"/>
        <w:jc w:val="both"/>
        <w:rPr>
          <w:rFonts w:ascii="Times New Roman" w:eastAsia="Arial" w:hAnsi="Times New Roman" w:cs="Times New Roman"/>
          <w:color w:val="000000"/>
          <w:sz w:val="28"/>
          <w:szCs w:val="28"/>
          <w:lang w:eastAsia="ru-RU"/>
        </w:rPr>
      </w:pPr>
      <w:r w:rsidRPr="000D159A">
        <w:rPr>
          <w:rFonts w:ascii="Times New Roman" w:eastAsia="Franklin Gothic Book" w:hAnsi="Times New Roman" w:cs="Times New Roman"/>
          <w:noProof/>
          <w:color w:val="000000"/>
          <w:szCs w:val="24"/>
          <w:u w:color="000000"/>
          <w:lang w:eastAsia="ru-RU"/>
        </w:rPr>
        <w:drawing>
          <wp:inline distT="0" distB="0" distL="0" distR="0" wp14:anchorId="50B764CB" wp14:editId="26A29B89">
            <wp:extent cx="6448425" cy="8201025"/>
            <wp:effectExtent l="0" t="0" r="0" b="0"/>
            <wp:docPr id="94"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D159A" w:rsidRPr="000D159A" w:rsidRDefault="000D159A" w:rsidP="000D159A">
      <w:pPr>
        <w:spacing w:after="0" w:line="360" w:lineRule="auto"/>
        <w:jc w:val="both"/>
        <w:rPr>
          <w:rFonts w:ascii="Times New Roman" w:eastAsia="Times New Roman" w:hAnsi="Times New Roman" w:cs="Times New Roman"/>
          <w:color w:val="000000"/>
          <w:sz w:val="28"/>
          <w:szCs w:val="28"/>
          <w:lang w:eastAsia="ru-RU"/>
        </w:rPr>
      </w:pPr>
    </w:p>
    <w:p w:rsidR="000D159A" w:rsidRPr="000D159A" w:rsidRDefault="000D159A" w:rsidP="000420C6">
      <w:pPr>
        <w:keepNext/>
        <w:keepLines/>
        <w:spacing w:before="120" w:after="120" w:line="240" w:lineRule="auto"/>
        <w:jc w:val="center"/>
        <w:rPr>
          <w:rFonts w:ascii="Times New Roman" w:eastAsia="Calibri" w:hAnsi="Times New Roman" w:cs="Times New Roman"/>
          <w:iCs/>
          <w:color w:val="000000"/>
          <w:sz w:val="24"/>
          <w:szCs w:val="28"/>
        </w:rPr>
      </w:pPr>
      <w:r w:rsidRPr="000D159A">
        <w:rPr>
          <w:rFonts w:ascii="Times New Roman" w:eastAsia="Calibri" w:hAnsi="Times New Roman" w:cs="Times New Roman"/>
          <w:iCs/>
          <w:color w:val="000000"/>
          <w:sz w:val="24"/>
          <w:szCs w:val="28"/>
        </w:rPr>
        <w:t xml:space="preserve">Рисунок </w:t>
      </w:r>
      <w:r w:rsidR="000420C6">
        <w:rPr>
          <w:rFonts w:ascii="Times New Roman" w:eastAsia="Calibri" w:hAnsi="Times New Roman" w:cs="Times New Roman"/>
          <w:iCs/>
          <w:color w:val="000000"/>
          <w:sz w:val="24"/>
          <w:szCs w:val="28"/>
        </w:rPr>
        <w:t>16</w:t>
      </w:r>
      <w:r w:rsidRPr="000D159A">
        <w:rPr>
          <w:rFonts w:ascii="Times New Roman" w:eastAsia="Calibri" w:hAnsi="Times New Roman" w:cs="Times New Roman"/>
          <w:iCs/>
          <w:color w:val="000000"/>
          <w:sz w:val="24"/>
          <w:szCs w:val="28"/>
        </w:rPr>
        <w:t xml:space="preserve">, продолжение. </w:t>
      </w:r>
      <w:r w:rsidRPr="000D159A">
        <w:rPr>
          <w:rFonts w:ascii="Times New Roman" w:eastAsia="Calibri" w:hAnsi="Times New Roman" w:cs="Times New Roman"/>
          <w:b/>
          <w:iCs/>
          <w:color w:val="000000"/>
          <w:sz w:val="24"/>
          <w:szCs w:val="28"/>
        </w:rPr>
        <w:t xml:space="preserve">Какое количество организаций предоставляют следующие товары и услуги на рынках Вашего района/города? </w:t>
      </w:r>
      <w:r w:rsidRPr="000D159A">
        <w:rPr>
          <w:rFonts w:ascii="Times New Roman" w:eastAsia="Calibri" w:hAnsi="Times New Roman" w:cs="Times New Roman"/>
          <w:iCs/>
          <w:color w:val="000000"/>
          <w:sz w:val="24"/>
          <w:szCs w:val="28"/>
        </w:rPr>
        <w:t>(в разрезе по рынкам, % от числа потребителей)</w:t>
      </w:r>
    </w:p>
    <w:p w:rsidR="000D159A" w:rsidRPr="000D159A" w:rsidRDefault="000D159A" w:rsidP="000D159A">
      <w:pPr>
        <w:spacing w:before="120" w:after="120" w:line="360" w:lineRule="auto"/>
        <w:jc w:val="both"/>
        <w:rPr>
          <w:rFonts w:ascii="Times New Roman" w:eastAsia="Arial" w:hAnsi="Times New Roman" w:cs="Times New Roman"/>
          <w:color w:val="000000"/>
          <w:sz w:val="28"/>
          <w:szCs w:val="28"/>
          <w:lang w:eastAsia="ru-RU"/>
        </w:rPr>
      </w:pPr>
      <w:r w:rsidRPr="000D159A">
        <w:rPr>
          <w:rFonts w:ascii="Times New Roman" w:eastAsia="Franklin Gothic Book" w:hAnsi="Times New Roman" w:cs="Times New Roman"/>
          <w:noProof/>
          <w:color w:val="000000"/>
          <w:szCs w:val="24"/>
          <w:u w:color="000000"/>
          <w:lang w:eastAsia="ru-RU"/>
        </w:rPr>
        <w:drawing>
          <wp:inline distT="0" distB="0" distL="0" distR="0" wp14:anchorId="47359DCD" wp14:editId="6EF3A2CD">
            <wp:extent cx="6390005" cy="8126727"/>
            <wp:effectExtent l="0" t="0" r="0" b="8255"/>
            <wp:docPr id="95"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0D159A" w:rsidRPr="000D159A" w:rsidRDefault="000D159A" w:rsidP="000D159A">
      <w:pPr>
        <w:spacing w:after="0" w:line="360" w:lineRule="auto"/>
        <w:ind w:firstLine="709"/>
        <w:jc w:val="both"/>
        <w:rPr>
          <w:rFonts w:ascii="Times New Roman" w:eastAsia="Times New Roman" w:hAnsi="Times New Roman" w:cs="Times New Roman"/>
          <w:color w:val="000000"/>
          <w:sz w:val="28"/>
          <w:szCs w:val="28"/>
          <w:lang w:eastAsia="ru-RU"/>
        </w:rPr>
      </w:pPr>
    </w:p>
    <w:p w:rsidR="000D159A" w:rsidRPr="000420C6" w:rsidRDefault="000D159A" w:rsidP="000420C6">
      <w:pPr>
        <w:spacing w:after="0" w:line="360" w:lineRule="auto"/>
        <w:ind w:firstLine="709"/>
        <w:contextualSpacing/>
        <w:jc w:val="both"/>
        <w:rPr>
          <w:rFonts w:ascii="Times New Roman" w:eastAsia="Arial" w:hAnsi="Times New Roman" w:cs="Times New Roman"/>
          <w:color w:val="000000"/>
          <w:sz w:val="24"/>
          <w:szCs w:val="24"/>
          <w:lang w:eastAsia="ru-RU"/>
        </w:rPr>
      </w:pPr>
      <w:r w:rsidRPr="000420C6">
        <w:rPr>
          <w:rFonts w:ascii="Times New Roman" w:eastAsia="Arial" w:hAnsi="Times New Roman" w:cs="Times New Roman"/>
          <w:color w:val="000000"/>
          <w:sz w:val="24"/>
          <w:szCs w:val="24"/>
          <w:lang w:eastAsia="ru-RU"/>
        </w:rPr>
        <w:t>Выделяется ряд рынков, на которых, по оценкам населения Ленинградской области, отмечается наиболее высокий уровень конкуренции (оценки "много" и "достаточно" организаций на рынке в сумме составляют не менее 80%). К ним относятся (рынки расположены в порядке убывания оценок):</w:t>
      </w:r>
    </w:p>
    <w:p w:rsidR="000D159A" w:rsidRPr="000420C6" w:rsidRDefault="000D159A" w:rsidP="000420C6">
      <w:pPr>
        <w:numPr>
          <w:ilvl w:val="0"/>
          <w:numId w:val="16"/>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0420C6">
        <w:rPr>
          <w:rFonts w:ascii="Times New Roman" w:eastAsia="Arial" w:hAnsi="Times New Roman" w:cs="Times New Roman"/>
          <w:color w:val="000000"/>
          <w:sz w:val="24"/>
          <w:szCs w:val="24"/>
          <w:lang w:eastAsia="ru-RU"/>
        </w:rPr>
        <w:t>Рынок услуг связи, в том числе услуг по предоставлению широкополосного доступа к информационно-телекоммуникационной сети "Интернет" (87%)</w:t>
      </w:r>
      <w:r w:rsidRPr="000420C6">
        <w:rPr>
          <w:rFonts w:ascii="Times New Roman" w:eastAsia="Arial" w:hAnsi="Times New Roman" w:cs="Times New Roman"/>
          <w:color w:val="000000"/>
          <w:sz w:val="24"/>
          <w:szCs w:val="24"/>
          <w:lang w:eastAsia="ru-RU"/>
        </w:rPr>
        <w:tab/>
      </w:r>
    </w:p>
    <w:p w:rsidR="000D159A" w:rsidRPr="000420C6" w:rsidRDefault="000D159A" w:rsidP="000420C6">
      <w:pPr>
        <w:numPr>
          <w:ilvl w:val="0"/>
          <w:numId w:val="16"/>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0420C6">
        <w:rPr>
          <w:rFonts w:ascii="Times New Roman" w:eastAsia="Arial" w:hAnsi="Times New Roman" w:cs="Times New Roman"/>
          <w:color w:val="000000"/>
          <w:sz w:val="24"/>
          <w:szCs w:val="24"/>
          <w:lang w:eastAsia="ru-RU"/>
        </w:rPr>
        <w:t>Рынок купли-продажи электрической энергии (мощности) на розничном рынке электрической энергии (мощности) (84%)</w:t>
      </w:r>
    </w:p>
    <w:p w:rsidR="000D159A" w:rsidRPr="000420C6" w:rsidRDefault="000D159A" w:rsidP="000420C6">
      <w:pPr>
        <w:numPr>
          <w:ilvl w:val="0"/>
          <w:numId w:val="16"/>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0420C6">
        <w:rPr>
          <w:rFonts w:ascii="Times New Roman" w:eastAsia="Arial" w:hAnsi="Times New Roman" w:cs="Times New Roman"/>
          <w:color w:val="000000"/>
          <w:sz w:val="24"/>
          <w:szCs w:val="24"/>
          <w:lang w:eastAsia="ru-RU"/>
        </w:rPr>
        <w:t>Рынок услуг розничной торговли лекарственными препаратами, медицинскими изделиями и сопутствующими товарами (84%)</w:t>
      </w:r>
    </w:p>
    <w:p w:rsidR="000D159A" w:rsidRPr="000420C6" w:rsidRDefault="000D159A" w:rsidP="000420C6">
      <w:pPr>
        <w:numPr>
          <w:ilvl w:val="0"/>
          <w:numId w:val="16"/>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0420C6">
        <w:rPr>
          <w:rFonts w:ascii="Times New Roman" w:eastAsia="Arial" w:hAnsi="Times New Roman" w:cs="Times New Roman"/>
          <w:color w:val="000000"/>
          <w:sz w:val="24"/>
          <w:szCs w:val="24"/>
          <w:lang w:eastAsia="ru-RU"/>
        </w:rPr>
        <w:t>Рынок нефтепродуктов (84%)</w:t>
      </w:r>
    </w:p>
    <w:p w:rsidR="000D159A" w:rsidRPr="000420C6" w:rsidRDefault="000D159A" w:rsidP="000420C6">
      <w:pPr>
        <w:numPr>
          <w:ilvl w:val="0"/>
          <w:numId w:val="16"/>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0420C6">
        <w:rPr>
          <w:rFonts w:ascii="Times New Roman" w:eastAsia="Arial" w:hAnsi="Times New Roman" w:cs="Times New Roman"/>
          <w:color w:val="000000"/>
          <w:sz w:val="24"/>
          <w:szCs w:val="24"/>
          <w:lang w:eastAsia="ru-RU"/>
        </w:rPr>
        <w:t>Рынок оказания услуг по перевозке пассажиров и багажа легковым такси на территории Ленинградской области (84%)</w:t>
      </w:r>
    </w:p>
    <w:p w:rsidR="000D159A" w:rsidRPr="000420C6" w:rsidRDefault="000D159A" w:rsidP="000420C6">
      <w:pPr>
        <w:numPr>
          <w:ilvl w:val="0"/>
          <w:numId w:val="16"/>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0420C6">
        <w:rPr>
          <w:rFonts w:ascii="Times New Roman" w:eastAsia="Arial" w:hAnsi="Times New Roman" w:cs="Times New Roman"/>
          <w:color w:val="000000"/>
          <w:sz w:val="24"/>
          <w:szCs w:val="24"/>
          <w:lang w:eastAsia="ru-RU"/>
        </w:rPr>
        <w:t>Рынок семеноводства (80%)</w:t>
      </w:r>
    </w:p>
    <w:p w:rsidR="000D159A" w:rsidRPr="000420C6" w:rsidRDefault="000D159A" w:rsidP="000420C6">
      <w:pPr>
        <w:spacing w:after="0" w:line="360" w:lineRule="auto"/>
        <w:ind w:firstLine="709"/>
        <w:contextualSpacing/>
        <w:jc w:val="both"/>
        <w:rPr>
          <w:rFonts w:ascii="Times New Roman" w:eastAsia="Arial" w:hAnsi="Times New Roman" w:cs="Times New Roman"/>
          <w:color w:val="000000"/>
          <w:sz w:val="24"/>
          <w:szCs w:val="24"/>
          <w:lang w:eastAsia="ru-RU"/>
        </w:rPr>
      </w:pPr>
      <w:r w:rsidRPr="000420C6">
        <w:rPr>
          <w:rFonts w:ascii="Times New Roman" w:eastAsia="Arial" w:hAnsi="Times New Roman" w:cs="Times New Roman"/>
          <w:color w:val="000000"/>
          <w:sz w:val="24"/>
          <w:szCs w:val="24"/>
          <w:lang w:eastAsia="ru-RU"/>
        </w:rPr>
        <w:t xml:space="preserve">Максимальный показатель по параметру "избыточное присутствие" зафиксирован на рынке наружной рекламы (24% пользователей полагают, что организаций на данном рынке избыточно). </w:t>
      </w:r>
    </w:p>
    <w:p w:rsidR="000D159A" w:rsidRPr="000420C6" w:rsidRDefault="000D159A" w:rsidP="000420C6">
      <w:pPr>
        <w:spacing w:after="0" w:line="360" w:lineRule="auto"/>
        <w:ind w:firstLine="709"/>
        <w:contextualSpacing/>
        <w:jc w:val="both"/>
        <w:rPr>
          <w:rFonts w:ascii="Times New Roman" w:eastAsia="Arial" w:hAnsi="Times New Roman" w:cs="Times New Roman"/>
          <w:color w:val="000000"/>
          <w:sz w:val="24"/>
          <w:szCs w:val="24"/>
          <w:lang w:eastAsia="ru-RU"/>
        </w:rPr>
      </w:pPr>
      <w:r w:rsidRPr="000420C6">
        <w:rPr>
          <w:rFonts w:ascii="Times New Roman" w:eastAsia="Arial" w:hAnsi="Times New Roman" w:cs="Times New Roman"/>
          <w:color w:val="000000"/>
          <w:sz w:val="24"/>
          <w:szCs w:val="24"/>
          <w:lang w:eastAsia="ru-RU"/>
        </w:rPr>
        <w:t xml:space="preserve">Самые низкие показатели уровня конкуренции (менее 50%) выявлены у таких рынков, как: </w:t>
      </w:r>
    </w:p>
    <w:p w:rsidR="000D159A" w:rsidRPr="000420C6" w:rsidRDefault="000D159A" w:rsidP="000420C6">
      <w:pPr>
        <w:numPr>
          <w:ilvl w:val="0"/>
          <w:numId w:val="16"/>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0420C6">
        <w:rPr>
          <w:rFonts w:ascii="Times New Roman" w:eastAsia="Arial" w:hAnsi="Times New Roman" w:cs="Times New Roman"/>
          <w:color w:val="000000"/>
          <w:sz w:val="24"/>
          <w:szCs w:val="24"/>
          <w:lang w:eastAsia="ru-RU"/>
        </w:rPr>
        <w:t>Рынок товарной аквакультуры (46%)</w:t>
      </w:r>
    </w:p>
    <w:p w:rsidR="000D159A" w:rsidRPr="000420C6" w:rsidRDefault="000D159A" w:rsidP="000420C6">
      <w:pPr>
        <w:numPr>
          <w:ilvl w:val="0"/>
          <w:numId w:val="16"/>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0420C6">
        <w:rPr>
          <w:rFonts w:ascii="Times New Roman" w:eastAsia="Arial" w:hAnsi="Times New Roman" w:cs="Times New Roman"/>
          <w:color w:val="000000"/>
          <w:sz w:val="24"/>
          <w:szCs w:val="24"/>
          <w:lang w:eastAsia="ru-RU"/>
        </w:rPr>
        <w:t>Рынок услуг среднего профессионального образования (48%)</w:t>
      </w:r>
    </w:p>
    <w:p w:rsidR="000D159A" w:rsidRPr="000420C6" w:rsidRDefault="000D159A" w:rsidP="000420C6">
      <w:pPr>
        <w:numPr>
          <w:ilvl w:val="0"/>
          <w:numId w:val="16"/>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0420C6">
        <w:rPr>
          <w:rFonts w:ascii="Times New Roman" w:eastAsia="Arial" w:hAnsi="Times New Roman" w:cs="Times New Roman"/>
          <w:color w:val="000000"/>
          <w:sz w:val="24"/>
          <w:szCs w:val="24"/>
          <w:lang w:eastAsia="ru-RU"/>
        </w:rPr>
        <w:t>Рынок архитектурно-строительного проектирования (49%)</w:t>
      </w:r>
    </w:p>
    <w:p w:rsidR="000D159A" w:rsidRPr="000420C6" w:rsidRDefault="000D159A" w:rsidP="000420C6">
      <w:pPr>
        <w:spacing w:after="0" w:line="360" w:lineRule="auto"/>
        <w:ind w:firstLine="709"/>
        <w:contextualSpacing/>
        <w:jc w:val="both"/>
        <w:rPr>
          <w:rFonts w:ascii="Times New Roman" w:eastAsia="Arial" w:hAnsi="Times New Roman" w:cs="Times New Roman"/>
          <w:color w:val="000000"/>
          <w:sz w:val="24"/>
          <w:szCs w:val="24"/>
          <w:lang w:eastAsia="ru-RU"/>
        </w:rPr>
      </w:pPr>
      <w:r w:rsidRPr="000420C6">
        <w:rPr>
          <w:rFonts w:ascii="Times New Roman" w:eastAsia="Arial" w:hAnsi="Times New Roman" w:cs="Times New Roman"/>
          <w:color w:val="000000"/>
          <w:sz w:val="24"/>
          <w:szCs w:val="24"/>
          <w:lang w:eastAsia="ru-RU"/>
        </w:rPr>
        <w:t xml:space="preserve">Максимальный показатель по параметру "отсутствие организаций" отмечается на рынке жилищного строительства – 10% потребителей полагают, что таких организаций в их городе/районе нет совсем. </w:t>
      </w:r>
    </w:p>
    <w:p w:rsidR="000D159A" w:rsidRPr="000420C6" w:rsidRDefault="000D159A" w:rsidP="000420C6">
      <w:pPr>
        <w:spacing w:after="0" w:line="360" w:lineRule="auto"/>
        <w:ind w:firstLine="709"/>
        <w:jc w:val="both"/>
        <w:rPr>
          <w:rFonts w:ascii="Times New Roman" w:eastAsia="Times New Roman" w:hAnsi="Times New Roman" w:cs="Times New Roman"/>
          <w:color w:val="000000"/>
          <w:sz w:val="24"/>
          <w:szCs w:val="24"/>
          <w:lang w:eastAsia="ru-RU"/>
        </w:rPr>
      </w:pPr>
      <w:r w:rsidRPr="000420C6">
        <w:rPr>
          <w:rFonts w:ascii="Times New Roman" w:eastAsia="Times New Roman" w:hAnsi="Times New Roman" w:cs="Times New Roman"/>
          <w:b/>
          <w:bCs/>
          <w:color w:val="000000"/>
          <w:sz w:val="24"/>
          <w:szCs w:val="24"/>
          <w:lang w:eastAsia="ru-RU"/>
        </w:rPr>
        <w:t>Динамика состояния конкуренции</w:t>
      </w:r>
      <w:r w:rsidRPr="000420C6">
        <w:rPr>
          <w:rFonts w:ascii="Times New Roman" w:eastAsia="Times New Roman" w:hAnsi="Times New Roman" w:cs="Times New Roman"/>
          <w:color w:val="000000"/>
          <w:sz w:val="24"/>
          <w:szCs w:val="24"/>
          <w:lang w:eastAsia="ru-RU"/>
        </w:rPr>
        <w:t xml:space="preserve"> между продавцами товаров, работ и услуг в Ленинградской области оценивалась потребителями через изменение числа организаций, предоставляющих соответствующие товары, работы и услуги, за последние 3 года (увеличилось, снизилось, не изменилось). </w:t>
      </w:r>
    </w:p>
    <w:p w:rsidR="000D159A" w:rsidRPr="000D159A" w:rsidRDefault="000D159A" w:rsidP="000420C6">
      <w:pPr>
        <w:keepNext/>
        <w:keepLines/>
        <w:spacing w:before="120" w:after="120" w:line="240" w:lineRule="auto"/>
        <w:jc w:val="center"/>
        <w:rPr>
          <w:rFonts w:ascii="Times New Roman" w:eastAsia="Calibri" w:hAnsi="Times New Roman" w:cs="Times New Roman"/>
          <w:iCs/>
          <w:color w:val="000000"/>
          <w:sz w:val="24"/>
          <w:szCs w:val="28"/>
        </w:rPr>
      </w:pPr>
      <w:r w:rsidRPr="000D159A">
        <w:rPr>
          <w:rFonts w:ascii="Times New Roman" w:eastAsia="Calibri" w:hAnsi="Times New Roman" w:cs="Times New Roman"/>
          <w:iCs/>
          <w:color w:val="000000"/>
          <w:sz w:val="24"/>
          <w:szCs w:val="28"/>
        </w:rPr>
        <w:t xml:space="preserve">Рисунок </w:t>
      </w:r>
      <w:r w:rsidR="000420C6">
        <w:rPr>
          <w:rFonts w:ascii="Times New Roman" w:eastAsia="Calibri" w:hAnsi="Times New Roman" w:cs="Times New Roman"/>
          <w:iCs/>
          <w:color w:val="000000"/>
          <w:sz w:val="24"/>
          <w:szCs w:val="28"/>
        </w:rPr>
        <w:t>17</w:t>
      </w:r>
      <w:r w:rsidRPr="000D159A">
        <w:rPr>
          <w:rFonts w:ascii="Times New Roman" w:eastAsia="Calibri" w:hAnsi="Times New Roman" w:cs="Times New Roman"/>
          <w:iCs/>
          <w:color w:val="000000"/>
          <w:sz w:val="24"/>
          <w:szCs w:val="28"/>
        </w:rPr>
        <w:t>. Оценка динамики количества организаций, предоставляющих товары и услуги на исследуемых рынках Ленинградской области в целом</w:t>
      </w:r>
    </w:p>
    <w:p w:rsidR="000D159A" w:rsidRPr="000D159A" w:rsidRDefault="000D159A" w:rsidP="000D159A">
      <w:pPr>
        <w:spacing w:before="100" w:beforeAutospacing="1" w:after="100" w:afterAutospacing="1" w:line="240" w:lineRule="auto"/>
        <w:jc w:val="center"/>
        <w:rPr>
          <w:rFonts w:ascii="Times New Roman" w:eastAsia="Calibri" w:hAnsi="Times New Roman" w:cs="Times New Roman"/>
          <w:iCs/>
          <w:color w:val="000000"/>
          <w:sz w:val="24"/>
          <w:szCs w:val="28"/>
        </w:rPr>
      </w:pPr>
      <w:r w:rsidRPr="000D159A">
        <w:rPr>
          <w:rFonts w:ascii="Times New Roman" w:eastAsia="Calibri" w:hAnsi="Times New Roman" w:cs="Times New Roman"/>
          <w:b/>
          <w:iCs/>
          <w:noProof/>
          <w:color w:val="000000"/>
          <w:sz w:val="24"/>
          <w:szCs w:val="28"/>
          <w:lang w:eastAsia="ru-RU"/>
        </w:rPr>
        <w:drawing>
          <wp:inline distT="0" distB="0" distL="0" distR="0" wp14:anchorId="4D4A036B" wp14:editId="2B720FAA">
            <wp:extent cx="5372100" cy="2028825"/>
            <wp:effectExtent l="0" t="0" r="0" b="0"/>
            <wp:docPr id="96"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0D159A" w:rsidRPr="000D159A" w:rsidRDefault="000D159A" w:rsidP="000420C6">
      <w:pPr>
        <w:keepNext/>
        <w:keepLines/>
        <w:spacing w:before="120" w:after="120" w:line="240" w:lineRule="auto"/>
        <w:jc w:val="center"/>
        <w:rPr>
          <w:rFonts w:ascii="Times New Roman" w:eastAsia="Calibri" w:hAnsi="Times New Roman" w:cs="Times New Roman"/>
          <w:b/>
          <w:iCs/>
          <w:color w:val="000000"/>
          <w:sz w:val="24"/>
          <w:szCs w:val="28"/>
        </w:rPr>
      </w:pPr>
      <w:r w:rsidRPr="000D159A">
        <w:rPr>
          <w:rFonts w:ascii="Times New Roman" w:eastAsia="Calibri" w:hAnsi="Times New Roman" w:cs="Times New Roman"/>
          <w:iCs/>
          <w:color w:val="000000"/>
          <w:sz w:val="24"/>
          <w:szCs w:val="28"/>
        </w:rPr>
        <w:t xml:space="preserve">Рисунок </w:t>
      </w:r>
      <w:r w:rsidR="000420C6">
        <w:rPr>
          <w:rFonts w:ascii="Times New Roman" w:eastAsia="Calibri" w:hAnsi="Times New Roman" w:cs="Times New Roman"/>
          <w:iCs/>
          <w:color w:val="000000"/>
          <w:sz w:val="24"/>
          <w:szCs w:val="28"/>
        </w:rPr>
        <w:t>18</w:t>
      </w:r>
      <w:r w:rsidRPr="000D159A">
        <w:rPr>
          <w:rFonts w:ascii="Times New Roman" w:eastAsia="Calibri" w:hAnsi="Times New Roman" w:cs="Times New Roman"/>
          <w:iCs/>
          <w:color w:val="000000"/>
          <w:sz w:val="24"/>
          <w:szCs w:val="28"/>
        </w:rPr>
        <w:t>. Оценка динамики количества организаций, предоставляющих товары и услуги на исследуемых рынках Ленинградской области в целом, в разрезе по социальному статусу</w:t>
      </w:r>
    </w:p>
    <w:p w:rsidR="000D159A" w:rsidRPr="000D159A" w:rsidRDefault="000D159A" w:rsidP="000D159A">
      <w:pPr>
        <w:spacing w:before="100" w:beforeAutospacing="1" w:after="100" w:afterAutospacing="1" w:line="240" w:lineRule="auto"/>
        <w:jc w:val="center"/>
        <w:rPr>
          <w:rFonts w:ascii="Times New Roman" w:eastAsia="Calibri" w:hAnsi="Times New Roman" w:cs="Times New Roman"/>
          <w:iCs/>
          <w:color w:val="000000"/>
          <w:sz w:val="24"/>
          <w:szCs w:val="28"/>
        </w:rPr>
      </w:pPr>
      <w:r w:rsidRPr="000D159A">
        <w:rPr>
          <w:rFonts w:ascii="Times New Roman" w:eastAsia="Franklin Gothic Book" w:hAnsi="Times New Roman" w:cs="Times New Roman"/>
          <w:noProof/>
          <w:color w:val="000000"/>
          <w:szCs w:val="24"/>
          <w:u w:color="000000"/>
          <w:lang w:eastAsia="ru-RU"/>
        </w:rPr>
        <w:drawing>
          <wp:inline distT="0" distB="0" distL="0" distR="0" wp14:anchorId="51CFC6E5" wp14:editId="2B0E2CBD">
            <wp:extent cx="6390005" cy="4029075"/>
            <wp:effectExtent l="0" t="0" r="0" b="0"/>
            <wp:docPr id="97" name="Диаграмма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D159A" w:rsidRPr="000D159A" w:rsidRDefault="000D159A" w:rsidP="000D159A">
      <w:pPr>
        <w:spacing w:before="100" w:beforeAutospacing="1" w:after="100" w:afterAutospacing="1" w:line="240" w:lineRule="auto"/>
        <w:jc w:val="both"/>
        <w:rPr>
          <w:rFonts w:ascii="Times New Roman" w:eastAsia="Calibri" w:hAnsi="Times New Roman" w:cs="Times New Roman"/>
          <w:b/>
          <w:iCs/>
          <w:color w:val="000000"/>
          <w:sz w:val="24"/>
          <w:szCs w:val="28"/>
        </w:rPr>
      </w:pPr>
    </w:p>
    <w:p w:rsidR="000D159A" w:rsidRPr="000420C6" w:rsidRDefault="000D159A" w:rsidP="000D159A">
      <w:pPr>
        <w:spacing w:after="0" w:line="360" w:lineRule="auto"/>
        <w:ind w:firstLine="709"/>
        <w:jc w:val="both"/>
        <w:rPr>
          <w:rFonts w:ascii="Times New Roman" w:eastAsia="Times New Roman" w:hAnsi="Times New Roman" w:cs="Times New Roman"/>
          <w:color w:val="000000"/>
          <w:sz w:val="24"/>
          <w:szCs w:val="24"/>
          <w:lang w:eastAsia="ru-RU"/>
        </w:rPr>
      </w:pPr>
      <w:r w:rsidRPr="000420C6">
        <w:rPr>
          <w:rFonts w:ascii="Times New Roman" w:eastAsia="Times New Roman" w:hAnsi="Times New Roman" w:cs="Times New Roman"/>
          <w:b/>
          <w:color w:val="000000"/>
          <w:sz w:val="24"/>
          <w:szCs w:val="24"/>
          <w:lang w:eastAsia="ru-RU"/>
        </w:rPr>
        <w:t>Результаты, полученные в ходе исследования свидетельствуют о стабильной ситуации на товарных рынках Ленинградской области</w:t>
      </w:r>
      <w:r w:rsidRPr="000420C6">
        <w:rPr>
          <w:rFonts w:ascii="Times New Roman" w:eastAsia="Times New Roman" w:hAnsi="Times New Roman" w:cs="Times New Roman"/>
          <w:color w:val="000000"/>
          <w:sz w:val="24"/>
          <w:szCs w:val="24"/>
          <w:lang w:eastAsia="ru-RU"/>
        </w:rPr>
        <w:t xml:space="preserve">. Так, практически половина (47%) опрошенных жителей региона полагает, что уровень конкуренции за последние три года не изменился. Растущую динамику отметили 29% респондентов. О сокращении количества организаций, предоставляющих социально значимые товары и услуги на рынках Ленинградской области, высказались 12% участников исследования. </w:t>
      </w:r>
    </w:p>
    <w:p w:rsidR="000D159A" w:rsidRPr="000420C6" w:rsidRDefault="000D159A" w:rsidP="000D159A">
      <w:pPr>
        <w:spacing w:after="0" w:line="360" w:lineRule="auto"/>
        <w:ind w:firstLine="709"/>
        <w:jc w:val="both"/>
        <w:rPr>
          <w:rFonts w:ascii="Times New Roman" w:eastAsia="Times New Roman" w:hAnsi="Times New Roman" w:cs="Times New Roman"/>
          <w:color w:val="000000"/>
          <w:sz w:val="24"/>
          <w:szCs w:val="24"/>
          <w:lang w:eastAsia="ru-RU"/>
        </w:rPr>
      </w:pPr>
      <w:r w:rsidRPr="000420C6">
        <w:rPr>
          <w:rFonts w:ascii="Times New Roman" w:eastAsia="Times New Roman" w:hAnsi="Times New Roman" w:cs="Times New Roman"/>
          <w:color w:val="000000"/>
          <w:sz w:val="24"/>
          <w:szCs w:val="24"/>
          <w:lang w:eastAsia="ru-RU"/>
        </w:rPr>
        <w:t>В оценках представителей отдельных социальных групп наблюдаются определенные особенности:</w:t>
      </w:r>
    </w:p>
    <w:p w:rsidR="000D159A" w:rsidRPr="000420C6" w:rsidRDefault="000D159A" w:rsidP="000D159A">
      <w:pPr>
        <w:spacing w:after="0" w:line="360" w:lineRule="auto"/>
        <w:ind w:firstLine="709"/>
        <w:jc w:val="both"/>
        <w:rPr>
          <w:rFonts w:ascii="Times New Roman" w:eastAsia="Times New Roman" w:hAnsi="Times New Roman" w:cs="Times New Roman"/>
          <w:color w:val="000000"/>
          <w:sz w:val="24"/>
          <w:szCs w:val="24"/>
          <w:lang w:eastAsia="ru-RU"/>
        </w:rPr>
      </w:pPr>
      <w:r w:rsidRPr="000420C6">
        <w:rPr>
          <w:rFonts w:ascii="Times New Roman" w:eastAsia="Times New Roman" w:hAnsi="Times New Roman" w:cs="Times New Roman"/>
          <w:color w:val="000000"/>
          <w:sz w:val="24"/>
          <w:szCs w:val="24"/>
          <w:lang w:eastAsia="ru-RU"/>
        </w:rPr>
        <w:t>- пенсионеры в меньшей мере, чем представители других рассматриваемых категорий граждан, отмечают положительную динамику уровня конкуренции в области: в пользу увеличения количества организаций на товарных рынках высказалось чуть более пятой части (21%) опрошенных из данной целевой аудитории. Практически столько же (19%) затруднились оценить ситуацию.</w:t>
      </w:r>
    </w:p>
    <w:p w:rsidR="000D159A" w:rsidRPr="000420C6" w:rsidRDefault="000D159A" w:rsidP="000D159A">
      <w:pPr>
        <w:spacing w:after="0" w:line="360" w:lineRule="auto"/>
        <w:ind w:firstLine="709"/>
        <w:jc w:val="both"/>
        <w:rPr>
          <w:rFonts w:ascii="Times New Roman" w:eastAsia="Times New Roman" w:hAnsi="Times New Roman" w:cs="Times New Roman"/>
          <w:color w:val="000000"/>
          <w:sz w:val="24"/>
          <w:szCs w:val="24"/>
          <w:lang w:eastAsia="ru-RU"/>
        </w:rPr>
      </w:pPr>
      <w:r w:rsidRPr="000420C6">
        <w:rPr>
          <w:rFonts w:ascii="Times New Roman" w:eastAsia="Times New Roman" w:hAnsi="Times New Roman" w:cs="Times New Roman"/>
          <w:color w:val="000000"/>
          <w:sz w:val="24"/>
          <w:szCs w:val="24"/>
          <w:lang w:eastAsia="ru-RU"/>
        </w:rPr>
        <w:t>- стабильность ситуации на рассматриваемых рынках чаще отмечают предприниматели (61% из них полагают, что за последние три года уровень конкуренции не изменился).</w:t>
      </w:r>
    </w:p>
    <w:p w:rsidR="000D159A" w:rsidRPr="000420C6" w:rsidRDefault="000D159A" w:rsidP="000D159A">
      <w:pPr>
        <w:spacing w:after="0" w:line="360" w:lineRule="auto"/>
        <w:ind w:firstLine="709"/>
        <w:jc w:val="both"/>
        <w:rPr>
          <w:rFonts w:ascii="Times New Roman" w:eastAsia="Times New Roman" w:hAnsi="Times New Roman" w:cs="Times New Roman"/>
          <w:color w:val="000000"/>
          <w:sz w:val="24"/>
          <w:szCs w:val="24"/>
          <w:lang w:eastAsia="ru-RU"/>
        </w:rPr>
      </w:pPr>
      <w:r w:rsidRPr="000420C6">
        <w:rPr>
          <w:rFonts w:ascii="Times New Roman" w:eastAsia="Times New Roman" w:hAnsi="Times New Roman" w:cs="Times New Roman"/>
          <w:color w:val="000000"/>
          <w:sz w:val="24"/>
          <w:szCs w:val="24"/>
          <w:lang w:eastAsia="ru-RU"/>
        </w:rPr>
        <w:t>- растущую конкуренцию чаще других отмечали самозанятые граждане (37%, что выше, чем средние данные по Ленинградской области). Также достаточно часто о положительной динамике в сфере конкуренции заявляли студенты/учащиеся и домохозяйки (по 34% в каждой из категорий).</w:t>
      </w:r>
    </w:p>
    <w:p w:rsidR="000D159A" w:rsidRPr="00CB7713" w:rsidRDefault="000D159A" w:rsidP="000D159A">
      <w:pPr>
        <w:pStyle w:val="3"/>
        <w:spacing w:after="240"/>
        <w:jc w:val="center"/>
        <w:rPr>
          <w:rFonts w:ascii="Times New Roman" w:eastAsia="Arial" w:hAnsi="Times New Roman" w:cs="Times New Roman"/>
          <w:bCs w:val="0"/>
          <w:color w:val="000000"/>
          <w:sz w:val="24"/>
          <w:szCs w:val="24"/>
          <w:lang w:eastAsia="ru-RU"/>
        </w:rPr>
      </w:pPr>
      <w:r>
        <w:rPr>
          <w:rFonts w:ascii="Times New Roman" w:eastAsia="Arial" w:hAnsi="Times New Roman" w:cs="Times New Roman"/>
          <w:color w:val="000000"/>
          <w:sz w:val="28"/>
          <w:szCs w:val="28"/>
          <w:lang w:eastAsia="ru-RU"/>
        </w:rPr>
        <w:t xml:space="preserve">3.2.2. </w:t>
      </w:r>
      <w:r w:rsidRPr="00CB7713">
        <w:rPr>
          <w:rFonts w:ascii="Times New Roman" w:eastAsia="Arial" w:hAnsi="Times New Roman" w:cs="Times New Roman"/>
          <w:bCs w:val="0"/>
          <w:color w:val="000000"/>
          <w:sz w:val="24"/>
          <w:szCs w:val="24"/>
          <w:lang w:eastAsia="ru-RU"/>
        </w:rPr>
        <w:t>Об удовлетворенности потребителей (с учетом их социального статуса) соотношением цены и качества товаров, работ и услуг</w:t>
      </w:r>
    </w:p>
    <w:p w:rsidR="000D159A" w:rsidRPr="00CB7713" w:rsidRDefault="000D159A" w:rsidP="000D159A">
      <w:pPr>
        <w:spacing w:line="360" w:lineRule="auto"/>
        <w:ind w:firstLine="709"/>
        <w:jc w:val="both"/>
        <w:rPr>
          <w:rFonts w:ascii="Times New Roman" w:eastAsia="Times New Roman" w:hAnsi="Times New Roman" w:cs="Times New Roman"/>
          <w:color w:val="000000"/>
          <w:sz w:val="24"/>
          <w:szCs w:val="24"/>
          <w:lang w:eastAsia="ru-RU"/>
        </w:rPr>
      </w:pPr>
      <w:r w:rsidRPr="00CB7713">
        <w:rPr>
          <w:rFonts w:ascii="Times New Roman" w:eastAsia="Times New Roman" w:hAnsi="Times New Roman" w:cs="Times New Roman"/>
          <w:color w:val="000000"/>
          <w:sz w:val="24"/>
          <w:szCs w:val="24"/>
          <w:lang w:eastAsia="ru-RU"/>
        </w:rPr>
        <w:t>Население Ленинградской области в целом сдержанно оценивает ценовую политику организаций, действующих на изучаемых рынках. Средний уровень удовлетворенности составляет 56%. При этом оценки уровня качества реализуемых товаров и услуг существенно выше – 69% опрошенных отметили, что они удовлетворены или скорее удовлетворены по рассматриваемому параметру. Сводная оценка удовлетворенности ценой и качеством товаров и услуг на исследуемых рынках Ленинградской области в целом представлена на рисунке ниже.</w:t>
      </w:r>
    </w:p>
    <w:p w:rsidR="000D159A" w:rsidRPr="000D159A" w:rsidRDefault="000D159A" w:rsidP="00CB7713">
      <w:pPr>
        <w:keepNext/>
        <w:keepLines/>
        <w:spacing w:before="120" w:after="120" w:line="240" w:lineRule="auto"/>
        <w:jc w:val="center"/>
        <w:rPr>
          <w:rFonts w:ascii="Times New Roman" w:eastAsia="Calibri" w:hAnsi="Times New Roman" w:cs="Times New Roman"/>
          <w:color w:val="000000"/>
          <w:sz w:val="24"/>
          <w:szCs w:val="24"/>
        </w:rPr>
      </w:pPr>
      <w:r w:rsidRPr="000D159A">
        <w:rPr>
          <w:rFonts w:ascii="Times New Roman" w:eastAsia="Calibri" w:hAnsi="Times New Roman" w:cs="Times New Roman"/>
          <w:iCs/>
          <w:color w:val="000000"/>
          <w:sz w:val="24"/>
          <w:szCs w:val="28"/>
        </w:rPr>
        <w:t xml:space="preserve">Рисунок </w:t>
      </w:r>
      <w:r w:rsidR="00CB7713">
        <w:rPr>
          <w:rFonts w:ascii="Times New Roman" w:eastAsia="Calibri" w:hAnsi="Times New Roman" w:cs="Times New Roman"/>
          <w:iCs/>
          <w:color w:val="000000"/>
          <w:sz w:val="24"/>
          <w:szCs w:val="28"/>
        </w:rPr>
        <w:t>19</w:t>
      </w:r>
      <w:r w:rsidRPr="000D159A">
        <w:rPr>
          <w:rFonts w:ascii="Times New Roman" w:eastAsia="Calibri" w:hAnsi="Times New Roman" w:cs="Times New Roman"/>
          <w:iCs/>
          <w:color w:val="000000"/>
          <w:sz w:val="24"/>
          <w:szCs w:val="28"/>
        </w:rPr>
        <w:t>. Оценка удовлетворенности ценой и качеством товаров и услуг на исследуемых рынках Ленинградской области в целом</w:t>
      </w:r>
    </w:p>
    <w:p w:rsidR="000D159A" w:rsidRPr="000D159A" w:rsidRDefault="000D159A" w:rsidP="000D159A">
      <w:pPr>
        <w:spacing w:after="0" w:line="240" w:lineRule="auto"/>
        <w:jc w:val="both"/>
        <w:rPr>
          <w:rFonts w:ascii="Times New Roman" w:eastAsia="Times New Roman" w:hAnsi="Times New Roman" w:cs="Times New Roman"/>
          <w:b/>
          <w:color w:val="000000"/>
          <w:sz w:val="24"/>
          <w:szCs w:val="24"/>
          <w:u w:val="single"/>
          <w:lang w:eastAsia="ru-RU"/>
        </w:rPr>
      </w:pPr>
      <w:r w:rsidRPr="000D159A">
        <w:rPr>
          <w:rFonts w:ascii="Times New Roman" w:eastAsia="Franklin Gothic Book" w:hAnsi="Times New Roman" w:cs="Times New Roman"/>
          <w:noProof/>
          <w:color w:val="000000"/>
          <w:szCs w:val="24"/>
          <w:u w:color="000000"/>
          <w:lang w:eastAsia="ru-RU"/>
        </w:rPr>
        <w:drawing>
          <wp:inline distT="0" distB="0" distL="0" distR="0" wp14:anchorId="7610A2DC" wp14:editId="7744B712">
            <wp:extent cx="6390005" cy="1476375"/>
            <wp:effectExtent l="0" t="0" r="0" b="0"/>
            <wp:docPr id="98" name="Диаграмма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0D159A" w:rsidRPr="000D159A" w:rsidRDefault="000D159A" w:rsidP="000D159A">
      <w:pPr>
        <w:spacing w:after="0" w:line="240" w:lineRule="auto"/>
        <w:jc w:val="both"/>
        <w:rPr>
          <w:rFonts w:ascii="Times New Roman" w:eastAsia="Times New Roman" w:hAnsi="Times New Roman" w:cs="Times New Roman"/>
          <w:b/>
          <w:color w:val="000000"/>
          <w:sz w:val="24"/>
          <w:szCs w:val="24"/>
          <w:u w:val="single"/>
          <w:lang w:eastAsia="ru-RU"/>
        </w:rPr>
      </w:pPr>
    </w:p>
    <w:p w:rsidR="00435672" w:rsidRPr="00CB7713" w:rsidRDefault="00435672" w:rsidP="00435672">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CB7713">
        <w:rPr>
          <w:rFonts w:ascii="Times New Roman" w:eastAsia="Times New Roman" w:hAnsi="Times New Roman" w:cs="Times New Roman"/>
          <w:b/>
          <w:color w:val="000000"/>
          <w:sz w:val="24"/>
          <w:szCs w:val="24"/>
          <w:lang w:eastAsia="ru-RU"/>
        </w:rPr>
        <w:t>Более 80% потребителей на 24 из 35 рассматриваемых товарных рынков региона заявили о росте цен за последние 3 года.</w:t>
      </w:r>
      <w:r w:rsidRPr="00CB7713">
        <w:rPr>
          <w:rFonts w:ascii="Times New Roman" w:eastAsia="Times New Roman" w:hAnsi="Times New Roman" w:cs="Times New Roman"/>
          <w:color w:val="000000"/>
          <w:sz w:val="24"/>
          <w:szCs w:val="24"/>
          <w:lang w:eastAsia="ru-RU"/>
        </w:rPr>
        <w:t xml:space="preserve"> Особо остро эта тенденция фиксируется на рынке фармацевтической продукции (89%), медицинских услуг и теплоснабжения (по 88%). Чаще всего о стабильности цен заявляли получатели услуг общего образования (38% пользователей отметили, что уровень цен остался без изменений), социальных услуг (27%) и в сфере наружной рекламы (24%). Наиболее заметное снижение цен отметили потребители на рынке архитектурно-строительного проектирования (26% полагают, что цены на услуги на данном рынке снизились за последние 3 года).</w:t>
      </w:r>
    </w:p>
    <w:p w:rsidR="00435672" w:rsidRPr="00CB7713" w:rsidRDefault="00435672" w:rsidP="00435672">
      <w:pPr>
        <w:spacing w:line="360" w:lineRule="auto"/>
        <w:ind w:firstLine="709"/>
        <w:jc w:val="both"/>
        <w:rPr>
          <w:rFonts w:ascii="Times New Roman" w:eastAsia="Times New Roman" w:hAnsi="Times New Roman" w:cs="Times New Roman"/>
          <w:color w:val="000000"/>
          <w:sz w:val="24"/>
          <w:szCs w:val="24"/>
          <w:lang w:eastAsia="ru-RU"/>
        </w:rPr>
      </w:pPr>
      <w:r w:rsidRPr="00CB7713">
        <w:rPr>
          <w:rFonts w:ascii="Times New Roman" w:eastAsia="Times New Roman" w:hAnsi="Times New Roman" w:cs="Times New Roman"/>
          <w:b/>
          <w:color w:val="000000"/>
          <w:sz w:val="24"/>
          <w:szCs w:val="24"/>
          <w:lang w:eastAsia="ru-RU"/>
        </w:rPr>
        <w:t>Рост качества товаров и оказываемых услуг</w:t>
      </w:r>
      <w:r w:rsidRPr="00CB7713">
        <w:rPr>
          <w:rFonts w:ascii="Times New Roman" w:eastAsia="Times New Roman" w:hAnsi="Times New Roman" w:cs="Times New Roman"/>
          <w:color w:val="000000"/>
          <w:sz w:val="24"/>
          <w:szCs w:val="24"/>
          <w:lang w:eastAsia="ru-RU"/>
        </w:rPr>
        <w:t xml:space="preserve"> чаще фиксируется на таких рынках Ленинградской области, как производство кирпича (28%), дополнительное образование детей, услуги связи (по 27%), дошкольное образование и детский оздоровительный отдых (по 26%). </w:t>
      </w:r>
      <w:r w:rsidRPr="00CB7713">
        <w:rPr>
          <w:rFonts w:ascii="Times New Roman" w:eastAsia="Times New Roman" w:hAnsi="Times New Roman" w:cs="Times New Roman"/>
          <w:b/>
          <w:color w:val="000000"/>
          <w:sz w:val="24"/>
          <w:szCs w:val="24"/>
          <w:lang w:eastAsia="ru-RU"/>
        </w:rPr>
        <w:t>Снижение качества оказываемых услуг</w:t>
      </w:r>
      <w:r w:rsidRPr="00CB7713">
        <w:rPr>
          <w:rFonts w:ascii="Times New Roman" w:eastAsia="Times New Roman" w:hAnsi="Times New Roman" w:cs="Times New Roman"/>
          <w:color w:val="000000"/>
          <w:sz w:val="24"/>
          <w:szCs w:val="24"/>
          <w:lang w:eastAsia="ru-RU"/>
        </w:rPr>
        <w:t xml:space="preserve"> чаще отмечали пользователи услуг архитектурно-строительных бюро (40%), компаний жилищного строительства (33%), медицинских учреждений (31%), управляющих компаний в многоквартирных домах (28%), компаний по сбору и переработке ТКО (27%) и ЖКХ (26%). </w:t>
      </w:r>
    </w:p>
    <w:p w:rsidR="00F35D26" w:rsidRPr="00CB7713" w:rsidRDefault="00F35D26" w:rsidP="00F35D26">
      <w:pPr>
        <w:keepNext/>
        <w:keepLines/>
        <w:spacing w:before="40" w:after="240" w:line="240" w:lineRule="auto"/>
        <w:jc w:val="center"/>
        <w:outlineLvl w:val="2"/>
        <w:rPr>
          <w:rFonts w:ascii="Times New Roman" w:eastAsia="Arial" w:hAnsi="Times New Roman" w:cs="Times New Roman"/>
          <w:b/>
          <w:color w:val="000000"/>
          <w:sz w:val="24"/>
          <w:szCs w:val="24"/>
          <w:lang w:eastAsia="ru-RU"/>
        </w:rPr>
      </w:pPr>
      <w:r w:rsidRPr="00CB7713">
        <w:rPr>
          <w:rFonts w:ascii="Times New Roman" w:eastAsia="Arial" w:hAnsi="Times New Roman" w:cs="Times New Roman"/>
          <w:b/>
          <w:color w:val="000000"/>
          <w:sz w:val="24"/>
          <w:szCs w:val="24"/>
          <w:lang w:eastAsia="ru-RU"/>
        </w:rPr>
        <w:t>3.2.3. Об удовлетворенности респондентов (с учетом их социального статуса) ассортиментом товаров, работ и услуг на товарных рынках Ленинградской области, а также динамики изменения ассортимента товаров, работ и услуг за последние три года</w:t>
      </w:r>
    </w:p>
    <w:p w:rsidR="00F35D26" w:rsidRPr="00CB7713" w:rsidRDefault="00F35D26" w:rsidP="00F35D26">
      <w:pPr>
        <w:spacing w:after="0" w:line="360" w:lineRule="auto"/>
        <w:ind w:firstLine="709"/>
        <w:jc w:val="both"/>
        <w:rPr>
          <w:rFonts w:ascii="Times New Roman" w:eastAsia="Times New Roman" w:hAnsi="Times New Roman" w:cs="Times New Roman"/>
          <w:color w:val="000000"/>
          <w:sz w:val="24"/>
          <w:szCs w:val="24"/>
          <w:lang w:eastAsia="ru-RU"/>
        </w:rPr>
      </w:pPr>
      <w:r w:rsidRPr="00CB7713">
        <w:rPr>
          <w:rFonts w:ascii="Times New Roman" w:eastAsia="Times New Roman" w:hAnsi="Times New Roman" w:cs="Times New Roman"/>
          <w:color w:val="000000"/>
          <w:sz w:val="24"/>
          <w:szCs w:val="24"/>
          <w:lang w:eastAsia="ru-RU"/>
        </w:rPr>
        <w:t>Уровень удовлетворенности потребителей ассортиментом товаров, работ и услуг на товарных рынках Ленинградской области определялся на основе ответов населения региона на вопрос о имеющейся у них возможности выбора соответствующей продукции. Информация об уровне удовлетворенности респондентов по данному параметру в целом, в разрезах по каждому рынку и с учетом социального статуса респондентов, отражена на рисунках и в таблице ниже.</w:t>
      </w:r>
    </w:p>
    <w:p w:rsidR="00F35D26" w:rsidRPr="00F35D26" w:rsidRDefault="00CB7713" w:rsidP="00CB7713">
      <w:pPr>
        <w:keepNext/>
        <w:keepLines/>
        <w:spacing w:before="120" w:after="120" w:line="240" w:lineRule="auto"/>
        <w:jc w:val="center"/>
        <w:rPr>
          <w:rFonts w:ascii="Times New Roman" w:eastAsia="Calibri" w:hAnsi="Times New Roman" w:cs="Times New Roman"/>
          <w:iCs/>
          <w:color w:val="000000"/>
          <w:sz w:val="24"/>
          <w:szCs w:val="28"/>
        </w:rPr>
      </w:pPr>
      <w:r>
        <w:rPr>
          <w:rFonts w:ascii="Times New Roman" w:eastAsia="Calibri" w:hAnsi="Times New Roman" w:cs="Times New Roman"/>
          <w:iCs/>
          <w:color w:val="000000"/>
          <w:sz w:val="24"/>
          <w:szCs w:val="28"/>
        </w:rPr>
        <w:t>Рисунок 20</w:t>
      </w:r>
      <w:r w:rsidR="00F35D26" w:rsidRPr="00F35D26">
        <w:rPr>
          <w:rFonts w:ascii="Times New Roman" w:eastAsia="Calibri" w:hAnsi="Times New Roman" w:cs="Times New Roman"/>
          <w:iCs/>
          <w:color w:val="000000"/>
          <w:sz w:val="24"/>
          <w:szCs w:val="28"/>
        </w:rPr>
        <w:t>. Оценка удовлетворенности ассортиментом товаров, работ и услуг на исследуемых рынках Ленинградской области в целом</w:t>
      </w:r>
    </w:p>
    <w:p w:rsidR="00F35D26" w:rsidRPr="00F35D26" w:rsidRDefault="00F35D26" w:rsidP="00F35D26">
      <w:pPr>
        <w:spacing w:before="100" w:beforeAutospacing="1" w:after="100" w:afterAutospacing="1" w:line="240" w:lineRule="auto"/>
        <w:jc w:val="center"/>
        <w:rPr>
          <w:rFonts w:ascii="Times New Roman" w:eastAsia="Calibri" w:hAnsi="Times New Roman" w:cs="Times New Roman"/>
          <w:iCs/>
          <w:color w:val="000000"/>
          <w:sz w:val="24"/>
          <w:szCs w:val="28"/>
        </w:rPr>
      </w:pPr>
      <w:r w:rsidRPr="00F35D26">
        <w:rPr>
          <w:rFonts w:ascii="Times New Roman" w:eastAsia="Calibri" w:hAnsi="Times New Roman" w:cs="Times New Roman"/>
          <w:b/>
          <w:iCs/>
          <w:noProof/>
          <w:color w:val="000000"/>
          <w:sz w:val="24"/>
          <w:szCs w:val="28"/>
          <w:lang w:eastAsia="ru-RU"/>
        </w:rPr>
        <w:drawing>
          <wp:inline distT="0" distB="0" distL="0" distR="0" wp14:anchorId="40CA659D" wp14:editId="2FA900B8">
            <wp:extent cx="5343525" cy="1971675"/>
            <wp:effectExtent l="0" t="0" r="0" b="0"/>
            <wp:docPr id="99" name="Диаграмма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F35D26" w:rsidRPr="00F35D26" w:rsidRDefault="00F35D26" w:rsidP="00CB7713">
      <w:pPr>
        <w:keepNext/>
        <w:keepLines/>
        <w:spacing w:before="120" w:after="120" w:line="240" w:lineRule="auto"/>
        <w:jc w:val="center"/>
        <w:rPr>
          <w:rFonts w:ascii="Times New Roman" w:eastAsia="Calibri" w:hAnsi="Times New Roman" w:cs="Times New Roman"/>
          <w:color w:val="000000"/>
          <w:sz w:val="24"/>
          <w:szCs w:val="28"/>
        </w:rPr>
      </w:pPr>
      <w:r w:rsidRPr="00F35D26">
        <w:rPr>
          <w:rFonts w:ascii="Times New Roman" w:eastAsia="Calibri" w:hAnsi="Times New Roman" w:cs="Times New Roman"/>
          <w:iCs/>
          <w:color w:val="000000"/>
          <w:sz w:val="24"/>
          <w:szCs w:val="28"/>
        </w:rPr>
        <w:t xml:space="preserve">Таблица </w:t>
      </w:r>
      <w:r w:rsidR="00CB7713">
        <w:rPr>
          <w:rFonts w:ascii="Times New Roman" w:eastAsia="Calibri" w:hAnsi="Times New Roman" w:cs="Times New Roman"/>
          <w:iCs/>
          <w:color w:val="000000"/>
          <w:sz w:val="24"/>
          <w:szCs w:val="28"/>
        </w:rPr>
        <w:t>12. Уровень удовлетворенности</w:t>
      </w:r>
      <w:r w:rsidRPr="00F35D26">
        <w:rPr>
          <w:rFonts w:ascii="Times New Roman" w:eastAsia="Calibri" w:hAnsi="Times New Roman" w:cs="Times New Roman"/>
          <w:iCs/>
          <w:color w:val="000000"/>
          <w:sz w:val="24"/>
          <w:szCs w:val="28"/>
        </w:rPr>
        <w:t xml:space="preserve"> ассортиментом товаров, работ, услуг на товарных рынках в Ленинградской области</w:t>
      </w:r>
      <w:r w:rsidRPr="00F35D26">
        <w:rPr>
          <w:rFonts w:ascii="Times New Roman" w:eastAsia="Calibri" w:hAnsi="Times New Roman" w:cs="Times New Roman"/>
          <w:b/>
          <w:iCs/>
          <w:color w:val="000000"/>
          <w:sz w:val="24"/>
          <w:szCs w:val="28"/>
        </w:rPr>
        <w:t xml:space="preserve"> </w:t>
      </w:r>
      <w:r w:rsidRPr="00F35D26">
        <w:rPr>
          <w:rFonts w:ascii="Times New Roman" w:eastAsia="Calibri" w:hAnsi="Times New Roman" w:cs="Times New Roman"/>
          <w:noProof/>
          <w:color w:val="000000"/>
          <w:sz w:val="24"/>
          <w:szCs w:val="24"/>
        </w:rPr>
        <w:t xml:space="preserve">(опрос населения, </w:t>
      </w:r>
      <w:r w:rsidRPr="00F35D26">
        <w:rPr>
          <w:rFonts w:ascii="Times New Roman" w:eastAsia="Calibri" w:hAnsi="Times New Roman" w:cs="Times New Roman"/>
          <w:color w:val="000000"/>
          <w:sz w:val="24"/>
          <w:szCs w:val="24"/>
        </w:rPr>
        <w:t>n=1 200, в разрезе по социальному статусу)</w:t>
      </w:r>
    </w:p>
    <w:tbl>
      <w:tblPr>
        <w:tblW w:w="49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3187"/>
        <w:gridCol w:w="775"/>
        <w:gridCol w:w="781"/>
        <w:gridCol w:w="781"/>
        <w:gridCol w:w="777"/>
        <w:gridCol w:w="777"/>
        <w:gridCol w:w="777"/>
        <w:gridCol w:w="777"/>
        <w:gridCol w:w="746"/>
      </w:tblGrid>
      <w:tr w:rsidR="00F35D26" w:rsidRPr="00F35D26" w:rsidTr="00F35D26">
        <w:trPr>
          <w:cantSplit/>
          <w:trHeight w:val="2955"/>
          <w:tblHeader/>
        </w:trPr>
        <w:tc>
          <w:tcPr>
            <w:tcW w:w="424" w:type="pct"/>
            <w:shd w:val="clear" w:color="auto" w:fill="DAEEF3"/>
            <w:noWrap/>
            <w:vAlign w:val="center"/>
          </w:tcPr>
          <w:p w:rsidR="00F35D26" w:rsidRPr="00F35D26" w:rsidRDefault="00F35D26" w:rsidP="00F35D26">
            <w:pPr>
              <w:spacing w:after="0" w:line="240" w:lineRule="auto"/>
              <w:jc w:val="center"/>
              <w:rPr>
                <w:rFonts w:ascii="Times New Roman" w:eastAsia="Times New Roman" w:hAnsi="Times New Roman" w:cs="Times New Roman"/>
                <w:color w:val="000000"/>
                <w:lang w:eastAsia="ru-RU"/>
              </w:rPr>
            </w:pPr>
            <w:r w:rsidRPr="00F35D26">
              <w:rPr>
                <w:rFonts w:ascii="Times New Roman" w:eastAsia="Calibri" w:hAnsi="Times New Roman" w:cs="Times New Roman"/>
                <w:b/>
                <w:color w:val="000000"/>
              </w:rPr>
              <w:t>№ п/п</w:t>
            </w:r>
          </w:p>
        </w:tc>
        <w:tc>
          <w:tcPr>
            <w:tcW w:w="1555" w:type="pct"/>
            <w:shd w:val="clear" w:color="auto" w:fill="DAEEF3"/>
            <w:noWrap/>
            <w:vAlign w:val="center"/>
          </w:tcPr>
          <w:p w:rsidR="00F35D26" w:rsidRPr="00F35D26" w:rsidRDefault="00F35D26" w:rsidP="00F35D26">
            <w:pPr>
              <w:spacing w:after="0" w:line="240" w:lineRule="auto"/>
              <w:jc w:val="center"/>
              <w:rPr>
                <w:rFonts w:ascii="Times New Roman" w:eastAsia="Times New Roman" w:hAnsi="Times New Roman" w:cs="Times New Roman"/>
                <w:color w:val="000000"/>
                <w:lang w:eastAsia="ru-RU"/>
              </w:rPr>
            </w:pPr>
            <w:r w:rsidRPr="00F35D26">
              <w:rPr>
                <w:rFonts w:ascii="Times New Roman" w:eastAsia="Times New Roman" w:hAnsi="Times New Roman" w:cs="Times New Roman"/>
                <w:b/>
                <w:bCs/>
                <w:color w:val="000000"/>
                <w:lang w:eastAsia="ru-RU"/>
              </w:rPr>
              <w:t>Наименование рынка</w:t>
            </w:r>
          </w:p>
        </w:tc>
        <w:tc>
          <w:tcPr>
            <w:tcW w:w="378" w:type="pct"/>
            <w:shd w:val="clear" w:color="auto" w:fill="DAEEF3"/>
            <w:textDirection w:val="btLr"/>
            <w:vAlign w:val="center"/>
          </w:tcPr>
          <w:p w:rsidR="00F35D26" w:rsidRPr="00F35D26" w:rsidRDefault="00F35D26" w:rsidP="00F35D26">
            <w:pPr>
              <w:spacing w:after="0" w:line="240" w:lineRule="auto"/>
              <w:ind w:left="113" w:right="113"/>
              <w:jc w:val="center"/>
              <w:rPr>
                <w:rFonts w:ascii="Times New Roman" w:eastAsia="Times New Roman" w:hAnsi="Times New Roman" w:cs="Times New Roman"/>
                <w:b/>
                <w:bCs/>
                <w:color w:val="000000"/>
                <w:lang w:eastAsia="ru-RU"/>
              </w:rPr>
            </w:pPr>
            <w:r w:rsidRPr="00F35D26">
              <w:rPr>
                <w:rFonts w:ascii="Times New Roman" w:eastAsia="Times New Roman" w:hAnsi="Times New Roman" w:cs="Times New Roman"/>
                <w:b/>
                <w:bCs/>
                <w:color w:val="000000"/>
                <w:lang w:eastAsia="ru-RU"/>
              </w:rPr>
              <w:t xml:space="preserve">В среднем </w:t>
            </w:r>
          </w:p>
          <w:p w:rsidR="00F35D26" w:rsidRPr="00F35D26" w:rsidRDefault="00F35D26" w:rsidP="00F35D26">
            <w:pPr>
              <w:spacing w:after="0" w:line="240" w:lineRule="auto"/>
              <w:ind w:left="113" w:right="113"/>
              <w:jc w:val="center"/>
              <w:rPr>
                <w:rFonts w:ascii="Times New Roman" w:eastAsia="Times New Roman" w:hAnsi="Times New Roman" w:cs="Times New Roman"/>
                <w:b/>
                <w:bCs/>
                <w:color w:val="000000"/>
                <w:lang w:eastAsia="ru-RU"/>
              </w:rPr>
            </w:pPr>
            <w:r w:rsidRPr="00F35D26">
              <w:rPr>
                <w:rFonts w:ascii="Times New Roman" w:eastAsia="Times New Roman" w:hAnsi="Times New Roman" w:cs="Times New Roman"/>
                <w:b/>
                <w:bCs/>
                <w:color w:val="000000"/>
                <w:lang w:eastAsia="ru-RU"/>
              </w:rPr>
              <w:t>по Ленобласти</w:t>
            </w:r>
          </w:p>
        </w:tc>
        <w:tc>
          <w:tcPr>
            <w:tcW w:w="381" w:type="pct"/>
            <w:shd w:val="clear" w:color="auto" w:fill="DAEEF3"/>
            <w:textDirection w:val="btLr"/>
            <w:vAlign w:val="center"/>
          </w:tcPr>
          <w:p w:rsidR="00F35D26" w:rsidRPr="00F35D26" w:rsidRDefault="00F35D26" w:rsidP="00F35D26">
            <w:pPr>
              <w:spacing w:after="0" w:line="240" w:lineRule="auto"/>
              <w:ind w:left="113" w:right="113"/>
              <w:jc w:val="center"/>
              <w:rPr>
                <w:rFonts w:ascii="Times New Roman" w:eastAsia="Times New Roman" w:hAnsi="Times New Roman" w:cs="Times New Roman"/>
                <w:b/>
                <w:bCs/>
                <w:color w:val="000000"/>
                <w:lang w:eastAsia="ru-RU"/>
              </w:rPr>
            </w:pPr>
            <w:r w:rsidRPr="00F35D26">
              <w:rPr>
                <w:rFonts w:ascii="Times New Roman" w:eastAsia="Times New Roman" w:hAnsi="Times New Roman" w:cs="Times New Roman"/>
                <w:b/>
                <w:bCs/>
                <w:color w:val="000000"/>
                <w:lang w:eastAsia="ru-RU"/>
              </w:rPr>
              <w:t>Работаю</w:t>
            </w:r>
          </w:p>
        </w:tc>
        <w:tc>
          <w:tcPr>
            <w:tcW w:w="381" w:type="pct"/>
            <w:shd w:val="clear" w:color="auto" w:fill="DAEEF3"/>
            <w:textDirection w:val="btLr"/>
            <w:vAlign w:val="center"/>
          </w:tcPr>
          <w:p w:rsidR="00F35D26" w:rsidRPr="00F35D26" w:rsidRDefault="00F35D26" w:rsidP="00F35D26">
            <w:pPr>
              <w:spacing w:after="0" w:line="240" w:lineRule="auto"/>
              <w:ind w:left="113" w:right="113"/>
              <w:jc w:val="center"/>
              <w:rPr>
                <w:rFonts w:ascii="Times New Roman" w:eastAsia="Times New Roman" w:hAnsi="Times New Roman" w:cs="Times New Roman"/>
                <w:b/>
                <w:bCs/>
                <w:color w:val="000000"/>
                <w:lang w:eastAsia="ru-RU"/>
              </w:rPr>
            </w:pPr>
            <w:r w:rsidRPr="00F35D26">
              <w:rPr>
                <w:rFonts w:ascii="Times New Roman" w:eastAsia="Times New Roman" w:hAnsi="Times New Roman" w:cs="Times New Roman"/>
                <w:b/>
                <w:bCs/>
                <w:color w:val="000000"/>
                <w:lang w:eastAsia="ru-RU"/>
              </w:rPr>
              <w:t>Безработный(ая)</w:t>
            </w:r>
          </w:p>
        </w:tc>
        <w:tc>
          <w:tcPr>
            <w:tcW w:w="379" w:type="pct"/>
            <w:shd w:val="clear" w:color="auto" w:fill="DAEEF3"/>
            <w:textDirection w:val="btLr"/>
            <w:vAlign w:val="center"/>
          </w:tcPr>
          <w:p w:rsidR="00F35D26" w:rsidRPr="00F35D26" w:rsidRDefault="00F35D26" w:rsidP="00F35D26">
            <w:pPr>
              <w:spacing w:after="0" w:line="240" w:lineRule="auto"/>
              <w:ind w:left="113" w:right="113"/>
              <w:jc w:val="center"/>
              <w:rPr>
                <w:rFonts w:ascii="Times New Roman" w:eastAsia="Times New Roman" w:hAnsi="Times New Roman" w:cs="Times New Roman"/>
                <w:b/>
                <w:bCs/>
                <w:color w:val="000000"/>
                <w:lang w:eastAsia="ru-RU"/>
              </w:rPr>
            </w:pPr>
            <w:r w:rsidRPr="00F35D26">
              <w:rPr>
                <w:rFonts w:ascii="Times New Roman" w:eastAsia="Times New Roman" w:hAnsi="Times New Roman" w:cs="Times New Roman"/>
                <w:b/>
                <w:bCs/>
                <w:color w:val="000000"/>
                <w:lang w:eastAsia="ru-RU"/>
              </w:rPr>
              <w:t>Учусь/студент</w:t>
            </w:r>
          </w:p>
        </w:tc>
        <w:tc>
          <w:tcPr>
            <w:tcW w:w="379" w:type="pct"/>
            <w:shd w:val="clear" w:color="auto" w:fill="DAEEF3"/>
            <w:textDirection w:val="btLr"/>
            <w:vAlign w:val="center"/>
          </w:tcPr>
          <w:p w:rsidR="00F35D26" w:rsidRPr="00F35D26" w:rsidRDefault="00F35D26" w:rsidP="00F35D26">
            <w:pPr>
              <w:spacing w:after="0" w:line="240" w:lineRule="auto"/>
              <w:ind w:left="113" w:right="113"/>
              <w:jc w:val="center"/>
              <w:rPr>
                <w:rFonts w:ascii="Times New Roman" w:eastAsia="Times New Roman" w:hAnsi="Times New Roman" w:cs="Times New Roman"/>
                <w:b/>
                <w:bCs/>
                <w:color w:val="000000"/>
                <w:lang w:eastAsia="ru-RU"/>
              </w:rPr>
            </w:pPr>
            <w:r w:rsidRPr="00F35D26">
              <w:rPr>
                <w:rFonts w:ascii="Times New Roman" w:eastAsia="Times New Roman" w:hAnsi="Times New Roman" w:cs="Times New Roman"/>
                <w:b/>
                <w:bCs/>
                <w:color w:val="000000"/>
                <w:lang w:eastAsia="ru-RU"/>
              </w:rPr>
              <w:t xml:space="preserve">Домохозяйка </w:t>
            </w:r>
            <w:r w:rsidRPr="00F35D26">
              <w:rPr>
                <w:rFonts w:ascii="Times New Roman" w:eastAsia="Times New Roman" w:hAnsi="Times New Roman" w:cs="Times New Roman"/>
                <w:b/>
                <w:bCs/>
                <w:color w:val="000000"/>
                <w:lang w:eastAsia="ru-RU"/>
              </w:rPr>
              <w:br/>
              <w:t>(домохозяин)</w:t>
            </w:r>
          </w:p>
        </w:tc>
        <w:tc>
          <w:tcPr>
            <w:tcW w:w="379" w:type="pct"/>
            <w:shd w:val="clear" w:color="auto" w:fill="DAEEF3"/>
            <w:textDirection w:val="btLr"/>
            <w:vAlign w:val="center"/>
          </w:tcPr>
          <w:p w:rsidR="00F35D26" w:rsidRPr="00F35D26" w:rsidRDefault="00F35D26" w:rsidP="00F35D26">
            <w:pPr>
              <w:spacing w:after="0" w:line="240" w:lineRule="auto"/>
              <w:ind w:left="113" w:right="113"/>
              <w:jc w:val="center"/>
              <w:rPr>
                <w:rFonts w:ascii="Times New Roman" w:eastAsia="Times New Roman" w:hAnsi="Times New Roman" w:cs="Times New Roman"/>
                <w:b/>
                <w:bCs/>
                <w:color w:val="000000"/>
                <w:lang w:eastAsia="ru-RU"/>
              </w:rPr>
            </w:pPr>
            <w:r w:rsidRPr="00F35D26">
              <w:rPr>
                <w:rFonts w:ascii="Times New Roman" w:eastAsia="Times New Roman" w:hAnsi="Times New Roman" w:cs="Times New Roman"/>
                <w:b/>
                <w:bCs/>
                <w:color w:val="000000"/>
                <w:lang w:eastAsia="ru-RU"/>
              </w:rPr>
              <w:t>Пенсионер (в т.ч. по инвалидности)</w:t>
            </w:r>
          </w:p>
        </w:tc>
        <w:tc>
          <w:tcPr>
            <w:tcW w:w="379" w:type="pct"/>
            <w:shd w:val="clear" w:color="auto" w:fill="DAEEF3"/>
            <w:textDirection w:val="btLr"/>
            <w:vAlign w:val="center"/>
          </w:tcPr>
          <w:p w:rsidR="00F35D26" w:rsidRPr="00F35D26" w:rsidRDefault="00F35D26" w:rsidP="00F35D26">
            <w:pPr>
              <w:spacing w:after="0" w:line="240" w:lineRule="auto"/>
              <w:ind w:left="113" w:right="113"/>
              <w:jc w:val="center"/>
              <w:rPr>
                <w:rFonts w:ascii="Times New Roman" w:eastAsia="Times New Roman" w:hAnsi="Times New Roman" w:cs="Times New Roman"/>
                <w:b/>
                <w:bCs/>
                <w:color w:val="000000"/>
                <w:lang w:eastAsia="ru-RU"/>
              </w:rPr>
            </w:pPr>
            <w:r w:rsidRPr="00F35D26">
              <w:rPr>
                <w:rFonts w:ascii="Times New Roman" w:eastAsia="Times New Roman" w:hAnsi="Times New Roman" w:cs="Times New Roman"/>
                <w:b/>
                <w:bCs/>
                <w:color w:val="000000"/>
                <w:lang w:eastAsia="ru-RU"/>
              </w:rPr>
              <w:t>Самозанятый(ая)</w:t>
            </w:r>
          </w:p>
        </w:tc>
        <w:tc>
          <w:tcPr>
            <w:tcW w:w="364" w:type="pct"/>
            <w:shd w:val="clear" w:color="auto" w:fill="DAEEF3"/>
            <w:textDirection w:val="btLr"/>
            <w:vAlign w:val="center"/>
          </w:tcPr>
          <w:p w:rsidR="00F35D26" w:rsidRPr="00F35D26" w:rsidRDefault="00F35D26" w:rsidP="00F35D26">
            <w:pPr>
              <w:spacing w:after="0" w:line="240" w:lineRule="auto"/>
              <w:ind w:left="113" w:right="113"/>
              <w:jc w:val="center"/>
              <w:rPr>
                <w:rFonts w:ascii="Times New Roman" w:eastAsia="Times New Roman" w:hAnsi="Times New Roman" w:cs="Times New Roman"/>
                <w:b/>
                <w:bCs/>
                <w:color w:val="000000"/>
                <w:lang w:eastAsia="ru-RU"/>
              </w:rPr>
            </w:pPr>
            <w:r w:rsidRPr="00F35D26">
              <w:rPr>
                <w:rFonts w:ascii="Times New Roman" w:eastAsia="Times New Roman" w:hAnsi="Times New Roman" w:cs="Times New Roman"/>
                <w:b/>
                <w:bCs/>
                <w:color w:val="000000"/>
                <w:lang w:eastAsia="ru-RU"/>
              </w:rPr>
              <w:t>Предприниматель</w:t>
            </w:r>
          </w:p>
        </w:tc>
      </w:tr>
      <w:tr w:rsidR="00F35D26" w:rsidRPr="00F35D26" w:rsidTr="00F35D26">
        <w:trPr>
          <w:trHeight w:val="20"/>
        </w:trPr>
        <w:tc>
          <w:tcPr>
            <w:tcW w:w="424" w:type="pct"/>
            <w:shd w:val="clear" w:color="auto" w:fill="auto"/>
            <w:noWrap/>
            <w:vAlign w:val="center"/>
            <w:hideMark/>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color w:val="000000"/>
                <w:lang w:eastAsia="ru-RU"/>
              </w:rPr>
            </w:pPr>
            <w:r w:rsidRPr="00F35D26">
              <w:rPr>
                <w:rFonts w:ascii="Times New Roman" w:eastAsia="Times New Roman" w:hAnsi="Times New Roman" w:cs="Times New Roman"/>
                <w:color w:val="000000"/>
                <w:lang w:eastAsia="ru-RU"/>
              </w:rPr>
              <w:t>1</w:t>
            </w:r>
          </w:p>
        </w:tc>
        <w:tc>
          <w:tcPr>
            <w:tcW w:w="1555" w:type="pct"/>
            <w:shd w:val="clear" w:color="auto" w:fill="auto"/>
            <w:vAlign w:val="center"/>
          </w:tcPr>
          <w:p w:rsidR="00F35D26" w:rsidRPr="00F35D26" w:rsidRDefault="00F35D26" w:rsidP="00F35D26">
            <w:pPr>
              <w:spacing w:beforeLines="60" w:before="144" w:afterLines="60" w:after="144" w:line="269" w:lineRule="auto"/>
              <w:rPr>
                <w:rFonts w:ascii="Times New Roman" w:eastAsia="Times New Roman" w:hAnsi="Times New Roman" w:cs="Times New Roman"/>
                <w:color w:val="000000"/>
                <w:lang w:eastAsia="ru-RU"/>
              </w:rPr>
            </w:pPr>
            <w:r w:rsidRPr="00F35D26">
              <w:rPr>
                <w:rFonts w:ascii="Times New Roman" w:eastAsia="Calibri" w:hAnsi="Times New Roman" w:cs="Times New Roman"/>
                <w:bCs/>
                <w:color w:val="000000"/>
              </w:rPr>
              <w:t>Рынок услуг дошкольного образования</w:t>
            </w:r>
          </w:p>
        </w:tc>
        <w:tc>
          <w:tcPr>
            <w:tcW w:w="378" w:type="pct"/>
            <w:vAlign w:val="center"/>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bCs/>
                <w:color w:val="000000"/>
                <w:lang w:eastAsia="ru-RU"/>
              </w:rPr>
            </w:pPr>
            <w:r w:rsidRPr="00F35D26">
              <w:rPr>
                <w:rFonts w:ascii="Times New Roman" w:eastAsia="Calibri" w:hAnsi="Times New Roman" w:cs="Times New Roman"/>
                <w:color w:val="000000"/>
              </w:rPr>
              <w:t>70%</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73%</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57%</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100%</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67%</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61%</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51%</w:t>
            </w:r>
          </w:p>
        </w:tc>
        <w:tc>
          <w:tcPr>
            <w:tcW w:w="364"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70%</w:t>
            </w:r>
          </w:p>
        </w:tc>
      </w:tr>
      <w:tr w:rsidR="00F35D26" w:rsidRPr="00F35D26" w:rsidTr="00F35D26">
        <w:trPr>
          <w:trHeight w:val="20"/>
        </w:trPr>
        <w:tc>
          <w:tcPr>
            <w:tcW w:w="424" w:type="pct"/>
            <w:shd w:val="clear" w:color="auto" w:fill="auto"/>
            <w:noWrap/>
            <w:vAlign w:val="center"/>
            <w:hideMark/>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color w:val="000000"/>
                <w:lang w:eastAsia="ru-RU"/>
              </w:rPr>
            </w:pPr>
            <w:r w:rsidRPr="00F35D26">
              <w:rPr>
                <w:rFonts w:ascii="Times New Roman" w:eastAsia="Times New Roman" w:hAnsi="Times New Roman" w:cs="Times New Roman"/>
                <w:color w:val="000000"/>
                <w:lang w:eastAsia="ru-RU"/>
              </w:rPr>
              <w:t>2</w:t>
            </w:r>
          </w:p>
        </w:tc>
        <w:tc>
          <w:tcPr>
            <w:tcW w:w="1555" w:type="pct"/>
            <w:shd w:val="clear" w:color="auto" w:fill="auto"/>
            <w:vAlign w:val="center"/>
          </w:tcPr>
          <w:p w:rsidR="00F35D26" w:rsidRPr="00F35D26" w:rsidRDefault="00F35D26" w:rsidP="00F35D26">
            <w:pPr>
              <w:spacing w:beforeLines="60" w:before="144" w:afterLines="60" w:after="144" w:line="269" w:lineRule="auto"/>
              <w:rPr>
                <w:rFonts w:ascii="Times New Roman" w:eastAsia="Times New Roman" w:hAnsi="Times New Roman" w:cs="Times New Roman"/>
                <w:color w:val="000000"/>
                <w:lang w:eastAsia="ru-RU"/>
              </w:rPr>
            </w:pPr>
            <w:r w:rsidRPr="00F35D26">
              <w:rPr>
                <w:rFonts w:ascii="Times New Roman" w:eastAsia="Calibri" w:hAnsi="Times New Roman" w:cs="Times New Roman"/>
                <w:bCs/>
                <w:color w:val="000000"/>
              </w:rPr>
              <w:t>Рынок услуг общего образования</w:t>
            </w:r>
          </w:p>
        </w:tc>
        <w:tc>
          <w:tcPr>
            <w:tcW w:w="378" w:type="pct"/>
            <w:vAlign w:val="center"/>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bCs/>
                <w:color w:val="000000"/>
                <w:lang w:eastAsia="ru-RU"/>
              </w:rPr>
            </w:pPr>
            <w:r w:rsidRPr="00F35D26">
              <w:rPr>
                <w:rFonts w:ascii="Times New Roman" w:eastAsia="Calibri" w:hAnsi="Times New Roman" w:cs="Times New Roman"/>
                <w:color w:val="000000"/>
              </w:rPr>
              <w:t>69%</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69%</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75%</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79%</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59%</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75%</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61%</w:t>
            </w:r>
          </w:p>
        </w:tc>
        <w:tc>
          <w:tcPr>
            <w:tcW w:w="364"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63%</w:t>
            </w:r>
          </w:p>
        </w:tc>
      </w:tr>
      <w:tr w:rsidR="00F35D26" w:rsidRPr="00F35D26" w:rsidTr="00F35D26">
        <w:trPr>
          <w:trHeight w:val="20"/>
        </w:trPr>
        <w:tc>
          <w:tcPr>
            <w:tcW w:w="424" w:type="pct"/>
            <w:shd w:val="clear" w:color="auto" w:fill="auto"/>
            <w:noWrap/>
            <w:vAlign w:val="center"/>
            <w:hideMark/>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color w:val="000000"/>
                <w:lang w:eastAsia="ru-RU"/>
              </w:rPr>
            </w:pPr>
            <w:r w:rsidRPr="00F35D26">
              <w:rPr>
                <w:rFonts w:ascii="Times New Roman" w:eastAsia="Times New Roman" w:hAnsi="Times New Roman" w:cs="Times New Roman"/>
                <w:color w:val="000000"/>
                <w:lang w:eastAsia="ru-RU"/>
              </w:rPr>
              <w:t>3</w:t>
            </w:r>
          </w:p>
        </w:tc>
        <w:tc>
          <w:tcPr>
            <w:tcW w:w="1555" w:type="pct"/>
            <w:shd w:val="clear" w:color="auto" w:fill="auto"/>
            <w:vAlign w:val="center"/>
          </w:tcPr>
          <w:p w:rsidR="00F35D26" w:rsidRPr="00F35D26" w:rsidRDefault="00F35D26" w:rsidP="00F35D26">
            <w:pPr>
              <w:spacing w:beforeLines="60" w:before="144" w:afterLines="60" w:after="144" w:line="269" w:lineRule="auto"/>
              <w:rPr>
                <w:rFonts w:ascii="Times New Roman" w:eastAsia="Times New Roman" w:hAnsi="Times New Roman" w:cs="Times New Roman"/>
                <w:color w:val="000000"/>
                <w:lang w:eastAsia="ru-RU"/>
              </w:rPr>
            </w:pPr>
            <w:r w:rsidRPr="00F35D26">
              <w:rPr>
                <w:rFonts w:ascii="Times New Roman" w:eastAsia="Calibri" w:hAnsi="Times New Roman" w:cs="Times New Roman"/>
                <w:bCs/>
                <w:color w:val="000000"/>
              </w:rPr>
              <w:t>Рынок услуг среднего профессионального образования</w:t>
            </w:r>
          </w:p>
        </w:tc>
        <w:tc>
          <w:tcPr>
            <w:tcW w:w="378" w:type="pct"/>
            <w:vAlign w:val="center"/>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bCs/>
                <w:color w:val="000000"/>
                <w:lang w:eastAsia="ru-RU"/>
              </w:rPr>
            </w:pPr>
            <w:r w:rsidRPr="00F35D26">
              <w:rPr>
                <w:rFonts w:ascii="Times New Roman" w:eastAsia="Calibri" w:hAnsi="Times New Roman" w:cs="Times New Roman"/>
                <w:color w:val="000000"/>
              </w:rPr>
              <w:t>58%</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63%</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43%</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42%</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28%</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69%</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71%</w:t>
            </w:r>
          </w:p>
        </w:tc>
        <w:tc>
          <w:tcPr>
            <w:tcW w:w="364"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61%</w:t>
            </w:r>
          </w:p>
        </w:tc>
      </w:tr>
      <w:tr w:rsidR="00F35D26" w:rsidRPr="00F35D26" w:rsidTr="00F35D26">
        <w:trPr>
          <w:trHeight w:val="20"/>
        </w:trPr>
        <w:tc>
          <w:tcPr>
            <w:tcW w:w="424" w:type="pct"/>
            <w:shd w:val="clear" w:color="auto" w:fill="auto"/>
            <w:noWrap/>
            <w:vAlign w:val="center"/>
            <w:hideMark/>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color w:val="000000"/>
                <w:lang w:eastAsia="ru-RU"/>
              </w:rPr>
            </w:pPr>
            <w:r w:rsidRPr="00F35D26">
              <w:rPr>
                <w:rFonts w:ascii="Times New Roman" w:eastAsia="Times New Roman" w:hAnsi="Times New Roman" w:cs="Times New Roman"/>
                <w:color w:val="000000"/>
                <w:lang w:eastAsia="ru-RU"/>
              </w:rPr>
              <w:t>4</w:t>
            </w:r>
          </w:p>
        </w:tc>
        <w:tc>
          <w:tcPr>
            <w:tcW w:w="1555" w:type="pct"/>
            <w:shd w:val="clear" w:color="auto" w:fill="auto"/>
            <w:vAlign w:val="center"/>
          </w:tcPr>
          <w:p w:rsidR="00F35D26" w:rsidRPr="00F35D26" w:rsidRDefault="00F35D26" w:rsidP="00F35D26">
            <w:pPr>
              <w:spacing w:beforeLines="60" w:before="144" w:afterLines="60" w:after="144" w:line="269" w:lineRule="auto"/>
              <w:rPr>
                <w:rFonts w:ascii="Times New Roman" w:eastAsia="Times New Roman" w:hAnsi="Times New Roman" w:cs="Times New Roman"/>
                <w:color w:val="000000"/>
                <w:lang w:eastAsia="ru-RU"/>
              </w:rPr>
            </w:pPr>
            <w:r w:rsidRPr="00F35D26">
              <w:rPr>
                <w:rFonts w:ascii="Times New Roman" w:eastAsia="Calibri" w:hAnsi="Times New Roman" w:cs="Times New Roman"/>
                <w:bCs/>
                <w:color w:val="000000"/>
              </w:rPr>
              <w:t>Рынок услуг дополнительного образования детей</w:t>
            </w:r>
          </w:p>
        </w:tc>
        <w:tc>
          <w:tcPr>
            <w:tcW w:w="378" w:type="pct"/>
            <w:vAlign w:val="center"/>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bCs/>
                <w:color w:val="000000"/>
                <w:lang w:eastAsia="ru-RU"/>
              </w:rPr>
            </w:pPr>
            <w:r w:rsidRPr="00F35D26">
              <w:rPr>
                <w:rFonts w:ascii="Times New Roman" w:eastAsia="Calibri" w:hAnsi="Times New Roman" w:cs="Times New Roman"/>
                <w:color w:val="000000"/>
              </w:rPr>
              <w:t>73%</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73%</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71%</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91%</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50%</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92%</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52%</w:t>
            </w:r>
          </w:p>
        </w:tc>
        <w:tc>
          <w:tcPr>
            <w:tcW w:w="364"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62%</w:t>
            </w:r>
          </w:p>
        </w:tc>
      </w:tr>
      <w:tr w:rsidR="00F35D26" w:rsidRPr="00F35D26" w:rsidTr="00F35D26">
        <w:trPr>
          <w:trHeight w:val="20"/>
        </w:trPr>
        <w:tc>
          <w:tcPr>
            <w:tcW w:w="424" w:type="pct"/>
            <w:shd w:val="clear" w:color="auto" w:fill="auto"/>
            <w:noWrap/>
            <w:vAlign w:val="center"/>
            <w:hideMark/>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color w:val="000000"/>
                <w:lang w:eastAsia="ru-RU"/>
              </w:rPr>
            </w:pPr>
            <w:r w:rsidRPr="00F35D26">
              <w:rPr>
                <w:rFonts w:ascii="Times New Roman" w:eastAsia="Times New Roman" w:hAnsi="Times New Roman" w:cs="Times New Roman"/>
                <w:color w:val="000000"/>
                <w:lang w:eastAsia="ru-RU"/>
              </w:rPr>
              <w:t>5</w:t>
            </w:r>
          </w:p>
        </w:tc>
        <w:tc>
          <w:tcPr>
            <w:tcW w:w="1555" w:type="pct"/>
            <w:shd w:val="clear" w:color="auto" w:fill="auto"/>
            <w:vAlign w:val="center"/>
          </w:tcPr>
          <w:p w:rsidR="00F35D26" w:rsidRPr="00F35D26" w:rsidRDefault="00F35D26" w:rsidP="00F35D26">
            <w:pPr>
              <w:spacing w:beforeLines="60" w:before="144" w:afterLines="60" w:after="144" w:line="269" w:lineRule="auto"/>
              <w:rPr>
                <w:rFonts w:ascii="Times New Roman" w:eastAsia="Times New Roman" w:hAnsi="Times New Roman" w:cs="Times New Roman"/>
                <w:color w:val="000000"/>
                <w:lang w:eastAsia="ru-RU"/>
              </w:rPr>
            </w:pPr>
            <w:r w:rsidRPr="00F35D26">
              <w:rPr>
                <w:rFonts w:ascii="Times New Roman" w:eastAsia="Calibri" w:hAnsi="Times New Roman" w:cs="Times New Roman"/>
                <w:bCs/>
                <w:color w:val="000000"/>
              </w:rPr>
              <w:t>Рынок услуг детского отдыха и оздоровления</w:t>
            </w:r>
          </w:p>
        </w:tc>
        <w:tc>
          <w:tcPr>
            <w:tcW w:w="378" w:type="pct"/>
            <w:vAlign w:val="center"/>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bCs/>
                <w:color w:val="000000"/>
                <w:lang w:eastAsia="ru-RU"/>
              </w:rPr>
            </w:pPr>
            <w:r w:rsidRPr="00F35D26">
              <w:rPr>
                <w:rFonts w:ascii="Times New Roman" w:eastAsia="Calibri" w:hAnsi="Times New Roman" w:cs="Times New Roman"/>
                <w:color w:val="000000"/>
              </w:rPr>
              <w:t>63%</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68%</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69%</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82%</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45%</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33%</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44%</w:t>
            </w:r>
          </w:p>
        </w:tc>
        <w:tc>
          <w:tcPr>
            <w:tcW w:w="364"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68%</w:t>
            </w:r>
          </w:p>
        </w:tc>
      </w:tr>
      <w:tr w:rsidR="00F35D26" w:rsidRPr="00F35D26" w:rsidTr="00F35D26">
        <w:trPr>
          <w:trHeight w:val="20"/>
        </w:trPr>
        <w:tc>
          <w:tcPr>
            <w:tcW w:w="424" w:type="pct"/>
            <w:shd w:val="clear" w:color="auto" w:fill="auto"/>
            <w:noWrap/>
            <w:vAlign w:val="center"/>
            <w:hideMark/>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color w:val="000000"/>
                <w:lang w:eastAsia="ru-RU"/>
              </w:rPr>
            </w:pPr>
            <w:r w:rsidRPr="00F35D26">
              <w:rPr>
                <w:rFonts w:ascii="Times New Roman" w:eastAsia="Times New Roman" w:hAnsi="Times New Roman" w:cs="Times New Roman"/>
                <w:color w:val="000000"/>
                <w:lang w:eastAsia="ru-RU"/>
              </w:rPr>
              <w:t>6</w:t>
            </w:r>
          </w:p>
        </w:tc>
        <w:tc>
          <w:tcPr>
            <w:tcW w:w="1555" w:type="pct"/>
            <w:shd w:val="clear" w:color="auto" w:fill="auto"/>
            <w:vAlign w:val="center"/>
          </w:tcPr>
          <w:p w:rsidR="00F35D26" w:rsidRPr="00F35D26" w:rsidRDefault="00F35D26" w:rsidP="00F35D26">
            <w:pPr>
              <w:spacing w:beforeLines="60" w:before="144" w:afterLines="60" w:after="144" w:line="269" w:lineRule="auto"/>
              <w:rPr>
                <w:rFonts w:ascii="Times New Roman" w:eastAsia="Times New Roman" w:hAnsi="Times New Roman" w:cs="Times New Roman"/>
                <w:color w:val="000000"/>
                <w:lang w:eastAsia="ru-RU"/>
              </w:rPr>
            </w:pPr>
            <w:r w:rsidRPr="00F35D26">
              <w:rPr>
                <w:rFonts w:ascii="Times New Roman" w:eastAsia="Calibri" w:hAnsi="Times New Roman" w:cs="Times New Roman"/>
                <w:bCs/>
                <w:color w:val="000000"/>
              </w:rPr>
              <w:t>Рынок услуг розничной торговли лекарственными препаратами, медицинскими изделиями и сопутствующими товарами</w:t>
            </w:r>
          </w:p>
        </w:tc>
        <w:tc>
          <w:tcPr>
            <w:tcW w:w="378" w:type="pct"/>
            <w:vAlign w:val="center"/>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bCs/>
                <w:color w:val="000000"/>
                <w:lang w:eastAsia="ru-RU"/>
              </w:rPr>
            </w:pPr>
            <w:r w:rsidRPr="00F35D26">
              <w:rPr>
                <w:rFonts w:ascii="Times New Roman" w:eastAsia="Calibri" w:hAnsi="Times New Roman" w:cs="Times New Roman"/>
                <w:color w:val="000000"/>
              </w:rPr>
              <w:t>72%</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74%</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64%</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89%</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70%</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70%</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74%</w:t>
            </w:r>
          </w:p>
        </w:tc>
        <w:tc>
          <w:tcPr>
            <w:tcW w:w="364"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40%</w:t>
            </w:r>
          </w:p>
        </w:tc>
      </w:tr>
      <w:tr w:rsidR="00F35D26" w:rsidRPr="00F35D26" w:rsidTr="00F35D26">
        <w:trPr>
          <w:trHeight w:val="20"/>
        </w:trPr>
        <w:tc>
          <w:tcPr>
            <w:tcW w:w="424" w:type="pct"/>
            <w:shd w:val="clear" w:color="auto" w:fill="auto"/>
            <w:noWrap/>
            <w:vAlign w:val="center"/>
            <w:hideMark/>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color w:val="000000"/>
                <w:lang w:eastAsia="ru-RU"/>
              </w:rPr>
            </w:pPr>
            <w:r w:rsidRPr="00F35D26">
              <w:rPr>
                <w:rFonts w:ascii="Times New Roman" w:eastAsia="Times New Roman" w:hAnsi="Times New Roman" w:cs="Times New Roman"/>
                <w:color w:val="000000"/>
                <w:lang w:eastAsia="ru-RU"/>
              </w:rPr>
              <w:t>7</w:t>
            </w:r>
          </w:p>
        </w:tc>
        <w:tc>
          <w:tcPr>
            <w:tcW w:w="1555" w:type="pct"/>
            <w:shd w:val="clear" w:color="auto" w:fill="auto"/>
            <w:vAlign w:val="center"/>
          </w:tcPr>
          <w:p w:rsidR="00F35D26" w:rsidRPr="00F35D26" w:rsidRDefault="00F35D26" w:rsidP="00F35D26">
            <w:pPr>
              <w:spacing w:beforeLines="60" w:before="144" w:afterLines="60" w:after="144" w:line="269" w:lineRule="auto"/>
              <w:rPr>
                <w:rFonts w:ascii="Times New Roman" w:eastAsia="Times New Roman" w:hAnsi="Times New Roman" w:cs="Times New Roman"/>
                <w:color w:val="000000"/>
                <w:lang w:eastAsia="ru-RU"/>
              </w:rPr>
            </w:pPr>
            <w:r w:rsidRPr="00F35D26">
              <w:rPr>
                <w:rFonts w:ascii="Times New Roman" w:eastAsia="Calibri" w:hAnsi="Times New Roman" w:cs="Times New Roman"/>
                <w:bCs/>
                <w:color w:val="000000"/>
              </w:rPr>
              <w:t>Рынок социальных услуг</w:t>
            </w:r>
          </w:p>
        </w:tc>
        <w:tc>
          <w:tcPr>
            <w:tcW w:w="378" w:type="pct"/>
            <w:vAlign w:val="center"/>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bCs/>
                <w:color w:val="000000"/>
                <w:lang w:eastAsia="ru-RU"/>
              </w:rPr>
            </w:pPr>
            <w:r w:rsidRPr="00F35D26">
              <w:rPr>
                <w:rFonts w:ascii="Times New Roman" w:eastAsia="Calibri" w:hAnsi="Times New Roman" w:cs="Times New Roman"/>
                <w:color w:val="000000"/>
              </w:rPr>
              <w:t>60%</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62%</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62%</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67%</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54%</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61%</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52%</w:t>
            </w:r>
          </w:p>
        </w:tc>
        <w:tc>
          <w:tcPr>
            <w:tcW w:w="364"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54%</w:t>
            </w:r>
          </w:p>
        </w:tc>
      </w:tr>
      <w:tr w:rsidR="00F35D26" w:rsidRPr="00F35D26" w:rsidTr="00F35D26">
        <w:trPr>
          <w:trHeight w:val="20"/>
        </w:trPr>
        <w:tc>
          <w:tcPr>
            <w:tcW w:w="424" w:type="pct"/>
            <w:shd w:val="clear" w:color="auto" w:fill="auto"/>
            <w:noWrap/>
            <w:vAlign w:val="center"/>
            <w:hideMark/>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color w:val="000000"/>
                <w:lang w:eastAsia="ru-RU"/>
              </w:rPr>
            </w:pPr>
            <w:r w:rsidRPr="00F35D26">
              <w:rPr>
                <w:rFonts w:ascii="Times New Roman" w:eastAsia="Times New Roman" w:hAnsi="Times New Roman" w:cs="Times New Roman"/>
                <w:color w:val="000000"/>
                <w:lang w:eastAsia="ru-RU"/>
              </w:rPr>
              <w:t>8</w:t>
            </w:r>
          </w:p>
        </w:tc>
        <w:tc>
          <w:tcPr>
            <w:tcW w:w="1555" w:type="pct"/>
            <w:shd w:val="clear" w:color="auto" w:fill="auto"/>
            <w:vAlign w:val="center"/>
          </w:tcPr>
          <w:p w:rsidR="00F35D26" w:rsidRPr="00F35D26" w:rsidRDefault="00F35D26" w:rsidP="00F35D26">
            <w:pPr>
              <w:spacing w:beforeLines="60" w:before="144" w:afterLines="60" w:after="144" w:line="269" w:lineRule="auto"/>
              <w:rPr>
                <w:rFonts w:ascii="Times New Roman" w:eastAsia="Times New Roman" w:hAnsi="Times New Roman" w:cs="Times New Roman"/>
                <w:color w:val="000000"/>
                <w:lang w:eastAsia="ru-RU"/>
              </w:rPr>
            </w:pPr>
            <w:r w:rsidRPr="00F35D26">
              <w:rPr>
                <w:rFonts w:ascii="Times New Roman" w:eastAsia="Calibri" w:hAnsi="Times New Roman" w:cs="Times New Roman"/>
                <w:bCs/>
                <w:color w:val="000000"/>
              </w:rPr>
              <w:t>Рынок теплоснабжения (производство тепловой энергии)</w:t>
            </w:r>
          </w:p>
        </w:tc>
        <w:tc>
          <w:tcPr>
            <w:tcW w:w="378" w:type="pct"/>
            <w:vAlign w:val="center"/>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bCs/>
                <w:color w:val="000000"/>
                <w:lang w:eastAsia="ru-RU"/>
              </w:rPr>
            </w:pPr>
            <w:r w:rsidRPr="00F35D26">
              <w:rPr>
                <w:rFonts w:ascii="Times New Roman" w:eastAsia="Calibri" w:hAnsi="Times New Roman" w:cs="Times New Roman"/>
                <w:color w:val="000000"/>
              </w:rPr>
              <w:t>59%</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57%</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63%</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71%</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56%</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59%</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56%</w:t>
            </w:r>
          </w:p>
        </w:tc>
        <w:tc>
          <w:tcPr>
            <w:tcW w:w="364"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84%</w:t>
            </w:r>
          </w:p>
        </w:tc>
      </w:tr>
      <w:tr w:rsidR="00F35D26" w:rsidRPr="00F35D26" w:rsidTr="00F35D26">
        <w:trPr>
          <w:trHeight w:val="20"/>
        </w:trPr>
        <w:tc>
          <w:tcPr>
            <w:tcW w:w="424" w:type="pct"/>
            <w:shd w:val="clear" w:color="auto" w:fill="auto"/>
            <w:noWrap/>
            <w:vAlign w:val="center"/>
            <w:hideMark/>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color w:val="000000"/>
                <w:lang w:eastAsia="ru-RU"/>
              </w:rPr>
            </w:pPr>
            <w:r w:rsidRPr="00F35D26">
              <w:rPr>
                <w:rFonts w:ascii="Times New Roman" w:eastAsia="Times New Roman" w:hAnsi="Times New Roman" w:cs="Times New Roman"/>
                <w:color w:val="000000"/>
                <w:lang w:eastAsia="ru-RU"/>
              </w:rPr>
              <w:t>9</w:t>
            </w:r>
          </w:p>
        </w:tc>
        <w:tc>
          <w:tcPr>
            <w:tcW w:w="1555" w:type="pct"/>
            <w:shd w:val="clear" w:color="auto" w:fill="auto"/>
            <w:vAlign w:val="center"/>
          </w:tcPr>
          <w:p w:rsidR="00F35D26" w:rsidRPr="00F35D26" w:rsidRDefault="00F35D26" w:rsidP="00F35D26">
            <w:pPr>
              <w:spacing w:beforeLines="60" w:before="144" w:afterLines="60" w:after="144" w:line="269" w:lineRule="auto"/>
              <w:rPr>
                <w:rFonts w:ascii="Times New Roman" w:eastAsia="Times New Roman" w:hAnsi="Times New Roman" w:cs="Times New Roman"/>
                <w:color w:val="000000"/>
                <w:lang w:eastAsia="ru-RU"/>
              </w:rPr>
            </w:pPr>
            <w:r w:rsidRPr="00F35D26">
              <w:rPr>
                <w:rFonts w:ascii="Times New Roman" w:eastAsia="Calibri" w:hAnsi="Times New Roman" w:cs="Times New Roman"/>
                <w:bCs/>
                <w:color w:val="000000"/>
              </w:rPr>
              <w:t>Рынок услуг по сбору и транспортированию твердых коммунальных отходов</w:t>
            </w:r>
          </w:p>
        </w:tc>
        <w:tc>
          <w:tcPr>
            <w:tcW w:w="378" w:type="pct"/>
            <w:vAlign w:val="center"/>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bCs/>
                <w:color w:val="000000"/>
                <w:lang w:eastAsia="ru-RU"/>
              </w:rPr>
            </w:pPr>
            <w:r w:rsidRPr="00F35D26">
              <w:rPr>
                <w:rFonts w:ascii="Times New Roman" w:eastAsia="Calibri" w:hAnsi="Times New Roman" w:cs="Times New Roman"/>
                <w:color w:val="000000"/>
              </w:rPr>
              <w:t>50%</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45%</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58%</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53%</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39%</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60%</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53%</w:t>
            </w:r>
          </w:p>
        </w:tc>
        <w:tc>
          <w:tcPr>
            <w:tcW w:w="364"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46%</w:t>
            </w:r>
          </w:p>
        </w:tc>
      </w:tr>
      <w:tr w:rsidR="00F35D26" w:rsidRPr="00F35D26" w:rsidTr="00F35D26">
        <w:trPr>
          <w:trHeight w:val="20"/>
        </w:trPr>
        <w:tc>
          <w:tcPr>
            <w:tcW w:w="424" w:type="pct"/>
            <w:shd w:val="clear" w:color="auto" w:fill="auto"/>
            <w:noWrap/>
            <w:vAlign w:val="center"/>
            <w:hideMark/>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color w:val="000000"/>
                <w:lang w:eastAsia="ru-RU"/>
              </w:rPr>
            </w:pPr>
            <w:r w:rsidRPr="00F35D26">
              <w:rPr>
                <w:rFonts w:ascii="Times New Roman" w:eastAsia="Times New Roman" w:hAnsi="Times New Roman" w:cs="Times New Roman"/>
                <w:color w:val="000000"/>
                <w:lang w:eastAsia="ru-RU"/>
              </w:rPr>
              <w:t>10</w:t>
            </w:r>
          </w:p>
        </w:tc>
        <w:tc>
          <w:tcPr>
            <w:tcW w:w="1555" w:type="pct"/>
            <w:shd w:val="clear" w:color="auto" w:fill="auto"/>
            <w:vAlign w:val="center"/>
          </w:tcPr>
          <w:p w:rsidR="00F35D26" w:rsidRPr="00F35D26" w:rsidRDefault="00F35D26" w:rsidP="00F35D26">
            <w:pPr>
              <w:spacing w:beforeLines="60" w:before="144" w:afterLines="60" w:after="144" w:line="269" w:lineRule="auto"/>
              <w:rPr>
                <w:rFonts w:ascii="Times New Roman" w:eastAsia="Times New Roman" w:hAnsi="Times New Roman" w:cs="Times New Roman"/>
                <w:color w:val="000000"/>
                <w:lang w:eastAsia="ru-RU"/>
              </w:rPr>
            </w:pPr>
            <w:r w:rsidRPr="00F35D26">
              <w:rPr>
                <w:rFonts w:ascii="Times New Roman" w:eastAsia="Calibri" w:hAnsi="Times New Roman" w:cs="Times New Roman"/>
                <w:bCs/>
                <w:color w:val="000000"/>
              </w:rPr>
              <w:t>Рынок выполнения работ по содержанию и текущему ремонту общего имущества собственников помещений в многоквартирном доме</w:t>
            </w:r>
          </w:p>
        </w:tc>
        <w:tc>
          <w:tcPr>
            <w:tcW w:w="378" w:type="pct"/>
            <w:vAlign w:val="center"/>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bCs/>
                <w:color w:val="000000"/>
                <w:lang w:eastAsia="ru-RU"/>
              </w:rPr>
            </w:pPr>
            <w:r w:rsidRPr="00F35D26">
              <w:rPr>
                <w:rFonts w:ascii="Times New Roman" w:eastAsia="Calibri" w:hAnsi="Times New Roman" w:cs="Times New Roman"/>
                <w:color w:val="000000"/>
              </w:rPr>
              <w:t>38%</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37%</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38%</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91%</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27%</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40%</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27%</w:t>
            </w:r>
          </w:p>
        </w:tc>
        <w:tc>
          <w:tcPr>
            <w:tcW w:w="364"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58%</w:t>
            </w:r>
          </w:p>
        </w:tc>
      </w:tr>
      <w:tr w:rsidR="00F35D26" w:rsidRPr="00F35D26" w:rsidTr="00F35D26">
        <w:trPr>
          <w:trHeight w:val="20"/>
        </w:trPr>
        <w:tc>
          <w:tcPr>
            <w:tcW w:w="424" w:type="pct"/>
            <w:shd w:val="clear" w:color="auto" w:fill="auto"/>
            <w:noWrap/>
            <w:vAlign w:val="center"/>
            <w:hideMark/>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color w:val="000000"/>
                <w:lang w:eastAsia="ru-RU"/>
              </w:rPr>
            </w:pPr>
            <w:r w:rsidRPr="00F35D26">
              <w:rPr>
                <w:rFonts w:ascii="Times New Roman" w:eastAsia="Times New Roman" w:hAnsi="Times New Roman" w:cs="Times New Roman"/>
                <w:color w:val="000000"/>
                <w:lang w:eastAsia="ru-RU"/>
              </w:rPr>
              <w:t>11</w:t>
            </w:r>
          </w:p>
        </w:tc>
        <w:tc>
          <w:tcPr>
            <w:tcW w:w="1555" w:type="pct"/>
            <w:shd w:val="clear" w:color="auto" w:fill="auto"/>
            <w:vAlign w:val="center"/>
          </w:tcPr>
          <w:p w:rsidR="00F35D26" w:rsidRPr="00F35D26" w:rsidRDefault="00F35D26" w:rsidP="00F35D26">
            <w:pPr>
              <w:spacing w:beforeLines="60" w:before="144" w:afterLines="60" w:after="144" w:line="269" w:lineRule="auto"/>
              <w:rPr>
                <w:rFonts w:ascii="Times New Roman" w:eastAsia="Times New Roman" w:hAnsi="Times New Roman" w:cs="Times New Roman"/>
                <w:color w:val="000000"/>
                <w:lang w:eastAsia="ru-RU"/>
              </w:rPr>
            </w:pPr>
            <w:r w:rsidRPr="00F35D26">
              <w:rPr>
                <w:rFonts w:ascii="Times New Roman" w:eastAsia="Calibri" w:hAnsi="Times New Roman" w:cs="Times New Roman"/>
                <w:bCs/>
                <w:color w:val="000000"/>
              </w:rPr>
              <w:t>Рынок купли-продажи электрической энергии (мощности) на розничном рынке электрической энергии (мощности)</w:t>
            </w:r>
          </w:p>
        </w:tc>
        <w:tc>
          <w:tcPr>
            <w:tcW w:w="378" w:type="pct"/>
            <w:vAlign w:val="center"/>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bCs/>
                <w:color w:val="000000"/>
                <w:lang w:eastAsia="ru-RU"/>
              </w:rPr>
            </w:pPr>
            <w:r w:rsidRPr="00F35D26">
              <w:rPr>
                <w:rFonts w:ascii="Times New Roman" w:eastAsia="Calibri" w:hAnsi="Times New Roman" w:cs="Times New Roman"/>
                <w:color w:val="000000"/>
              </w:rPr>
              <w:t>69%</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67%</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66%</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65%</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62%</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79%</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65%</w:t>
            </w:r>
          </w:p>
        </w:tc>
        <w:tc>
          <w:tcPr>
            <w:tcW w:w="364"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80%</w:t>
            </w:r>
          </w:p>
        </w:tc>
      </w:tr>
      <w:tr w:rsidR="00F35D26" w:rsidRPr="00F35D26" w:rsidTr="00F35D26">
        <w:trPr>
          <w:trHeight w:val="20"/>
        </w:trPr>
        <w:tc>
          <w:tcPr>
            <w:tcW w:w="424" w:type="pct"/>
            <w:shd w:val="clear" w:color="auto" w:fill="auto"/>
            <w:noWrap/>
            <w:vAlign w:val="center"/>
            <w:hideMark/>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color w:val="000000"/>
                <w:lang w:eastAsia="ru-RU"/>
              </w:rPr>
            </w:pPr>
            <w:r w:rsidRPr="00F35D26">
              <w:rPr>
                <w:rFonts w:ascii="Times New Roman" w:eastAsia="Times New Roman" w:hAnsi="Times New Roman" w:cs="Times New Roman"/>
                <w:color w:val="000000"/>
                <w:lang w:eastAsia="ru-RU"/>
              </w:rPr>
              <w:t>12</w:t>
            </w:r>
          </w:p>
        </w:tc>
        <w:tc>
          <w:tcPr>
            <w:tcW w:w="1555" w:type="pct"/>
            <w:shd w:val="clear" w:color="auto" w:fill="auto"/>
            <w:vAlign w:val="center"/>
          </w:tcPr>
          <w:p w:rsidR="00F35D26" w:rsidRPr="00F35D26" w:rsidRDefault="00F35D26" w:rsidP="00F35D26">
            <w:pPr>
              <w:spacing w:beforeLines="60" w:before="144" w:afterLines="60" w:after="144" w:line="269" w:lineRule="auto"/>
              <w:rPr>
                <w:rFonts w:ascii="Times New Roman" w:eastAsia="Times New Roman" w:hAnsi="Times New Roman" w:cs="Times New Roman"/>
                <w:color w:val="000000"/>
                <w:lang w:eastAsia="ru-RU"/>
              </w:rPr>
            </w:pPr>
            <w:r w:rsidRPr="00F35D26">
              <w:rPr>
                <w:rFonts w:ascii="Times New Roman" w:eastAsia="Calibri" w:hAnsi="Times New Roman" w:cs="Times New Roman"/>
                <w:bCs/>
                <w:color w:val="000000"/>
              </w:rPr>
              <w:t>Рынок оказания услуг по перевозке пассажиров автомобильным транспортом по муниципальным маршрутам регулярных перевозок</w:t>
            </w:r>
          </w:p>
        </w:tc>
        <w:tc>
          <w:tcPr>
            <w:tcW w:w="378" w:type="pct"/>
            <w:vAlign w:val="center"/>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bCs/>
                <w:color w:val="000000"/>
                <w:lang w:eastAsia="ru-RU"/>
              </w:rPr>
            </w:pPr>
            <w:r w:rsidRPr="00F35D26">
              <w:rPr>
                <w:rFonts w:ascii="Times New Roman" w:eastAsia="Calibri" w:hAnsi="Times New Roman" w:cs="Times New Roman"/>
                <w:color w:val="000000"/>
              </w:rPr>
              <w:t>64%</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63%</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60%</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69%</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56%</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70%</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56%</w:t>
            </w:r>
          </w:p>
        </w:tc>
        <w:tc>
          <w:tcPr>
            <w:tcW w:w="364"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78%</w:t>
            </w:r>
          </w:p>
        </w:tc>
      </w:tr>
      <w:tr w:rsidR="00F35D26" w:rsidRPr="00F35D26" w:rsidTr="00F35D26">
        <w:trPr>
          <w:trHeight w:val="20"/>
        </w:trPr>
        <w:tc>
          <w:tcPr>
            <w:tcW w:w="424" w:type="pct"/>
            <w:shd w:val="clear" w:color="auto" w:fill="auto"/>
            <w:noWrap/>
            <w:vAlign w:val="center"/>
            <w:hideMark/>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color w:val="000000"/>
                <w:lang w:eastAsia="ru-RU"/>
              </w:rPr>
            </w:pPr>
            <w:r w:rsidRPr="00F35D26">
              <w:rPr>
                <w:rFonts w:ascii="Times New Roman" w:eastAsia="Times New Roman" w:hAnsi="Times New Roman" w:cs="Times New Roman"/>
                <w:color w:val="000000"/>
                <w:lang w:eastAsia="ru-RU"/>
              </w:rPr>
              <w:t>13</w:t>
            </w:r>
          </w:p>
        </w:tc>
        <w:tc>
          <w:tcPr>
            <w:tcW w:w="1555" w:type="pct"/>
            <w:shd w:val="clear" w:color="auto" w:fill="auto"/>
            <w:vAlign w:val="center"/>
          </w:tcPr>
          <w:p w:rsidR="00F35D26" w:rsidRPr="00F35D26" w:rsidRDefault="00F35D26" w:rsidP="00F35D26">
            <w:pPr>
              <w:spacing w:beforeLines="60" w:before="144" w:afterLines="60" w:after="144" w:line="269" w:lineRule="auto"/>
              <w:rPr>
                <w:rFonts w:ascii="Times New Roman" w:eastAsia="Times New Roman" w:hAnsi="Times New Roman" w:cs="Times New Roman"/>
                <w:color w:val="000000"/>
                <w:lang w:eastAsia="ru-RU"/>
              </w:rPr>
            </w:pPr>
            <w:r w:rsidRPr="00F35D26">
              <w:rPr>
                <w:rFonts w:ascii="Times New Roman" w:eastAsia="Calibri" w:hAnsi="Times New Roman" w:cs="Times New Roman"/>
                <w:bCs/>
                <w:color w:val="000000"/>
              </w:rPr>
              <w:t>Рынок оказания услуг по перевозке пассажиров автомобильным транспортом по межмуниципальным маршрутам регулярных перевозок</w:t>
            </w:r>
          </w:p>
        </w:tc>
        <w:tc>
          <w:tcPr>
            <w:tcW w:w="378" w:type="pct"/>
            <w:vAlign w:val="center"/>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bCs/>
                <w:color w:val="000000"/>
                <w:lang w:eastAsia="ru-RU"/>
              </w:rPr>
            </w:pPr>
            <w:r w:rsidRPr="00F35D26">
              <w:rPr>
                <w:rFonts w:ascii="Times New Roman" w:eastAsia="Calibri" w:hAnsi="Times New Roman" w:cs="Times New Roman"/>
                <w:color w:val="000000"/>
              </w:rPr>
              <w:t>63%</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64%</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64%</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59%</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54%</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61%</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52%</w:t>
            </w:r>
          </w:p>
        </w:tc>
        <w:tc>
          <w:tcPr>
            <w:tcW w:w="364"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81%</w:t>
            </w:r>
          </w:p>
        </w:tc>
      </w:tr>
      <w:tr w:rsidR="00F35D26" w:rsidRPr="00F35D26" w:rsidTr="00F35D26">
        <w:trPr>
          <w:trHeight w:val="20"/>
        </w:trPr>
        <w:tc>
          <w:tcPr>
            <w:tcW w:w="424" w:type="pct"/>
            <w:shd w:val="clear" w:color="auto" w:fill="auto"/>
            <w:noWrap/>
            <w:vAlign w:val="center"/>
            <w:hideMark/>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color w:val="000000"/>
                <w:lang w:eastAsia="ru-RU"/>
              </w:rPr>
            </w:pPr>
            <w:r w:rsidRPr="00F35D26">
              <w:rPr>
                <w:rFonts w:ascii="Times New Roman" w:eastAsia="Times New Roman" w:hAnsi="Times New Roman" w:cs="Times New Roman"/>
                <w:color w:val="000000"/>
                <w:lang w:eastAsia="ru-RU"/>
              </w:rPr>
              <w:t>14</w:t>
            </w:r>
          </w:p>
        </w:tc>
        <w:tc>
          <w:tcPr>
            <w:tcW w:w="1555" w:type="pct"/>
            <w:shd w:val="clear" w:color="auto" w:fill="auto"/>
            <w:vAlign w:val="center"/>
          </w:tcPr>
          <w:p w:rsidR="00F35D26" w:rsidRPr="00F35D26" w:rsidRDefault="00F35D26" w:rsidP="00F35D26">
            <w:pPr>
              <w:spacing w:beforeLines="60" w:before="144" w:afterLines="60" w:after="144" w:line="269" w:lineRule="auto"/>
              <w:rPr>
                <w:rFonts w:ascii="Times New Roman" w:eastAsia="Times New Roman" w:hAnsi="Times New Roman" w:cs="Times New Roman"/>
                <w:color w:val="000000"/>
                <w:lang w:eastAsia="ru-RU"/>
              </w:rPr>
            </w:pPr>
            <w:r w:rsidRPr="00F35D26">
              <w:rPr>
                <w:rFonts w:ascii="Times New Roman" w:eastAsia="Calibri" w:hAnsi="Times New Roman" w:cs="Times New Roman"/>
                <w:bCs/>
                <w:color w:val="000000"/>
              </w:rPr>
              <w:t>Рынок оказания услуг по перевозке пассажиров и багажа легковым такси на территории Ленинградской области</w:t>
            </w:r>
          </w:p>
        </w:tc>
        <w:tc>
          <w:tcPr>
            <w:tcW w:w="378" w:type="pct"/>
            <w:vAlign w:val="center"/>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bCs/>
                <w:color w:val="000000"/>
                <w:lang w:eastAsia="ru-RU"/>
              </w:rPr>
            </w:pPr>
            <w:r w:rsidRPr="00F35D26">
              <w:rPr>
                <w:rFonts w:ascii="Times New Roman" w:eastAsia="Calibri" w:hAnsi="Times New Roman" w:cs="Times New Roman"/>
                <w:color w:val="000000"/>
              </w:rPr>
              <w:t>78%</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78%</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80%</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75%</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77%</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82%</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66%</w:t>
            </w:r>
          </w:p>
        </w:tc>
        <w:tc>
          <w:tcPr>
            <w:tcW w:w="364"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87%</w:t>
            </w:r>
          </w:p>
        </w:tc>
      </w:tr>
      <w:tr w:rsidR="00F35D26" w:rsidRPr="00F35D26" w:rsidTr="00F35D26">
        <w:trPr>
          <w:trHeight w:val="20"/>
        </w:trPr>
        <w:tc>
          <w:tcPr>
            <w:tcW w:w="424" w:type="pct"/>
            <w:shd w:val="clear" w:color="auto" w:fill="auto"/>
            <w:noWrap/>
            <w:vAlign w:val="center"/>
            <w:hideMark/>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color w:val="000000"/>
                <w:lang w:eastAsia="ru-RU"/>
              </w:rPr>
            </w:pPr>
            <w:r w:rsidRPr="00F35D26">
              <w:rPr>
                <w:rFonts w:ascii="Times New Roman" w:eastAsia="Times New Roman" w:hAnsi="Times New Roman" w:cs="Times New Roman"/>
                <w:color w:val="000000"/>
                <w:lang w:eastAsia="ru-RU"/>
              </w:rPr>
              <w:t>15</w:t>
            </w:r>
          </w:p>
        </w:tc>
        <w:tc>
          <w:tcPr>
            <w:tcW w:w="1555" w:type="pct"/>
            <w:shd w:val="clear" w:color="auto" w:fill="auto"/>
            <w:vAlign w:val="center"/>
          </w:tcPr>
          <w:p w:rsidR="00F35D26" w:rsidRPr="00F35D26" w:rsidRDefault="00F35D26" w:rsidP="00F35D26">
            <w:pPr>
              <w:spacing w:beforeLines="60" w:before="144" w:afterLines="60" w:after="144" w:line="269" w:lineRule="auto"/>
              <w:rPr>
                <w:rFonts w:ascii="Times New Roman" w:eastAsia="Times New Roman" w:hAnsi="Times New Roman" w:cs="Times New Roman"/>
                <w:color w:val="000000"/>
                <w:lang w:eastAsia="ru-RU"/>
              </w:rPr>
            </w:pPr>
            <w:r w:rsidRPr="00F35D26">
              <w:rPr>
                <w:rFonts w:ascii="Times New Roman" w:eastAsia="Calibri" w:hAnsi="Times New Roman" w:cs="Times New Roman"/>
                <w:bCs/>
                <w:color w:val="000000"/>
              </w:rPr>
              <w:t>Рынок оказания услуг по ремонту автотранспортных средств</w:t>
            </w:r>
          </w:p>
        </w:tc>
        <w:tc>
          <w:tcPr>
            <w:tcW w:w="378" w:type="pct"/>
            <w:vAlign w:val="center"/>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bCs/>
                <w:color w:val="000000"/>
                <w:lang w:eastAsia="ru-RU"/>
              </w:rPr>
            </w:pPr>
            <w:r w:rsidRPr="00F35D26">
              <w:rPr>
                <w:rFonts w:ascii="Times New Roman" w:eastAsia="Calibri" w:hAnsi="Times New Roman" w:cs="Times New Roman"/>
                <w:color w:val="000000"/>
              </w:rPr>
              <w:t>70%</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71%</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48%</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58%</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52%</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69%</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86%</w:t>
            </w:r>
          </w:p>
        </w:tc>
        <w:tc>
          <w:tcPr>
            <w:tcW w:w="364"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76%</w:t>
            </w:r>
          </w:p>
        </w:tc>
      </w:tr>
      <w:tr w:rsidR="00F35D26" w:rsidRPr="00F35D26" w:rsidTr="00F35D26">
        <w:trPr>
          <w:trHeight w:val="20"/>
        </w:trPr>
        <w:tc>
          <w:tcPr>
            <w:tcW w:w="424" w:type="pct"/>
            <w:shd w:val="clear" w:color="auto" w:fill="auto"/>
            <w:noWrap/>
            <w:vAlign w:val="center"/>
            <w:hideMark/>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color w:val="000000"/>
                <w:lang w:eastAsia="ru-RU"/>
              </w:rPr>
            </w:pPr>
            <w:r w:rsidRPr="00F35D26">
              <w:rPr>
                <w:rFonts w:ascii="Times New Roman" w:eastAsia="Times New Roman" w:hAnsi="Times New Roman" w:cs="Times New Roman"/>
                <w:color w:val="000000"/>
                <w:lang w:eastAsia="ru-RU"/>
              </w:rPr>
              <w:t>16</w:t>
            </w:r>
          </w:p>
        </w:tc>
        <w:tc>
          <w:tcPr>
            <w:tcW w:w="1555" w:type="pct"/>
            <w:shd w:val="clear" w:color="auto" w:fill="auto"/>
            <w:vAlign w:val="center"/>
          </w:tcPr>
          <w:p w:rsidR="00F35D26" w:rsidRPr="00F35D26" w:rsidRDefault="00F35D26" w:rsidP="00F35D26">
            <w:pPr>
              <w:spacing w:beforeLines="60" w:before="144" w:afterLines="60" w:after="144" w:line="269" w:lineRule="auto"/>
              <w:rPr>
                <w:rFonts w:ascii="Times New Roman" w:eastAsia="Times New Roman" w:hAnsi="Times New Roman" w:cs="Times New Roman"/>
                <w:color w:val="000000"/>
                <w:lang w:eastAsia="ru-RU"/>
              </w:rPr>
            </w:pPr>
            <w:r w:rsidRPr="00F35D26">
              <w:rPr>
                <w:rFonts w:ascii="Times New Roman" w:eastAsia="Calibri" w:hAnsi="Times New Roman" w:cs="Times New Roman"/>
                <w:bCs/>
                <w:color w:val="000000"/>
              </w:rPr>
              <w:t>Рынок услуг связи, в том числе услуг по предоставлению широкополосного доступа к информационно-телекоммуникационной сети "Интернет"</w:t>
            </w:r>
          </w:p>
        </w:tc>
        <w:tc>
          <w:tcPr>
            <w:tcW w:w="378" w:type="pct"/>
            <w:vAlign w:val="center"/>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bCs/>
                <w:color w:val="000000"/>
                <w:lang w:eastAsia="ru-RU"/>
              </w:rPr>
            </w:pPr>
            <w:r w:rsidRPr="00F35D26">
              <w:rPr>
                <w:rFonts w:ascii="Times New Roman" w:eastAsia="Calibri" w:hAnsi="Times New Roman" w:cs="Times New Roman"/>
                <w:color w:val="000000"/>
              </w:rPr>
              <w:t>80%</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79%</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77%</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70%</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72%</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85%</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80%</w:t>
            </w:r>
          </w:p>
        </w:tc>
        <w:tc>
          <w:tcPr>
            <w:tcW w:w="364"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88%</w:t>
            </w:r>
          </w:p>
        </w:tc>
      </w:tr>
      <w:tr w:rsidR="00F35D26" w:rsidRPr="00F35D26" w:rsidTr="00F35D26">
        <w:trPr>
          <w:trHeight w:val="20"/>
        </w:trPr>
        <w:tc>
          <w:tcPr>
            <w:tcW w:w="424" w:type="pct"/>
            <w:shd w:val="clear" w:color="auto" w:fill="auto"/>
            <w:noWrap/>
            <w:vAlign w:val="center"/>
            <w:hideMark/>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color w:val="000000"/>
                <w:lang w:eastAsia="ru-RU"/>
              </w:rPr>
            </w:pPr>
            <w:r w:rsidRPr="00F35D26">
              <w:rPr>
                <w:rFonts w:ascii="Times New Roman" w:eastAsia="Times New Roman" w:hAnsi="Times New Roman" w:cs="Times New Roman"/>
                <w:color w:val="000000"/>
                <w:lang w:eastAsia="ru-RU"/>
              </w:rPr>
              <w:t>17</w:t>
            </w:r>
          </w:p>
        </w:tc>
        <w:tc>
          <w:tcPr>
            <w:tcW w:w="1555" w:type="pct"/>
            <w:shd w:val="clear" w:color="auto" w:fill="auto"/>
            <w:vAlign w:val="center"/>
          </w:tcPr>
          <w:p w:rsidR="00F35D26" w:rsidRPr="00F35D26" w:rsidRDefault="00F35D26" w:rsidP="00F35D26">
            <w:pPr>
              <w:spacing w:beforeLines="60" w:before="144" w:afterLines="60" w:after="144" w:line="269" w:lineRule="auto"/>
              <w:rPr>
                <w:rFonts w:ascii="Times New Roman" w:eastAsia="Times New Roman" w:hAnsi="Times New Roman" w:cs="Times New Roman"/>
                <w:color w:val="000000"/>
                <w:lang w:eastAsia="ru-RU"/>
              </w:rPr>
            </w:pPr>
            <w:r w:rsidRPr="00F35D26">
              <w:rPr>
                <w:rFonts w:ascii="Times New Roman" w:eastAsia="Calibri" w:hAnsi="Times New Roman" w:cs="Times New Roman"/>
                <w:bCs/>
                <w:color w:val="000000"/>
              </w:rPr>
              <w:t>Рынок жилищного строительства</w:t>
            </w:r>
          </w:p>
        </w:tc>
        <w:tc>
          <w:tcPr>
            <w:tcW w:w="378" w:type="pct"/>
            <w:vAlign w:val="center"/>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bCs/>
                <w:color w:val="000000"/>
                <w:lang w:eastAsia="ru-RU"/>
              </w:rPr>
            </w:pPr>
            <w:r w:rsidRPr="00F35D26">
              <w:rPr>
                <w:rFonts w:ascii="Times New Roman" w:eastAsia="Calibri" w:hAnsi="Times New Roman" w:cs="Times New Roman"/>
                <w:color w:val="000000"/>
              </w:rPr>
              <w:t>60%</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55%</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100%</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100%</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41%</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64%</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33%</w:t>
            </w:r>
          </w:p>
        </w:tc>
        <w:tc>
          <w:tcPr>
            <w:tcW w:w="364"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69%</w:t>
            </w:r>
          </w:p>
        </w:tc>
      </w:tr>
      <w:tr w:rsidR="00F35D26" w:rsidRPr="00F35D26" w:rsidTr="00F35D26">
        <w:trPr>
          <w:trHeight w:val="20"/>
        </w:trPr>
        <w:tc>
          <w:tcPr>
            <w:tcW w:w="424" w:type="pct"/>
            <w:shd w:val="clear" w:color="auto" w:fill="auto"/>
            <w:noWrap/>
            <w:vAlign w:val="center"/>
            <w:hideMark/>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color w:val="000000"/>
                <w:lang w:eastAsia="ru-RU"/>
              </w:rPr>
            </w:pPr>
            <w:r w:rsidRPr="00F35D26">
              <w:rPr>
                <w:rFonts w:ascii="Times New Roman" w:eastAsia="Times New Roman" w:hAnsi="Times New Roman" w:cs="Times New Roman"/>
                <w:color w:val="000000"/>
                <w:lang w:eastAsia="ru-RU"/>
              </w:rPr>
              <w:t>18</w:t>
            </w:r>
          </w:p>
        </w:tc>
        <w:tc>
          <w:tcPr>
            <w:tcW w:w="1555" w:type="pct"/>
            <w:shd w:val="clear" w:color="auto" w:fill="auto"/>
            <w:vAlign w:val="center"/>
          </w:tcPr>
          <w:p w:rsidR="00F35D26" w:rsidRPr="00F35D26" w:rsidRDefault="00F35D26" w:rsidP="00F35D26">
            <w:pPr>
              <w:spacing w:beforeLines="60" w:before="144" w:afterLines="60" w:after="144" w:line="269" w:lineRule="auto"/>
              <w:rPr>
                <w:rFonts w:ascii="Times New Roman" w:eastAsia="Times New Roman" w:hAnsi="Times New Roman" w:cs="Times New Roman"/>
                <w:color w:val="000000"/>
                <w:lang w:eastAsia="ru-RU"/>
              </w:rPr>
            </w:pPr>
            <w:r w:rsidRPr="00F35D26">
              <w:rPr>
                <w:rFonts w:ascii="Times New Roman" w:eastAsia="Calibri" w:hAnsi="Times New Roman" w:cs="Times New Roman"/>
                <w:bCs/>
                <w:color w:val="000000"/>
              </w:rPr>
              <w:t>Рынок архитектурно-строительного проектирования</w:t>
            </w:r>
          </w:p>
        </w:tc>
        <w:tc>
          <w:tcPr>
            <w:tcW w:w="378" w:type="pct"/>
            <w:vAlign w:val="center"/>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bCs/>
                <w:color w:val="000000"/>
                <w:lang w:eastAsia="ru-RU"/>
              </w:rPr>
            </w:pPr>
            <w:r w:rsidRPr="00F35D26">
              <w:rPr>
                <w:rFonts w:ascii="Times New Roman" w:eastAsia="Calibri" w:hAnsi="Times New Roman" w:cs="Times New Roman"/>
                <w:color w:val="000000"/>
              </w:rPr>
              <w:t>71%</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64%</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100%</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0%</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75%</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100%</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100%</w:t>
            </w:r>
          </w:p>
        </w:tc>
        <w:tc>
          <w:tcPr>
            <w:tcW w:w="364"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100%</w:t>
            </w:r>
          </w:p>
        </w:tc>
      </w:tr>
      <w:tr w:rsidR="00F35D26" w:rsidRPr="00F35D26" w:rsidTr="00F35D26">
        <w:trPr>
          <w:trHeight w:val="20"/>
        </w:trPr>
        <w:tc>
          <w:tcPr>
            <w:tcW w:w="424" w:type="pct"/>
            <w:shd w:val="clear" w:color="auto" w:fill="auto"/>
            <w:noWrap/>
            <w:vAlign w:val="center"/>
            <w:hideMark/>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color w:val="000000"/>
                <w:lang w:eastAsia="ru-RU"/>
              </w:rPr>
            </w:pPr>
            <w:r w:rsidRPr="00F35D26">
              <w:rPr>
                <w:rFonts w:ascii="Times New Roman" w:eastAsia="Times New Roman" w:hAnsi="Times New Roman" w:cs="Times New Roman"/>
                <w:color w:val="000000"/>
                <w:lang w:eastAsia="ru-RU"/>
              </w:rPr>
              <w:t>19</w:t>
            </w:r>
          </w:p>
        </w:tc>
        <w:tc>
          <w:tcPr>
            <w:tcW w:w="1555" w:type="pct"/>
            <w:shd w:val="clear" w:color="auto" w:fill="auto"/>
            <w:vAlign w:val="center"/>
          </w:tcPr>
          <w:p w:rsidR="00F35D26" w:rsidRPr="00F35D26" w:rsidRDefault="00F35D26" w:rsidP="00F35D26">
            <w:pPr>
              <w:spacing w:beforeLines="60" w:before="144" w:afterLines="60" w:after="144" w:line="269" w:lineRule="auto"/>
              <w:rPr>
                <w:rFonts w:ascii="Times New Roman" w:eastAsia="Times New Roman" w:hAnsi="Times New Roman" w:cs="Times New Roman"/>
                <w:color w:val="000000"/>
                <w:lang w:eastAsia="ru-RU"/>
              </w:rPr>
            </w:pPr>
            <w:r w:rsidRPr="00F35D26">
              <w:rPr>
                <w:rFonts w:ascii="Times New Roman" w:eastAsia="Calibri" w:hAnsi="Times New Roman" w:cs="Times New Roman"/>
                <w:bCs/>
                <w:color w:val="000000"/>
              </w:rPr>
              <w:t>Рынок кадастровых и землеустроительных работ</w:t>
            </w:r>
          </w:p>
        </w:tc>
        <w:tc>
          <w:tcPr>
            <w:tcW w:w="378" w:type="pct"/>
            <w:vAlign w:val="center"/>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bCs/>
                <w:color w:val="000000"/>
                <w:lang w:eastAsia="ru-RU"/>
              </w:rPr>
            </w:pPr>
            <w:r w:rsidRPr="00F35D26">
              <w:rPr>
                <w:rFonts w:ascii="Times New Roman" w:eastAsia="Calibri" w:hAnsi="Times New Roman" w:cs="Times New Roman"/>
                <w:color w:val="000000"/>
              </w:rPr>
              <w:t>64%</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64%</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100%</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100%</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28%</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90%</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14%</w:t>
            </w:r>
          </w:p>
        </w:tc>
        <w:tc>
          <w:tcPr>
            <w:tcW w:w="364"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24%</w:t>
            </w:r>
          </w:p>
        </w:tc>
      </w:tr>
      <w:tr w:rsidR="00F35D26" w:rsidRPr="00F35D26" w:rsidTr="00F35D26">
        <w:trPr>
          <w:trHeight w:val="20"/>
        </w:trPr>
        <w:tc>
          <w:tcPr>
            <w:tcW w:w="424" w:type="pct"/>
            <w:shd w:val="clear" w:color="auto" w:fill="auto"/>
            <w:noWrap/>
            <w:vAlign w:val="center"/>
            <w:hideMark/>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color w:val="000000"/>
                <w:lang w:eastAsia="ru-RU"/>
              </w:rPr>
            </w:pPr>
            <w:r w:rsidRPr="00F35D26">
              <w:rPr>
                <w:rFonts w:ascii="Times New Roman" w:eastAsia="Times New Roman" w:hAnsi="Times New Roman" w:cs="Times New Roman"/>
                <w:color w:val="000000"/>
                <w:lang w:eastAsia="ru-RU"/>
              </w:rPr>
              <w:t>20</w:t>
            </w:r>
          </w:p>
        </w:tc>
        <w:tc>
          <w:tcPr>
            <w:tcW w:w="1555" w:type="pct"/>
            <w:shd w:val="clear" w:color="auto" w:fill="auto"/>
            <w:vAlign w:val="center"/>
          </w:tcPr>
          <w:p w:rsidR="00F35D26" w:rsidRPr="00F35D26" w:rsidRDefault="00F35D26" w:rsidP="00F35D26">
            <w:pPr>
              <w:spacing w:beforeLines="60" w:before="144" w:afterLines="60" w:after="144" w:line="269" w:lineRule="auto"/>
              <w:rPr>
                <w:rFonts w:ascii="Times New Roman" w:eastAsia="Times New Roman" w:hAnsi="Times New Roman" w:cs="Times New Roman"/>
                <w:color w:val="000000"/>
                <w:lang w:eastAsia="ru-RU"/>
              </w:rPr>
            </w:pPr>
            <w:r w:rsidRPr="00F35D26">
              <w:rPr>
                <w:rFonts w:ascii="Times New Roman" w:eastAsia="Calibri" w:hAnsi="Times New Roman" w:cs="Times New Roman"/>
                <w:bCs/>
                <w:color w:val="000000"/>
              </w:rPr>
              <w:t>Рынок племенного животноводств</w:t>
            </w:r>
          </w:p>
        </w:tc>
        <w:tc>
          <w:tcPr>
            <w:tcW w:w="378" w:type="pct"/>
            <w:vAlign w:val="center"/>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bCs/>
                <w:color w:val="000000"/>
                <w:lang w:eastAsia="ru-RU"/>
              </w:rPr>
            </w:pPr>
            <w:r w:rsidRPr="00F35D26">
              <w:rPr>
                <w:rFonts w:ascii="Times New Roman" w:eastAsia="Calibri" w:hAnsi="Times New Roman" w:cs="Times New Roman"/>
                <w:color w:val="000000"/>
              </w:rPr>
              <w:t>67%</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64%</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54%</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70%</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82%</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83%</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54%</w:t>
            </w:r>
          </w:p>
        </w:tc>
        <w:tc>
          <w:tcPr>
            <w:tcW w:w="364"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80%</w:t>
            </w:r>
          </w:p>
        </w:tc>
      </w:tr>
      <w:tr w:rsidR="00F35D26" w:rsidRPr="00F35D26" w:rsidTr="00F35D26">
        <w:trPr>
          <w:trHeight w:val="20"/>
        </w:trPr>
        <w:tc>
          <w:tcPr>
            <w:tcW w:w="424" w:type="pct"/>
            <w:shd w:val="clear" w:color="auto" w:fill="auto"/>
            <w:noWrap/>
            <w:vAlign w:val="center"/>
            <w:hideMark/>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color w:val="000000"/>
                <w:lang w:eastAsia="ru-RU"/>
              </w:rPr>
            </w:pPr>
            <w:r w:rsidRPr="00F35D26">
              <w:rPr>
                <w:rFonts w:ascii="Times New Roman" w:eastAsia="Times New Roman" w:hAnsi="Times New Roman" w:cs="Times New Roman"/>
                <w:color w:val="000000"/>
                <w:lang w:eastAsia="ru-RU"/>
              </w:rPr>
              <w:t>21</w:t>
            </w:r>
          </w:p>
        </w:tc>
        <w:tc>
          <w:tcPr>
            <w:tcW w:w="1555" w:type="pct"/>
            <w:shd w:val="clear" w:color="auto" w:fill="auto"/>
            <w:vAlign w:val="center"/>
          </w:tcPr>
          <w:p w:rsidR="00F35D26" w:rsidRPr="00F35D26" w:rsidRDefault="00F35D26" w:rsidP="00F35D26">
            <w:pPr>
              <w:spacing w:beforeLines="60" w:before="144" w:afterLines="60" w:after="144" w:line="269" w:lineRule="auto"/>
              <w:rPr>
                <w:rFonts w:ascii="Times New Roman" w:eastAsia="Times New Roman" w:hAnsi="Times New Roman" w:cs="Times New Roman"/>
                <w:color w:val="000000"/>
                <w:lang w:eastAsia="ru-RU"/>
              </w:rPr>
            </w:pPr>
            <w:r w:rsidRPr="00F35D26">
              <w:rPr>
                <w:rFonts w:ascii="Times New Roman" w:eastAsia="Calibri" w:hAnsi="Times New Roman" w:cs="Times New Roman"/>
                <w:bCs/>
                <w:color w:val="000000"/>
              </w:rPr>
              <w:t>Рынок семеноводства</w:t>
            </w:r>
          </w:p>
        </w:tc>
        <w:tc>
          <w:tcPr>
            <w:tcW w:w="378" w:type="pct"/>
            <w:vAlign w:val="center"/>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bCs/>
                <w:color w:val="000000"/>
                <w:lang w:eastAsia="ru-RU"/>
              </w:rPr>
            </w:pPr>
            <w:r w:rsidRPr="00F35D26">
              <w:rPr>
                <w:rFonts w:ascii="Times New Roman" w:eastAsia="Calibri" w:hAnsi="Times New Roman" w:cs="Times New Roman"/>
                <w:color w:val="000000"/>
              </w:rPr>
              <w:t>81%</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80%</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83%</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81%</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86%</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81%</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82%</w:t>
            </w:r>
          </w:p>
        </w:tc>
        <w:tc>
          <w:tcPr>
            <w:tcW w:w="364"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95%</w:t>
            </w:r>
          </w:p>
        </w:tc>
      </w:tr>
      <w:tr w:rsidR="00F35D26" w:rsidRPr="00F35D26" w:rsidTr="00F35D26">
        <w:trPr>
          <w:trHeight w:val="20"/>
        </w:trPr>
        <w:tc>
          <w:tcPr>
            <w:tcW w:w="424" w:type="pct"/>
            <w:shd w:val="clear" w:color="auto" w:fill="auto"/>
            <w:noWrap/>
            <w:vAlign w:val="center"/>
            <w:hideMark/>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color w:val="000000"/>
                <w:lang w:eastAsia="ru-RU"/>
              </w:rPr>
            </w:pPr>
            <w:r w:rsidRPr="00F35D26">
              <w:rPr>
                <w:rFonts w:ascii="Times New Roman" w:eastAsia="Times New Roman" w:hAnsi="Times New Roman" w:cs="Times New Roman"/>
                <w:color w:val="000000"/>
                <w:lang w:eastAsia="ru-RU"/>
              </w:rPr>
              <w:t>22</w:t>
            </w:r>
          </w:p>
        </w:tc>
        <w:tc>
          <w:tcPr>
            <w:tcW w:w="1555" w:type="pct"/>
            <w:shd w:val="clear" w:color="auto" w:fill="auto"/>
            <w:vAlign w:val="center"/>
          </w:tcPr>
          <w:p w:rsidR="00F35D26" w:rsidRPr="00F35D26" w:rsidRDefault="00F35D26" w:rsidP="00F35D26">
            <w:pPr>
              <w:spacing w:beforeLines="60" w:before="144" w:afterLines="60" w:after="144" w:line="269" w:lineRule="auto"/>
              <w:rPr>
                <w:rFonts w:ascii="Times New Roman" w:eastAsia="Times New Roman" w:hAnsi="Times New Roman" w:cs="Times New Roman"/>
                <w:color w:val="000000"/>
                <w:lang w:eastAsia="ru-RU"/>
              </w:rPr>
            </w:pPr>
            <w:r w:rsidRPr="00F35D26">
              <w:rPr>
                <w:rFonts w:ascii="Times New Roman" w:eastAsia="Calibri" w:hAnsi="Times New Roman" w:cs="Times New Roman"/>
                <w:bCs/>
                <w:color w:val="000000"/>
              </w:rPr>
              <w:t>Рынок вылова водных биоресурсов</w:t>
            </w:r>
          </w:p>
        </w:tc>
        <w:tc>
          <w:tcPr>
            <w:tcW w:w="378" w:type="pct"/>
            <w:vAlign w:val="center"/>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bCs/>
                <w:color w:val="000000"/>
                <w:lang w:eastAsia="ru-RU"/>
              </w:rPr>
            </w:pPr>
            <w:r w:rsidRPr="00F35D26">
              <w:rPr>
                <w:rFonts w:ascii="Times New Roman" w:eastAsia="Calibri" w:hAnsi="Times New Roman" w:cs="Times New Roman"/>
                <w:color w:val="000000"/>
              </w:rPr>
              <w:t>61%</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61%</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66%</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100%</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60%</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61%</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54%</w:t>
            </w:r>
          </w:p>
        </w:tc>
        <w:tc>
          <w:tcPr>
            <w:tcW w:w="364"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36%</w:t>
            </w:r>
          </w:p>
        </w:tc>
      </w:tr>
      <w:tr w:rsidR="00F35D26" w:rsidRPr="00F35D26" w:rsidTr="00F35D26">
        <w:trPr>
          <w:trHeight w:val="20"/>
        </w:trPr>
        <w:tc>
          <w:tcPr>
            <w:tcW w:w="424" w:type="pct"/>
            <w:shd w:val="clear" w:color="auto" w:fill="auto"/>
            <w:noWrap/>
            <w:vAlign w:val="center"/>
            <w:hideMark/>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color w:val="000000"/>
                <w:lang w:eastAsia="ru-RU"/>
              </w:rPr>
            </w:pPr>
            <w:r w:rsidRPr="00F35D26">
              <w:rPr>
                <w:rFonts w:ascii="Times New Roman" w:eastAsia="Times New Roman" w:hAnsi="Times New Roman" w:cs="Times New Roman"/>
                <w:color w:val="000000"/>
                <w:lang w:eastAsia="ru-RU"/>
              </w:rPr>
              <w:t>23</w:t>
            </w:r>
          </w:p>
        </w:tc>
        <w:tc>
          <w:tcPr>
            <w:tcW w:w="1555" w:type="pct"/>
            <w:shd w:val="clear" w:color="auto" w:fill="auto"/>
            <w:vAlign w:val="center"/>
          </w:tcPr>
          <w:p w:rsidR="00F35D26" w:rsidRPr="00F35D26" w:rsidRDefault="00F35D26" w:rsidP="00F35D26">
            <w:pPr>
              <w:spacing w:beforeLines="60" w:before="144" w:afterLines="60" w:after="144" w:line="269" w:lineRule="auto"/>
              <w:rPr>
                <w:rFonts w:ascii="Times New Roman" w:eastAsia="Times New Roman" w:hAnsi="Times New Roman" w:cs="Times New Roman"/>
                <w:color w:val="000000"/>
                <w:lang w:eastAsia="ru-RU"/>
              </w:rPr>
            </w:pPr>
            <w:r w:rsidRPr="00F35D26">
              <w:rPr>
                <w:rFonts w:ascii="Times New Roman" w:eastAsia="Calibri" w:hAnsi="Times New Roman" w:cs="Times New Roman"/>
                <w:bCs/>
                <w:color w:val="000000"/>
              </w:rPr>
              <w:t>Рынок товарной аквакультуры</w:t>
            </w:r>
          </w:p>
        </w:tc>
        <w:tc>
          <w:tcPr>
            <w:tcW w:w="378" w:type="pct"/>
            <w:vAlign w:val="center"/>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bCs/>
                <w:color w:val="000000"/>
                <w:lang w:eastAsia="ru-RU"/>
              </w:rPr>
            </w:pPr>
            <w:r w:rsidRPr="00F35D26">
              <w:rPr>
                <w:rFonts w:ascii="Times New Roman" w:eastAsia="Calibri" w:hAnsi="Times New Roman" w:cs="Times New Roman"/>
                <w:color w:val="000000"/>
              </w:rPr>
              <w:t>62%</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61%</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60%</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100%</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66%</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68%</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67%</w:t>
            </w:r>
          </w:p>
        </w:tc>
        <w:tc>
          <w:tcPr>
            <w:tcW w:w="364"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24%</w:t>
            </w:r>
          </w:p>
        </w:tc>
      </w:tr>
      <w:tr w:rsidR="00F35D26" w:rsidRPr="00F35D26" w:rsidTr="00F35D26">
        <w:trPr>
          <w:trHeight w:val="20"/>
        </w:trPr>
        <w:tc>
          <w:tcPr>
            <w:tcW w:w="424" w:type="pct"/>
            <w:shd w:val="clear" w:color="auto" w:fill="auto"/>
            <w:noWrap/>
            <w:vAlign w:val="center"/>
            <w:hideMark/>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color w:val="000000"/>
                <w:lang w:eastAsia="ru-RU"/>
              </w:rPr>
            </w:pPr>
            <w:r w:rsidRPr="00F35D26">
              <w:rPr>
                <w:rFonts w:ascii="Times New Roman" w:eastAsia="Times New Roman" w:hAnsi="Times New Roman" w:cs="Times New Roman"/>
                <w:color w:val="000000"/>
                <w:lang w:eastAsia="ru-RU"/>
              </w:rPr>
              <w:t>24</w:t>
            </w:r>
          </w:p>
        </w:tc>
        <w:tc>
          <w:tcPr>
            <w:tcW w:w="1555" w:type="pct"/>
            <w:shd w:val="clear" w:color="auto" w:fill="auto"/>
            <w:vAlign w:val="center"/>
          </w:tcPr>
          <w:p w:rsidR="00F35D26" w:rsidRPr="00F35D26" w:rsidRDefault="00F35D26" w:rsidP="00F35D26">
            <w:pPr>
              <w:spacing w:beforeLines="60" w:before="144" w:afterLines="60" w:after="144" w:line="269" w:lineRule="auto"/>
              <w:rPr>
                <w:rFonts w:ascii="Times New Roman" w:eastAsia="Times New Roman" w:hAnsi="Times New Roman" w:cs="Times New Roman"/>
                <w:color w:val="000000"/>
                <w:lang w:eastAsia="ru-RU"/>
              </w:rPr>
            </w:pPr>
            <w:r w:rsidRPr="00F35D26">
              <w:rPr>
                <w:rFonts w:ascii="Times New Roman" w:eastAsia="Calibri" w:hAnsi="Times New Roman" w:cs="Times New Roman"/>
                <w:bCs/>
                <w:color w:val="000000"/>
              </w:rPr>
              <w:t>Рынок переработки водных биоресурсов</w:t>
            </w:r>
          </w:p>
        </w:tc>
        <w:tc>
          <w:tcPr>
            <w:tcW w:w="378" w:type="pct"/>
            <w:vAlign w:val="center"/>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bCs/>
                <w:color w:val="000000"/>
                <w:lang w:eastAsia="ru-RU"/>
              </w:rPr>
            </w:pPr>
            <w:r w:rsidRPr="00F35D26">
              <w:rPr>
                <w:rFonts w:ascii="Times New Roman" w:eastAsia="Calibri" w:hAnsi="Times New Roman" w:cs="Times New Roman"/>
                <w:color w:val="000000"/>
              </w:rPr>
              <w:t>72%</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73%</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65%</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84%</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63%</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75%</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60%</w:t>
            </w:r>
          </w:p>
        </w:tc>
        <w:tc>
          <w:tcPr>
            <w:tcW w:w="364"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51%</w:t>
            </w:r>
          </w:p>
        </w:tc>
      </w:tr>
      <w:tr w:rsidR="00F35D26" w:rsidRPr="00F35D26" w:rsidTr="00F35D26">
        <w:trPr>
          <w:trHeight w:val="20"/>
        </w:trPr>
        <w:tc>
          <w:tcPr>
            <w:tcW w:w="424" w:type="pct"/>
            <w:shd w:val="clear" w:color="auto" w:fill="auto"/>
            <w:noWrap/>
            <w:vAlign w:val="center"/>
            <w:hideMark/>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color w:val="000000"/>
                <w:lang w:eastAsia="ru-RU"/>
              </w:rPr>
            </w:pPr>
            <w:r w:rsidRPr="00F35D26">
              <w:rPr>
                <w:rFonts w:ascii="Times New Roman" w:eastAsia="Times New Roman" w:hAnsi="Times New Roman" w:cs="Times New Roman"/>
                <w:color w:val="000000"/>
                <w:lang w:eastAsia="ru-RU"/>
              </w:rPr>
              <w:t>25</w:t>
            </w:r>
          </w:p>
        </w:tc>
        <w:tc>
          <w:tcPr>
            <w:tcW w:w="1555" w:type="pct"/>
            <w:shd w:val="clear" w:color="auto" w:fill="auto"/>
            <w:vAlign w:val="center"/>
          </w:tcPr>
          <w:p w:rsidR="00F35D26" w:rsidRPr="00F35D26" w:rsidRDefault="00F35D26" w:rsidP="00F35D26">
            <w:pPr>
              <w:spacing w:beforeLines="60" w:before="144" w:afterLines="60" w:after="144" w:line="269" w:lineRule="auto"/>
              <w:rPr>
                <w:rFonts w:ascii="Times New Roman" w:eastAsia="Times New Roman" w:hAnsi="Times New Roman" w:cs="Times New Roman"/>
                <w:color w:val="000000"/>
                <w:lang w:eastAsia="ru-RU"/>
              </w:rPr>
            </w:pPr>
            <w:r w:rsidRPr="00F35D26">
              <w:rPr>
                <w:rFonts w:ascii="Times New Roman" w:eastAsia="Calibri" w:hAnsi="Times New Roman" w:cs="Times New Roman"/>
                <w:bCs/>
                <w:color w:val="000000"/>
              </w:rPr>
              <w:t>Рынок добычи общераспространенных полезных ископаемых на участках недр местного значения</w:t>
            </w:r>
          </w:p>
        </w:tc>
        <w:tc>
          <w:tcPr>
            <w:tcW w:w="378" w:type="pct"/>
            <w:vAlign w:val="center"/>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bCs/>
                <w:color w:val="000000"/>
                <w:lang w:eastAsia="ru-RU"/>
              </w:rPr>
            </w:pPr>
            <w:r w:rsidRPr="00F35D26">
              <w:rPr>
                <w:rFonts w:ascii="Times New Roman" w:eastAsia="Calibri" w:hAnsi="Times New Roman" w:cs="Times New Roman"/>
                <w:color w:val="000000"/>
              </w:rPr>
              <w:t>74%</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69%</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81%</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100%</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86%</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83%</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70%</w:t>
            </w:r>
          </w:p>
        </w:tc>
        <w:tc>
          <w:tcPr>
            <w:tcW w:w="364"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77%</w:t>
            </w:r>
          </w:p>
        </w:tc>
      </w:tr>
      <w:tr w:rsidR="00F35D26" w:rsidRPr="00F35D26" w:rsidTr="00F35D26">
        <w:trPr>
          <w:trHeight w:val="20"/>
        </w:trPr>
        <w:tc>
          <w:tcPr>
            <w:tcW w:w="424" w:type="pct"/>
            <w:shd w:val="clear" w:color="auto" w:fill="auto"/>
            <w:noWrap/>
            <w:vAlign w:val="center"/>
            <w:hideMark/>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color w:val="000000"/>
                <w:lang w:eastAsia="ru-RU"/>
              </w:rPr>
            </w:pPr>
            <w:r w:rsidRPr="00F35D26">
              <w:rPr>
                <w:rFonts w:ascii="Times New Roman" w:eastAsia="Times New Roman" w:hAnsi="Times New Roman" w:cs="Times New Roman"/>
                <w:color w:val="000000"/>
                <w:lang w:eastAsia="ru-RU"/>
              </w:rPr>
              <w:t>26</w:t>
            </w:r>
          </w:p>
        </w:tc>
        <w:tc>
          <w:tcPr>
            <w:tcW w:w="1555" w:type="pct"/>
            <w:shd w:val="clear" w:color="auto" w:fill="auto"/>
            <w:vAlign w:val="center"/>
          </w:tcPr>
          <w:p w:rsidR="00F35D26" w:rsidRPr="00F35D26" w:rsidRDefault="00F35D26" w:rsidP="00F35D26">
            <w:pPr>
              <w:spacing w:beforeLines="60" w:before="144" w:afterLines="60" w:after="144" w:line="269" w:lineRule="auto"/>
              <w:rPr>
                <w:rFonts w:ascii="Times New Roman" w:eastAsia="Times New Roman" w:hAnsi="Times New Roman" w:cs="Times New Roman"/>
                <w:color w:val="000000"/>
                <w:lang w:eastAsia="ru-RU"/>
              </w:rPr>
            </w:pPr>
            <w:r w:rsidRPr="00F35D26">
              <w:rPr>
                <w:rFonts w:ascii="Times New Roman" w:eastAsia="Calibri" w:hAnsi="Times New Roman" w:cs="Times New Roman"/>
                <w:bCs/>
                <w:color w:val="000000"/>
              </w:rPr>
              <w:t>Рынок нефтепродуктов</w:t>
            </w:r>
          </w:p>
        </w:tc>
        <w:tc>
          <w:tcPr>
            <w:tcW w:w="378" w:type="pct"/>
            <w:vAlign w:val="center"/>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bCs/>
                <w:color w:val="000000"/>
                <w:lang w:eastAsia="ru-RU"/>
              </w:rPr>
            </w:pPr>
            <w:r w:rsidRPr="00F35D26">
              <w:rPr>
                <w:rFonts w:ascii="Times New Roman" w:eastAsia="Calibri" w:hAnsi="Times New Roman" w:cs="Times New Roman"/>
                <w:color w:val="000000"/>
              </w:rPr>
              <w:t>80%</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79%</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79%</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82%</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68%</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84%</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92%</w:t>
            </w:r>
          </w:p>
        </w:tc>
        <w:tc>
          <w:tcPr>
            <w:tcW w:w="364"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100%</w:t>
            </w:r>
          </w:p>
        </w:tc>
      </w:tr>
      <w:tr w:rsidR="00F35D26" w:rsidRPr="00F35D26" w:rsidTr="00F35D26">
        <w:trPr>
          <w:trHeight w:val="20"/>
        </w:trPr>
        <w:tc>
          <w:tcPr>
            <w:tcW w:w="424" w:type="pct"/>
            <w:shd w:val="clear" w:color="auto" w:fill="auto"/>
            <w:noWrap/>
            <w:vAlign w:val="center"/>
            <w:hideMark/>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color w:val="000000"/>
                <w:lang w:eastAsia="ru-RU"/>
              </w:rPr>
            </w:pPr>
            <w:r w:rsidRPr="00F35D26">
              <w:rPr>
                <w:rFonts w:ascii="Times New Roman" w:eastAsia="Times New Roman" w:hAnsi="Times New Roman" w:cs="Times New Roman"/>
                <w:color w:val="000000"/>
                <w:lang w:eastAsia="ru-RU"/>
              </w:rPr>
              <w:t>27</w:t>
            </w:r>
          </w:p>
        </w:tc>
        <w:tc>
          <w:tcPr>
            <w:tcW w:w="1555" w:type="pct"/>
            <w:shd w:val="clear" w:color="auto" w:fill="auto"/>
            <w:vAlign w:val="center"/>
          </w:tcPr>
          <w:p w:rsidR="00F35D26" w:rsidRPr="00F35D26" w:rsidRDefault="00F35D26" w:rsidP="00F35D26">
            <w:pPr>
              <w:spacing w:beforeLines="60" w:before="144" w:afterLines="60" w:after="144" w:line="269" w:lineRule="auto"/>
              <w:rPr>
                <w:rFonts w:ascii="Times New Roman" w:eastAsia="Times New Roman" w:hAnsi="Times New Roman" w:cs="Times New Roman"/>
                <w:color w:val="000000"/>
                <w:lang w:eastAsia="ru-RU"/>
              </w:rPr>
            </w:pPr>
            <w:r w:rsidRPr="00F35D26">
              <w:rPr>
                <w:rFonts w:ascii="Times New Roman" w:eastAsia="Calibri" w:hAnsi="Times New Roman" w:cs="Times New Roman"/>
                <w:bCs/>
                <w:color w:val="000000"/>
              </w:rPr>
              <w:t>Рынок легкой промышленности</w:t>
            </w:r>
          </w:p>
        </w:tc>
        <w:tc>
          <w:tcPr>
            <w:tcW w:w="378" w:type="pct"/>
            <w:vAlign w:val="center"/>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bCs/>
                <w:color w:val="000000"/>
                <w:lang w:eastAsia="ru-RU"/>
              </w:rPr>
            </w:pPr>
            <w:r w:rsidRPr="00F35D26">
              <w:rPr>
                <w:rFonts w:ascii="Times New Roman" w:eastAsia="Calibri" w:hAnsi="Times New Roman" w:cs="Times New Roman"/>
                <w:color w:val="000000"/>
              </w:rPr>
              <w:t>67%</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70%</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68%</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74%</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57%</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56%</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66%</w:t>
            </w:r>
          </w:p>
        </w:tc>
        <w:tc>
          <w:tcPr>
            <w:tcW w:w="364"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71%</w:t>
            </w:r>
          </w:p>
        </w:tc>
      </w:tr>
      <w:tr w:rsidR="00F35D26" w:rsidRPr="00F35D26" w:rsidTr="00F35D26">
        <w:trPr>
          <w:trHeight w:val="20"/>
        </w:trPr>
        <w:tc>
          <w:tcPr>
            <w:tcW w:w="424" w:type="pct"/>
            <w:shd w:val="clear" w:color="auto" w:fill="auto"/>
            <w:noWrap/>
            <w:vAlign w:val="center"/>
            <w:hideMark/>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color w:val="000000"/>
                <w:lang w:eastAsia="ru-RU"/>
              </w:rPr>
            </w:pPr>
            <w:r w:rsidRPr="00F35D26">
              <w:rPr>
                <w:rFonts w:ascii="Times New Roman" w:eastAsia="Times New Roman" w:hAnsi="Times New Roman" w:cs="Times New Roman"/>
                <w:color w:val="000000"/>
                <w:lang w:eastAsia="ru-RU"/>
              </w:rPr>
              <w:t>28</w:t>
            </w:r>
          </w:p>
        </w:tc>
        <w:tc>
          <w:tcPr>
            <w:tcW w:w="1555" w:type="pct"/>
            <w:shd w:val="clear" w:color="auto" w:fill="auto"/>
            <w:vAlign w:val="center"/>
          </w:tcPr>
          <w:p w:rsidR="00F35D26" w:rsidRPr="00F35D26" w:rsidRDefault="00F35D26" w:rsidP="00F35D26">
            <w:pPr>
              <w:spacing w:beforeLines="60" w:before="144" w:afterLines="60" w:after="144" w:line="269" w:lineRule="auto"/>
              <w:rPr>
                <w:rFonts w:ascii="Times New Roman" w:eastAsia="Times New Roman" w:hAnsi="Times New Roman" w:cs="Times New Roman"/>
                <w:color w:val="000000"/>
                <w:lang w:eastAsia="ru-RU"/>
              </w:rPr>
            </w:pPr>
            <w:r w:rsidRPr="00F35D26">
              <w:rPr>
                <w:rFonts w:ascii="Times New Roman" w:eastAsia="Calibri" w:hAnsi="Times New Roman" w:cs="Times New Roman"/>
                <w:bCs/>
                <w:color w:val="000000"/>
              </w:rPr>
              <w:t>Рынок обработки древесины и производства изделий из дерева</w:t>
            </w:r>
          </w:p>
        </w:tc>
        <w:tc>
          <w:tcPr>
            <w:tcW w:w="378" w:type="pct"/>
            <w:vAlign w:val="center"/>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bCs/>
                <w:color w:val="000000"/>
                <w:lang w:eastAsia="ru-RU"/>
              </w:rPr>
            </w:pPr>
            <w:r w:rsidRPr="00F35D26">
              <w:rPr>
                <w:rFonts w:ascii="Times New Roman" w:eastAsia="Calibri" w:hAnsi="Times New Roman" w:cs="Times New Roman"/>
                <w:color w:val="000000"/>
              </w:rPr>
              <w:t>68%</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66%</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77%</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89%</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77%</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71%</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68%</w:t>
            </w:r>
          </w:p>
        </w:tc>
        <w:tc>
          <w:tcPr>
            <w:tcW w:w="364"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71%</w:t>
            </w:r>
          </w:p>
        </w:tc>
      </w:tr>
      <w:tr w:rsidR="00F35D26" w:rsidRPr="00F35D26" w:rsidTr="00F35D26">
        <w:trPr>
          <w:trHeight w:val="20"/>
        </w:trPr>
        <w:tc>
          <w:tcPr>
            <w:tcW w:w="424" w:type="pct"/>
            <w:shd w:val="clear" w:color="auto" w:fill="auto"/>
            <w:noWrap/>
            <w:vAlign w:val="center"/>
            <w:hideMark/>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color w:val="000000"/>
                <w:lang w:eastAsia="ru-RU"/>
              </w:rPr>
            </w:pPr>
            <w:r w:rsidRPr="00F35D26">
              <w:rPr>
                <w:rFonts w:ascii="Times New Roman" w:eastAsia="Times New Roman" w:hAnsi="Times New Roman" w:cs="Times New Roman"/>
                <w:color w:val="000000"/>
                <w:lang w:eastAsia="ru-RU"/>
              </w:rPr>
              <w:t>29</w:t>
            </w:r>
          </w:p>
        </w:tc>
        <w:tc>
          <w:tcPr>
            <w:tcW w:w="1555" w:type="pct"/>
            <w:shd w:val="clear" w:color="auto" w:fill="auto"/>
            <w:vAlign w:val="center"/>
          </w:tcPr>
          <w:p w:rsidR="00F35D26" w:rsidRPr="00F35D26" w:rsidRDefault="00F35D26" w:rsidP="00F35D26">
            <w:pPr>
              <w:spacing w:beforeLines="60" w:before="144" w:afterLines="60" w:after="144" w:line="269" w:lineRule="auto"/>
              <w:rPr>
                <w:rFonts w:ascii="Times New Roman" w:eastAsia="Times New Roman" w:hAnsi="Times New Roman" w:cs="Times New Roman"/>
                <w:color w:val="000000"/>
                <w:lang w:eastAsia="ru-RU"/>
              </w:rPr>
            </w:pPr>
            <w:r w:rsidRPr="00F35D26">
              <w:rPr>
                <w:rFonts w:ascii="Times New Roman" w:eastAsia="Calibri" w:hAnsi="Times New Roman" w:cs="Times New Roman"/>
                <w:bCs/>
                <w:color w:val="000000"/>
              </w:rPr>
              <w:t>Рынок производства кирпича</w:t>
            </w:r>
          </w:p>
        </w:tc>
        <w:tc>
          <w:tcPr>
            <w:tcW w:w="378" w:type="pct"/>
            <w:vAlign w:val="center"/>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bCs/>
                <w:color w:val="000000"/>
                <w:lang w:eastAsia="ru-RU"/>
              </w:rPr>
            </w:pPr>
            <w:r w:rsidRPr="00F35D26">
              <w:rPr>
                <w:rFonts w:ascii="Times New Roman" w:eastAsia="Calibri" w:hAnsi="Times New Roman" w:cs="Times New Roman"/>
                <w:color w:val="000000"/>
              </w:rPr>
              <w:t>63%</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64%</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46%</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49%</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100%</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100%</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54%</w:t>
            </w:r>
          </w:p>
        </w:tc>
        <w:tc>
          <w:tcPr>
            <w:tcW w:w="364"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53%</w:t>
            </w:r>
          </w:p>
        </w:tc>
      </w:tr>
      <w:tr w:rsidR="00F35D26" w:rsidRPr="00F35D26" w:rsidTr="00F35D26">
        <w:trPr>
          <w:trHeight w:val="20"/>
        </w:trPr>
        <w:tc>
          <w:tcPr>
            <w:tcW w:w="424" w:type="pct"/>
            <w:shd w:val="clear" w:color="auto" w:fill="auto"/>
            <w:noWrap/>
            <w:vAlign w:val="center"/>
            <w:hideMark/>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color w:val="000000"/>
                <w:lang w:eastAsia="ru-RU"/>
              </w:rPr>
            </w:pPr>
            <w:r w:rsidRPr="00F35D26">
              <w:rPr>
                <w:rFonts w:ascii="Times New Roman" w:eastAsia="Times New Roman" w:hAnsi="Times New Roman" w:cs="Times New Roman"/>
                <w:color w:val="000000"/>
                <w:lang w:eastAsia="ru-RU"/>
              </w:rPr>
              <w:t>30</w:t>
            </w:r>
          </w:p>
        </w:tc>
        <w:tc>
          <w:tcPr>
            <w:tcW w:w="1555" w:type="pct"/>
            <w:shd w:val="clear" w:color="auto" w:fill="auto"/>
            <w:vAlign w:val="center"/>
          </w:tcPr>
          <w:p w:rsidR="00F35D26" w:rsidRPr="00F35D26" w:rsidRDefault="00F35D26" w:rsidP="00F35D26">
            <w:pPr>
              <w:spacing w:beforeLines="60" w:before="144" w:afterLines="60" w:after="144" w:line="269" w:lineRule="auto"/>
              <w:rPr>
                <w:rFonts w:ascii="Times New Roman" w:eastAsia="Times New Roman" w:hAnsi="Times New Roman" w:cs="Times New Roman"/>
                <w:color w:val="000000"/>
                <w:lang w:eastAsia="ru-RU"/>
              </w:rPr>
            </w:pPr>
            <w:r w:rsidRPr="00F35D26">
              <w:rPr>
                <w:rFonts w:ascii="Times New Roman" w:eastAsia="Calibri" w:hAnsi="Times New Roman" w:cs="Times New Roman"/>
                <w:bCs/>
                <w:color w:val="000000"/>
              </w:rPr>
              <w:t>Рынок производства бетона</w:t>
            </w:r>
          </w:p>
        </w:tc>
        <w:tc>
          <w:tcPr>
            <w:tcW w:w="378" w:type="pct"/>
            <w:vAlign w:val="center"/>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bCs/>
                <w:color w:val="000000"/>
                <w:lang w:eastAsia="ru-RU"/>
              </w:rPr>
            </w:pPr>
            <w:r w:rsidRPr="00F35D26">
              <w:rPr>
                <w:rFonts w:ascii="Times New Roman" w:eastAsia="Calibri" w:hAnsi="Times New Roman" w:cs="Times New Roman"/>
                <w:color w:val="000000"/>
              </w:rPr>
              <w:t>72%</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77%</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100%</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69%</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64%</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59%</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43%</w:t>
            </w:r>
          </w:p>
        </w:tc>
        <w:tc>
          <w:tcPr>
            <w:tcW w:w="364"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81%</w:t>
            </w:r>
          </w:p>
        </w:tc>
      </w:tr>
      <w:tr w:rsidR="00F35D26" w:rsidRPr="00F35D26" w:rsidTr="00F35D26">
        <w:trPr>
          <w:trHeight w:val="20"/>
        </w:trPr>
        <w:tc>
          <w:tcPr>
            <w:tcW w:w="424" w:type="pct"/>
            <w:shd w:val="clear" w:color="auto" w:fill="auto"/>
            <w:noWrap/>
            <w:vAlign w:val="center"/>
            <w:hideMark/>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color w:val="000000"/>
                <w:lang w:eastAsia="ru-RU"/>
              </w:rPr>
            </w:pPr>
            <w:r w:rsidRPr="00F35D26">
              <w:rPr>
                <w:rFonts w:ascii="Times New Roman" w:eastAsia="Times New Roman" w:hAnsi="Times New Roman" w:cs="Times New Roman"/>
                <w:color w:val="000000"/>
                <w:lang w:eastAsia="ru-RU"/>
              </w:rPr>
              <w:t>31</w:t>
            </w:r>
          </w:p>
        </w:tc>
        <w:tc>
          <w:tcPr>
            <w:tcW w:w="1555" w:type="pct"/>
            <w:shd w:val="clear" w:color="auto" w:fill="auto"/>
            <w:vAlign w:val="center"/>
          </w:tcPr>
          <w:p w:rsidR="00F35D26" w:rsidRPr="00F35D26" w:rsidRDefault="00F35D26" w:rsidP="00F35D26">
            <w:pPr>
              <w:spacing w:beforeLines="60" w:before="144" w:afterLines="60" w:after="144" w:line="269" w:lineRule="auto"/>
              <w:rPr>
                <w:rFonts w:ascii="Times New Roman" w:eastAsia="Times New Roman" w:hAnsi="Times New Roman" w:cs="Times New Roman"/>
                <w:color w:val="000000"/>
                <w:lang w:eastAsia="ru-RU"/>
              </w:rPr>
            </w:pPr>
            <w:r w:rsidRPr="00F35D26">
              <w:rPr>
                <w:rFonts w:ascii="Times New Roman" w:eastAsia="Calibri" w:hAnsi="Times New Roman" w:cs="Times New Roman"/>
                <w:bCs/>
                <w:color w:val="000000"/>
              </w:rPr>
              <w:t>Рынок услуг жилищно-коммунального хозяйства</w:t>
            </w:r>
          </w:p>
        </w:tc>
        <w:tc>
          <w:tcPr>
            <w:tcW w:w="378" w:type="pct"/>
            <w:vAlign w:val="center"/>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bCs/>
                <w:color w:val="000000"/>
                <w:lang w:eastAsia="ru-RU"/>
              </w:rPr>
            </w:pPr>
            <w:r w:rsidRPr="00F35D26">
              <w:rPr>
                <w:rFonts w:ascii="Times New Roman" w:eastAsia="Calibri" w:hAnsi="Times New Roman" w:cs="Times New Roman"/>
                <w:color w:val="000000"/>
              </w:rPr>
              <w:t>48%</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43%</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56%</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77%</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40%</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54%</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47%</w:t>
            </w:r>
          </w:p>
        </w:tc>
        <w:tc>
          <w:tcPr>
            <w:tcW w:w="364"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57%</w:t>
            </w:r>
          </w:p>
        </w:tc>
      </w:tr>
      <w:tr w:rsidR="00F35D26" w:rsidRPr="00F35D26" w:rsidTr="00F35D26">
        <w:trPr>
          <w:trHeight w:val="20"/>
        </w:trPr>
        <w:tc>
          <w:tcPr>
            <w:tcW w:w="424" w:type="pct"/>
            <w:shd w:val="clear" w:color="auto" w:fill="auto"/>
            <w:noWrap/>
            <w:vAlign w:val="center"/>
            <w:hideMark/>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color w:val="000000"/>
                <w:lang w:eastAsia="ru-RU"/>
              </w:rPr>
            </w:pPr>
            <w:r w:rsidRPr="00F35D26">
              <w:rPr>
                <w:rFonts w:ascii="Times New Roman" w:eastAsia="Times New Roman" w:hAnsi="Times New Roman" w:cs="Times New Roman"/>
                <w:color w:val="000000"/>
                <w:lang w:eastAsia="ru-RU"/>
              </w:rPr>
              <w:t>32</w:t>
            </w:r>
          </w:p>
        </w:tc>
        <w:tc>
          <w:tcPr>
            <w:tcW w:w="1555" w:type="pct"/>
            <w:shd w:val="clear" w:color="auto" w:fill="auto"/>
            <w:vAlign w:val="center"/>
          </w:tcPr>
          <w:p w:rsidR="00F35D26" w:rsidRPr="00F35D26" w:rsidRDefault="00F35D26" w:rsidP="00F35D26">
            <w:pPr>
              <w:spacing w:beforeLines="60" w:before="144" w:afterLines="60" w:after="144" w:line="269" w:lineRule="auto"/>
              <w:rPr>
                <w:rFonts w:ascii="Times New Roman" w:eastAsia="Times New Roman" w:hAnsi="Times New Roman" w:cs="Times New Roman"/>
                <w:color w:val="000000"/>
                <w:lang w:eastAsia="ru-RU"/>
              </w:rPr>
            </w:pPr>
            <w:r w:rsidRPr="00F35D26">
              <w:rPr>
                <w:rFonts w:ascii="Times New Roman" w:eastAsia="Calibri" w:hAnsi="Times New Roman" w:cs="Times New Roman"/>
                <w:bCs/>
                <w:color w:val="000000"/>
              </w:rPr>
              <w:t>Рынок медицинских услуг</w:t>
            </w:r>
          </w:p>
        </w:tc>
        <w:tc>
          <w:tcPr>
            <w:tcW w:w="378" w:type="pct"/>
            <w:vAlign w:val="center"/>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bCs/>
                <w:color w:val="000000"/>
                <w:lang w:eastAsia="ru-RU"/>
              </w:rPr>
            </w:pPr>
            <w:r w:rsidRPr="00F35D26">
              <w:rPr>
                <w:rFonts w:ascii="Times New Roman" w:eastAsia="Calibri" w:hAnsi="Times New Roman" w:cs="Times New Roman"/>
                <w:color w:val="000000"/>
              </w:rPr>
              <w:t>48%</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48%</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60%</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64%</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42%</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46%</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49%</w:t>
            </w:r>
          </w:p>
        </w:tc>
        <w:tc>
          <w:tcPr>
            <w:tcW w:w="364"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30%</w:t>
            </w:r>
          </w:p>
        </w:tc>
      </w:tr>
      <w:tr w:rsidR="00F35D26" w:rsidRPr="00F35D26" w:rsidTr="00F35D26">
        <w:trPr>
          <w:trHeight w:val="20"/>
        </w:trPr>
        <w:tc>
          <w:tcPr>
            <w:tcW w:w="424" w:type="pct"/>
            <w:shd w:val="clear" w:color="auto" w:fill="auto"/>
            <w:noWrap/>
            <w:vAlign w:val="center"/>
            <w:hideMark/>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color w:val="000000"/>
                <w:lang w:eastAsia="ru-RU"/>
              </w:rPr>
            </w:pPr>
            <w:r w:rsidRPr="00F35D26">
              <w:rPr>
                <w:rFonts w:ascii="Times New Roman" w:eastAsia="Times New Roman" w:hAnsi="Times New Roman" w:cs="Times New Roman"/>
                <w:color w:val="000000"/>
                <w:lang w:eastAsia="ru-RU"/>
              </w:rPr>
              <w:t>33</w:t>
            </w:r>
          </w:p>
        </w:tc>
        <w:tc>
          <w:tcPr>
            <w:tcW w:w="1555" w:type="pct"/>
            <w:shd w:val="clear" w:color="auto" w:fill="auto"/>
            <w:vAlign w:val="center"/>
          </w:tcPr>
          <w:p w:rsidR="00F35D26" w:rsidRPr="00F35D26" w:rsidRDefault="00F35D26" w:rsidP="00F35D26">
            <w:pPr>
              <w:spacing w:beforeLines="60" w:before="144" w:afterLines="60" w:after="144" w:line="269" w:lineRule="auto"/>
              <w:rPr>
                <w:rFonts w:ascii="Times New Roman" w:eastAsia="Times New Roman" w:hAnsi="Times New Roman" w:cs="Times New Roman"/>
                <w:color w:val="000000"/>
                <w:lang w:eastAsia="ru-RU"/>
              </w:rPr>
            </w:pPr>
            <w:r w:rsidRPr="00F35D26">
              <w:rPr>
                <w:rFonts w:ascii="Times New Roman" w:eastAsia="Calibri" w:hAnsi="Times New Roman" w:cs="Times New Roman"/>
                <w:bCs/>
                <w:color w:val="000000"/>
              </w:rPr>
              <w:t>Рынок ритуальных услуг</w:t>
            </w:r>
          </w:p>
        </w:tc>
        <w:tc>
          <w:tcPr>
            <w:tcW w:w="378" w:type="pct"/>
            <w:vAlign w:val="center"/>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bCs/>
                <w:color w:val="000000"/>
                <w:lang w:eastAsia="ru-RU"/>
              </w:rPr>
            </w:pPr>
            <w:r w:rsidRPr="00F35D26">
              <w:rPr>
                <w:rFonts w:ascii="Times New Roman" w:eastAsia="Calibri" w:hAnsi="Times New Roman" w:cs="Times New Roman"/>
                <w:color w:val="000000"/>
              </w:rPr>
              <w:t>54%</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59%</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61%</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0%</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79%</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40%</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35%</w:t>
            </w:r>
          </w:p>
        </w:tc>
        <w:tc>
          <w:tcPr>
            <w:tcW w:w="364"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100%</w:t>
            </w:r>
          </w:p>
        </w:tc>
      </w:tr>
      <w:tr w:rsidR="00F35D26" w:rsidRPr="00F35D26" w:rsidTr="00F35D26">
        <w:trPr>
          <w:trHeight w:val="20"/>
        </w:trPr>
        <w:tc>
          <w:tcPr>
            <w:tcW w:w="424" w:type="pct"/>
            <w:shd w:val="clear" w:color="auto" w:fill="auto"/>
            <w:noWrap/>
            <w:vAlign w:val="center"/>
            <w:hideMark/>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color w:val="000000"/>
                <w:lang w:eastAsia="ru-RU"/>
              </w:rPr>
            </w:pPr>
            <w:r w:rsidRPr="00F35D26">
              <w:rPr>
                <w:rFonts w:ascii="Times New Roman" w:eastAsia="Times New Roman" w:hAnsi="Times New Roman" w:cs="Times New Roman"/>
                <w:color w:val="000000"/>
                <w:lang w:eastAsia="ru-RU"/>
              </w:rPr>
              <w:t>34</w:t>
            </w:r>
          </w:p>
        </w:tc>
        <w:tc>
          <w:tcPr>
            <w:tcW w:w="1555" w:type="pct"/>
            <w:shd w:val="clear" w:color="auto" w:fill="auto"/>
            <w:vAlign w:val="center"/>
          </w:tcPr>
          <w:p w:rsidR="00F35D26" w:rsidRPr="00F35D26" w:rsidRDefault="00F35D26" w:rsidP="00F35D26">
            <w:pPr>
              <w:spacing w:beforeLines="60" w:before="144" w:afterLines="60" w:after="144" w:line="269" w:lineRule="auto"/>
              <w:rPr>
                <w:rFonts w:ascii="Times New Roman" w:eastAsia="Times New Roman" w:hAnsi="Times New Roman" w:cs="Times New Roman"/>
                <w:color w:val="000000"/>
                <w:lang w:eastAsia="ru-RU"/>
              </w:rPr>
            </w:pPr>
            <w:r w:rsidRPr="00F35D26">
              <w:rPr>
                <w:rFonts w:ascii="Times New Roman" w:eastAsia="Calibri" w:hAnsi="Times New Roman" w:cs="Times New Roman"/>
                <w:bCs/>
                <w:color w:val="000000"/>
              </w:rPr>
              <w:t>Сфера наружной рекламы</w:t>
            </w:r>
          </w:p>
        </w:tc>
        <w:tc>
          <w:tcPr>
            <w:tcW w:w="378" w:type="pct"/>
            <w:vAlign w:val="center"/>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bCs/>
                <w:color w:val="000000"/>
                <w:lang w:eastAsia="ru-RU"/>
              </w:rPr>
            </w:pPr>
            <w:r w:rsidRPr="00F35D26">
              <w:rPr>
                <w:rFonts w:ascii="Times New Roman" w:eastAsia="Calibri" w:hAnsi="Times New Roman" w:cs="Times New Roman"/>
                <w:color w:val="000000"/>
              </w:rPr>
              <w:t>58%</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60%</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88%</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100%</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82%</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9%</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94%</w:t>
            </w:r>
          </w:p>
        </w:tc>
        <w:tc>
          <w:tcPr>
            <w:tcW w:w="364"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67%</w:t>
            </w:r>
          </w:p>
        </w:tc>
      </w:tr>
      <w:tr w:rsidR="00F35D26" w:rsidRPr="00F35D26" w:rsidTr="00F35D26">
        <w:trPr>
          <w:trHeight w:val="20"/>
        </w:trPr>
        <w:tc>
          <w:tcPr>
            <w:tcW w:w="424" w:type="pct"/>
            <w:shd w:val="clear" w:color="auto" w:fill="auto"/>
            <w:noWrap/>
            <w:vAlign w:val="center"/>
            <w:hideMark/>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color w:val="000000"/>
                <w:lang w:eastAsia="ru-RU"/>
              </w:rPr>
            </w:pPr>
            <w:r w:rsidRPr="00F35D26">
              <w:rPr>
                <w:rFonts w:ascii="Times New Roman" w:eastAsia="Times New Roman" w:hAnsi="Times New Roman" w:cs="Times New Roman"/>
                <w:color w:val="000000"/>
                <w:lang w:eastAsia="ru-RU"/>
              </w:rPr>
              <w:t>35</w:t>
            </w:r>
          </w:p>
        </w:tc>
        <w:tc>
          <w:tcPr>
            <w:tcW w:w="1555" w:type="pct"/>
            <w:shd w:val="clear" w:color="auto" w:fill="auto"/>
            <w:vAlign w:val="center"/>
          </w:tcPr>
          <w:p w:rsidR="00F35D26" w:rsidRPr="00F35D26" w:rsidRDefault="00F35D26" w:rsidP="00F35D26">
            <w:pPr>
              <w:spacing w:beforeLines="60" w:before="144" w:afterLines="60" w:after="144" w:line="269" w:lineRule="auto"/>
              <w:rPr>
                <w:rFonts w:ascii="Times New Roman" w:eastAsia="Times New Roman" w:hAnsi="Times New Roman" w:cs="Times New Roman"/>
                <w:color w:val="000000"/>
                <w:lang w:eastAsia="ru-RU"/>
              </w:rPr>
            </w:pPr>
            <w:r w:rsidRPr="00F35D26">
              <w:rPr>
                <w:rFonts w:ascii="Times New Roman" w:eastAsia="Calibri" w:hAnsi="Times New Roman" w:cs="Times New Roman"/>
                <w:bCs/>
                <w:color w:val="000000"/>
              </w:rPr>
              <w:t>Рынок строительства объектов капитального строительства, за исключением жилищного и дорожного строительства</w:t>
            </w:r>
          </w:p>
        </w:tc>
        <w:tc>
          <w:tcPr>
            <w:tcW w:w="378" w:type="pct"/>
            <w:vAlign w:val="center"/>
          </w:tcPr>
          <w:p w:rsidR="00F35D26" w:rsidRPr="00F35D26" w:rsidRDefault="00F35D26" w:rsidP="00F35D26">
            <w:pPr>
              <w:spacing w:beforeLines="60" w:before="144" w:afterLines="60" w:after="144" w:line="269" w:lineRule="auto"/>
              <w:jc w:val="center"/>
              <w:rPr>
                <w:rFonts w:ascii="Times New Roman" w:eastAsia="Times New Roman" w:hAnsi="Times New Roman" w:cs="Times New Roman"/>
                <w:bCs/>
                <w:color w:val="000000"/>
                <w:lang w:eastAsia="ru-RU"/>
              </w:rPr>
            </w:pPr>
            <w:r w:rsidRPr="00F35D26">
              <w:rPr>
                <w:rFonts w:ascii="Times New Roman" w:eastAsia="Calibri" w:hAnsi="Times New Roman" w:cs="Times New Roman"/>
                <w:color w:val="000000"/>
              </w:rPr>
              <w:t>64%</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63%</w:t>
            </w:r>
          </w:p>
        </w:tc>
        <w:tc>
          <w:tcPr>
            <w:tcW w:w="381"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59%</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66%</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55%</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68%</w:t>
            </w:r>
          </w:p>
        </w:tc>
        <w:tc>
          <w:tcPr>
            <w:tcW w:w="379"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69%</w:t>
            </w:r>
          </w:p>
        </w:tc>
        <w:tc>
          <w:tcPr>
            <w:tcW w:w="364" w:type="pct"/>
            <w:vAlign w:val="center"/>
          </w:tcPr>
          <w:p w:rsidR="00F35D26" w:rsidRPr="00F35D26" w:rsidRDefault="00F35D26" w:rsidP="00F35D26">
            <w:pPr>
              <w:spacing w:after="0"/>
              <w:jc w:val="center"/>
              <w:rPr>
                <w:rFonts w:ascii="Times New Roman" w:eastAsia="Times New Roman" w:hAnsi="Times New Roman" w:cs="Times New Roman"/>
                <w:color w:val="000000"/>
                <w:lang w:eastAsia="ru-RU"/>
              </w:rPr>
            </w:pPr>
            <w:r w:rsidRPr="00F35D26">
              <w:rPr>
                <w:rFonts w:ascii="Times New Roman" w:eastAsia="Calibri" w:hAnsi="Times New Roman" w:cs="Times New Roman"/>
                <w:color w:val="000000"/>
              </w:rPr>
              <w:t>78%</w:t>
            </w:r>
          </w:p>
        </w:tc>
      </w:tr>
    </w:tbl>
    <w:p w:rsidR="00F35D26" w:rsidRPr="00F35D26" w:rsidRDefault="00F35D26" w:rsidP="00F35D26">
      <w:pPr>
        <w:spacing w:after="0" w:line="360" w:lineRule="auto"/>
        <w:jc w:val="both"/>
        <w:rPr>
          <w:rFonts w:ascii="Times New Roman" w:eastAsia="Times New Roman" w:hAnsi="Times New Roman" w:cs="Times New Roman"/>
          <w:color w:val="000000"/>
          <w:sz w:val="28"/>
          <w:szCs w:val="28"/>
          <w:lang w:eastAsia="ru-RU"/>
        </w:rPr>
      </w:pPr>
    </w:p>
    <w:p w:rsidR="00F35D26" w:rsidRPr="00CB7713" w:rsidRDefault="00F35D26" w:rsidP="00CB7713">
      <w:pPr>
        <w:spacing w:after="0" w:line="360" w:lineRule="auto"/>
        <w:ind w:firstLine="709"/>
        <w:jc w:val="both"/>
        <w:rPr>
          <w:rFonts w:ascii="Times New Roman" w:eastAsia="Times New Roman" w:hAnsi="Times New Roman" w:cs="Times New Roman"/>
          <w:color w:val="000000"/>
          <w:sz w:val="24"/>
          <w:szCs w:val="24"/>
          <w:lang w:eastAsia="ru-RU"/>
        </w:rPr>
      </w:pPr>
      <w:r w:rsidRPr="00CB7713">
        <w:rPr>
          <w:rFonts w:ascii="Times New Roman" w:eastAsia="Arial" w:hAnsi="Times New Roman" w:cs="Times New Roman"/>
          <w:color w:val="000000"/>
          <w:sz w:val="24"/>
          <w:szCs w:val="24"/>
          <w:lang w:eastAsia="ru-RU"/>
        </w:rPr>
        <w:t>Как следует из приведенных данных,</w:t>
      </w:r>
      <w:r w:rsidRPr="00CB7713">
        <w:rPr>
          <w:rFonts w:ascii="Times New Roman" w:eastAsia="Calibri" w:hAnsi="Times New Roman" w:cs="Times New Roman"/>
          <w:color w:val="000000"/>
          <w:sz w:val="24"/>
          <w:szCs w:val="24"/>
        </w:rPr>
        <w:t xml:space="preserve"> </w:t>
      </w:r>
      <w:r w:rsidRPr="00CB7713">
        <w:rPr>
          <w:rFonts w:ascii="Times New Roman" w:eastAsia="Arial" w:hAnsi="Times New Roman" w:cs="Times New Roman"/>
          <w:b/>
          <w:color w:val="000000"/>
          <w:sz w:val="24"/>
          <w:szCs w:val="24"/>
          <w:lang w:eastAsia="ru-RU"/>
        </w:rPr>
        <w:t>ассортимент товаров, работ и услуг</w:t>
      </w:r>
      <w:r w:rsidRPr="00CB7713">
        <w:rPr>
          <w:rFonts w:ascii="Times New Roman" w:eastAsia="Arial" w:hAnsi="Times New Roman" w:cs="Times New Roman"/>
          <w:color w:val="000000"/>
          <w:sz w:val="24"/>
          <w:szCs w:val="24"/>
          <w:lang w:eastAsia="ru-RU"/>
        </w:rPr>
        <w:t xml:space="preserve"> </w:t>
      </w:r>
      <w:r w:rsidRPr="00CB7713">
        <w:rPr>
          <w:rFonts w:ascii="Times New Roman" w:eastAsia="Times New Roman" w:hAnsi="Times New Roman" w:cs="Times New Roman"/>
          <w:color w:val="000000"/>
          <w:sz w:val="24"/>
          <w:szCs w:val="24"/>
          <w:lang w:eastAsia="ru-RU"/>
        </w:rPr>
        <w:t xml:space="preserve">на большинстве товарных рынков оценивается жителями Ленинградской области </w:t>
      </w:r>
      <w:r w:rsidRPr="00CB7713">
        <w:rPr>
          <w:rFonts w:ascii="Times New Roman" w:eastAsia="Times New Roman" w:hAnsi="Times New Roman" w:cs="Times New Roman"/>
          <w:b/>
          <w:color w:val="000000"/>
          <w:sz w:val="24"/>
          <w:szCs w:val="24"/>
          <w:lang w:eastAsia="ru-RU"/>
        </w:rPr>
        <w:t xml:space="preserve">достаточно высоко </w:t>
      </w:r>
      <w:r w:rsidRPr="00CB7713">
        <w:rPr>
          <w:rFonts w:ascii="Times New Roman" w:eastAsia="Times New Roman" w:hAnsi="Times New Roman" w:cs="Times New Roman"/>
          <w:color w:val="000000"/>
          <w:sz w:val="24"/>
          <w:szCs w:val="24"/>
          <w:lang w:eastAsia="ru-RU"/>
        </w:rPr>
        <w:t xml:space="preserve">(64% отметили, что они удовлетворены возможностью выбора или скорее удовлетворены). </w:t>
      </w:r>
      <w:r w:rsidRPr="00CB7713">
        <w:rPr>
          <w:rFonts w:ascii="Times New Roman" w:eastAsia="Times New Roman" w:hAnsi="Times New Roman" w:cs="Times New Roman"/>
          <w:b/>
          <w:color w:val="000000"/>
          <w:sz w:val="24"/>
          <w:szCs w:val="24"/>
          <w:lang w:eastAsia="ru-RU"/>
        </w:rPr>
        <w:t xml:space="preserve">Наиболее высокий уровень </w:t>
      </w:r>
      <w:r w:rsidRPr="00CB7713">
        <w:rPr>
          <w:rFonts w:ascii="Times New Roman" w:eastAsia="Times New Roman" w:hAnsi="Times New Roman" w:cs="Times New Roman"/>
          <w:color w:val="000000"/>
          <w:sz w:val="24"/>
          <w:szCs w:val="24"/>
          <w:lang w:eastAsia="ru-RU"/>
        </w:rPr>
        <w:t xml:space="preserve">возможности выбора для потребителей, характерен для следующих рынков: семеноводство (81% в той или иной степени удовлетворенных респондентов), нефтепродукты (80%), услуги связи и интернета (79%), а также такси (78%). </w:t>
      </w:r>
      <w:r w:rsidRPr="00CB7713">
        <w:rPr>
          <w:rFonts w:ascii="Times New Roman" w:eastAsia="Times New Roman" w:hAnsi="Times New Roman" w:cs="Times New Roman"/>
          <w:b/>
          <w:color w:val="000000"/>
          <w:sz w:val="24"/>
          <w:szCs w:val="24"/>
          <w:lang w:eastAsia="ru-RU"/>
        </w:rPr>
        <w:t>Критическая доля негативных оценок</w:t>
      </w:r>
      <w:r w:rsidRPr="00CB7713">
        <w:rPr>
          <w:rFonts w:ascii="Times New Roman" w:eastAsia="Times New Roman" w:hAnsi="Times New Roman" w:cs="Times New Roman"/>
          <w:color w:val="000000"/>
          <w:sz w:val="24"/>
          <w:szCs w:val="24"/>
          <w:lang w:eastAsia="ru-RU"/>
        </w:rPr>
        <w:t xml:space="preserve"> характерна для 4 рынков: рынок услуг по сбору и транспортированию твердых коммунальных отходов (50% удовлетворены, 46% нет), рынок услуг ЖКХ (48% и 47% соответственно), рынок медицинских услуг (48% и 49% соответственно) и рынок услуг управляющих компаний в многоквартирных домах (39% удовлетворены, 55% - нет).</w:t>
      </w:r>
    </w:p>
    <w:p w:rsidR="00F35D26" w:rsidRPr="00CB7713" w:rsidRDefault="00F35D26" w:rsidP="00CB7713">
      <w:pPr>
        <w:spacing w:after="0" w:line="360" w:lineRule="auto"/>
        <w:ind w:firstLine="709"/>
        <w:jc w:val="both"/>
        <w:rPr>
          <w:rFonts w:ascii="Times New Roman" w:eastAsia="Times New Roman" w:hAnsi="Times New Roman" w:cs="Times New Roman"/>
          <w:color w:val="000000"/>
          <w:sz w:val="24"/>
          <w:szCs w:val="24"/>
          <w:lang w:eastAsia="ru-RU"/>
        </w:rPr>
      </w:pPr>
      <w:r w:rsidRPr="00CB7713">
        <w:rPr>
          <w:rFonts w:ascii="Times New Roman" w:eastAsia="Times New Roman" w:hAnsi="Times New Roman" w:cs="Times New Roman"/>
          <w:color w:val="000000"/>
          <w:sz w:val="24"/>
          <w:szCs w:val="24"/>
          <w:lang w:eastAsia="ru-RU"/>
        </w:rPr>
        <w:t xml:space="preserve">Представители различных социальных групп населения несколько расходятся в своих оценках: </w:t>
      </w:r>
    </w:p>
    <w:p w:rsidR="00F35D26" w:rsidRPr="00CB7713" w:rsidRDefault="00F35D26" w:rsidP="00CB7713">
      <w:pPr>
        <w:spacing w:after="0" w:line="360" w:lineRule="auto"/>
        <w:ind w:firstLine="709"/>
        <w:jc w:val="both"/>
        <w:rPr>
          <w:rFonts w:ascii="Times New Roman" w:eastAsia="Times New Roman" w:hAnsi="Times New Roman" w:cs="Times New Roman"/>
          <w:color w:val="000000"/>
          <w:sz w:val="24"/>
          <w:szCs w:val="24"/>
          <w:lang w:eastAsia="ru-RU"/>
        </w:rPr>
      </w:pPr>
      <w:r w:rsidRPr="00CB7713">
        <w:rPr>
          <w:rFonts w:ascii="Times New Roman" w:eastAsia="Times New Roman" w:hAnsi="Times New Roman" w:cs="Times New Roman"/>
          <w:color w:val="000000"/>
          <w:sz w:val="24"/>
          <w:szCs w:val="24"/>
          <w:lang w:eastAsia="ru-RU"/>
        </w:rPr>
        <w:t>- самые высокие показатели удовлетворенности возможностями выбора демонстрируют учащиеся/студенты, среди них также наблюдается самая высокая доля максимально положительных оценок (33% при среднем по области 21%). По 15 товарным рынкам уровень удовлетворенности представителей данной социальной группы колеблется в пределах от 80% до 100%. В их числе: дошкольное образование, жилищное строительство, кадастровые и землеустроительные работы, сфера наружной рекламы и пр.</w:t>
      </w:r>
    </w:p>
    <w:p w:rsidR="00F35D26" w:rsidRPr="00CB7713" w:rsidRDefault="00F35D26" w:rsidP="00CB7713">
      <w:pPr>
        <w:spacing w:after="0" w:line="360" w:lineRule="auto"/>
        <w:ind w:firstLine="709"/>
        <w:jc w:val="both"/>
        <w:rPr>
          <w:rFonts w:ascii="Times New Roman" w:eastAsia="Times New Roman" w:hAnsi="Times New Roman" w:cs="Times New Roman"/>
          <w:color w:val="000000"/>
          <w:sz w:val="24"/>
          <w:szCs w:val="24"/>
          <w:lang w:eastAsia="ru-RU"/>
        </w:rPr>
      </w:pPr>
      <w:r w:rsidRPr="00CB7713">
        <w:rPr>
          <w:rFonts w:ascii="Times New Roman" w:eastAsia="Times New Roman" w:hAnsi="Times New Roman" w:cs="Times New Roman"/>
          <w:color w:val="000000"/>
          <w:sz w:val="24"/>
          <w:szCs w:val="24"/>
          <w:lang w:eastAsia="ru-RU"/>
        </w:rPr>
        <w:t xml:space="preserve">- наиболее критичны в оценке ассортимента товаров и услуг лица, ведущие домашнее хозяйство (59% в целом удовлетворены, 36% - нет). Самый низкий уровень удовлетворенности среди данной категории населения отмечается на таких рынках, как услуги управляющих компаний в многоквартирных домах (27% удовлетворены), услуги среднего профессионального образования, кадастровые и землеустроительные работы (по 28% удовлетворены). Еще по 5 рынкам уровень удовлетворенности возможностью выбора среди домохозяек/домохозяев ниже 50%. </w:t>
      </w:r>
    </w:p>
    <w:p w:rsidR="00F35D26" w:rsidRPr="00CB7713" w:rsidRDefault="00F35D26" w:rsidP="00CB7713">
      <w:pPr>
        <w:spacing w:after="0" w:line="360" w:lineRule="auto"/>
        <w:ind w:firstLine="709"/>
        <w:jc w:val="both"/>
        <w:rPr>
          <w:rFonts w:ascii="Times New Roman" w:eastAsia="Times New Roman" w:hAnsi="Times New Roman" w:cs="Times New Roman"/>
          <w:color w:val="000000"/>
          <w:sz w:val="24"/>
          <w:szCs w:val="24"/>
          <w:lang w:eastAsia="ru-RU"/>
        </w:rPr>
      </w:pPr>
      <w:r w:rsidRPr="00CB7713">
        <w:rPr>
          <w:rFonts w:ascii="Times New Roman" w:eastAsia="Times New Roman" w:hAnsi="Times New Roman" w:cs="Times New Roman"/>
          <w:color w:val="000000"/>
          <w:sz w:val="24"/>
          <w:szCs w:val="24"/>
          <w:lang w:eastAsia="ru-RU"/>
        </w:rPr>
        <w:t>Иных статистически значимых различий в ответах респондентов с различным социальным статусом не выявлено.</w:t>
      </w:r>
    </w:p>
    <w:p w:rsidR="00F35D26" w:rsidRPr="00CB7713" w:rsidRDefault="00F35D26" w:rsidP="00CB7713">
      <w:pPr>
        <w:spacing w:after="0" w:line="360" w:lineRule="auto"/>
        <w:ind w:firstLine="709"/>
        <w:jc w:val="both"/>
        <w:rPr>
          <w:rFonts w:ascii="Times New Roman" w:eastAsia="Times New Roman" w:hAnsi="Times New Roman" w:cs="Times New Roman"/>
          <w:color w:val="000000"/>
          <w:sz w:val="24"/>
          <w:szCs w:val="24"/>
          <w:lang w:eastAsia="ru-RU"/>
        </w:rPr>
      </w:pPr>
      <w:r w:rsidRPr="00CB7713">
        <w:rPr>
          <w:rFonts w:ascii="Times New Roman" w:eastAsia="Times New Roman" w:hAnsi="Times New Roman" w:cs="Times New Roman"/>
          <w:b/>
          <w:bCs/>
          <w:color w:val="000000"/>
          <w:sz w:val="24"/>
          <w:szCs w:val="24"/>
          <w:lang w:eastAsia="ru-RU"/>
        </w:rPr>
        <w:t xml:space="preserve">Динамика </w:t>
      </w:r>
      <w:r w:rsidRPr="00CB7713">
        <w:rPr>
          <w:rFonts w:ascii="Times New Roman" w:eastAsia="Arial" w:hAnsi="Times New Roman" w:cs="Times New Roman"/>
          <w:b/>
          <w:color w:val="000000"/>
          <w:sz w:val="24"/>
          <w:szCs w:val="24"/>
        </w:rPr>
        <w:t>изменения ассортимента товаров, работ и услуг</w:t>
      </w:r>
      <w:r w:rsidRPr="00CB7713">
        <w:rPr>
          <w:rFonts w:ascii="Times New Roman" w:eastAsia="Arial" w:hAnsi="Times New Roman" w:cs="Times New Roman"/>
          <w:color w:val="000000"/>
          <w:sz w:val="24"/>
          <w:szCs w:val="24"/>
        </w:rPr>
        <w:t xml:space="preserve"> за последние три года</w:t>
      </w:r>
      <w:r w:rsidRPr="00CB7713">
        <w:rPr>
          <w:rFonts w:ascii="Times New Roman" w:eastAsia="Times New Roman" w:hAnsi="Times New Roman" w:cs="Times New Roman"/>
          <w:color w:val="000000"/>
          <w:sz w:val="24"/>
          <w:szCs w:val="24"/>
          <w:lang w:eastAsia="ru-RU"/>
        </w:rPr>
        <w:t xml:space="preserve"> в целом по Ленинградской области в ходе мониторинга оценивалась потребителями через изменение возможностей выбора организаций, предоставляющих соответствующие товары, работы и услуги, за последние 3 года (увеличилось, снизилось, не изменилось). Сводные данные в целом по Ленинградской области и в разрезах по социальному статусу респондентов отражены на рисунках ниже.</w:t>
      </w:r>
    </w:p>
    <w:p w:rsidR="00F35D26" w:rsidRPr="00F35D26" w:rsidRDefault="00F35D26" w:rsidP="00CB7713">
      <w:pPr>
        <w:keepNext/>
        <w:keepLines/>
        <w:spacing w:before="120" w:after="120" w:line="240" w:lineRule="auto"/>
        <w:jc w:val="center"/>
        <w:rPr>
          <w:rFonts w:ascii="Times New Roman" w:eastAsia="Calibri" w:hAnsi="Times New Roman" w:cs="Times New Roman"/>
          <w:iCs/>
          <w:color w:val="000000"/>
          <w:sz w:val="24"/>
          <w:szCs w:val="28"/>
        </w:rPr>
      </w:pPr>
      <w:r w:rsidRPr="00F35D26">
        <w:rPr>
          <w:rFonts w:ascii="Times New Roman" w:eastAsia="Calibri" w:hAnsi="Times New Roman" w:cs="Times New Roman"/>
          <w:iCs/>
          <w:color w:val="000000"/>
          <w:sz w:val="24"/>
          <w:szCs w:val="28"/>
        </w:rPr>
        <w:t xml:space="preserve">Рисунок </w:t>
      </w:r>
      <w:r w:rsidR="00CB7713">
        <w:rPr>
          <w:rFonts w:ascii="Times New Roman" w:eastAsia="Calibri" w:hAnsi="Times New Roman" w:cs="Times New Roman"/>
          <w:iCs/>
          <w:color w:val="000000"/>
          <w:sz w:val="24"/>
          <w:szCs w:val="28"/>
        </w:rPr>
        <w:t>21</w:t>
      </w:r>
      <w:r w:rsidRPr="00F35D26">
        <w:rPr>
          <w:rFonts w:ascii="Times New Roman" w:eastAsia="Calibri" w:hAnsi="Times New Roman" w:cs="Times New Roman"/>
          <w:iCs/>
          <w:color w:val="000000"/>
          <w:sz w:val="24"/>
          <w:szCs w:val="28"/>
        </w:rPr>
        <w:t>. Оценка динамики ассортимента товаров, работ и услуг на исследуемых рынках Ленинградской области в целом</w:t>
      </w:r>
    </w:p>
    <w:p w:rsidR="00F35D26" w:rsidRPr="00F35D26" w:rsidRDefault="00F35D26" w:rsidP="00F35D26">
      <w:pPr>
        <w:spacing w:before="100" w:beforeAutospacing="1" w:after="100" w:afterAutospacing="1" w:line="240" w:lineRule="auto"/>
        <w:jc w:val="center"/>
        <w:rPr>
          <w:rFonts w:ascii="Times New Roman" w:eastAsia="Calibri" w:hAnsi="Times New Roman" w:cs="Times New Roman"/>
          <w:iCs/>
          <w:color w:val="000000"/>
          <w:sz w:val="24"/>
          <w:szCs w:val="28"/>
        </w:rPr>
      </w:pPr>
      <w:r w:rsidRPr="00F35D26">
        <w:rPr>
          <w:rFonts w:ascii="Times New Roman" w:eastAsia="Calibri" w:hAnsi="Times New Roman" w:cs="Times New Roman"/>
          <w:b/>
          <w:iCs/>
          <w:noProof/>
          <w:color w:val="000000"/>
          <w:sz w:val="24"/>
          <w:szCs w:val="28"/>
          <w:lang w:eastAsia="ru-RU"/>
        </w:rPr>
        <w:drawing>
          <wp:inline distT="0" distB="0" distL="0" distR="0" wp14:anchorId="51F76861" wp14:editId="1B6C368B">
            <wp:extent cx="5372100" cy="2028825"/>
            <wp:effectExtent l="0" t="0" r="0" b="0"/>
            <wp:docPr id="100" name="Диаграмма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F35D26" w:rsidRPr="00F35D26" w:rsidRDefault="00CB7713" w:rsidP="00CB7713">
      <w:pPr>
        <w:keepNext/>
        <w:keepLines/>
        <w:spacing w:before="120" w:after="120" w:line="240" w:lineRule="auto"/>
        <w:jc w:val="center"/>
        <w:rPr>
          <w:rFonts w:ascii="Times New Roman" w:eastAsia="Calibri" w:hAnsi="Times New Roman" w:cs="Times New Roman"/>
          <w:iCs/>
          <w:color w:val="000000"/>
          <w:sz w:val="24"/>
          <w:szCs w:val="28"/>
        </w:rPr>
      </w:pPr>
      <w:r>
        <w:rPr>
          <w:rFonts w:ascii="Times New Roman" w:eastAsia="Calibri" w:hAnsi="Times New Roman" w:cs="Times New Roman"/>
          <w:iCs/>
          <w:color w:val="000000"/>
          <w:sz w:val="24"/>
          <w:szCs w:val="28"/>
        </w:rPr>
        <w:t>Рисунок 22</w:t>
      </w:r>
      <w:r w:rsidR="00F35D26" w:rsidRPr="00F35D26">
        <w:rPr>
          <w:rFonts w:ascii="Times New Roman" w:eastAsia="Calibri" w:hAnsi="Times New Roman" w:cs="Times New Roman"/>
          <w:iCs/>
          <w:color w:val="000000"/>
          <w:sz w:val="24"/>
          <w:szCs w:val="28"/>
        </w:rPr>
        <w:t>. Оценка динамики ассортимента товаров, работ и услуг на исследуемых рынках Ленинградской области в целом, в разрезе по социальному статусу</w:t>
      </w:r>
    </w:p>
    <w:p w:rsidR="00F35D26" w:rsidRPr="00F35D26" w:rsidRDefault="00F35D26" w:rsidP="00F35D26">
      <w:pPr>
        <w:spacing w:before="100" w:beforeAutospacing="1" w:after="100" w:afterAutospacing="1" w:line="240" w:lineRule="auto"/>
        <w:jc w:val="center"/>
        <w:rPr>
          <w:rFonts w:ascii="Times New Roman" w:eastAsia="Calibri" w:hAnsi="Times New Roman" w:cs="Times New Roman"/>
          <w:iCs/>
          <w:color w:val="000000"/>
          <w:sz w:val="24"/>
          <w:szCs w:val="28"/>
        </w:rPr>
      </w:pPr>
      <w:r w:rsidRPr="00F35D26">
        <w:rPr>
          <w:rFonts w:ascii="Times New Roman" w:eastAsia="Franklin Gothic Book" w:hAnsi="Times New Roman" w:cs="Times New Roman"/>
          <w:noProof/>
          <w:color w:val="000000"/>
          <w:szCs w:val="24"/>
          <w:u w:color="000000"/>
          <w:lang w:eastAsia="ru-RU"/>
        </w:rPr>
        <w:drawing>
          <wp:inline distT="0" distB="0" distL="0" distR="0" wp14:anchorId="21753C27" wp14:editId="29916CDA">
            <wp:extent cx="6390005" cy="4029075"/>
            <wp:effectExtent l="0" t="0" r="0" b="0"/>
            <wp:docPr id="103" name="Диаграмма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F35D26" w:rsidRPr="00F35D26" w:rsidRDefault="00F35D26" w:rsidP="00F35D26">
      <w:pPr>
        <w:spacing w:before="100" w:beforeAutospacing="1" w:after="100" w:afterAutospacing="1" w:line="240" w:lineRule="auto"/>
        <w:jc w:val="both"/>
        <w:rPr>
          <w:rFonts w:ascii="Times New Roman" w:eastAsia="Calibri" w:hAnsi="Times New Roman" w:cs="Times New Roman"/>
          <w:b/>
          <w:iCs/>
          <w:color w:val="000000"/>
          <w:sz w:val="24"/>
          <w:szCs w:val="28"/>
        </w:rPr>
      </w:pPr>
    </w:p>
    <w:p w:rsidR="00F35D26" w:rsidRPr="00CB7713" w:rsidRDefault="00F35D26" w:rsidP="00F35D26">
      <w:pPr>
        <w:spacing w:after="0" w:line="360" w:lineRule="auto"/>
        <w:ind w:firstLine="709"/>
        <w:jc w:val="both"/>
        <w:rPr>
          <w:rFonts w:ascii="Times New Roman" w:eastAsia="Times New Roman" w:hAnsi="Times New Roman" w:cs="Times New Roman"/>
          <w:color w:val="000000"/>
          <w:sz w:val="24"/>
          <w:szCs w:val="24"/>
          <w:lang w:eastAsia="ru-RU"/>
        </w:rPr>
      </w:pPr>
      <w:r w:rsidRPr="00CB7713">
        <w:rPr>
          <w:rFonts w:ascii="Times New Roman" w:eastAsia="Times New Roman" w:hAnsi="Times New Roman" w:cs="Times New Roman"/>
          <w:color w:val="000000"/>
          <w:sz w:val="24"/>
          <w:szCs w:val="24"/>
          <w:lang w:eastAsia="ru-RU"/>
        </w:rPr>
        <w:t xml:space="preserve">Данные, полученные в ходе мониторинга позволяют констатировать </w:t>
      </w:r>
      <w:r w:rsidRPr="00CB7713">
        <w:rPr>
          <w:rFonts w:ascii="Times New Roman" w:eastAsia="Times New Roman" w:hAnsi="Times New Roman" w:cs="Times New Roman"/>
          <w:b/>
          <w:color w:val="000000"/>
          <w:sz w:val="24"/>
          <w:szCs w:val="24"/>
          <w:lang w:eastAsia="ru-RU"/>
        </w:rPr>
        <w:t>стабильную ситуацию в сфере развития конкуренции и наличие достаточного ассортимента товаров, работ и услуг</w:t>
      </w:r>
      <w:r w:rsidRPr="00CB7713">
        <w:rPr>
          <w:rFonts w:ascii="Times New Roman" w:eastAsia="Times New Roman" w:hAnsi="Times New Roman" w:cs="Times New Roman"/>
          <w:color w:val="000000"/>
          <w:sz w:val="24"/>
          <w:szCs w:val="24"/>
          <w:lang w:eastAsia="ru-RU"/>
        </w:rPr>
        <w:t xml:space="preserve"> на социально значимых рынках Ленинградской области - 53% опрошенных жителей региона указали, что возможности выбора на товарных рынках не изменились за последние три года, еще 24% отмечают рост ассортимента. Доля участников исследования, полагающих, что выбор доступных им товаров, работ и услуг сократился за последние годы, не превышает 13% от выборки в целом.</w:t>
      </w:r>
    </w:p>
    <w:p w:rsidR="00F35D26" w:rsidRPr="00CB7713" w:rsidRDefault="00F35D26" w:rsidP="00F35D26">
      <w:pPr>
        <w:spacing w:after="0" w:line="360" w:lineRule="auto"/>
        <w:ind w:firstLine="709"/>
        <w:jc w:val="both"/>
        <w:rPr>
          <w:rFonts w:ascii="Times New Roman" w:eastAsia="Times New Roman" w:hAnsi="Times New Roman" w:cs="Times New Roman"/>
          <w:color w:val="000000"/>
          <w:sz w:val="24"/>
          <w:szCs w:val="24"/>
          <w:lang w:eastAsia="ru-RU"/>
        </w:rPr>
      </w:pPr>
      <w:r w:rsidRPr="00CB7713">
        <w:rPr>
          <w:rFonts w:ascii="Times New Roman" w:eastAsia="Times New Roman" w:hAnsi="Times New Roman" w:cs="Times New Roman"/>
          <w:color w:val="000000"/>
          <w:sz w:val="24"/>
          <w:szCs w:val="24"/>
          <w:lang w:eastAsia="ru-RU"/>
        </w:rPr>
        <w:t xml:space="preserve">О стабильности ассортимента, представленного на изучаемых товарных рынках, чаще говорили пенсионеры (58%). Положительную динамику в большей мере склонны констатировать учащиеся и студенты (36% полагают, что возможности выбора расширились), а также самозанятые и лица, ведущие домашнее хозяйство (по 32%). Среди предпринимателей отмечается наибольшая доля затруднившихся оценить динамику изменения ассортимента на товарных рынках региона (30%). </w:t>
      </w:r>
    </w:p>
    <w:p w:rsidR="00F35D26" w:rsidRPr="00CB7713" w:rsidRDefault="00F35D26" w:rsidP="00F35D26">
      <w:pPr>
        <w:spacing w:after="0" w:line="360" w:lineRule="auto"/>
        <w:ind w:firstLine="709"/>
        <w:jc w:val="both"/>
        <w:rPr>
          <w:rFonts w:ascii="Times New Roman" w:eastAsia="Times New Roman" w:hAnsi="Times New Roman" w:cs="Times New Roman"/>
          <w:color w:val="000000"/>
          <w:sz w:val="24"/>
          <w:szCs w:val="24"/>
          <w:lang w:eastAsia="ru-RU"/>
        </w:rPr>
      </w:pPr>
      <w:r w:rsidRPr="00CB7713">
        <w:rPr>
          <w:rFonts w:ascii="Times New Roman" w:eastAsia="Times New Roman" w:hAnsi="Times New Roman" w:cs="Times New Roman"/>
          <w:b/>
          <w:color w:val="000000"/>
          <w:sz w:val="24"/>
          <w:szCs w:val="24"/>
          <w:lang w:eastAsia="ru-RU"/>
        </w:rPr>
        <w:t>Расширение возможностей</w:t>
      </w:r>
      <w:r w:rsidRPr="00CB7713">
        <w:rPr>
          <w:rFonts w:ascii="Times New Roman" w:eastAsia="Times New Roman" w:hAnsi="Times New Roman" w:cs="Times New Roman"/>
          <w:color w:val="000000"/>
          <w:sz w:val="24"/>
          <w:szCs w:val="24"/>
          <w:lang w:eastAsia="ru-RU"/>
        </w:rPr>
        <w:t xml:space="preserve"> для потребителей по выбору компаний, оказывающих социально значимые услуги, работающие граждане в наибольшей мере фиксируют на таких рынках, как рынок нефтепродуктов, рынок услуг связи и рынок легковых такси. Безработные чаще положительно оценивают динамику ассортимента на рынках производства кирпича и бетона, в сфере наружной рекламы, на рынках услуг общего и среднего профессионального образования, а также на рынке нефтепродуктов. Студенты отмечают хорошие возможности выбора на рынках производства кирпича и бетона, товарной аквакультуры и в сфере услуг среднего профессионального образования. Лица, занимающиеся домашним хозяйством, выделяют рынки племенного животноводства, производства кирпича и бетона, а также наружную рекламу. Пенсионеры видят расширение возможностей выбора на рынках жилищного строительства, кадастровых и землеустроительных работ, архитектурно-строительного проектирования и рынке производства кирпича. С точки зрения самозанятых граждан, стабильность или рост ассортимента реализуемых товаров и услуг наиболее выражены в сфере наружной рекламы, на рынке архитектурно-строительного проектирования и в части услуг предоставления связи. Максимальные оценки со стороны предпринимателей получили рынок ритуальных услуг и жилищного строительства.</w:t>
      </w:r>
    </w:p>
    <w:p w:rsidR="00F35D26" w:rsidRPr="00CB7713" w:rsidRDefault="00F35D26" w:rsidP="00F35D26">
      <w:pPr>
        <w:spacing w:after="0" w:line="360" w:lineRule="auto"/>
        <w:ind w:firstLine="709"/>
        <w:jc w:val="both"/>
        <w:rPr>
          <w:rFonts w:ascii="Times New Roman" w:eastAsia="Times New Roman" w:hAnsi="Times New Roman" w:cs="Times New Roman"/>
          <w:color w:val="000000"/>
          <w:sz w:val="24"/>
          <w:szCs w:val="24"/>
          <w:lang w:eastAsia="ru-RU"/>
        </w:rPr>
      </w:pPr>
      <w:r w:rsidRPr="00CB7713">
        <w:rPr>
          <w:rFonts w:ascii="Times New Roman" w:eastAsia="Times New Roman" w:hAnsi="Times New Roman" w:cs="Times New Roman"/>
          <w:color w:val="000000"/>
          <w:sz w:val="24"/>
          <w:szCs w:val="24"/>
          <w:lang w:eastAsia="ru-RU"/>
        </w:rPr>
        <w:t>Иных статистически значимых различий в ответах респондентов с различным социальным статусом не выявлено.</w:t>
      </w:r>
    </w:p>
    <w:p w:rsidR="00F35D26" w:rsidRPr="00CB7713" w:rsidRDefault="00BB344A" w:rsidP="00F35D26">
      <w:pPr>
        <w:keepNext/>
        <w:keepLines/>
        <w:spacing w:before="40" w:after="240" w:line="240" w:lineRule="auto"/>
        <w:jc w:val="center"/>
        <w:outlineLvl w:val="2"/>
        <w:rPr>
          <w:rFonts w:ascii="Times New Roman" w:eastAsia="Arial" w:hAnsi="Times New Roman" w:cs="Times New Roman"/>
          <w:b/>
          <w:color w:val="000000"/>
          <w:sz w:val="24"/>
          <w:szCs w:val="24"/>
          <w:lang w:eastAsia="ru-RU"/>
        </w:rPr>
      </w:pPr>
      <w:bookmarkStart w:id="20" w:name="_Toc117864315"/>
      <w:bookmarkStart w:id="21" w:name="_Toc120887469"/>
      <w:bookmarkStart w:id="22" w:name="_Toc122720230"/>
      <w:r w:rsidRPr="00CB7713">
        <w:rPr>
          <w:rFonts w:ascii="Times New Roman" w:eastAsia="Arial" w:hAnsi="Times New Roman" w:cs="Times New Roman"/>
          <w:b/>
          <w:color w:val="000000"/>
          <w:sz w:val="24"/>
          <w:szCs w:val="24"/>
          <w:lang w:eastAsia="ru-RU"/>
        </w:rPr>
        <w:t>3.</w:t>
      </w:r>
      <w:r w:rsidR="00F35D26" w:rsidRPr="00CB7713">
        <w:rPr>
          <w:rFonts w:ascii="Times New Roman" w:eastAsia="Arial" w:hAnsi="Times New Roman" w:cs="Times New Roman"/>
          <w:b/>
          <w:color w:val="000000"/>
          <w:sz w:val="24"/>
          <w:szCs w:val="24"/>
          <w:lang w:eastAsia="ru-RU"/>
        </w:rPr>
        <w:t>2.4. Об удовлетворенности потребителей (с учетом их социального статуса) соотношением цены и качества товаров, работ и услуг, произведенных и оказываемых в Ленингра</w:t>
      </w:r>
      <w:r w:rsidR="00CB7713">
        <w:rPr>
          <w:rFonts w:ascii="Times New Roman" w:eastAsia="Arial" w:hAnsi="Times New Roman" w:cs="Times New Roman"/>
          <w:b/>
          <w:color w:val="000000"/>
          <w:sz w:val="24"/>
          <w:szCs w:val="24"/>
          <w:lang w:eastAsia="ru-RU"/>
        </w:rPr>
        <w:t xml:space="preserve">дской области, и произведенных </w:t>
      </w:r>
      <w:r w:rsidR="00F35D26" w:rsidRPr="00CB7713">
        <w:rPr>
          <w:rFonts w:ascii="Times New Roman" w:eastAsia="Arial" w:hAnsi="Times New Roman" w:cs="Times New Roman"/>
          <w:b/>
          <w:color w:val="000000"/>
          <w:sz w:val="24"/>
          <w:szCs w:val="24"/>
          <w:lang w:eastAsia="ru-RU"/>
        </w:rPr>
        <w:t>и оказываемых соответственно в субъектах Российской Федерации, имеющих с ним общие территориальные границы</w:t>
      </w:r>
      <w:bookmarkEnd w:id="20"/>
      <w:bookmarkEnd w:id="21"/>
      <w:bookmarkEnd w:id="22"/>
    </w:p>
    <w:p w:rsidR="00344407" w:rsidRPr="00CB7713" w:rsidRDefault="00344407" w:rsidP="00344407">
      <w:pPr>
        <w:spacing w:line="360" w:lineRule="auto"/>
        <w:ind w:firstLine="709"/>
        <w:jc w:val="both"/>
        <w:rPr>
          <w:rFonts w:ascii="Times New Roman" w:hAnsi="Times New Roman" w:cs="Times New Roman"/>
          <w:color w:val="000000" w:themeColor="text1"/>
          <w:sz w:val="24"/>
          <w:szCs w:val="24"/>
        </w:rPr>
      </w:pPr>
      <w:r w:rsidRPr="00CB7713">
        <w:rPr>
          <w:rFonts w:ascii="Times New Roman" w:hAnsi="Times New Roman" w:cs="Times New Roman"/>
          <w:color w:val="000000" w:themeColor="text1"/>
          <w:sz w:val="24"/>
          <w:szCs w:val="24"/>
        </w:rPr>
        <w:t xml:space="preserve">Доля </w:t>
      </w:r>
      <w:r w:rsidRPr="00CB7713">
        <w:rPr>
          <w:rFonts w:ascii="Times New Roman" w:hAnsi="Times New Roman" w:cs="Times New Roman"/>
          <w:b/>
          <w:bCs/>
          <w:color w:val="000000" w:themeColor="text1"/>
          <w:sz w:val="24"/>
          <w:szCs w:val="24"/>
        </w:rPr>
        <w:t>удовлетворенных соотношением цены и качества</w:t>
      </w:r>
      <w:r w:rsidRPr="00CB7713">
        <w:rPr>
          <w:rFonts w:ascii="Times New Roman" w:hAnsi="Times New Roman" w:cs="Times New Roman"/>
          <w:color w:val="000000" w:themeColor="text1"/>
          <w:sz w:val="24"/>
          <w:szCs w:val="24"/>
        </w:rPr>
        <w:t xml:space="preserve"> товаров и услуг в </w:t>
      </w:r>
      <w:r w:rsidRPr="00CB7713">
        <w:rPr>
          <w:rFonts w:ascii="Times New Roman" w:hAnsi="Times New Roman" w:cs="Times New Roman"/>
          <w:b/>
          <w:bCs/>
          <w:color w:val="000000" w:themeColor="text1"/>
          <w:sz w:val="24"/>
          <w:szCs w:val="24"/>
        </w:rPr>
        <w:t>Ленинградской области</w:t>
      </w:r>
      <w:r w:rsidRPr="00CB7713">
        <w:rPr>
          <w:rFonts w:ascii="Times New Roman" w:hAnsi="Times New Roman" w:cs="Times New Roman"/>
          <w:color w:val="000000" w:themeColor="text1"/>
          <w:sz w:val="24"/>
          <w:szCs w:val="24"/>
        </w:rPr>
        <w:t xml:space="preserve"> составляет 55%. 40% опрошенных выразили неудовлетворенность данным параметром. </w:t>
      </w:r>
    </w:p>
    <w:p w:rsidR="00344407" w:rsidRPr="00250D73" w:rsidRDefault="00344407" w:rsidP="00CB7713">
      <w:pPr>
        <w:keepNext/>
        <w:keepLines/>
        <w:spacing w:before="120" w:after="120" w:line="240" w:lineRule="auto"/>
        <w:jc w:val="center"/>
        <w:rPr>
          <w:rFonts w:ascii="Times New Roman" w:hAnsi="Times New Roman" w:cs="Times New Roman"/>
          <w:b/>
          <w:iCs/>
          <w:color w:val="000000" w:themeColor="text1"/>
          <w:sz w:val="24"/>
          <w:szCs w:val="28"/>
        </w:rPr>
      </w:pPr>
      <w:r w:rsidRPr="00250D73">
        <w:rPr>
          <w:rFonts w:ascii="Times New Roman" w:hAnsi="Times New Roman" w:cs="Times New Roman"/>
          <w:iCs/>
          <w:color w:val="000000" w:themeColor="text1"/>
          <w:sz w:val="24"/>
          <w:szCs w:val="28"/>
        </w:rPr>
        <w:t>Рисунок</w:t>
      </w:r>
      <w:r>
        <w:rPr>
          <w:rFonts w:ascii="Times New Roman" w:hAnsi="Times New Roman" w:cs="Times New Roman"/>
          <w:iCs/>
          <w:color w:val="000000" w:themeColor="text1"/>
          <w:sz w:val="24"/>
          <w:szCs w:val="28"/>
        </w:rPr>
        <w:t xml:space="preserve"> </w:t>
      </w:r>
      <w:r w:rsidR="00CB7713">
        <w:rPr>
          <w:rFonts w:ascii="Times New Roman" w:hAnsi="Times New Roman" w:cs="Times New Roman"/>
          <w:iCs/>
          <w:color w:val="000000" w:themeColor="text1"/>
          <w:sz w:val="24"/>
          <w:szCs w:val="28"/>
        </w:rPr>
        <w:t>23</w:t>
      </w:r>
      <w:r w:rsidRPr="00250D73">
        <w:rPr>
          <w:rFonts w:ascii="Times New Roman" w:hAnsi="Times New Roman" w:cs="Times New Roman"/>
          <w:iCs/>
          <w:color w:val="000000" w:themeColor="text1"/>
          <w:sz w:val="24"/>
          <w:szCs w:val="28"/>
        </w:rPr>
        <w:t xml:space="preserve">. </w:t>
      </w:r>
      <w:r w:rsidRPr="00250D73">
        <w:rPr>
          <w:rFonts w:ascii="Times New Roman" w:hAnsi="Times New Roman" w:cs="Times New Roman"/>
          <w:b/>
          <w:iCs/>
          <w:color w:val="000000" w:themeColor="text1"/>
          <w:sz w:val="24"/>
          <w:szCs w:val="28"/>
        </w:rPr>
        <w:t xml:space="preserve">Оцените, пожалуйста, насколько Вы удовлетворены соотношением цены и качества товаров и услуг в следующих регионах. </w:t>
      </w:r>
      <w:r w:rsidRPr="00250D73">
        <w:rPr>
          <w:rFonts w:ascii="Times New Roman" w:hAnsi="Times New Roman" w:cs="Times New Roman"/>
          <w:noProof/>
          <w:color w:val="000000" w:themeColor="text1"/>
          <w:sz w:val="24"/>
          <w:szCs w:val="24"/>
        </w:rPr>
        <w:t>(</w:t>
      </w:r>
      <w:r w:rsidRPr="00250D73">
        <w:rPr>
          <w:rFonts w:ascii="Times New Roman" w:hAnsi="Times New Roman" w:cs="Times New Roman"/>
          <w:color w:val="000000" w:themeColor="text1"/>
          <w:sz w:val="24"/>
          <w:szCs w:val="24"/>
        </w:rPr>
        <w:t>n=1 082)</w:t>
      </w:r>
    </w:p>
    <w:p w:rsidR="00344407" w:rsidRPr="00250D73" w:rsidRDefault="00344407" w:rsidP="00344407">
      <w:pPr>
        <w:keepNext/>
        <w:keepLines/>
        <w:spacing w:before="120" w:after="120" w:line="240" w:lineRule="auto"/>
        <w:jc w:val="both"/>
        <w:rPr>
          <w:rFonts w:ascii="Times New Roman" w:hAnsi="Times New Roman" w:cs="Times New Roman"/>
          <w:color w:val="000000" w:themeColor="text1"/>
          <w:sz w:val="24"/>
          <w:szCs w:val="24"/>
        </w:rPr>
      </w:pPr>
      <w:r w:rsidRPr="00250D73">
        <w:rPr>
          <w:rFonts w:ascii="Times New Roman" w:hAnsi="Times New Roman" w:cs="Times New Roman"/>
          <w:i/>
          <w:iCs/>
          <w:color w:val="000000" w:themeColor="text1"/>
          <w:sz w:val="24"/>
          <w:szCs w:val="28"/>
        </w:rPr>
        <w:t>Ленинградская область</w:t>
      </w:r>
      <w:r w:rsidRPr="00250D73">
        <w:rPr>
          <w:rFonts w:ascii="Times New Roman" w:hAnsi="Times New Roman" w:cs="Times New Roman"/>
          <w:b/>
          <w:iCs/>
          <w:color w:val="000000" w:themeColor="text1"/>
          <w:sz w:val="24"/>
          <w:szCs w:val="28"/>
        </w:rPr>
        <w:t xml:space="preserve"> </w:t>
      </w:r>
    </w:p>
    <w:p w:rsidR="00344407" w:rsidRPr="00250D73" w:rsidRDefault="00344407" w:rsidP="00344407">
      <w:pPr>
        <w:spacing w:after="0" w:line="288" w:lineRule="auto"/>
        <w:jc w:val="center"/>
        <w:rPr>
          <w:rFonts w:ascii="Times New Roman" w:hAnsi="Times New Roman" w:cs="Times New Roman"/>
          <w:b/>
          <w:iCs/>
          <w:color w:val="000000" w:themeColor="text1"/>
          <w:sz w:val="24"/>
          <w:szCs w:val="24"/>
        </w:rPr>
      </w:pPr>
      <w:r w:rsidRPr="00250D73">
        <w:rPr>
          <w:rFonts w:ascii="Times New Roman" w:hAnsi="Times New Roman" w:cs="Times New Roman"/>
          <w:b/>
          <w:iCs/>
          <w:noProof/>
          <w:color w:val="000000" w:themeColor="text1"/>
          <w:sz w:val="24"/>
          <w:szCs w:val="24"/>
          <w:lang w:eastAsia="ru-RU"/>
        </w:rPr>
        <w:drawing>
          <wp:inline distT="0" distB="0" distL="0" distR="0" wp14:anchorId="683BD022" wp14:editId="59AC9898">
            <wp:extent cx="5937161" cy="2511381"/>
            <wp:effectExtent l="0" t="0" r="0" b="0"/>
            <wp:docPr id="2432" name="Диаграмма 218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344407" w:rsidRPr="00CB7713" w:rsidRDefault="00344407" w:rsidP="00CB7713">
      <w:pPr>
        <w:tabs>
          <w:tab w:val="left" w:pos="709"/>
        </w:tabs>
        <w:spacing w:after="0" w:line="360" w:lineRule="auto"/>
        <w:ind w:firstLine="709"/>
        <w:contextualSpacing/>
        <w:jc w:val="both"/>
        <w:rPr>
          <w:rFonts w:ascii="Times New Roman" w:hAnsi="Times New Roman" w:cs="Times New Roman"/>
          <w:color w:val="000000" w:themeColor="text1"/>
          <w:sz w:val="24"/>
          <w:szCs w:val="24"/>
        </w:rPr>
      </w:pPr>
      <w:r w:rsidRPr="00CB7713">
        <w:rPr>
          <w:rFonts w:ascii="Times New Roman" w:hAnsi="Times New Roman" w:cs="Times New Roman"/>
          <w:color w:val="000000" w:themeColor="text1"/>
          <w:sz w:val="24"/>
          <w:szCs w:val="24"/>
        </w:rPr>
        <w:t xml:space="preserve">В разрезе </w:t>
      </w:r>
      <w:r w:rsidRPr="00CB7713">
        <w:rPr>
          <w:rFonts w:ascii="Times New Roman" w:hAnsi="Times New Roman" w:cs="Times New Roman"/>
          <w:b/>
          <w:bCs/>
          <w:color w:val="000000" w:themeColor="text1"/>
          <w:sz w:val="24"/>
          <w:szCs w:val="24"/>
        </w:rPr>
        <w:t>по социальному статусу</w:t>
      </w:r>
      <w:r w:rsidRPr="00CB7713">
        <w:rPr>
          <w:rFonts w:ascii="Times New Roman" w:hAnsi="Times New Roman" w:cs="Times New Roman"/>
          <w:color w:val="000000" w:themeColor="text1"/>
          <w:sz w:val="24"/>
          <w:szCs w:val="24"/>
        </w:rPr>
        <w:t xml:space="preserve"> можно отметить более высокую долю неудовлетворенных соотношением "цена-качество" среди домохозяек (51% против 40% в среднем по выборке) и предпринимателей (66% против 40% в среднем по выборке). Более высокая доля в полной мере удовлетворенных соотношением стоимости и качества товаров и услуг в Ленинградской области характерна для учащихся / студентов (30% против 14% в среднем по выборке). </w:t>
      </w:r>
    </w:p>
    <w:p w:rsidR="00344407" w:rsidRPr="00CB7713" w:rsidRDefault="00344407" w:rsidP="00CB7713">
      <w:pPr>
        <w:keepNext/>
        <w:keepLines/>
        <w:spacing w:before="120" w:after="120" w:line="240" w:lineRule="auto"/>
        <w:jc w:val="center"/>
        <w:rPr>
          <w:rFonts w:ascii="Times New Roman" w:hAnsi="Times New Roman" w:cs="Times New Roman"/>
          <w:b/>
          <w:iCs/>
          <w:color w:val="000000" w:themeColor="text1"/>
          <w:sz w:val="24"/>
          <w:szCs w:val="28"/>
        </w:rPr>
      </w:pPr>
      <w:r w:rsidRPr="00250D73">
        <w:rPr>
          <w:rFonts w:ascii="Times New Roman" w:hAnsi="Times New Roman" w:cs="Times New Roman"/>
          <w:iCs/>
          <w:color w:val="000000" w:themeColor="text1"/>
          <w:sz w:val="24"/>
          <w:szCs w:val="28"/>
        </w:rPr>
        <w:t>Таблица</w:t>
      </w:r>
      <w:r w:rsidR="00CB7713">
        <w:rPr>
          <w:rFonts w:ascii="Times New Roman" w:hAnsi="Times New Roman" w:cs="Times New Roman"/>
          <w:iCs/>
          <w:color w:val="000000" w:themeColor="text1"/>
          <w:sz w:val="24"/>
          <w:szCs w:val="28"/>
        </w:rPr>
        <w:t xml:space="preserve"> 13</w:t>
      </w:r>
      <w:r w:rsidRPr="00250D73">
        <w:rPr>
          <w:rFonts w:ascii="Times New Roman" w:hAnsi="Times New Roman" w:cs="Times New Roman"/>
          <w:iCs/>
          <w:color w:val="000000" w:themeColor="text1"/>
          <w:sz w:val="24"/>
          <w:szCs w:val="28"/>
        </w:rPr>
        <w:t xml:space="preserve">. </w:t>
      </w:r>
      <w:r w:rsidRPr="00250D73">
        <w:rPr>
          <w:rFonts w:ascii="Times New Roman" w:hAnsi="Times New Roman" w:cs="Times New Roman"/>
          <w:b/>
          <w:iCs/>
          <w:color w:val="000000" w:themeColor="text1"/>
          <w:sz w:val="24"/>
          <w:szCs w:val="28"/>
        </w:rPr>
        <w:t xml:space="preserve">Оцените, пожалуйста, насколько Вы удовлетворены соотношением цены и качества товаров и услуг в следующих регионах. </w:t>
      </w:r>
      <w:r w:rsidRPr="00250D73">
        <w:rPr>
          <w:rFonts w:ascii="Times New Roman" w:hAnsi="Times New Roman" w:cs="Times New Roman"/>
          <w:noProof/>
          <w:color w:val="000000" w:themeColor="text1"/>
          <w:sz w:val="24"/>
          <w:szCs w:val="24"/>
        </w:rPr>
        <w:t xml:space="preserve">(в разрезе по социальному статусу, </w:t>
      </w:r>
      <w:r w:rsidR="00CB7713">
        <w:rPr>
          <w:rFonts w:ascii="Times New Roman" w:hAnsi="Times New Roman" w:cs="Times New Roman"/>
          <w:color w:val="000000" w:themeColor="text1"/>
          <w:sz w:val="24"/>
          <w:szCs w:val="24"/>
        </w:rPr>
        <w:t>n=1 082)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2607"/>
        <w:gridCol w:w="773"/>
        <w:gridCol w:w="775"/>
        <w:gridCol w:w="775"/>
        <w:gridCol w:w="773"/>
        <w:gridCol w:w="775"/>
        <w:gridCol w:w="775"/>
        <w:gridCol w:w="771"/>
        <w:gridCol w:w="773"/>
        <w:gridCol w:w="763"/>
      </w:tblGrid>
      <w:tr w:rsidR="00344407" w:rsidRPr="00250D73" w:rsidTr="00BB344A">
        <w:trPr>
          <w:cantSplit/>
          <w:trHeight w:val="3558"/>
          <w:tblHeader/>
        </w:trPr>
        <w:tc>
          <w:tcPr>
            <w:tcW w:w="350" w:type="pct"/>
            <w:shd w:val="clear" w:color="auto" w:fill="DAEEF3"/>
            <w:noWrap/>
            <w:vAlign w:val="center"/>
          </w:tcPr>
          <w:p w:rsidR="00344407" w:rsidRPr="00CB7713" w:rsidRDefault="00344407" w:rsidP="00BB344A">
            <w:pPr>
              <w:spacing w:after="0" w:line="240" w:lineRule="auto"/>
              <w:jc w:val="center"/>
              <w:rPr>
                <w:rFonts w:ascii="Times New Roman" w:eastAsia="Times New Roman" w:hAnsi="Times New Roman" w:cs="Times New Roman"/>
                <w:color w:val="000000" w:themeColor="text1"/>
                <w:lang w:eastAsia="ru-RU"/>
              </w:rPr>
            </w:pPr>
            <w:r w:rsidRPr="00CB7713">
              <w:rPr>
                <w:rFonts w:ascii="Times New Roman" w:hAnsi="Times New Roman" w:cs="Times New Roman"/>
                <w:b/>
                <w:color w:val="000000" w:themeColor="text1"/>
              </w:rPr>
              <w:t>№ п/п</w:t>
            </w:r>
          </w:p>
        </w:tc>
        <w:tc>
          <w:tcPr>
            <w:tcW w:w="1268" w:type="pct"/>
            <w:shd w:val="clear" w:color="auto" w:fill="DAEEF3"/>
            <w:noWrap/>
            <w:vAlign w:val="center"/>
          </w:tcPr>
          <w:p w:rsidR="00344407" w:rsidRPr="00CB7713" w:rsidRDefault="00344407" w:rsidP="00BB344A">
            <w:pPr>
              <w:spacing w:after="0" w:line="240" w:lineRule="auto"/>
              <w:jc w:val="center"/>
              <w:rPr>
                <w:rFonts w:ascii="Times New Roman" w:eastAsia="Times New Roman" w:hAnsi="Times New Roman" w:cs="Times New Roman"/>
                <w:color w:val="000000" w:themeColor="text1"/>
                <w:lang w:eastAsia="ru-RU"/>
              </w:rPr>
            </w:pPr>
            <w:r w:rsidRPr="00CB7713">
              <w:rPr>
                <w:rFonts w:ascii="Times New Roman" w:eastAsia="Times New Roman" w:hAnsi="Times New Roman" w:cs="Times New Roman"/>
                <w:b/>
                <w:bCs/>
                <w:color w:val="000000" w:themeColor="text1"/>
                <w:lang w:eastAsia="ru-RU"/>
              </w:rPr>
              <w:t>Наименование рынка</w:t>
            </w:r>
          </w:p>
        </w:tc>
        <w:tc>
          <w:tcPr>
            <w:tcW w:w="376" w:type="pct"/>
            <w:shd w:val="clear" w:color="auto" w:fill="DAEEF3"/>
            <w:textDirection w:val="btLr"/>
            <w:vAlign w:val="center"/>
          </w:tcPr>
          <w:p w:rsidR="00344407" w:rsidRPr="00CB7713" w:rsidRDefault="00344407" w:rsidP="00BB344A">
            <w:pPr>
              <w:spacing w:after="0" w:line="240" w:lineRule="auto"/>
              <w:ind w:left="113" w:right="113"/>
              <w:jc w:val="center"/>
              <w:rPr>
                <w:rFonts w:ascii="Times New Roman" w:eastAsia="Times New Roman" w:hAnsi="Times New Roman" w:cs="Times New Roman"/>
                <w:b/>
                <w:bCs/>
                <w:color w:val="000000" w:themeColor="text1"/>
                <w:lang w:eastAsia="ru-RU"/>
              </w:rPr>
            </w:pPr>
            <w:r w:rsidRPr="00CB7713">
              <w:rPr>
                <w:rFonts w:ascii="Times New Roman" w:eastAsia="Times New Roman" w:hAnsi="Times New Roman" w:cs="Times New Roman"/>
                <w:b/>
                <w:bCs/>
                <w:color w:val="000000" w:themeColor="text1"/>
                <w:lang w:eastAsia="ru-RU"/>
              </w:rPr>
              <w:t xml:space="preserve">В среднем </w:t>
            </w:r>
          </w:p>
          <w:p w:rsidR="00344407" w:rsidRPr="00CB7713" w:rsidRDefault="00344407" w:rsidP="00BB344A">
            <w:pPr>
              <w:spacing w:after="0" w:line="240" w:lineRule="auto"/>
              <w:ind w:left="113" w:right="113"/>
              <w:jc w:val="center"/>
              <w:rPr>
                <w:rFonts w:ascii="Times New Roman" w:eastAsia="Times New Roman" w:hAnsi="Times New Roman" w:cs="Times New Roman"/>
                <w:b/>
                <w:bCs/>
                <w:color w:val="000000" w:themeColor="text1"/>
                <w:lang w:eastAsia="ru-RU"/>
              </w:rPr>
            </w:pPr>
            <w:r w:rsidRPr="00CB7713">
              <w:rPr>
                <w:rFonts w:ascii="Times New Roman" w:eastAsia="Times New Roman" w:hAnsi="Times New Roman" w:cs="Times New Roman"/>
                <w:b/>
                <w:bCs/>
                <w:color w:val="000000" w:themeColor="text1"/>
                <w:lang w:eastAsia="ru-RU"/>
              </w:rPr>
              <w:t>по выборке</w:t>
            </w:r>
          </w:p>
        </w:tc>
        <w:tc>
          <w:tcPr>
            <w:tcW w:w="377" w:type="pct"/>
            <w:shd w:val="clear" w:color="auto" w:fill="DAEEF3"/>
            <w:textDirection w:val="btLr"/>
            <w:vAlign w:val="center"/>
          </w:tcPr>
          <w:p w:rsidR="00344407" w:rsidRPr="00CB7713" w:rsidRDefault="00344407" w:rsidP="00BB344A">
            <w:pPr>
              <w:spacing w:after="0" w:line="240" w:lineRule="auto"/>
              <w:ind w:left="113" w:right="113"/>
              <w:jc w:val="center"/>
              <w:rPr>
                <w:rFonts w:ascii="Times New Roman" w:eastAsia="Times New Roman" w:hAnsi="Times New Roman" w:cs="Times New Roman"/>
                <w:b/>
                <w:bCs/>
                <w:color w:val="000000" w:themeColor="text1"/>
                <w:lang w:eastAsia="ru-RU"/>
              </w:rPr>
            </w:pPr>
            <w:r w:rsidRPr="00CB7713">
              <w:rPr>
                <w:rFonts w:ascii="Times New Roman" w:eastAsia="Times New Roman" w:hAnsi="Times New Roman" w:cs="Times New Roman"/>
                <w:b/>
                <w:bCs/>
                <w:color w:val="000000" w:themeColor="text1"/>
                <w:lang w:eastAsia="ru-RU"/>
              </w:rPr>
              <w:t>Работаю</w:t>
            </w:r>
          </w:p>
        </w:tc>
        <w:tc>
          <w:tcPr>
            <w:tcW w:w="377" w:type="pct"/>
            <w:shd w:val="clear" w:color="auto" w:fill="DAEEF3"/>
            <w:textDirection w:val="btLr"/>
            <w:vAlign w:val="center"/>
          </w:tcPr>
          <w:p w:rsidR="00344407" w:rsidRPr="00CB7713" w:rsidRDefault="00344407" w:rsidP="00BB344A">
            <w:pPr>
              <w:spacing w:after="0" w:line="240" w:lineRule="auto"/>
              <w:ind w:left="113" w:right="113"/>
              <w:jc w:val="center"/>
              <w:rPr>
                <w:rFonts w:ascii="Times New Roman" w:eastAsia="Times New Roman" w:hAnsi="Times New Roman" w:cs="Times New Roman"/>
                <w:b/>
                <w:bCs/>
                <w:color w:val="000000" w:themeColor="text1"/>
                <w:lang w:eastAsia="ru-RU"/>
              </w:rPr>
            </w:pPr>
            <w:r w:rsidRPr="00CB7713">
              <w:rPr>
                <w:rFonts w:ascii="Times New Roman" w:eastAsia="Times New Roman" w:hAnsi="Times New Roman" w:cs="Times New Roman"/>
                <w:b/>
                <w:bCs/>
                <w:color w:val="000000" w:themeColor="text1"/>
                <w:lang w:eastAsia="ru-RU"/>
              </w:rPr>
              <w:t>Безработный(ая)</w:t>
            </w:r>
          </w:p>
        </w:tc>
        <w:tc>
          <w:tcPr>
            <w:tcW w:w="376" w:type="pct"/>
            <w:shd w:val="clear" w:color="auto" w:fill="DAEEF3"/>
            <w:textDirection w:val="btLr"/>
            <w:vAlign w:val="center"/>
          </w:tcPr>
          <w:p w:rsidR="00344407" w:rsidRPr="00CB7713" w:rsidRDefault="00344407" w:rsidP="00BB344A">
            <w:pPr>
              <w:spacing w:after="0" w:line="240" w:lineRule="auto"/>
              <w:ind w:left="113" w:right="113"/>
              <w:jc w:val="center"/>
              <w:rPr>
                <w:rFonts w:ascii="Times New Roman" w:eastAsia="Times New Roman" w:hAnsi="Times New Roman" w:cs="Times New Roman"/>
                <w:b/>
                <w:bCs/>
                <w:color w:val="000000" w:themeColor="text1"/>
                <w:lang w:eastAsia="ru-RU"/>
              </w:rPr>
            </w:pPr>
            <w:r w:rsidRPr="00CB7713">
              <w:rPr>
                <w:rFonts w:ascii="Times New Roman" w:eastAsia="Times New Roman" w:hAnsi="Times New Roman" w:cs="Times New Roman"/>
                <w:b/>
                <w:bCs/>
                <w:color w:val="000000" w:themeColor="text1"/>
                <w:lang w:eastAsia="ru-RU"/>
              </w:rPr>
              <w:t>Учусь/студент</w:t>
            </w:r>
          </w:p>
        </w:tc>
        <w:tc>
          <w:tcPr>
            <w:tcW w:w="377" w:type="pct"/>
            <w:shd w:val="clear" w:color="auto" w:fill="DAEEF3"/>
            <w:textDirection w:val="btLr"/>
            <w:vAlign w:val="center"/>
          </w:tcPr>
          <w:p w:rsidR="00344407" w:rsidRPr="00CB7713" w:rsidRDefault="00344407" w:rsidP="00BB344A">
            <w:pPr>
              <w:spacing w:after="0" w:line="240" w:lineRule="auto"/>
              <w:ind w:left="113" w:right="113"/>
              <w:jc w:val="center"/>
              <w:rPr>
                <w:rFonts w:ascii="Times New Roman" w:eastAsia="Times New Roman" w:hAnsi="Times New Roman" w:cs="Times New Roman"/>
                <w:b/>
                <w:bCs/>
                <w:color w:val="000000" w:themeColor="text1"/>
                <w:lang w:eastAsia="ru-RU"/>
              </w:rPr>
            </w:pPr>
            <w:r w:rsidRPr="00CB7713">
              <w:rPr>
                <w:rFonts w:ascii="Times New Roman" w:eastAsia="Times New Roman" w:hAnsi="Times New Roman" w:cs="Times New Roman"/>
                <w:b/>
                <w:bCs/>
                <w:color w:val="000000" w:themeColor="text1"/>
                <w:lang w:eastAsia="ru-RU"/>
              </w:rPr>
              <w:t xml:space="preserve">Домохозяйка </w:t>
            </w:r>
            <w:r w:rsidRPr="00CB7713">
              <w:rPr>
                <w:rFonts w:ascii="Times New Roman" w:eastAsia="Times New Roman" w:hAnsi="Times New Roman" w:cs="Times New Roman"/>
                <w:b/>
                <w:bCs/>
                <w:color w:val="000000" w:themeColor="text1"/>
                <w:lang w:eastAsia="ru-RU"/>
              </w:rPr>
              <w:br/>
              <w:t>(домохозяин)</w:t>
            </w:r>
          </w:p>
        </w:tc>
        <w:tc>
          <w:tcPr>
            <w:tcW w:w="377" w:type="pct"/>
            <w:shd w:val="clear" w:color="auto" w:fill="DAEEF3"/>
            <w:textDirection w:val="btLr"/>
            <w:vAlign w:val="center"/>
          </w:tcPr>
          <w:p w:rsidR="00344407" w:rsidRPr="00CB7713" w:rsidRDefault="00344407" w:rsidP="00BB344A">
            <w:pPr>
              <w:spacing w:after="0" w:line="240" w:lineRule="auto"/>
              <w:ind w:left="113" w:right="113"/>
              <w:jc w:val="center"/>
              <w:rPr>
                <w:rFonts w:ascii="Times New Roman" w:eastAsia="Times New Roman" w:hAnsi="Times New Roman" w:cs="Times New Roman"/>
                <w:b/>
                <w:bCs/>
                <w:color w:val="000000" w:themeColor="text1"/>
                <w:lang w:eastAsia="ru-RU"/>
              </w:rPr>
            </w:pPr>
            <w:r w:rsidRPr="00CB7713">
              <w:rPr>
                <w:rFonts w:ascii="Times New Roman" w:eastAsia="Times New Roman" w:hAnsi="Times New Roman" w:cs="Times New Roman"/>
                <w:b/>
                <w:bCs/>
                <w:color w:val="000000" w:themeColor="text1"/>
                <w:lang w:eastAsia="ru-RU"/>
              </w:rPr>
              <w:t>Пенсионер (в т.ч. по инвалидности)</w:t>
            </w:r>
          </w:p>
        </w:tc>
        <w:tc>
          <w:tcPr>
            <w:tcW w:w="375" w:type="pct"/>
            <w:shd w:val="clear" w:color="auto" w:fill="DAEEF3"/>
            <w:textDirection w:val="btLr"/>
            <w:vAlign w:val="center"/>
          </w:tcPr>
          <w:p w:rsidR="00344407" w:rsidRPr="00CB7713" w:rsidRDefault="00344407" w:rsidP="00BB344A">
            <w:pPr>
              <w:spacing w:after="0" w:line="240" w:lineRule="auto"/>
              <w:ind w:left="113" w:right="113"/>
              <w:jc w:val="center"/>
              <w:rPr>
                <w:rFonts w:ascii="Times New Roman" w:eastAsia="Times New Roman" w:hAnsi="Times New Roman" w:cs="Times New Roman"/>
                <w:b/>
                <w:bCs/>
                <w:color w:val="000000" w:themeColor="text1"/>
                <w:lang w:eastAsia="ru-RU"/>
              </w:rPr>
            </w:pPr>
            <w:r w:rsidRPr="00CB7713">
              <w:rPr>
                <w:rFonts w:ascii="Times New Roman" w:eastAsia="Times New Roman" w:hAnsi="Times New Roman" w:cs="Times New Roman"/>
                <w:b/>
                <w:bCs/>
                <w:color w:val="000000" w:themeColor="text1"/>
                <w:lang w:eastAsia="ru-RU"/>
              </w:rPr>
              <w:t>Самозанятый(ая)</w:t>
            </w:r>
          </w:p>
        </w:tc>
        <w:tc>
          <w:tcPr>
            <w:tcW w:w="376" w:type="pct"/>
            <w:shd w:val="clear" w:color="auto" w:fill="DAEEF3"/>
            <w:textDirection w:val="btLr"/>
            <w:vAlign w:val="center"/>
          </w:tcPr>
          <w:p w:rsidR="00344407" w:rsidRPr="00CB7713" w:rsidRDefault="00344407" w:rsidP="00BB344A">
            <w:pPr>
              <w:spacing w:after="0" w:line="240" w:lineRule="auto"/>
              <w:ind w:left="113" w:right="113"/>
              <w:jc w:val="center"/>
              <w:rPr>
                <w:rFonts w:ascii="Times New Roman" w:eastAsia="Times New Roman" w:hAnsi="Times New Roman" w:cs="Times New Roman"/>
                <w:b/>
                <w:bCs/>
                <w:color w:val="000000" w:themeColor="text1"/>
                <w:lang w:eastAsia="ru-RU"/>
              </w:rPr>
            </w:pPr>
            <w:r w:rsidRPr="00CB7713">
              <w:rPr>
                <w:rFonts w:ascii="Times New Roman" w:eastAsia="Times New Roman" w:hAnsi="Times New Roman" w:cs="Times New Roman"/>
                <w:b/>
                <w:bCs/>
                <w:color w:val="000000" w:themeColor="text1"/>
                <w:lang w:eastAsia="ru-RU"/>
              </w:rPr>
              <w:t>Предприниматель</w:t>
            </w:r>
          </w:p>
        </w:tc>
        <w:tc>
          <w:tcPr>
            <w:tcW w:w="374" w:type="pct"/>
            <w:shd w:val="clear" w:color="auto" w:fill="DAEEF3"/>
            <w:textDirection w:val="btLr"/>
            <w:vAlign w:val="center"/>
          </w:tcPr>
          <w:p w:rsidR="00344407" w:rsidRPr="00CB7713" w:rsidRDefault="00344407" w:rsidP="00BB344A">
            <w:pPr>
              <w:spacing w:after="0" w:line="240" w:lineRule="auto"/>
              <w:ind w:left="113" w:right="113"/>
              <w:jc w:val="center"/>
              <w:rPr>
                <w:rFonts w:ascii="Times New Roman" w:eastAsia="Times New Roman" w:hAnsi="Times New Roman" w:cs="Times New Roman"/>
                <w:b/>
                <w:bCs/>
                <w:color w:val="000000" w:themeColor="text1"/>
                <w:lang w:eastAsia="ru-RU"/>
              </w:rPr>
            </w:pPr>
            <w:r w:rsidRPr="00CB7713">
              <w:rPr>
                <w:rFonts w:ascii="Times New Roman" w:eastAsia="Times New Roman" w:hAnsi="Times New Roman" w:cs="Times New Roman"/>
                <w:b/>
                <w:bCs/>
                <w:color w:val="000000" w:themeColor="text1"/>
                <w:lang w:eastAsia="ru-RU"/>
              </w:rPr>
              <w:t xml:space="preserve">Другое </w:t>
            </w:r>
          </w:p>
        </w:tc>
      </w:tr>
      <w:tr w:rsidR="00344407" w:rsidRPr="00250D73" w:rsidTr="00BB344A">
        <w:trPr>
          <w:trHeight w:val="20"/>
        </w:trPr>
        <w:tc>
          <w:tcPr>
            <w:tcW w:w="350" w:type="pct"/>
            <w:shd w:val="clear" w:color="auto" w:fill="auto"/>
            <w:noWrap/>
            <w:vAlign w:val="center"/>
            <w:hideMark/>
          </w:tcPr>
          <w:p w:rsidR="00344407" w:rsidRPr="00CB7713" w:rsidRDefault="00344407" w:rsidP="00BB344A">
            <w:pPr>
              <w:spacing w:beforeLines="60" w:before="144" w:afterLines="60" w:after="144" w:line="269" w:lineRule="auto"/>
              <w:jc w:val="center"/>
              <w:rPr>
                <w:rFonts w:ascii="Times New Roman" w:eastAsia="Times New Roman" w:hAnsi="Times New Roman" w:cs="Times New Roman"/>
                <w:color w:val="000000" w:themeColor="text1"/>
                <w:lang w:eastAsia="ru-RU"/>
              </w:rPr>
            </w:pPr>
            <w:r w:rsidRPr="00CB7713">
              <w:rPr>
                <w:rFonts w:ascii="Times New Roman" w:eastAsia="Times New Roman" w:hAnsi="Times New Roman" w:cs="Times New Roman"/>
                <w:color w:val="000000" w:themeColor="text1"/>
                <w:lang w:eastAsia="ru-RU"/>
              </w:rPr>
              <w:t>1</w:t>
            </w:r>
          </w:p>
        </w:tc>
        <w:tc>
          <w:tcPr>
            <w:tcW w:w="1268" w:type="pct"/>
            <w:shd w:val="clear" w:color="auto" w:fill="auto"/>
            <w:vAlign w:val="center"/>
            <w:hideMark/>
          </w:tcPr>
          <w:p w:rsidR="00344407" w:rsidRPr="00CB7713" w:rsidRDefault="00344407" w:rsidP="00BB344A">
            <w:pPr>
              <w:spacing w:beforeLines="60" w:before="144" w:afterLines="60" w:after="144" w:line="269" w:lineRule="auto"/>
              <w:rPr>
                <w:rFonts w:ascii="Times New Roman" w:eastAsia="Times New Roman" w:hAnsi="Times New Roman" w:cs="Times New Roman"/>
                <w:color w:val="000000" w:themeColor="text1"/>
                <w:lang w:eastAsia="ru-RU"/>
              </w:rPr>
            </w:pPr>
            <w:r w:rsidRPr="00CB7713">
              <w:rPr>
                <w:rFonts w:ascii="Times New Roman" w:eastAsia="Times New Roman" w:hAnsi="Times New Roman" w:cs="Times New Roman"/>
                <w:color w:val="000000" w:themeColor="text1"/>
                <w:lang w:eastAsia="ru-RU"/>
              </w:rPr>
              <w:t>Удовлетворен(-а)</w:t>
            </w:r>
          </w:p>
        </w:tc>
        <w:tc>
          <w:tcPr>
            <w:tcW w:w="376" w:type="pct"/>
            <w:vAlign w:val="center"/>
          </w:tcPr>
          <w:p w:rsidR="00344407" w:rsidRPr="00CB7713" w:rsidRDefault="00344407" w:rsidP="00BB344A">
            <w:pPr>
              <w:spacing w:after="0" w:line="240" w:lineRule="auto"/>
              <w:jc w:val="center"/>
              <w:rPr>
                <w:rFonts w:ascii="Times New Roman" w:hAnsi="Times New Roman" w:cs="Times New Roman"/>
                <w:b/>
                <w:color w:val="000000" w:themeColor="text1"/>
              </w:rPr>
            </w:pPr>
            <w:r w:rsidRPr="00CB7713">
              <w:rPr>
                <w:rFonts w:ascii="Times New Roman" w:hAnsi="Times New Roman" w:cs="Times New Roman"/>
                <w:b/>
                <w:color w:val="000000" w:themeColor="text1"/>
              </w:rPr>
              <w:t>14%</w:t>
            </w:r>
          </w:p>
        </w:tc>
        <w:tc>
          <w:tcPr>
            <w:tcW w:w="377"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15%</w:t>
            </w:r>
          </w:p>
        </w:tc>
        <w:tc>
          <w:tcPr>
            <w:tcW w:w="377"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18%</w:t>
            </w:r>
          </w:p>
        </w:tc>
        <w:tc>
          <w:tcPr>
            <w:tcW w:w="376"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30%</w:t>
            </w:r>
          </w:p>
        </w:tc>
        <w:tc>
          <w:tcPr>
            <w:tcW w:w="377"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12%</w:t>
            </w:r>
          </w:p>
        </w:tc>
        <w:tc>
          <w:tcPr>
            <w:tcW w:w="377"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9%</w:t>
            </w:r>
          </w:p>
        </w:tc>
        <w:tc>
          <w:tcPr>
            <w:tcW w:w="375"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12%</w:t>
            </w:r>
          </w:p>
        </w:tc>
        <w:tc>
          <w:tcPr>
            <w:tcW w:w="376"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 </w:t>
            </w:r>
          </w:p>
        </w:tc>
        <w:tc>
          <w:tcPr>
            <w:tcW w:w="374"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10%</w:t>
            </w:r>
          </w:p>
        </w:tc>
      </w:tr>
      <w:tr w:rsidR="00344407" w:rsidRPr="00250D73" w:rsidTr="00BB344A">
        <w:trPr>
          <w:trHeight w:val="20"/>
        </w:trPr>
        <w:tc>
          <w:tcPr>
            <w:tcW w:w="350" w:type="pct"/>
            <w:shd w:val="clear" w:color="auto" w:fill="auto"/>
            <w:noWrap/>
            <w:vAlign w:val="center"/>
            <w:hideMark/>
          </w:tcPr>
          <w:p w:rsidR="00344407" w:rsidRPr="00CB7713" w:rsidRDefault="00344407" w:rsidP="00BB344A">
            <w:pPr>
              <w:spacing w:beforeLines="60" w:before="144" w:afterLines="60" w:after="144" w:line="269" w:lineRule="auto"/>
              <w:jc w:val="center"/>
              <w:rPr>
                <w:rFonts w:ascii="Times New Roman" w:eastAsia="Times New Roman" w:hAnsi="Times New Roman" w:cs="Times New Roman"/>
                <w:color w:val="000000" w:themeColor="text1"/>
                <w:lang w:eastAsia="ru-RU"/>
              </w:rPr>
            </w:pPr>
            <w:r w:rsidRPr="00CB7713">
              <w:rPr>
                <w:rFonts w:ascii="Times New Roman" w:eastAsia="Times New Roman" w:hAnsi="Times New Roman" w:cs="Times New Roman"/>
                <w:color w:val="000000" w:themeColor="text1"/>
                <w:lang w:eastAsia="ru-RU"/>
              </w:rPr>
              <w:t>2</w:t>
            </w:r>
          </w:p>
        </w:tc>
        <w:tc>
          <w:tcPr>
            <w:tcW w:w="1268" w:type="pct"/>
            <w:shd w:val="clear" w:color="auto" w:fill="auto"/>
            <w:vAlign w:val="center"/>
            <w:hideMark/>
          </w:tcPr>
          <w:p w:rsidR="00344407" w:rsidRPr="00CB7713" w:rsidRDefault="00344407" w:rsidP="00BB344A">
            <w:pPr>
              <w:spacing w:beforeLines="60" w:before="144" w:afterLines="60" w:after="144" w:line="269" w:lineRule="auto"/>
              <w:rPr>
                <w:rFonts w:ascii="Times New Roman" w:eastAsia="Times New Roman" w:hAnsi="Times New Roman" w:cs="Times New Roman"/>
                <w:color w:val="000000" w:themeColor="text1"/>
                <w:lang w:eastAsia="ru-RU"/>
              </w:rPr>
            </w:pPr>
            <w:r w:rsidRPr="00CB7713">
              <w:rPr>
                <w:rFonts w:ascii="Times New Roman" w:eastAsia="Times New Roman" w:hAnsi="Times New Roman" w:cs="Times New Roman"/>
                <w:color w:val="000000" w:themeColor="text1"/>
                <w:lang w:eastAsia="ru-RU"/>
              </w:rPr>
              <w:t>Скорее удовлетворен(-а)</w:t>
            </w:r>
          </w:p>
        </w:tc>
        <w:tc>
          <w:tcPr>
            <w:tcW w:w="376" w:type="pct"/>
            <w:vAlign w:val="center"/>
          </w:tcPr>
          <w:p w:rsidR="00344407" w:rsidRPr="00CB7713" w:rsidRDefault="00344407" w:rsidP="00BB344A">
            <w:pPr>
              <w:spacing w:after="0" w:line="240" w:lineRule="auto"/>
              <w:jc w:val="center"/>
              <w:rPr>
                <w:rFonts w:ascii="Times New Roman" w:hAnsi="Times New Roman" w:cs="Times New Roman"/>
                <w:b/>
                <w:color w:val="000000" w:themeColor="text1"/>
              </w:rPr>
            </w:pPr>
            <w:r w:rsidRPr="00CB7713">
              <w:rPr>
                <w:rFonts w:ascii="Times New Roman" w:hAnsi="Times New Roman" w:cs="Times New Roman"/>
                <w:b/>
                <w:color w:val="000000" w:themeColor="text1"/>
              </w:rPr>
              <w:t>41%</w:t>
            </w:r>
          </w:p>
        </w:tc>
        <w:tc>
          <w:tcPr>
            <w:tcW w:w="377"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42%</w:t>
            </w:r>
          </w:p>
        </w:tc>
        <w:tc>
          <w:tcPr>
            <w:tcW w:w="377"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40%</w:t>
            </w:r>
          </w:p>
        </w:tc>
        <w:tc>
          <w:tcPr>
            <w:tcW w:w="376"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27%</w:t>
            </w:r>
          </w:p>
        </w:tc>
        <w:tc>
          <w:tcPr>
            <w:tcW w:w="377"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31%</w:t>
            </w:r>
          </w:p>
        </w:tc>
        <w:tc>
          <w:tcPr>
            <w:tcW w:w="377"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42%</w:t>
            </w:r>
          </w:p>
        </w:tc>
        <w:tc>
          <w:tcPr>
            <w:tcW w:w="375"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47%</w:t>
            </w:r>
          </w:p>
        </w:tc>
        <w:tc>
          <w:tcPr>
            <w:tcW w:w="376"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31%</w:t>
            </w:r>
          </w:p>
        </w:tc>
        <w:tc>
          <w:tcPr>
            <w:tcW w:w="374"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46%</w:t>
            </w:r>
          </w:p>
        </w:tc>
      </w:tr>
      <w:tr w:rsidR="00344407" w:rsidRPr="00250D73" w:rsidTr="00BB344A">
        <w:trPr>
          <w:trHeight w:val="20"/>
        </w:trPr>
        <w:tc>
          <w:tcPr>
            <w:tcW w:w="350" w:type="pct"/>
            <w:shd w:val="clear" w:color="auto" w:fill="auto"/>
            <w:noWrap/>
            <w:vAlign w:val="center"/>
            <w:hideMark/>
          </w:tcPr>
          <w:p w:rsidR="00344407" w:rsidRPr="00CB7713" w:rsidRDefault="00344407" w:rsidP="00BB344A">
            <w:pPr>
              <w:spacing w:beforeLines="60" w:before="144" w:afterLines="60" w:after="144" w:line="269" w:lineRule="auto"/>
              <w:jc w:val="center"/>
              <w:rPr>
                <w:rFonts w:ascii="Times New Roman" w:eastAsia="Times New Roman" w:hAnsi="Times New Roman" w:cs="Times New Roman"/>
                <w:color w:val="000000" w:themeColor="text1"/>
                <w:lang w:eastAsia="ru-RU"/>
              </w:rPr>
            </w:pPr>
            <w:r w:rsidRPr="00CB7713">
              <w:rPr>
                <w:rFonts w:ascii="Times New Roman" w:eastAsia="Times New Roman" w:hAnsi="Times New Roman" w:cs="Times New Roman"/>
                <w:color w:val="000000" w:themeColor="text1"/>
                <w:lang w:eastAsia="ru-RU"/>
              </w:rPr>
              <w:t>3</w:t>
            </w:r>
          </w:p>
        </w:tc>
        <w:tc>
          <w:tcPr>
            <w:tcW w:w="1268" w:type="pct"/>
            <w:shd w:val="clear" w:color="auto" w:fill="auto"/>
            <w:vAlign w:val="center"/>
            <w:hideMark/>
          </w:tcPr>
          <w:p w:rsidR="00344407" w:rsidRPr="00CB7713" w:rsidRDefault="00344407" w:rsidP="00BB344A">
            <w:pPr>
              <w:spacing w:beforeLines="60" w:before="144" w:afterLines="60" w:after="144" w:line="269" w:lineRule="auto"/>
              <w:rPr>
                <w:rFonts w:ascii="Times New Roman" w:eastAsia="Times New Roman" w:hAnsi="Times New Roman" w:cs="Times New Roman"/>
                <w:color w:val="000000" w:themeColor="text1"/>
                <w:lang w:eastAsia="ru-RU"/>
              </w:rPr>
            </w:pPr>
            <w:r w:rsidRPr="00CB7713">
              <w:rPr>
                <w:rFonts w:ascii="Times New Roman" w:eastAsia="Times New Roman" w:hAnsi="Times New Roman" w:cs="Times New Roman"/>
                <w:color w:val="000000" w:themeColor="text1"/>
                <w:lang w:eastAsia="ru-RU"/>
              </w:rPr>
              <w:t>Скорее не удовлетворен(-а)</w:t>
            </w:r>
          </w:p>
        </w:tc>
        <w:tc>
          <w:tcPr>
            <w:tcW w:w="376" w:type="pct"/>
            <w:vAlign w:val="center"/>
          </w:tcPr>
          <w:p w:rsidR="00344407" w:rsidRPr="00CB7713" w:rsidRDefault="00344407" w:rsidP="00BB344A">
            <w:pPr>
              <w:spacing w:after="0" w:line="240" w:lineRule="auto"/>
              <w:jc w:val="center"/>
              <w:rPr>
                <w:rFonts w:ascii="Times New Roman" w:hAnsi="Times New Roman" w:cs="Times New Roman"/>
                <w:b/>
                <w:color w:val="000000" w:themeColor="text1"/>
              </w:rPr>
            </w:pPr>
            <w:r w:rsidRPr="00CB7713">
              <w:rPr>
                <w:rFonts w:ascii="Times New Roman" w:hAnsi="Times New Roman" w:cs="Times New Roman"/>
                <w:b/>
                <w:color w:val="000000" w:themeColor="text1"/>
              </w:rPr>
              <w:t>33%</w:t>
            </w:r>
          </w:p>
        </w:tc>
        <w:tc>
          <w:tcPr>
            <w:tcW w:w="377"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32%</w:t>
            </w:r>
          </w:p>
        </w:tc>
        <w:tc>
          <w:tcPr>
            <w:tcW w:w="377"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29%</w:t>
            </w:r>
          </w:p>
        </w:tc>
        <w:tc>
          <w:tcPr>
            <w:tcW w:w="376"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41%</w:t>
            </w:r>
          </w:p>
        </w:tc>
        <w:tc>
          <w:tcPr>
            <w:tcW w:w="377"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39%</w:t>
            </w:r>
          </w:p>
        </w:tc>
        <w:tc>
          <w:tcPr>
            <w:tcW w:w="377"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31%</w:t>
            </w:r>
          </w:p>
        </w:tc>
        <w:tc>
          <w:tcPr>
            <w:tcW w:w="375"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32%</w:t>
            </w:r>
          </w:p>
        </w:tc>
        <w:tc>
          <w:tcPr>
            <w:tcW w:w="376"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57%</w:t>
            </w:r>
          </w:p>
        </w:tc>
        <w:tc>
          <w:tcPr>
            <w:tcW w:w="374"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26%</w:t>
            </w:r>
          </w:p>
        </w:tc>
      </w:tr>
      <w:tr w:rsidR="00344407" w:rsidRPr="00250D73" w:rsidTr="00BB344A">
        <w:trPr>
          <w:trHeight w:val="20"/>
        </w:trPr>
        <w:tc>
          <w:tcPr>
            <w:tcW w:w="350" w:type="pct"/>
            <w:shd w:val="clear" w:color="auto" w:fill="auto"/>
            <w:noWrap/>
            <w:vAlign w:val="center"/>
            <w:hideMark/>
          </w:tcPr>
          <w:p w:rsidR="00344407" w:rsidRPr="00CB7713" w:rsidRDefault="00344407" w:rsidP="00BB344A">
            <w:pPr>
              <w:spacing w:beforeLines="60" w:before="144" w:afterLines="60" w:after="144" w:line="269" w:lineRule="auto"/>
              <w:jc w:val="center"/>
              <w:rPr>
                <w:rFonts w:ascii="Times New Roman" w:eastAsia="Times New Roman" w:hAnsi="Times New Roman" w:cs="Times New Roman"/>
                <w:color w:val="000000" w:themeColor="text1"/>
                <w:lang w:eastAsia="ru-RU"/>
              </w:rPr>
            </w:pPr>
            <w:r w:rsidRPr="00CB7713">
              <w:rPr>
                <w:rFonts w:ascii="Times New Roman" w:eastAsia="Times New Roman" w:hAnsi="Times New Roman" w:cs="Times New Roman"/>
                <w:color w:val="000000" w:themeColor="text1"/>
                <w:lang w:eastAsia="ru-RU"/>
              </w:rPr>
              <w:t>4</w:t>
            </w:r>
          </w:p>
        </w:tc>
        <w:tc>
          <w:tcPr>
            <w:tcW w:w="1268" w:type="pct"/>
            <w:shd w:val="clear" w:color="auto" w:fill="auto"/>
            <w:vAlign w:val="center"/>
            <w:hideMark/>
          </w:tcPr>
          <w:p w:rsidR="00344407" w:rsidRPr="00CB7713" w:rsidRDefault="00344407" w:rsidP="00BB344A">
            <w:pPr>
              <w:spacing w:beforeLines="60" w:before="144" w:afterLines="60" w:after="144" w:line="269" w:lineRule="auto"/>
              <w:rPr>
                <w:rFonts w:ascii="Times New Roman" w:eastAsia="Times New Roman" w:hAnsi="Times New Roman" w:cs="Times New Roman"/>
                <w:color w:val="000000" w:themeColor="text1"/>
                <w:lang w:eastAsia="ru-RU"/>
              </w:rPr>
            </w:pPr>
            <w:r w:rsidRPr="00CB7713">
              <w:rPr>
                <w:rFonts w:ascii="Times New Roman" w:eastAsia="Times New Roman" w:hAnsi="Times New Roman" w:cs="Times New Roman"/>
                <w:color w:val="000000" w:themeColor="text1"/>
                <w:lang w:eastAsia="ru-RU"/>
              </w:rPr>
              <w:t>Не удовлетворен(-а)</w:t>
            </w:r>
          </w:p>
        </w:tc>
        <w:tc>
          <w:tcPr>
            <w:tcW w:w="376" w:type="pct"/>
            <w:vAlign w:val="center"/>
          </w:tcPr>
          <w:p w:rsidR="00344407" w:rsidRPr="00CB7713" w:rsidRDefault="00344407" w:rsidP="00BB344A">
            <w:pPr>
              <w:spacing w:after="0" w:line="240" w:lineRule="auto"/>
              <w:jc w:val="center"/>
              <w:rPr>
                <w:rFonts w:ascii="Times New Roman" w:hAnsi="Times New Roman" w:cs="Times New Roman"/>
                <w:b/>
                <w:color w:val="000000" w:themeColor="text1"/>
              </w:rPr>
            </w:pPr>
            <w:r w:rsidRPr="00CB7713">
              <w:rPr>
                <w:rFonts w:ascii="Times New Roman" w:hAnsi="Times New Roman" w:cs="Times New Roman"/>
                <w:b/>
                <w:color w:val="000000" w:themeColor="text1"/>
              </w:rPr>
              <w:t>7%</w:t>
            </w:r>
          </w:p>
        </w:tc>
        <w:tc>
          <w:tcPr>
            <w:tcW w:w="377"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7%</w:t>
            </w:r>
          </w:p>
        </w:tc>
        <w:tc>
          <w:tcPr>
            <w:tcW w:w="377"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9%</w:t>
            </w:r>
          </w:p>
        </w:tc>
        <w:tc>
          <w:tcPr>
            <w:tcW w:w="376"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2%</w:t>
            </w:r>
          </w:p>
        </w:tc>
        <w:tc>
          <w:tcPr>
            <w:tcW w:w="377"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12%</w:t>
            </w:r>
          </w:p>
        </w:tc>
        <w:tc>
          <w:tcPr>
            <w:tcW w:w="377"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7%</w:t>
            </w:r>
          </w:p>
        </w:tc>
        <w:tc>
          <w:tcPr>
            <w:tcW w:w="375"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6%</w:t>
            </w:r>
          </w:p>
        </w:tc>
        <w:tc>
          <w:tcPr>
            <w:tcW w:w="376"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9%</w:t>
            </w:r>
          </w:p>
        </w:tc>
        <w:tc>
          <w:tcPr>
            <w:tcW w:w="374"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2%</w:t>
            </w:r>
          </w:p>
        </w:tc>
      </w:tr>
      <w:tr w:rsidR="00344407" w:rsidRPr="00250D73" w:rsidTr="00BB344A">
        <w:trPr>
          <w:trHeight w:val="20"/>
        </w:trPr>
        <w:tc>
          <w:tcPr>
            <w:tcW w:w="350" w:type="pct"/>
            <w:shd w:val="clear" w:color="auto" w:fill="auto"/>
            <w:noWrap/>
            <w:vAlign w:val="center"/>
            <w:hideMark/>
          </w:tcPr>
          <w:p w:rsidR="00344407" w:rsidRPr="00CB7713" w:rsidRDefault="00344407" w:rsidP="00BB344A">
            <w:pPr>
              <w:spacing w:beforeLines="60" w:before="144" w:afterLines="60" w:after="144" w:line="269" w:lineRule="auto"/>
              <w:jc w:val="center"/>
              <w:rPr>
                <w:rFonts w:ascii="Times New Roman" w:eastAsia="Times New Roman" w:hAnsi="Times New Roman" w:cs="Times New Roman"/>
                <w:color w:val="000000" w:themeColor="text1"/>
                <w:lang w:eastAsia="ru-RU"/>
              </w:rPr>
            </w:pPr>
            <w:r w:rsidRPr="00CB7713">
              <w:rPr>
                <w:rFonts w:ascii="Times New Roman" w:eastAsia="Times New Roman" w:hAnsi="Times New Roman" w:cs="Times New Roman"/>
                <w:color w:val="000000" w:themeColor="text1"/>
                <w:lang w:eastAsia="ru-RU"/>
              </w:rPr>
              <w:t>5</w:t>
            </w:r>
          </w:p>
        </w:tc>
        <w:tc>
          <w:tcPr>
            <w:tcW w:w="1268" w:type="pct"/>
            <w:shd w:val="clear" w:color="auto" w:fill="auto"/>
            <w:vAlign w:val="center"/>
            <w:hideMark/>
          </w:tcPr>
          <w:p w:rsidR="00344407" w:rsidRPr="00CB7713" w:rsidRDefault="00344407" w:rsidP="00BB344A">
            <w:pPr>
              <w:spacing w:beforeLines="60" w:before="144" w:afterLines="60" w:after="144" w:line="269" w:lineRule="auto"/>
              <w:rPr>
                <w:rFonts w:ascii="Times New Roman" w:eastAsia="Times New Roman" w:hAnsi="Times New Roman" w:cs="Times New Roman"/>
                <w:color w:val="000000" w:themeColor="text1"/>
                <w:lang w:eastAsia="ru-RU"/>
              </w:rPr>
            </w:pPr>
            <w:r w:rsidRPr="00CB7713">
              <w:rPr>
                <w:rFonts w:ascii="Times New Roman" w:eastAsia="Times New Roman" w:hAnsi="Times New Roman" w:cs="Times New Roman"/>
                <w:color w:val="000000" w:themeColor="text1"/>
                <w:lang w:eastAsia="ru-RU"/>
              </w:rPr>
              <w:t>Затрудняюсь ответить</w:t>
            </w:r>
          </w:p>
        </w:tc>
        <w:tc>
          <w:tcPr>
            <w:tcW w:w="376" w:type="pct"/>
            <w:vAlign w:val="center"/>
          </w:tcPr>
          <w:p w:rsidR="00344407" w:rsidRPr="00CB7713" w:rsidRDefault="00344407" w:rsidP="00BB344A">
            <w:pPr>
              <w:spacing w:after="0" w:line="240" w:lineRule="auto"/>
              <w:jc w:val="center"/>
              <w:rPr>
                <w:rFonts w:ascii="Times New Roman" w:hAnsi="Times New Roman" w:cs="Times New Roman"/>
                <w:b/>
                <w:color w:val="000000" w:themeColor="text1"/>
              </w:rPr>
            </w:pPr>
            <w:r w:rsidRPr="00CB7713">
              <w:rPr>
                <w:rFonts w:ascii="Times New Roman" w:hAnsi="Times New Roman" w:cs="Times New Roman"/>
                <w:b/>
                <w:color w:val="000000" w:themeColor="text1"/>
              </w:rPr>
              <w:t>5%</w:t>
            </w:r>
          </w:p>
        </w:tc>
        <w:tc>
          <w:tcPr>
            <w:tcW w:w="377"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4%</w:t>
            </w:r>
          </w:p>
        </w:tc>
        <w:tc>
          <w:tcPr>
            <w:tcW w:w="377"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4%</w:t>
            </w:r>
          </w:p>
        </w:tc>
        <w:tc>
          <w:tcPr>
            <w:tcW w:w="376"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 </w:t>
            </w:r>
          </w:p>
        </w:tc>
        <w:tc>
          <w:tcPr>
            <w:tcW w:w="377"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7%</w:t>
            </w:r>
          </w:p>
        </w:tc>
        <w:tc>
          <w:tcPr>
            <w:tcW w:w="377"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11%</w:t>
            </w:r>
          </w:p>
        </w:tc>
        <w:tc>
          <w:tcPr>
            <w:tcW w:w="375"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3%</w:t>
            </w:r>
          </w:p>
        </w:tc>
        <w:tc>
          <w:tcPr>
            <w:tcW w:w="376"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3%</w:t>
            </w:r>
          </w:p>
        </w:tc>
        <w:tc>
          <w:tcPr>
            <w:tcW w:w="374" w:type="pct"/>
            <w:vAlign w:val="center"/>
          </w:tcPr>
          <w:p w:rsidR="00344407" w:rsidRPr="00CB7713" w:rsidRDefault="00344407" w:rsidP="00BB344A">
            <w:pPr>
              <w:spacing w:after="0" w:line="240" w:lineRule="auto"/>
              <w:jc w:val="center"/>
              <w:rPr>
                <w:rFonts w:ascii="Times New Roman" w:hAnsi="Times New Roman" w:cs="Times New Roman"/>
                <w:color w:val="000000" w:themeColor="text1"/>
              </w:rPr>
            </w:pPr>
            <w:r w:rsidRPr="00CB7713">
              <w:rPr>
                <w:rFonts w:ascii="Times New Roman" w:hAnsi="Times New Roman" w:cs="Times New Roman"/>
                <w:color w:val="000000" w:themeColor="text1"/>
              </w:rPr>
              <w:t>16%</w:t>
            </w:r>
          </w:p>
        </w:tc>
      </w:tr>
    </w:tbl>
    <w:p w:rsidR="00344407" w:rsidRPr="00250D73" w:rsidRDefault="00344407" w:rsidP="00344407">
      <w:pPr>
        <w:spacing w:after="240" w:line="259" w:lineRule="auto"/>
        <w:jc w:val="center"/>
        <w:rPr>
          <w:rFonts w:ascii="Times New Roman" w:eastAsia="Arial" w:hAnsi="Times New Roman" w:cs="Times New Roman"/>
          <w:b/>
          <w:color w:val="000000" w:themeColor="text1"/>
          <w:sz w:val="28"/>
          <w:szCs w:val="28"/>
          <w:lang w:eastAsia="ru-RU"/>
        </w:rPr>
      </w:pPr>
    </w:p>
    <w:p w:rsidR="00344407" w:rsidRPr="00CB7713" w:rsidRDefault="00344407" w:rsidP="00344407">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CB7713">
        <w:rPr>
          <w:rFonts w:ascii="Times New Roman" w:eastAsia="Times New Roman" w:hAnsi="Times New Roman" w:cs="Times New Roman"/>
          <w:color w:val="000000" w:themeColor="text1"/>
          <w:sz w:val="24"/>
          <w:szCs w:val="24"/>
          <w:lang w:eastAsia="ru-RU"/>
        </w:rPr>
        <w:t xml:space="preserve">40% жителей Ленинградской области считают, что в регионе нет товаров и / или услуг, цены на которые завышены по сравнению с другими регионами. 27% участников исследования отметили завышенную стоимость на продукты питания, бытовую химию и промтовары, 13% – на услуги жилищно-коммунального комплекса. Другие категории товаров и услуг отмечали значительно реже. По мнению 7% респондентов, цены в регионе завышены на все категории товаров и услуг. </w:t>
      </w:r>
    </w:p>
    <w:p w:rsidR="00344407" w:rsidRPr="00250D73" w:rsidRDefault="00344407" w:rsidP="00344407">
      <w:pPr>
        <w:keepNext/>
        <w:keepLines/>
        <w:spacing w:before="120" w:after="120" w:line="240" w:lineRule="auto"/>
        <w:jc w:val="both"/>
        <w:rPr>
          <w:rFonts w:ascii="Times New Roman" w:hAnsi="Times New Roman" w:cs="Times New Roman"/>
          <w:b/>
          <w:iCs/>
          <w:color w:val="000000" w:themeColor="text1"/>
          <w:sz w:val="24"/>
          <w:szCs w:val="28"/>
        </w:rPr>
      </w:pPr>
      <w:r w:rsidRPr="00250D73">
        <w:rPr>
          <w:rFonts w:ascii="Times New Roman" w:hAnsi="Times New Roman" w:cs="Times New Roman"/>
          <w:iCs/>
          <w:color w:val="000000" w:themeColor="text1"/>
          <w:sz w:val="24"/>
          <w:szCs w:val="28"/>
        </w:rPr>
        <w:t>Рисунок</w:t>
      </w:r>
      <w:r w:rsidR="00CB7713">
        <w:rPr>
          <w:rFonts w:ascii="Times New Roman" w:hAnsi="Times New Roman" w:cs="Times New Roman"/>
          <w:iCs/>
          <w:color w:val="000000" w:themeColor="text1"/>
          <w:sz w:val="24"/>
          <w:szCs w:val="28"/>
        </w:rPr>
        <w:t xml:space="preserve"> 24</w:t>
      </w:r>
      <w:r w:rsidRPr="00250D73">
        <w:rPr>
          <w:rFonts w:ascii="Times New Roman" w:hAnsi="Times New Roman" w:cs="Times New Roman"/>
          <w:iCs/>
          <w:color w:val="000000" w:themeColor="text1"/>
          <w:sz w:val="24"/>
          <w:szCs w:val="28"/>
        </w:rPr>
        <w:t xml:space="preserve">. </w:t>
      </w:r>
      <w:r w:rsidRPr="00250D73">
        <w:rPr>
          <w:rFonts w:ascii="Times New Roman" w:hAnsi="Times New Roman" w:cs="Times New Roman"/>
          <w:b/>
          <w:iCs/>
          <w:color w:val="000000" w:themeColor="text1"/>
          <w:sz w:val="24"/>
          <w:szCs w:val="28"/>
        </w:rPr>
        <w:t xml:space="preserve">На какие товары и/или услуги, по Вашему мнению, цены в Ленинградской области выше по сравнению с другими регионами? </w:t>
      </w:r>
      <w:r w:rsidRPr="00250D73">
        <w:rPr>
          <w:rFonts w:ascii="Times New Roman" w:hAnsi="Times New Roman" w:cs="Times New Roman"/>
          <w:noProof/>
          <w:color w:val="000000" w:themeColor="text1"/>
          <w:sz w:val="24"/>
          <w:szCs w:val="24"/>
        </w:rPr>
        <w:t>(</w:t>
      </w:r>
      <w:r w:rsidRPr="00250D73">
        <w:rPr>
          <w:rFonts w:ascii="Times New Roman" w:hAnsi="Times New Roman" w:cs="Times New Roman"/>
          <w:color w:val="000000" w:themeColor="text1"/>
          <w:sz w:val="24"/>
          <w:szCs w:val="24"/>
        </w:rPr>
        <w:t>n=1 200)</w:t>
      </w:r>
    </w:p>
    <w:p w:rsidR="00344407" w:rsidRPr="00250D73" w:rsidRDefault="00344407" w:rsidP="00344407">
      <w:pPr>
        <w:spacing w:after="0" w:line="288" w:lineRule="auto"/>
        <w:jc w:val="center"/>
        <w:rPr>
          <w:rFonts w:ascii="Times New Roman" w:hAnsi="Times New Roman" w:cs="Times New Roman"/>
          <w:b/>
          <w:noProof/>
          <w:color w:val="000000" w:themeColor="text1"/>
          <w:sz w:val="28"/>
          <w:szCs w:val="28"/>
        </w:rPr>
      </w:pPr>
      <w:r w:rsidRPr="00250D73">
        <w:rPr>
          <w:rFonts w:ascii="Times New Roman" w:hAnsi="Times New Roman" w:cs="Times New Roman"/>
          <w:noProof/>
          <w:color w:val="000000" w:themeColor="text1"/>
          <w:lang w:eastAsia="ru-RU"/>
        </w:rPr>
        <w:drawing>
          <wp:inline distT="0" distB="0" distL="0" distR="0" wp14:anchorId="2E99FB29" wp14:editId="644515AE">
            <wp:extent cx="5618480" cy="4562475"/>
            <wp:effectExtent l="0" t="0" r="1270" b="0"/>
            <wp:docPr id="2433"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344407" w:rsidRPr="00CB7713" w:rsidRDefault="00344407" w:rsidP="00344407">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CB7713">
        <w:rPr>
          <w:rFonts w:ascii="Times New Roman" w:eastAsia="Times New Roman" w:hAnsi="Times New Roman" w:cs="Times New Roman"/>
          <w:color w:val="000000" w:themeColor="text1"/>
          <w:sz w:val="24"/>
          <w:szCs w:val="24"/>
          <w:lang w:eastAsia="ru-RU"/>
        </w:rPr>
        <w:t>В разрезе социального статуса отличия характерны для группы учащихся / студентов: чаще других групп они отмечают, что в регионе нет товаров и / или услуг, цены на которые завышены по сравнению с другими регионами (57% против 40% в среднем). Среди самозанятых ниже доля тех, кто считает, что в регионе завышены цены</w:t>
      </w:r>
      <w:r w:rsidRPr="00CB7713">
        <w:rPr>
          <w:rFonts w:ascii="Times New Roman" w:hAnsi="Times New Roman" w:cs="Times New Roman"/>
          <w:color w:val="000000" w:themeColor="text1"/>
          <w:sz w:val="24"/>
          <w:szCs w:val="24"/>
        </w:rPr>
        <w:t xml:space="preserve"> </w:t>
      </w:r>
      <w:r w:rsidRPr="00CB7713">
        <w:rPr>
          <w:rFonts w:ascii="Times New Roman" w:eastAsia="Times New Roman" w:hAnsi="Times New Roman" w:cs="Times New Roman"/>
          <w:color w:val="000000" w:themeColor="text1"/>
          <w:sz w:val="24"/>
          <w:szCs w:val="24"/>
          <w:lang w:eastAsia="ru-RU"/>
        </w:rPr>
        <w:t>на все категории товаров и услуг (2% против 7% в среднем), среди предпринимателя</w:t>
      </w:r>
      <w:r w:rsidRPr="00CB7713">
        <w:rPr>
          <w:rFonts w:ascii="Times New Roman" w:eastAsia="Times New Roman" w:hAnsi="Times New Roman" w:cs="Times New Roman"/>
          <w:color w:val="000000" w:themeColor="text1"/>
          <w:sz w:val="24"/>
          <w:szCs w:val="24"/>
          <w:lang w:eastAsia="ru-RU"/>
        </w:rPr>
        <w:tab/>
        <w:t xml:space="preserve">й эта доля максимальна (19%). </w:t>
      </w:r>
    </w:p>
    <w:p w:rsidR="00344407" w:rsidRPr="00CB7713" w:rsidRDefault="00344407" w:rsidP="00344407">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CB7713">
        <w:rPr>
          <w:rFonts w:ascii="Times New Roman" w:eastAsia="Times New Roman" w:hAnsi="Times New Roman" w:cs="Times New Roman"/>
          <w:color w:val="000000" w:themeColor="text1"/>
          <w:sz w:val="24"/>
          <w:szCs w:val="24"/>
          <w:lang w:eastAsia="ru-RU"/>
        </w:rPr>
        <w:t xml:space="preserve">68% жителей Ленинградской области считают, что в регионе нет товаров и / или услуг, качество которых выше аналогичных товаров и услуг других регионов. 13% участников исследования отметили более высокое качество продуктов питания, бытовой химии и промтоваров, по 3% </w:t>
      </w:r>
      <w:r w:rsidRPr="00CB7713">
        <w:rPr>
          <w:rFonts w:ascii="Times New Roman" w:eastAsia="Times New Roman" w:hAnsi="Times New Roman" w:cs="Times New Roman"/>
          <w:color w:val="000000" w:themeColor="text1"/>
          <w:sz w:val="24"/>
          <w:szCs w:val="24"/>
          <w:lang w:eastAsia="ru-RU"/>
        </w:rPr>
        <w:softHyphen/>
        <w:t xml:space="preserve">– услуг жилищно-коммунального комплекса, управляющих компаний и медицинских учреждений. Другие категории товаров и услуг отмечали значительно реже. </w:t>
      </w:r>
    </w:p>
    <w:p w:rsidR="00344407" w:rsidRPr="00250D73" w:rsidRDefault="00344407" w:rsidP="00344407">
      <w:pPr>
        <w:keepNext/>
        <w:keepLines/>
        <w:spacing w:before="120" w:after="120" w:line="240" w:lineRule="auto"/>
        <w:jc w:val="both"/>
        <w:rPr>
          <w:rFonts w:ascii="Times New Roman" w:hAnsi="Times New Roman" w:cs="Times New Roman"/>
          <w:b/>
          <w:iCs/>
          <w:color w:val="000000" w:themeColor="text1"/>
          <w:sz w:val="24"/>
          <w:szCs w:val="28"/>
        </w:rPr>
      </w:pPr>
      <w:r w:rsidRPr="00250D73">
        <w:rPr>
          <w:rFonts w:ascii="Times New Roman" w:hAnsi="Times New Roman" w:cs="Times New Roman"/>
          <w:iCs/>
          <w:color w:val="000000" w:themeColor="text1"/>
          <w:sz w:val="24"/>
          <w:szCs w:val="28"/>
        </w:rPr>
        <w:t>Рисунок</w:t>
      </w:r>
      <w:r>
        <w:rPr>
          <w:rFonts w:ascii="Times New Roman" w:hAnsi="Times New Roman" w:cs="Times New Roman"/>
          <w:iCs/>
          <w:color w:val="000000" w:themeColor="text1"/>
          <w:sz w:val="24"/>
          <w:szCs w:val="28"/>
        </w:rPr>
        <w:t xml:space="preserve"> 2</w:t>
      </w:r>
      <w:r w:rsidR="00CB7713">
        <w:rPr>
          <w:rFonts w:ascii="Times New Roman" w:hAnsi="Times New Roman" w:cs="Times New Roman"/>
          <w:iCs/>
          <w:color w:val="000000" w:themeColor="text1"/>
          <w:sz w:val="24"/>
          <w:szCs w:val="28"/>
        </w:rPr>
        <w:t>5</w:t>
      </w:r>
      <w:r w:rsidRPr="00250D73">
        <w:rPr>
          <w:rFonts w:ascii="Times New Roman" w:hAnsi="Times New Roman" w:cs="Times New Roman"/>
          <w:iCs/>
          <w:color w:val="000000" w:themeColor="text1"/>
          <w:sz w:val="24"/>
          <w:szCs w:val="28"/>
        </w:rPr>
        <w:t xml:space="preserve">. </w:t>
      </w:r>
      <w:r w:rsidRPr="00250D73">
        <w:rPr>
          <w:rFonts w:ascii="Times New Roman" w:hAnsi="Times New Roman" w:cs="Times New Roman"/>
          <w:b/>
          <w:iCs/>
          <w:color w:val="000000" w:themeColor="text1"/>
          <w:sz w:val="24"/>
          <w:szCs w:val="28"/>
        </w:rPr>
        <w:t xml:space="preserve">Качество каких товаров и/или услуг, по Вашему мнению, в Ленинградской области выше по сравнению с другими регионами? </w:t>
      </w:r>
      <w:r w:rsidRPr="00250D73">
        <w:rPr>
          <w:rFonts w:ascii="Times New Roman" w:hAnsi="Times New Roman" w:cs="Times New Roman"/>
          <w:noProof/>
          <w:color w:val="000000" w:themeColor="text1"/>
          <w:sz w:val="24"/>
          <w:szCs w:val="24"/>
        </w:rPr>
        <w:t>(</w:t>
      </w:r>
      <w:r w:rsidRPr="00250D73">
        <w:rPr>
          <w:rFonts w:ascii="Times New Roman" w:hAnsi="Times New Roman" w:cs="Times New Roman"/>
          <w:color w:val="000000" w:themeColor="text1"/>
          <w:sz w:val="24"/>
          <w:szCs w:val="24"/>
        </w:rPr>
        <w:t>n=1 200)</w:t>
      </w:r>
    </w:p>
    <w:p w:rsidR="00344407" w:rsidRPr="00250D73" w:rsidRDefault="00344407" w:rsidP="00344407">
      <w:pPr>
        <w:spacing w:after="0" w:line="288" w:lineRule="auto"/>
        <w:jc w:val="center"/>
        <w:rPr>
          <w:rFonts w:ascii="Times New Roman" w:hAnsi="Times New Roman" w:cs="Times New Roman"/>
          <w:b/>
          <w:noProof/>
          <w:color w:val="000000" w:themeColor="text1"/>
          <w:sz w:val="28"/>
          <w:szCs w:val="28"/>
        </w:rPr>
      </w:pPr>
      <w:r w:rsidRPr="00250D73">
        <w:rPr>
          <w:rFonts w:ascii="Times New Roman" w:hAnsi="Times New Roman" w:cs="Times New Roman"/>
          <w:noProof/>
          <w:color w:val="000000" w:themeColor="text1"/>
          <w:lang w:eastAsia="ru-RU"/>
        </w:rPr>
        <w:drawing>
          <wp:inline distT="0" distB="0" distL="0" distR="0" wp14:anchorId="495DA07B" wp14:editId="27E27A95">
            <wp:extent cx="5617029" cy="3872205"/>
            <wp:effectExtent l="0" t="0" r="3175" b="0"/>
            <wp:docPr id="2434"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344407" w:rsidRPr="00CB7713" w:rsidRDefault="00344407" w:rsidP="00CB7713">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CB7713">
        <w:rPr>
          <w:rFonts w:ascii="Times New Roman" w:eastAsia="Times New Roman" w:hAnsi="Times New Roman" w:cs="Times New Roman"/>
          <w:color w:val="000000" w:themeColor="text1"/>
          <w:sz w:val="24"/>
          <w:szCs w:val="24"/>
          <w:lang w:eastAsia="ru-RU"/>
        </w:rPr>
        <w:t>В разрезе по социальному статусу можно отметить, что учащиеся / студенты чаще других говорили о том, что в Ленинградской области нет товаров и / или услуг, качество которых выше по сравнению с другими регионами (80% против 68% в среднем). Среди пенсионеров значимо ниже доля тех, кто отмечает более высокое качество услуг жилищно-коммунального комплекса, управляющих компаний (1% против 3% в среднем). Других статистически значимых отличий не наблюдается.</w:t>
      </w:r>
    </w:p>
    <w:p w:rsidR="00E36B7A" w:rsidRPr="00CB7713" w:rsidRDefault="00E36B7A" w:rsidP="00CB7713">
      <w:pPr>
        <w:spacing w:after="0" w:line="360" w:lineRule="auto"/>
        <w:ind w:firstLine="709"/>
        <w:jc w:val="both"/>
        <w:rPr>
          <w:rFonts w:ascii="Times New Roman" w:eastAsia="Calibri" w:hAnsi="Times New Roman" w:cs="Times New Roman"/>
          <w:color w:val="000000"/>
          <w:sz w:val="24"/>
          <w:szCs w:val="24"/>
        </w:rPr>
      </w:pPr>
      <w:r w:rsidRPr="00CB7713">
        <w:rPr>
          <w:rFonts w:ascii="Times New Roman" w:eastAsia="Calibri" w:hAnsi="Times New Roman" w:cs="Times New Roman"/>
          <w:color w:val="000000"/>
          <w:sz w:val="24"/>
          <w:szCs w:val="24"/>
        </w:rPr>
        <w:t xml:space="preserve">Доля </w:t>
      </w:r>
      <w:r w:rsidRPr="00CB7713">
        <w:rPr>
          <w:rFonts w:ascii="Times New Roman" w:eastAsia="Calibri" w:hAnsi="Times New Roman" w:cs="Times New Roman"/>
          <w:b/>
          <w:bCs/>
          <w:color w:val="000000"/>
          <w:sz w:val="24"/>
          <w:szCs w:val="24"/>
        </w:rPr>
        <w:t>удовлетворенных соотношением цены и качества</w:t>
      </w:r>
      <w:r w:rsidRPr="00CB7713">
        <w:rPr>
          <w:rFonts w:ascii="Times New Roman" w:eastAsia="Calibri" w:hAnsi="Times New Roman" w:cs="Times New Roman"/>
          <w:color w:val="000000"/>
          <w:sz w:val="24"/>
          <w:szCs w:val="24"/>
        </w:rPr>
        <w:t xml:space="preserve"> товаров и услуг в </w:t>
      </w:r>
      <w:r w:rsidRPr="00CB7713">
        <w:rPr>
          <w:rFonts w:ascii="Times New Roman" w:eastAsia="Calibri" w:hAnsi="Times New Roman" w:cs="Times New Roman"/>
          <w:b/>
          <w:bCs/>
          <w:color w:val="000000"/>
          <w:sz w:val="24"/>
          <w:szCs w:val="24"/>
        </w:rPr>
        <w:t>Санкт-Петербурге</w:t>
      </w:r>
      <w:r w:rsidRPr="00CB7713">
        <w:rPr>
          <w:rFonts w:ascii="Times New Roman" w:eastAsia="Calibri" w:hAnsi="Times New Roman" w:cs="Times New Roman"/>
          <w:color w:val="000000"/>
          <w:sz w:val="24"/>
          <w:szCs w:val="24"/>
        </w:rPr>
        <w:t xml:space="preserve"> составляет 64%. Треть опрошенных выразила неудовлетворенность данным параметром (29%). </w:t>
      </w:r>
    </w:p>
    <w:p w:rsidR="00E36B7A" w:rsidRPr="00CB7713" w:rsidRDefault="00E36B7A" w:rsidP="00CB7713">
      <w:pPr>
        <w:spacing w:after="0" w:line="360" w:lineRule="auto"/>
        <w:ind w:firstLine="709"/>
        <w:contextualSpacing/>
        <w:jc w:val="both"/>
        <w:rPr>
          <w:rFonts w:ascii="Times New Roman" w:eastAsia="Calibri" w:hAnsi="Times New Roman" w:cs="Times New Roman"/>
          <w:color w:val="000000"/>
          <w:sz w:val="24"/>
          <w:szCs w:val="24"/>
        </w:rPr>
      </w:pPr>
      <w:r w:rsidRPr="00CB7713">
        <w:rPr>
          <w:rFonts w:ascii="Times New Roman" w:eastAsia="Calibri" w:hAnsi="Times New Roman" w:cs="Times New Roman"/>
          <w:color w:val="000000"/>
          <w:sz w:val="24"/>
          <w:szCs w:val="24"/>
        </w:rPr>
        <w:t xml:space="preserve">Доля </w:t>
      </w:r>
      <w:r w:rsidRPr="00CB7713">
        <w:rPr>
          <w:rFonts w:ascii="Times New Roman" w:eastAsia="Calibri" w:hAnsi="Times New Roman" w:cs="Times New Roman"/>
          <w:b/>
          <w:bCs/>
          <w:color w:val="000000"/>
          <w:sz w:val="24"/>
          <w:szCs w:val="24"/>
        </w:rPr>
        <w:t>удовлетворенных соотношением цены и качества</w:t>
      </w:r>
      <w:r w:rsidRPr="00CB7713">
        <w:rPr>
          <w:rFonts w:ascii="Times New Roman" w:eastAsia="Calibri" w:hAnsi="Times New Roman" w:cs="Times New Roman"/>
          <w:color w:val="000000"/>
          <w:sz w:val="24"/>
          <w:szCs w:val="24"/>
        </w:rPr>
        <w:t xml:space="preserve"> товаров и услуг в </w:t>
      </w:r>
      <w:r w:rsidRPr="00CB7713">
        <w:rPr>
          <w:rFonts w:ascii="Times New Roman" w:eastAsia="Calibri" w:hAnsi="Times New Roman" w:cs="Times New Roman"/>
          <w:b/>
          <w:bCs/>
          <w:color w:val="000000"/>
          <w:sz w:val="24"/>
          <w:szCs w:val="24"/>
        </w:rPr>
        <w:t>Республике Карелия</w:t>
      </w:r>
      <w:r w:rsidRPr="00CB7713">
        <w:rPr>
          <w:rFonts w:ascii="Times New Roman" w:eastAsia="Calibri" w:hAnsi="Times New Roman" w:cs="Times New Roman"/>
          <w:color w:val="000000"/>
          <w:sz w:val="24"/>
          <w:szCs w:val="24"/>
        </w:rPr>
        <w:t xml:space="preserve"> составляет 73%. 18% опрошенных выразили неудовлетворенность данным параметром. </w:t>
      </w:r>
    </w:p>
    <w:p w:rsidR="00E36B7A" w:rsidRPr="00CB7713" w:rsidRDefault="00E36B7A" w:rsidP="00CB7713">
      <w:pPr>
        <w:spacing w:after="0" w:line="360" w:lineRule="auto"/>
        <w:ind w:firstLine="709"/>
        <w:jc w:val="both"/>
        <w:rPr>
          <w:rFonts w:ascii="Times New Roman" w:eastAsia="Calibri" w:hAnsi="Times New Roman" w:cs="Times New Roman"/>
          <w:color w:val="000000"/>
          <w:sz w:val="24"/>
          <w:szCs w:val="24"/>
        </w:rPr>
      </w:pPr>
      <w:r w:rsidRPr="00CB7713">
        <w:rPr>
          <w:rFonts w:ascii="Times New Roman" w:eastAsia="Calibri" w:hAnsi="Times New Roman" w:cs="Times New Roman"/>
          <w:color w:val="000000"/>
          <w:sz w:val="24"/>
          <w:szCs w:val="24"/>
        </w:rPr>
        <w:t xml:space="preserve">Доля </w:t>
      </w:r>
      <w:r w:rsidRPr="00CB7713">
        <w:rPr>
          <w:rFonts w:ascii="Times New Roman" w:eastAsia="Calibri" w:hAnsi="Times New Roman" w:cs="Times New Roman"/>
          <w:b/>
          <w:bCs/>
          <w:color w:val="000000"/>
          <w:sz w:val="24"/>
          <w:szCs w:val="24"/>
        </w:rPr>
        <w:t>удовлетворенных соотношением цены и качества</w:t>
      </w:r>
      <w:r w:rsidRPr="00CB7713">
        <w:rPr>
          <w:rFonts w:ascii="Times New Roman" w:eastAsia="Calibri" w:hAnsi="Times New Roman" w:cs="Times New Roman"/>
          <w:color w:val="000000"/>
          <w:sz w:val="24"/>
          <w:szCs w:val="24"/>
        </w:rPr>
        <w:t xml:space="preserve"> товаров и услуг в </w:t>
      </w:r>
      <w:r w:rsidRPr="00CB7713">
        <w:rPr>
          <w:rFonts w:ascii="Times New Roman" w:eastAsia="Calibri" w:hAnsi="Times New Roman" w:cs="Times New Roman"/>
          <w:b/>
          <w:bCs/>
          <w:color w:val="000000"/>
          <w:sz w:val="24"/>
          <w:szCs w:val="24"/>
        </w:rPr>
        <w:t>Вологодской области</w:t>
      </w:r>
      <w:r w:rsidRPr="00CB7713">
        <w:rPr>
          <w:rFonts w:ascii="Times New Roman" w:eastAsia="Calibri" w:hAnsi="Times New Roman" w:cs="Times New Roman"/>
          <w:color w:val="000000"/>
          <w:sz w:val="24"/>
          <w:szCs w:val="24"/>
        </w:rPr>
        <w:t xml:space="preserve"> составляет 76%. 13% опрошенных выразили неудовлетворенность данным параметром. </w:t>
      </w:r>
    </w:p>
    <w:p w:rsidR="00E36B7A" w:rsidRPr="00CB7713" w:rsidRDefault="00E36B7A" w:rsidP="00CB7713">
      <w:pPr>
        <w:spacing w:after="0" w:line="360" w:lineRule="auto"/>
        <w:ind w:firstLine="709"/>
        <w:contextualSpacing/>
        <w:jc w:val="both"/>
        <w:rPr>
          <w:rFonts w:ascii="Times New Roman" w:eastAsia="Calibri" w:hAnsi="Times New Roman" w:cs="Times New Roman"/>
          <w:color w:val="000000"/>
          <w:sz w:val="24"/>
          <w:szCs w:val="24"/>
        </w:rPr>
      </w:pPr>
      <w:r w:rsidRPr="00CB7713">
        <w:rPr>
          <w:rFonts w:ascii="Times New Roman" w:eastAsia="Calibri" w:hAnsi="Times New Roman" w:cs="Times New Roman"/>
          <w:color w:val="000000"/>
          <w:sz w:val="24"/>
          <w:szCs w:val="24"/>
        </w:rPr>
        <w:t xml:space="preserve">Доля </w:t>
      </w:r>
      <w:r w:rsidRPr="00CB7713">
        <w:rPr>
          <w:rFonts w:ascii="Times New Roman" w:eastAsia="Calibri" w:hAnsi="Times New Roman" w:cs="Times New Roman"/>
          <w:b/>
          <w:bCs/>
          <w:color w:val="000000"/>
          <w:sz w:val="24"/>
          <w:szCs w:val="24"/>
        </w:rPr>
        <w:t>удовлетворенных соотношением цены и качества</w:t>
      </w:r>
      <w:r w:rsidRPr="00CB7713">
        <w:rPr>
          <w:rFonts w:ascii="Times New Roman" w:eastAsia="Calibri" w:hAnsi="Times New Roman" w:cs="Times New Roman"/>
          <w:color w:val="000000"/>
          <w:sz w:val="24"/>
          <w:szCs w:val="24"/>
        </w:rPr>
        <w:t xml:space="preserve"> товаров и услуг в </w:t>
      </w:r>
      <w:r w:rsidRPr="00CB7713">
        <w:rPr>
          <w:rFonts w:ascii="Times New Roman" w:eastAsia="Calibri" w:hAnsi="Times New Roman" w:cs="Times New Roman"/>
          <w:b/>
          <w:bCs/>
          <w:color w:val="000000"/>
          <w:sz w:val="24"/>
          <w:szCs w:val="24"/>
        </w:rPr>
        <w:t>Новгородской области</w:t>
      </w:r>
      <w:r w:rsidRPr="00CB7713">
        <w:rPr>
          <w:rFonts w:ascii="Times New Roman" w:eastAsia="Calibri" w:hAnsi="Times New Roman" w:cs="Times New Roman"/>
          <w:color w:val="000000"/>
          <w:sz w:val="24"/>
          <w:szCs w:val="24"/>
        </w:rPr>
        <w:t xml:space="preserve"> составляет 78%. 14% опрошенных выразили неудовлетворенность данным параметром. </w:t>
      </w:r>
    </w:p>
    <w:p w:rsidR="00E36B7A" w:rsidRPr="00CB7713" w:rsidRDefault="00E36B7A" w:rsidP="00CB7713">
      <w:pPr>
        <w:spacing w:after="0" w:line="360" w:lineRule="auto"/>
        <w:ind w:firstLine="709"/>
        <w:contextualSpacing/>
        <w:jc w:val="both"/>
        <w:rPr>
          <w:rFonts w:ascii="Times New Roman" w:eastAsia="Calibri" w:hAnsi="Times New Roman" w:cs="Times New Roman"/>
          <w:color w:val="000000"/>
          <w:sz w:val="24"/>
          <w:szCs w:val="24"/>
        </w:rPr>
      </w:pPr>
      <w:r w:rsidRPr="00CB7713">
        <w:rPr>
          <w:rFonts w:ascii="Times New Roman" w:eastAsia="Calibri" w:hAnsi="Times New Roman" w:cs="Times New Roman"/>
          <w:color w:val="000000"/>
          <w:sz w:val="24"/>
          <w:szCs w:val="24"/>
        </w:rPr>
        <w:t xml:space="preserve">Доля </w:t>
      </w:r>
      <w:r w:rsidRPr="00CB7713">
        <w:rPr>
          <w:rFonts w:ascii="Times New Roman" w:eastAsia="Calibri" w:hAnsi="Times New Roman" w:cs="Times New Roman"/>
          <w:b/>
          <w:bCs/>
          <w:color w:val="000000"/>
          <w:sz w:val="24"/>
          <w:szCs w:val="24"/>
        </w:rPr>
        <w:t>удовлетворенных соотношением цены и качества</w:t>
      </w:r>
      <w:r w:rsidRPr="00CB7713">
        <w:rPr>
          <w:rFonts w:ascii="Times New Roman" w:eastAsia="Calibri" w:hAnsi="Times New Roman" w:cs="Times New Roman"/>
          <w:color w:val="000000"/>
          <w:sz w:val="24"/>
          <w:szCs w:val="24"/>
        </w:rPr>
        <w:t xml:space="preserve"> товаров и услуг в </w:t>
      </w:r>
      <w:r w:rsidRPr="00CB7713">
        <w:rPr>
          <w:rFonts w:ascii="Times New Roman" w:eastAsia="Calibri" w:hAnsi="Times New Roman" w:cs="Times New Roman"/>
          <w:b/>
          <w:bCs/>
          <w:color w:val="000000"/>
          <w:sz w:val="24"/>
          <w:szCs w:val="24"/>
        </w:rPr>
        <w:t>Псковской области</w:t>
      </w:r>
      <w:r w:rsidRPr="00CB7713">
        <w:rPr>
          <w:rFonts w:ascii="Times New Roman" w:eastAsia="Calibri" w:hAnsi="Times New Roman" w:cs="Times New Roman"/>
          <w:color w:val="000000"/>
          <w:sz w:val="24"/>
          <w:szCs w:val="24"/>
        </w:rPr>
        <w:t xml:space="preserve"> составляет 72%. 17% опрошенных выразили неудовлетворенность данным параметром. </w:t>
      </w:r>
    </w:p>
    <w:p w:rsidR="00E36B7A" w:rsidRPr="00CB7713" w:rsidRDefault="00BB344A" w:rsidP="00BB344A">
      <w:pPr>
        <w:keepNext/>
        <w:keepLines/>
        <w:spacing w:before="40" w:after="240" w:line="240" w:lineRule="auto"/>
        <w:jc w:val="center"/>
        <w:outlineLvl w:val="2"/>
        <w:rPr>
          <w:rFonts w:ascii="Times New Roman" w:eastAsia="Arial" w:hAnsi="Times New Roman" w:cs="Times New Roman"/>
          <w:b/>
          <w:color w:val="000000"/>
          <w:sz w:val="24"/>
          <w:szCs w:val="24"/>
          <w:lang w:eastAsia="ru-RU"/>
        </w:rPr>
      </w:pPr>
      <w:r w:rsidRPr="00CB7713">
        <w:rPr>
          <w:rFonts w:ascii="Times New Roman" w:eastAsia="Arial" w:hAnsi="Times New Roman" w:cs="Times New Roman"/>
          <w:b/>
          <w:color w:val="000000"/>
          <w:sz w:val="24"/>
          <w:szCs w:val="24"/>
          <w:lang w:eastAsia="ru-RU"/>
        </w:rPr>
        <w:t>3.2.5. О структуре жалоб со стороны потребителей в надзорные органы и динамике их поступления в сравнении с предыдущим отчетным периодом. О структуре и динамике обращений по различным вопросам нарушения потребительских прав респондентов с распределением по надзорным органам</w:t>
      </w:r>
    </w:p>
    <w:p w:rsidR="00BB344A" w:rsidRPr="00CB7713" w:rsidRDefault="00BB344A" w:rsidP="00BB344A">
      <w:pPr>
        <w:spacing w:after="0" w:line="360" w:lineRule="auto"/>
        <w:ind w:firstLine="709"/>
        <w:jc w:val="both"/>
        <w:rPr>
          <w:rFonts w:ascii="Times New Roman" w:eastAsia="Calibri" w:hAnsi="Times New Roman" w:cs="Times New Roman"/>
          <w:color w:val="000000"/>
          <w:sz w:val="24"/>
          <w:szCs w:val="24"/>
        </w:rPr>
      </w:pPr>
      <w:r w:rsidRPr="00CB7713">
        <w:rPr>
          <w:rFonts w:ascii="Times New Roman" w:eastAsia="Calibri" w:hAnsi="Times New Roman" w:cs="Times New Roman"/>
          <w:color w:val="000000"/>
          <w:sz w:val="24"/>
          <w:szCs w:val="24"/>
        </w:rPr>
        <w:t xml:space="preserve">Согласно данным </w:t>
      </w:r>
      <w:r w:rsidRPr="00CB7713">
        <w:rPr>
          <w:rFonts w:ascii="Times New Roman" w:eastAsia="Calibri" w:hAnsi="Times New Roman" w:cs="Times New Roman"/>
          <w:b/>
          <w:bCs/>
          <w:color w:val="000000"/>
          <w:sz w:val="24"/>
          <w:szCs w:val="24"/>
        </w:rPr>
        <w:t>Управления Роспотребнадзора по Ленинградской области</w:t>
      </w:r>
      <w:r w:rsidRPr="00CB7713">
        <w:rPr>
          <w:rFonts w:ascii="Times New Roman" w:eastAsia="Calibri" w:hAnsi="Times New Roman" w:cs="Times New Roman"/>
          <w:color w:val="000000"/>
          <w:sz w:val="24"/>
          <w:szCs w:val="24"/>
        </w:rPr>
        <w:t xml:space="preserve"> отмечается значительное увеличение количества обращений в 2021 г. по сравнению с 2020 г. (общее количество в 2021 г. – 6757, тогда как в 2020 г. – 5399); в 2022 г. количество уменьшилось – 4037.</w:t>
      </w:r>
    </w:p>
    <w:p w:rsidR="00BB344A" w:rsidRPr="00CB7713" w:rsidRDefault="00BB344A" w:rsidP="00BB344A">
      <w:pPr>
        <w:spacing w:after="0" w:line="360" w:lineRule="auto"/>
        <w:ind w:firstLine="709"/>
        <w:jc w:val="both"/>
        <w:rPr>
          <w:rFonts w:ascii="Times New Roman" w:eastAsia="Calibri" w:hAnsi="Times New Roman" w:cs="Times New Roman"/>
          <w:color w:val="000000"/>
          <w:sz w:val="24"/>
          <w:szCs w:val="24"/>
        </w:rPr>
      </w:pPr>
      <w:r w:rsidRPr="00CB7713">
        <w:rPr>
          <w:rFonts w:ascii="Times New Roman" w:eastAsia="Calibri" w:hAnsi="Times New Roman" w:cs="Times New Roman"/>
          <w:color w:val="000000"/>
          <w:sz w:val="24"/>
          <w:szCs w:val="24"/>
        </w:rPr>
        <w:t xml:space="preserve">Особенно существенным является увеличение количества жалоб от юридических лиц / предпринимателей – более чем в два раза (в 2021 г. – 1842, тогда как в 2020 г. – 909), однако при этом показатель 2022 г. (641 обращение) иллюстрирует тенденцию к снижению этого показателя до обычных значений. </w:t>
      </w:r>
    </w:p>
    <w:p w:rsidR="00BB344A" w:rsidRPr="00BB344A" w:rsidRDefault="00BB344A" w:rsidP="00CB7713">
      <w:pPr>
        <w:keepNext/>
        <w:keepLines/>
        <w:spacing w:before="120" w:after="120" w:line="240" w:lineRule="auto"/>
        <w:jc w:val="center"/>
        <w:rPr>
          <w:rFonts w:ascii="Times New Roman" w:eastAsia="Calibri" w:hAnsi="Times New Roman" w:cs="Times New Roman"/>
          <w:color w:val="000000"/>
          <w:sz w:val="24"/>
          <w:szCs w:val="24"/>
        </w:rPr>
      </w:pPr>
      <w:r w:rsidRPr="00BB344A">
        <w:rPr>
          <w:rFonts w:ascii="Times New Roman" w:eastAsia="Calibri" w:hAnsi="Times New Roman" w:cs="Times New Roman"/>
          <w:color w:val="000000"/>
          <w:sz w:val="24"/>
          <w:szCs w:val="24"/>
        </w:rPr>
        <w:t xml:space="preserve">Таблица </w:t>
      </w:r>
      <w:r w:rsidR="00CB7713">
        <w:rPr>
          <w:rFonts w:ascii="Times New Roman" w:eastAsia="Calibri" w:hAnsi="Times New Roman" w:cs="Times New Roman"/>
          <w:color w:val="000000"/>
          <w:sz w:val="24"/>
          <w:szCs w:val="24"/>
        </w:rPr>
        <w:t>14</w:t>
      </w:r>
      <w:r w:rsidRPr="00BB344A">
        <w:rPr>
          <w:rFonts w:ascii="Times New Roman" w:eastAsia="Calibri" w:hAnsi="Times New Roman" w:cs="Times New Roman"/>
          <w:color w:val="000000"/>
          <w:sz w:val="24"/>
          <w:szCs w:val="24"/>
        </w:rPr>
        <w:t xml:space="preserve">. </w:t>
      </w:r>
      <w:r w:rsidRPr="00BB344A">
        <w:rPr>
          <w:rFonts w:ascii="Times New Roman" w:eastAsia="Calibri" w:hAnsi="Times New Roman" w:cs="Times New Roman"/>
          <w:bCs/>
          <w:color w:val="000000"/>
          <w:sz w:val="24"/>
          <w:szCs w:val="24"/>
        </w:rPr>
        <w:t>Количество поступивших обращений (жалоб) по категориям обратившихся</w:t>
      </w:r>
      <w:r w:rsidRPr="00BB344A">
        <w:rPr>
          <w:rFonts w:ascii="Times New Roman" w:eastAsia="Calibri" w:hAnsi="Times New Roman" w:cs="Times New Roman"/>
          <w:color w:val="000000"/>
          <w:sz w:val="24"/>
          <w:szCs w:val="24"/>
        </w:rPr>
        <w:t xml:space="preserve"> (данные Управления Роспотребнадзора по Ленинградской области)</w:t>
      </w:r>
    </w:p>
    <w:tbl>
      <w:tblPr>
        <w:tblStyle w:val="223"/>
        <w:tblW w:w="10065" w:type="dxa"/>
        <w:tblInd w:w="108" w:type="dxa"/>
        <w:tblLook w:val="04A0" w:firstRow="1" w:lastRow="0" w:firstColumn="1" w:lastColumn="0" w:noHBand="0" w:noVBand="1"/>
      </w:tblPr>
      <w:tblGrid>
        <w:gridCol w:w="4678"/>
        <w:gridCol w:w="1701"/>
        <w:gridCol w:w="1701"/>
        <w:gridCol w:w="1985"/>
      </w:tblGrid>
      <w:tr w:rsidR="00BB344A" w:rsidRPr="00BB344A" w:rsidTr="00BB344A">
        <w:trPr>
          <w:tblHeader/>
        </w:trPr>
        <w:tc>
          <w:tcPr>
            <w:tcW w:w="4678" w:type="dxa"/>
            <w:vAlign w:val="center"/>
          </w:tcPr>
          <w:p w:rsidR="00BB344A" w:rsidRPr="00BB344A" w:rsidRDefault="00BB344A" w:rsidP="00BB344A">
            <w:pPr>
              <w:jc w:val="center"/>
              <w:rPr>
                <w:rFonts w:ascii="Times New Roman" w:eastAsia="Calibri" w:hAnsi="Times New Roman" w:cs="Times New Roman"/>
                <w:color w:val="000000"/>
              </w:rPr>
            </w:pPr>
          </w:p>
        </w:tc>
        <w:tc>
          <w:tcPr>
            <w:tcW w:w="1701"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2020 г.</w:t>
            </w:r>
          </w:p>
        </w:tc>
        <w:tc>
          <w:tcPr>
            <w:tcW w:w="1701"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2021 г.</w:t>
            </w:r>
          </w:p>
        </w:tc>
        <w:tc>
          <w:tcPr>
            <w:tcW w:w="1985"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2022 г. январь - октябрь</w:t>
            </w:r>
          </w:p>
        </w:tc>
      </w:tr>
      <w:tr w:rsidR="00BB344A" w:rsidRPr="00BB344A" w:rsidTr="00BB344A">
        <w:tc>
          <w:tcPr>
            <w:tcW w:w="4678"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Поступило заявлений и обращений (всего)</w:t>
            </w:r>
          </w:p>
        </w:tc>
        <w:tc>
          <w:tcPr>
            <w:tcW w:w="1701"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5399</w:t>
            </w:r>
          </w:p>
        </w:tc>
        <w:tc>
          <w:tcPr>
            <w:tcW w:w="1701"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6757</w:t>
            </w:r>
          </w:p>
        </w:tc>
        <w:tc>
          <w:tcPr>
            <w:tcW w:w="1985"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4037</w:t>
            </w:r>
          </w:p>
        </w:tc>
      </w:tr>
      <w:tr w:rsidR="00BB344A" w:rsidRPr="00BB344A" w:rsidTr="00BB344A">
        <w:tc>
          <w:tcPr>
            <w:tcW w:w="4678"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От физических лиц</w:t>
            </w:r>
          </w:p>
        </w:tc>
        <w:tc>
          <w:tcPr>
            <w:tcW w:w="1701"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4490</w:t>
            </w:r>
          </w:p>
        </w:tc>
        <w:tc>
          <w:tcPr>
            <w:tcW w:w="1701"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4915</w:t>
            </w:r>
          </w:p>
        </w:tc>
        <w:tc>
          <w:tcPr>
            <w:tcW w:w="1985"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3396</w:t>
            </w:r>
          </w:p>
        </w:tc>
      </w:tr>
      <w:tr w:rsidR="00BB344A" w:rsidRPr="00BB344A" w:rsidTr="00BB344A">
        <w:tc>
          <w:tcPr>
            <w:tcW w:w="4678"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От юридических лиц / предпринимателей</w:t>
            </w:r>
          </w:p>
        </w:tc>
        <w:tc>
          <w:tcPr>
            <w:tcW w:w="1701"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909</w:t>
            </w:r>
          </w:p>
        </w:tc>
        <w:tc>
          <w:tcPr>
            <w:tcW w:w="1701"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1842</w:t>
            </w:r>
          </w:p>
        </w:tc>
        <w:tc>
          <w:tcPr>
            <w:tcW w:w="1985"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641</w:t>
            </w:r>
          </w:p>
        </w:tc>
      </w:tr>
    </w:tbl>
    <w:p w:rsidR="00BB344A" w:rsidRPr="00BB344A" w:rsidRDefault="00BB344A" w:rsidP="00BB344A">
      <w:pPr>
        <w:spacing w:after="0" w:line="360" w:lineRule="auto"/>
        <w:ind w:firstLine="709"/>
        <w:jc w:val="both"/>
        <w:rPr>
          <w:rFonts w:ascii="Times New Roman" w:eastAsia="Calibri" w:hAnsi="Times New Roman" w:cs="Times New Roman"/>
          <w:color w:val="000000"/>
          <w:sz w:val="28"/>
          <w:szCs w:val="28"/>
        </w:rPr>
      </w:pPr>
    </w:p>
    <w:p w:rsidR="00BB344A" w:rsidRPr="00CB7713" w:rsidRDefault="00BB344A" w:rsidP="00BB344A">
      <w:pPr>
        <w:spacing w:after="0" w:line="360" w:lineRule="auto"/>
        <w:ind w:firstLine="709"/>
        <w:jc w:val="both"/>
        <w:rPr>
          <w:rFonts w:ascii="Times New Roman" w:eastAsia="Calibri" w:hAnsi="Times New Roman" w:cs="Times New Roman"/>
          <w:color w:val="000000"/>
          <w:sz w:val="24"/>
          <w:szCs w:val="24"/>
        </w:rPr>
      </w:pPr>
      <w:r w:rsidRPr="00CB7713">
        <w:rPr>
          <w:rFonts w:ascii="Times New Roman" w:eastAsia="Calibri" w:hAnsi="Times New Roman" w:cs="Times New Roman"/>
          <w:color w:val="000000"/>
          <w:sz w:val="24"/>
          <w:szCs w:val="24"/>
        </w:rPr>
        <w:t xml:space="preserve">Распределение поступивших обращений в разрезе муниципальных районов и городского округа иллюстрирует позитивную картину в Лодейнопольском, Подпорожском, Волосовском и Сланцевском муниципальных районах (значительно меньшее количество обращений, чем в других районах). </w:t>
      </w:r>
    </w:p>
    <w:p w:rsidR="00BB344A" w:rsidRPr="00CB7713" w:rsidRDefault="00BB344A" w:rsidP="00BB344A">
      <w:pPr>
        <w:spacing w:after="0" w:line="360" w:lineRule="auto"/>
        <w:ind w:firstLine="709"/>
        <w:jc w:val="both"/>
        <w:rPr>
          <w:rFonts w:ascii="Times New Roman" w:eastAsia="Calibri" w:hAnsi="Times New Roman" w:cs="Times New Roman"/>
          <w:color w:val="000000"/>
          <w:sz w:val="24"/>
          <w:szCs w:val="24"/>
        </w:rPr>
      </w:pPr>
      <w:r w:rsidRPr="00CB7713">
        <w:rPr>
          <w:rFonts w:ascii="Times New Roman" w:eastAsia="Calibri" w:hAnsi="Times New Roman" w:cs="Times New Roman"/>
          <w:color w:val="000000"/>
          <w:sz w:val="24"/>
          <w:szCs w:val="24"/>
        </w:rPr>
        <w:t>Позитивная динамика количества обращений отмечается в Волосовском муниципальном районе (100 обращений в 2020 г., всего 13 – в 2021 г., и всего 7 обращений за период с января по октябрь 2022 г.), Тихвинском районе (137 обращений в 2020 г., 83 – в 2021 и всего 45 обращений за период с января по октябрь 2022 г.), и Тосненском районе (127 обращений в 2020 г., 88 – в 2021 г., 45 обращений за период с января по октябрь 2022 г.).</w:t>
      </w:r>
    </w:p>
    <w:p w:rsidR="00BB344A" w:rsidRDefault="00BB344A" w:rsidP="00BB344A">
      <w:pPr>
        <w:spacing w:after="0" w:line="360" w:lineRule="auto"/>
        <w:ind w:firstLine="709"/>
        <w:jc w:val="both"/>
        <w:rPr>
          <w:rFonts w:ascii="Times New Roman" w:eastAsia="Calibri" w:hAnsi="Times New Roman" w:cs="Times New Roman"/>
          <w:color w:val="000000"/>
          <w:sz w:val="24"/>
          <w:szCs w:val="24"/>
        </w:rPr>
      </w:pPr>
      <w:r w:rsidRPr="00CB7713">
        <w:rPr>
          <w:rFonts w:ascii="Times New Roman" w:eastAsia="Calibri" w:hAnsi="Times New Roman" w:cs="Times New Roman"/>
          <w:color w:val="000000"/>
          <w:sz w:val="24"/>
          <w:szCs w:val="24"/>
        </w:rPr>
        <w:t>Негативная динамика количества обращений отмечается в Выборгском муниципальном районе (389 обращений в 2020 г., 951 – в 2021 г., 606 обращений за период с января по октябрь 2022 г.), Всеволожском районе (464 обращения в 2020 г., 647 обращений в 2021 г. и 570 обращений за период с января по октябрь 2022 г.), а также в Киришском районе (95 обращений в 2020 г., 136 – в 2021 г., 193 обращения за период с января по октябрь 2022 г.).</w:t>
      </w:r>
    </w:p>
    <w:p w:rsidR="00CD2F82" w:rsidRDefault="00CD2F82" w:rsidP="00BB344A">
      <w:pPr>
        <w:spacing w:after="0" w:line="360" w:lineRule="auto"/>
        <w:ind w:firstLine="709"/>
        <w:jc w:val="both"/>
        <w:rPr>
          <w:rFonts w:ascii="Times New Roman" w:eastAsia="Calibri" w:hAnsi="Times New Roman" w:cs="Times New Roman"/>
          <w:color w:val="000000"/>
          <w:sz w:val="24"/>
          <w:szCs w:val="24"/>
        </w:rPr>
      </w:pPr>
    </w:p>
    <w:p w:rsidR="00CD2F82" w:rsidRPr="00CB7713" w:rsidRDefault="00CD2F82" w:rsidP="00BB344A">
      <w:pPr>
        <w:spacing w:after="0" w:line="360" w:lineRule="auto"/>
        <w:ind w:firstLine="709"/>
        <w:jc w:val="both"/>
        <w:rPr>
          <w:rFonts w:ascii="Times New Roman" w:eastAsia="Calibri" w:hAnsi="Times New Roman" w:cs="Times New Roman"/>
          <w:color w:val="000000"/>
          <w:sz w:val="24"/>
          <w:szCs w:val="24"/>
        </w:rPr>
      </w:pPr>
    </w:p>
    <w:p w:rsidR="00BB344A" w:rsidRPr="00BB344A" w:rsidRDefault="00BB344A" w:rsidP="00CB7713">
      <w:pPr>
        <w:keepNext/>
        <w:keepLines/>
        <w:spacing w:before="120" w:after="120" w:line="240" w:lineRule="auto"/>
        <w:jc w:val="center"/>
        <w:rPr>
          <w:rFonts w:ascii="Times New Roman" w:eastAsia="Calibri" w:hAnsi="Times New Roman" w:cs="Times New Roman"/>
          <w:color w:val="000000"/>
          <w:sz w:val="24"/>
          <w:szCs w:val="24"/>
        </w:rPr>
      </w:pPr>
      <w:r w:rsidRPr="00BB344A">
        <w:rPr>
          <w:rFonts w:ascii="Times New Roman" w:eastAsia="Calibri" w:hAnsi="Times New Roman" w:cs="Times New Roman"/>
          <w:color w:val="000000"/>
          <w:sz w:val="24"/>
          <w:szCs w:val="24"/>
        </w:rPr>
        <w:t xml:space="preserve">Таблица </w:t>
      </w:r>
      <w:r w:rsidR="00CB7713">
        <w:rPr>
          <w:rFonts w:ascii="Times New Roman" w:eastAsia="Calibri" w:hAnsi="Times New Roman" w:cs="Times New Roman"/>
          <w:color w:val="000000"/>
          <w:sz w:val="24"/>
          <w:szCs w:val="24"/>
        </w:rPr>
        <w:t>15</w:t>
      </w:r>
      <w:r w:rsidRPr="00BB344A">
        <w:rPr>
          <w:rFonts w:ascii="Times New Roman" w:eastAsia="Calibri" w:hAnsi="Times New Roman" w:cs="Times New Roman"/>
          <w:color w:val="000000"/>
          <w:sz w:val="24"/>
          <w:szCs w:val="24"/>
        </w:rPr>
        <w:t xml:space="preserve">. </w:t>
      </w:r>
      <w:r w:rsidRPr="00BB344A">
        <w:rPr>
          <w:rFonts w:ascii="Times New Roman" w:eastAsia="Calibri" w:hAnsi="Times New Roman" w:cs="Times New Roman"/>
          <w:bCs/>
          <w:color w:val="000000"/>
          <w:sz w:val="24"/>
          <w:szCs w:val="24"/>
        </w:rPr>
        <w:t>Количество поступивших обращений в разрезе муниципальных районов и городского округа</w:t>
      </w:r>
      <w:r w:rsidRPr="00BB344A">
        <w:rPr>
          <w:rFonts w:ascii="Times New Roman" w:eastAsia="Calibri" w:hAnsi="Times New Roman" w:cs="Times New Roman"/>
          <w:color w:val="000000"/>
          <w:sz w:val="24"/>
          <w:szCs w:val="24"/>
        </w:rPr>
        <w:t xml:space="preserve"> (данные Управления Роспотребнадзора по Ленинградской области)</w:t>
      </w:r>
    </w:p>
    <w:tbl>
      <w:tblPr>
        <w:tblStyle w:val="223"/>
        <w:tblW w:w="10173" w:type="dxa"/>
        <w:tblLook w:val="04A0" w:firstRow="1" w:lastRow="0" w:firstColumn="1" w:lastColumn="0" w:noHBand="0" w:noVBand="1"/>
      </w:tblPr>
      <w:tblGrid>
        <w:gridCol w:w="4928"/>
        <w:gridCol w:w="1559"/>
        <w:gridCol w:w="1559"/>
        <w:gridCol w:w="2127"/>
      </w:tblGrid>
      <w:tr w:rsidR="00BB344A" w:rsidRPr="00BB344A" w:rsidTr="00277912">
        <w:trPr>
          <w:tblHeader/>
        </w:trPr>
        <w:tc>
          <w:tcPr>
            <w:tcW w:w="4928" w:type="dxa"/>
            <w:vAlign w:val="center"/>
          </w:tcPr>
          <w:p w:rsidR="00BB344A" w:rsidRPr="00BB344A" w:rsidRDefault="00BB344A" w:rsidP="00BB344A">
            <w:pPr>
              <w:jc w:val="center"/>
              <w:rPr>
                <w:rFonts w:ascii="Times New Roman" w:eastAsia="Calibri" w:hAnsi="Times New Roman" w:cs="Times New Roman"/>
                <w:color w:val="000000"/>
              </w:rPr>
            </w:pPr>
          </w:p>
        </w:tc>
        <w:tc>
          <w:tcPr>
            <w:tcW w:w="1559" w:type="dxa"/>
            <w:vAlign w:val="center"/>
          </w:tcPr>
          <w:p w:rsidR="00BB344A" w:rsidRPr="00CD2F82" w:rsidRDefault="00BB344A" w:rsidP="00BB344A">
            <w:pPr>
              <w:jc w:val="center"/>
              <w:rPr>
                <w:rFonts w:ascii="Times New Roman" w:eastAsia="Calibri" w:hAnsi="Times New Roman" w:cs="Times New Roman"/>
                <w:b/>
                <w:color w:val="000000"/>
              </w:rPr>
            </w:pPr>
            <w:r w:rsidRPr="00CD2F82">
              <w:rPr>
                <w:rFonts w:ascii="Times New Roman" w:eastAsia="Calibri" w:hAnsi="Times New Roman" w:cs="Times New Roman"/>
                <w:b/>
                <w:color w:val="000000"/>
              </w:rPr>
              <w:t>2020 г.</w:t>
            </w:r>
          </w:p>
        </w:tc>
        <w:tc>
          <w:tcPr>
            <w:tcW w:w="1559" w:type="dxa"/>
            <w:vAlign w:val="center"/>
          </w:tcPr>
          <w:p w:rsidR="00BB344A" w:rsidRPr="00CD2F82" w:rsidRDefault="00BB344A" w:rsidP="00BB344A">
            <w:pPr>
              <w:jc w:val="center"/>
              <w:rPr>
                <w:rFonts w:ascii="Times New Roman" w:eastAsia="Calibri" w:hAnsi="Times New Roman" w:cs="Times New Roman"/>
                <w:b/>
                <w:color w:val="000000"/>
              </w:rPr>
            </w:pPr>
            <w:r w:rsidRPr="00CD2F82">
              <w:rPr>
                <w:rFonts w:ascii="Times New Roman" w:eastAsia="Calibri" w:hAnsi="Times New Roman" w:cs="Times New Roman"/>
                <w:b/>
                <w:color w:val="000000"/>
              </w:rPr>
              <w:t>2021 г.</w:t>
            </w:r>
          </w:p>
        </w:tc>
        <w:tc>
          <w:tcPr>
            <w:tcW w:w="2127" w:type="dxa"/>
            <w:vAlign w:val="center"/>
          </w:tcPr>
          <w:p w:rsidR="00BB344A" w:rsidRPr="00CD2F82" w:rsidRDefault="00BB344A" w:rsidP="00BB344A">
            <w:pPr>
              <w:jc w:val="center"/>
              <w:rPr>
                <w:rFonts w:ascii="Times New Roman" w:eastAsia="Calibri" w:hAnsi="Times New Roman" w:cs="Times New Roman"/>
                <w:b/>
                <w:color w:val="000000"/>
              </w:rPr>
            </w:pPr>
            <w:r w:rsidRPr="00CD2F82">
              <w:rPr>
                <w:rFonts w:ascii="Times New Roman" w:eastAsia="Calibri" w:hAnsi="Times New Roman" w:cs="Times New Roman"/>
                <w:b/>
                <w:color w:val="000000"/>
              </w:rPr>
              <w:t>2022 г. январь - октябрь</w:t>
            </w:r>
          </w:p>
        </w:tc>
      </w:tr>
      <w:tr w:rsidR="00BB344A" w:rsidRPr="00BB344A" w:rsidTr="00277912">
        <w:tc>
          <w:tcPr>
            <w:tcW w:w="4928"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1 Бокситогорский муниципальный район</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66</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95</w:t>
            </w:r>
          </w:p>
        </w:tc>
        <w:tc>
          <w:tcPr>
            <w:tcW w:w="212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81</w:t>
            </w:r>
          </w:p>
        </w:tc>
      </w:tr>
      <w:tr w:rsidR="00BB344A" w:rsidRPr="00BB344A" w:rsidTr="00277912">
        <w:tc>
          <w:tcPr>
            <w:tcW w:w="4928"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2 Волосовский муниципальный район</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16</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13</w:t>
            </w:r>
          </w:p>
        </w:tc>
        <w:tc>
          <w:tcPr>
            <w:tcW w:w="212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7</w:t>
            </w:r>
          </w:p>
        </w:tc>
      </w:tr>
      <w:tr w:rsidR="00BB344A" w:rsidRPr="00BB344A" w:rsidTr="00277912">
        <w:tc>
          <w:tcPr>
            <w:tcW w:w="4928"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3 Волховский муниципальный район</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100</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18</w:t>
            </w:r>
          </w:p>
        </w:tc>
        <w:tc>
          <w:tcPr>
            <w:tcW w:w="212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25</w:t>
            </w:r>
          </w:p>
        </w:tc>
      </w:tr>
      <w:tr w:rsidR="00BB344A" w:rsidRPr="00BB344A" w:rsidTr="00277912">
        <w:tc>
          <w:tcPr>
            <w:tcW w:w="4928"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4 Всеволожский муниципальный район</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464</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647</w:t>
            </w:r>
          </w:p>
        </w:tc>
        <w:tc>
          <w:tcPr>
            <w:tcW w:w="212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570</w:t>
            </w:r>
          </w:p>
        </w:tc>
      </w:tr>
      <w:tr w:rsidR="00BB344A" w:rsidRPr="00BB344A" w:rsidTr="00277912">
        <w:tc>
          <w:tcPr>
            <w:tcW w:w="4928"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5 Выборгский муниципальный район</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389</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951</w:t>
            </w:r>
          </w:p>
        </w:tc>
        <w:tc>
          <w:tcPr>
            <w:tcW w:w="212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606</w:t>
            </w:r>
          </w:p>
        </w:tc>
      </w:tr>
      <w:tr w:rsidR="00BB344A" w:rsidRPr="00BB344A" w:rsidTr="00277912">
        <w:tc>
          <w:tcPr>
            <w:tcW w:w="4928"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6 Гатчинский муниципальный район</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241</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304</w:t>
            </w:r>
          </w:p>
        </w:tc>
        <w:tc>
          <w:tcPr>
            <w:tcW w:w="212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144</w:t>
            </w:r>
          </w:p>
        </w:tc>
      </w:tr>
      <w:tr w:rsidR="00BB344A" w:rsidRPr="00BB344A" w:rsidTr="00277912">
        <w:tc>
          <w:tcPr>
            <w:tcW w:w="4928"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7 Кингисеппский муниципальный район</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54</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70</w:t>
            </w:r>
          </w:p>
        </w:tc>
        <w:tc>
          <w:tcPr>
            <w:tcW w:w="212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72</w:t>
            </w:r>
          </w:p>
        </w:tc>
      </w:tr>
      <w:tr w:rsidR="00BB344A" w:rsidRPr="00BB344A" w:rsidTr="00277912">
        <w:tc>
          <w:tcPr>
            <w:tcW w:w="4928"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8 Киришский муниципальный район</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95</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136</w:t>
            </w:r>
          </w:p>
        </w:tc>
        <w:tc>
          <w:tcPr>
            <w:tcW w:w="212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193</w:t>
            </w:r>
          </w:p>
        </w:tc>
      </w:tr>
      <w:tr w:rsidR="00BB344A" w:rsidRPr="00BB344A" w:rsidTr="00277912">
        <w:tc>
          <w:tcPr>
            <w:tcW w:w="4928"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9 Кировский муниципальный район</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227</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168</w:t>
            </w:r>
          </w:p>
        </w:tc>
        <w:tc>
          <w:tcPr>
            <w:tcW w:w="212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204</w:t>
            </w:r>
          </w:p>
        </w:tc>
      </w:tr>
      <w:tr w:rsidR="00BB344A" w:rsidRPr="00BB344A" w:rsidTr="00277912">
        <w:tc>
          <w:tcPr>
            <w:tcW w:w="4928"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10 Лодейнопольский муниципальный район</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15</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12</w:t>
            </w:r>
          </w:p>
        </w:tc>
        <w:tc>
          <w:tcPr>
            <w:tcW w:w="212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6</w:t>
            </w:r>
          </w:p>
        </w:tc>
      </w:tr>
      <w:tr w:rsidR="00BB344A" w:rsidRPr="00BB344A" w:rsidTr="00277912">
        <w:tc>
          <w:tcPr>
            <w:tcW w:w="4928"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11 Ломоносовский муниципальный район</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28</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45</w:t>
            </w:r>
          </w:p>
        </w:tc>
        <w:tc>
          <w:tcPr>
            <w:tcW w:w="212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34</w:t>
            </w:r>
          </w:p>
        </w:tc>
      </w:tr>
      <w:tr w:rsidR="00BB344A" w:rsidRPr="00BB344A" w:rsidTr="00277912">
        <w:tc>
          <w:tcPr>
            <w:tcW w:w="4928"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12 Лужский муниципальный район</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33</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40</w:t>
            </w:r>
          </w:p>
        </w:tc>
        <w:tc>
          <w:tcPr>
            <w:tcW w:w="212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39</w:t>
            </w:r>
          </w:p>
        </w:tc>
      </w:tr>
      <w:tr w:rsidR="00BB344A" w:rsidRPr="00BB344A" w:rsidTr="00277912">
        <w:tc>
          <w:tcPr>
            <w:tcW w:w="4928"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13 Подпорожский муниципальный район</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16</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10</w:t>
            </w:r>
          </w:p>
        </w:tc>
        <w:tc>
          <w:tcPr>
            <w:tcW w:w="212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5</w:t>
            </w:r>
          </w:p>
        </w:tc>
      </w:tr>
      <w:tr w:rsidR="00BB344A" w:rsidRPr="00BB344A" w:rsidTr="00277912">
        <w:tc>
          <w:tcPr>
            <w:tcW w:w="4928"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14 Приозерский муниципальный район</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117</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143</w:t>
            </w:r>
          </w:p>
        </w:tc>
        <w:tc>
          <w:tcPr>
            <w:tcW w:w="212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126</w:t>
            </w:r>
          </w:p>
        </w:tc>
      </w:tr>
      <w:tr w:rsidR="00BB344A" w:rsidRPr="00BB344A" w:rsidTr="00277912">
        <w:tc>
          <w:tcPr>
            <w:tcW w:w="4928"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15 Сланцевский муниципальный район</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24</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18</w:t>
            </w:r>
          </w:p>
        </w:tc>
        <w:tc>
          <w:tcPr>
            <w:tcW w:w="212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19</w:t>
            </w:r>
          </w:p>
        </w:tc>
      </w:tr>
      <w:tr w:rsidR="00BB344A" w:rsidRPr="00BB344A" w:rsidTr="00277912">
        <w:tc>
          <w:tcPr>
            <w:tcW w:w="4928"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16 Тихвинский муниципальный район</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137</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83</w:t>
            </w:r>
          </w:p>
        </w:tc>
        <w:tc>
          <w:tcPr>
            <w:tcW w:w="212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45</w:t>
            </w:r>
          </w:p>
        </w:tc>
      </w:tr>
      <w:tr w:rsidR="00BB344A" w:rsidRPr="00BB344A" w:rsidTr="00277912">
        <w:tc>
          <w:tcPr>
            <w:tcW w:w="4928"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17 Тосненский муниципальный район</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127</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88</w:t>
            </w:r>
          </w:p>
        </w:tc>
        <w:tc>
          <w:tcPr>
            <w:tcW w:w="212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84</w:t>
            </w:r>
          </w:p>
        </w:tc>
      </w:tr>
      <w:tr w:rsidR="00BB344A" w:rsidRPr="00BB344A" w:rsidTr="00277912">
        <w:tc>
          <w:tcPr>
            <w:tcW w:w="4928"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18.Управление Роспотребнадзора по Ленинградской области</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3250</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3916</w:t>
            </w:r>
          </w:p>
        </w:tc>
        <w:tc>
          <w:tcPr>
            <w:tcW w:w="212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1777</w:t>
            </w:r>
          </w:p>
        </w:tc>
      </w:tr>
    </w:tbl>
    <w:p w:rsidR="00BB344A" w:rsidRPr="00BB344A" w:rsidRDefault="00BB344A" w:rsidP="00BB344A">
      <w:pPr>
        <w:spacing w:after="0" w:line="360" w:lineRule="auto"/>
        <w:ind w:firstLine="709"/>
        <w:jc w:val="both"/>
        <w:rPr>
          <w:rFonts w:ascii="Times New Roman" w:eastAsia="Calibri" w:hAnsi="Times New Roman" w:cs="Times New Roman"/>
          <w:color w:val="000000"/>
          <w:sz w:val="28"/>
          <w:szCs w:val="28"/>
        </w:rPr>
      </w:pPr>
    </w:p>
    <w:p w:rsidR="00BB344A" w:rsidRPr="00CB7713" w:rsidRDefault="00BB344A" w:rsidP="00BB344A">
      <w:pPr>
        <w:spacing w:after="0" w:line="360" w:lineRule="auto"/>
        <w:ind w:firstLine="709"/>
        <w:jc w:val="both"/>
        <w:rPr>
          <w:rFonts w:ascii="Times New Roman" w:eastAsia="Calibri" w:hAnsi="Times New Roman" w:cs="Times New Roman"/>
          <w:color w:val="000000"/>
          <w:sz w:val="24"/>
          <w:szCs w:val="24"/>
        </w:rPr>
      </w:pPr>
      <w:r w:rsidRPr="00CB7713">
        <w:rPr>
          <w:rFonts w:ascii="Times New Roman" w:eastAsia="Calibri" w:hAnsi="Times New Roman" w:cs="Times New Roman"/>
          <w:color w:val="000000"/>
          <w:sz w:val="24"/>
          <w:szCs w:val="24"/>
        </w:rPr>
        <w:t>Динамика количества обращений (жалоб), поступающих посредством разных каналов, иллюстрирует повышение значимости письменных обращений посредством Почты России / канцелярии (410 обращений в 2020 г., 938 обращений в 2021 г. и 639 обращений за январь – октябрь 2022 г.). Отмечается также снижение значимости электронной приемной (1584 обращения в 2020 г., 680 обращений в 2021 г. и 680 обращений за январь – октябрь 2022 г.).</w:t>
      </w:r>
    </w:p>
    <w:p w:rsidR="00BB344A" w:rsidRPr="00CB7713" w:rsidRDefault="00BB344A" w:rsidP="00BB344A">
      <w:pPr>
        <w:spacing w:after="0" w:line="360" w:lineRule="auto"/>
        <w:ind w:firstLine="709"/>
        <w:jc w:val="both"/>
        <w:rPr>
          <w:rFonts w:ascii="Times New Roman" w:eastAsia="Calibri" w:hAnsi="Times New Roman" w:cs="Times New Roman"/>
          <w:color w:val="000000"/>
          <w:sz w:val="24"/>
          <w:szCs w:val="24"/>
        </w:rPr>
      </w:pPr>
      <w:r w:rsidRPr="00CB7713">
        <w:rPr>
          <w:rFonts w:ascii="Times New Roman" w:eastAsia="Calibri" w:hAnsi="Times New Roman" w:cs="Times New Roman"/>
          <w:color w:val="000000"/>
          <w:sz w:val="24"/>
          <w:szCs w:val="24"/>
        </w:rPr>
        <w:t>Наиболее значимым каналом обращений остается досудебное обжалование (Госуслуги); отмечается всплеск количества обращений по этому каналу в 2021 г. (4023 обращения, тогда как в 2020 г. – 2931 обращение) и некоторое снижение количества в 2022 г. (2226 обращений).</w:t>
      </w:r>
    </w:p>
    <w:p w:rsidR="00BB344A" w:rsidRPr="00BB344A" w:rsidRDefault="00BB344A" w:rsidP="00CB7713">
      <w:pPr>
        <w:keepNext/>
        <w:keepLines/>
        <w:spacing w:before="120" w:after="120" w:line="240" w:lineRule="auto"/>
        <w:jc w:val="center"/>
        <w:rPr>
          <w:rFonts w:ascii="Times New Roman" w:eastAsia="Calibri" w:hAnsi="Times New Roman" w:cs="Times New Roman"/>
          <w:color w:val="000000"/>
          <w:sz w:val="24"/>
          <w:szCs w:val="24"/>
        </w:rPr>
      </w:pPr>
      <w:r w:rsidRPr="00BB344A">
        <w:rPr>
          <w:rFonts w:ascii="Times New Roman" w:eastAsia="Calibri" w:hAnsi="Times New Roman" w:cs="Times New Roman"/>
          <w:color w:val="000000"/>
          <w:sz w:val="24"/>
          <w:szCs w:val="24"/>
        </w:rPr>
        <w:t xml:space="preserve">Таблица </w:t>
      </w:r>
      <w:r w:rsidR="00CB7713">
        <w:rPr>
          <w:rFonts w:ascii="Times New Roman" w:eastAsia="Calibri" w:hAnsi="Times New Roman" w:cs="Times New Roman"/>
          <w:color w:val="000000"/>
          <w:sz w:val="24"/>
          <w:szCs w:val="24"/>
        </w:rPr>
        <w:t>16</w:t>
      </w:r>
      <w:r w:rsidRPr="00BB344A">
        <w:rPr>
          <w:rFonts w:ascii="Times New Roman" w:eastAsia="Calibri" w:hAnsi="Times New Roman" w:cs="Times New Roman"/>
          <w:color w:val="000000"/>
          <w:sz w:val="24"/>
          <w:szCs w:val="24"/>
        </w:rPr>
        <w:t xml:space="preserve">. </w:t>
      </w:r>
      <w:r w:rsidRPr="00BB344A">
        <w:rPr>
          <w:rFonts w:ascii="Times New Roman" w:eastAsia="Calibri" w:hAnsi="Times New Roman" w:cs="Times New Roman"/>
          <w:bCs/>
          <w:color w:val="000000"/>
          <w:sz w:val="24"/>
          <w:szCs w:val="24"/>
        </w:rPr>
        <w:t>Количество поступивших обращений (жалоб) по способам получения</w:t>
      </w:r>
      <w:r w:rsidRPr="00BB344A">
        <w:rPr>
          <w:rFonts w:ascii="Times New Roman" w:eastAsia="Calibri" w:hAnsi="Times New Roman" w:cs="Times New Roman"/>
          <w:color w:val="000000"/>
          <w:sz w:val="24"/>
          <w:szCs w:val="24"/>
        </w:rPr>
        <w:t xml:space="preserve"> (данные Управления Роспотребнадзора по Ленинградской области)</w:t>
      </w:r>
    </w:p>
    <w:tbl>
      <w:tblPr>
        <w:tblW w:w="9894" w:type="dxa"/>
        <w:tblInd w:w="-5" w:type="dxa"/>
        <w:tblLayout w:type="fixed"/>
        <w:tblLook w:val="04A0" w:firstRow="1" w:lastRow="0" w:firstColumn="1" w:lastColumn="0" w:noHBand="0" w:noVBand="1"/>
      </w:tblPr>
      <w:tblGrid>
        <w:gridCol w:w="5642"/>
        <w:gridCol w:w="1417"/>
        <w:gridCol w:w="1417"/>
        <w:gridCol w:w="1418"/>
      </w:tblGrid>
      <w:tr w:rsidR="00BB344A" w:rsidRPr="00BB344A" w:rsidTr="00BB344A">
        <w:trPr>
          <w:trHeight w:val="576"/>
        </w:trPr>
        <w:tc>
          <w:tcPr>
            <w:tcW w:w="5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344A" w:rsidRPr="00CD2F82" w:rsidRDefault="00BB344A" w:rsidP="00BB344A">
            <w:pPr>
              <w:spacing w:after="0"/>
              <w:jc w:val="both"/>
              <w:rPr>
                <w:rFonts w:ascii="Times New Roman" w:eastAsia="Times New Roman" w:hAnsi="Times New Roman" w:cs="Times New Roman"/>
                <w:b/>
                <w:color w:val="000000"/>
                <w:lang w:eastAsia="ru-RU"/>
              </w:rPr>
            </w:pP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BB344A" w:rsidRPr="00CD2F82" w:rsidRDefault="00BB344A" w:rsidP="00BB344A">
            <w:pPr>
              <w:spacing w:after="0"/>
              <w:jc w:val="center"/>
              <w:rPr>
                <w:rFonts w:ascii="Times New Roman" w:eastAsia="Times New Roman" w:hAnsi="Times New Roman" w:cs="Times New Roman"/>
                <w:b/>
                <w:color w:val="000000"/>
                <w:lang w:eastAsia="ru-RU"/>
              </w:rPr>
            </w:pPr>
            <w:r w:rsidRPr="00CD2F82">
              <w:rPr>
                <w:rFonts w:ascii="Times New Roman" w:eastAsia="Times New Roman" w:hAnsi="Times New Roman" w:cs="Times New Roman"/>
                <w:b/>
                <w:color w:val="000000"/>
                <w:lang w:eastAsia="ru-RU"/>
              </w:rPr>
              <w:t>2020 г.</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BB344A" w:rsidRPr="00CD2F82" w:rsidRDefault="00BB344A" w:rsidP="00BB344A">
            <w:pPr>
              <w:spacing w:after="0"/>
              <w:jc w:val="center"/>
              <w:rPr>
                <w:rFonts w:ascii="Times New Roman" w:eastAsia="Times New Roman" w:hAnsi="Times New Roman" w:cs="Times New Roman"/>
                <w:b/>
                <w:color w:val="000000"/>
                <w:lang w:eastAsia="ru-RU"/>
              </w:rPr>
            </w:pPr>
            <w:r w:rsidRPr="00CD2F82">
              <w:rPr>
                <w:rFonts w:ascii="Times New Roman" w:eastAsia="Times New Roman" w:hAnsi="Times New Roman" w:cs="Times New Roman"/>
                <w:b/>
                <w:color w:val="000000"/>
                <w:lang w:eastAsia="ru-RU"/>
              </w:rPr>
              <w:t>2021 г.</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BB344A" w:rsidRPr="00CD2F82" w:rsidRDefault="00BB344A" w:rsidP="00BB344A">
            <w:pPr>
              <w:spacing w:after="0"/>
              <w:jc w:val="center"/>
              <w:rPr>
                <w:rFonts w:ascii="Times New Roman" w:eastAsia="Times New Roman" w:hAnsi="Times New Roman" w:cs="Times New Roman"/>
                <w:b/>
                <w:color w:val="000000"/>
                <w:lang w:eastAsia="ru-RU"/>
              </w:rPr>
            </w:pPr>
            <w:r w:rsidRPr="00CD2F82">
              <w:rPr>
                <w:rFonts w:ascii="Times New Roman" w:eastAsia="Times New Roman" w:hAnsi="Times New Roman" w:cs="Times New Roman"/>
                <w:b/>
                <w:color w:val="000000"/>
                <w:lang w:eastAsia="ru-RU"/>
              </w:rPr>
              <w:t xml:space="preserve">2022 г. </w:t>
            </w:r>
          </w:p>
          <w:p w:rsidR="00BB344A" w:rsidRPr="00CD2F82" w:rsidRDefault="00BB344A" w:rsidP="00BB344A">
            <w:pPr>
              <w:spacing w:after="0"/>
              <w:jc w:val="center"/>
              <w:rPr>
                <w:rFonts w:ascii="Times New Roman" w:eastAsia="Times New Roman" w:hAnsi="Times New Roman" w:cs="Times New Roman"/>
                <w:b/>
                <w:color w:val="000000"/>
                <w:lang w:eastAsia="ru-RU"/>
              </w:rPr>
            </w:pPr>
            <w:r w:rsidRPr="00CD2F82">
              <w:rPr>
                <w:rFonts w:ascii="Times New Roman" w:eastAsia="Calibri" w:hAnsi="Times New Roman" w:cs="Times New Roman"/>
                <w:b/>
                <w:color w:val="000000"/>
              </w:rPr>
              <w:t>январь - октябрь</w:t>
            </w:r>
            <w:r w:rsidRPr="00CD2F82">
              <w:rPr>
                <w:rFonts w:ascii="Times New Roman" w:eastAsia="Times New Roman" w:hAnsi="Times New Roman" w:cs="Times New Roman"/>
                <w:b/>
                <w:color w:val="000000"/>
                <w:lang w:eastAsia="ru-RU"/>
              </w:rPr>
              <w:t xml:space="preserve"> </w:t>
            </w:r>
          </w:p>
        </w:tc>
      </w:tr>
      <w:tr w:rsidR="00BB344A" w:rsidRPr="00BB344A" w:rsidTr="00BB344A">
        <w:trPr>
          <w:trHeight w:val="288"/>
        </w:trPr>
        <w:tc>
          <w:tcPr>
            <w:tcW w:w="5642" w:type="dxa"/>
            <w:tcBorders>
              <w:top w:val="nil"/>
              <w:left w:val="single" w:sz="4" w:space="0" w:color="auto"/>
              <w:bottom w:val="single" w:sz="4" w:space="0" w:color="auto"/>
              <w:right w:val="single" w:sz="4" w:space="0" w:color="auto"/>
            </w:tcBorders>
            <w:shd w:val="clear" w:color="auto" w:fill="auto"/>
            <w:noWrap/>
            <w:vAlign w:val="center"/>
            <w:hideMark/>
          </w:tcPr>
          <w:p w:rsidR="00BB344A" w:rsidRPr="00BB344A" w:rsidRDefault="00BB344A" w:rsidP="00BB344A">
            <w:pPr>
              <w:spacing w:after="0"/>
              <w:jc w:val="both"/>
              <w:rPr>
                <w:rFonts w:ascii="Times New Roman" w:eastAsia="Times New Roman" w:hAnsi="Times New Roman" w:cs="Times New Roman"/>
                <w:color w:val="000000"/>
                <w:lang w:eastAsia="ru-RU"/>
              </w:rPr>
            </w:pPr>
            <w:r w:rsidRPr="00BB344A">
              <w:rPr>
                <w:rFonts w:ascii="Times New Roman" w:eastAsia="Times New Roman" w:hAnsi="Times New Roman" w:cs="Times New Roman"/>
                <w:color w:val="000000"/>
                <w:lang w:eastAsia="ru-RU"/>
              </w:rPr>
              <w:t>Всего</w:t>
            </w:r>
          </w:p>
        </w:tc>
        <w:tc>
          <w:tcPr>
            <w:tcW w:w="1417"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bCs/>
                <w:color w:val="000000"/>
                <w:lang w:eastAsia="ru-RU"/>
              </w:rPr>
            </w:pPr>
            <w:r w:rsidRPr="00BB344A">
              <w:rPr>
                <w:rFonts w:ascii="Times New Roman" w:eastAsia="Calibri" w:hAnsi="Times New Roman" w:cs="Times New Roman"/>
                <w:color w:val="000000"/>
              </w:rPr>
              <w:t>302</w:t>
            </w:r>
          </w:p>
        </w:tc>
        <w:tc>
          <w:tcPr>
            <w:tcW w:w="1417"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bCs/>
                <w:color w:val="000000"/>
                <w:lang w:eastAsia="ru-RU"/>
              </w:rPr>
            </w:pPr>
            <w:r w:rsidRPr="00BB344A">
              <w:rPr>
                <w:rFonts w:ascii="Times New Roman" w:eastAsia="Calibri" w:hAnsi="Times New Roman" w:cs="Times New Roman"/>
                <w:color w:val="000000"/>
              </w:rPr>
              <w:t>1026</w:t>
            </w:r>
          </w:p>
        </w:tc>
        <w:tc>
          <w:tcPr>
            <w:tcW w:w="1418" w:type="dxa"/>
            <w:tcBorders>
              <w:top w:val="nil"/>
              <w:left w:val="nil"/>
              <w:bottom w:val="single" w:sz="4" w:space="0" w:color="auto"/>
              <w:right w:val="single" w:sz="4" w:space="0" w:color="auto"/>
            </w:tcBorders>
            <w:shd w:val="clear" w:color="auto" w:fill="auto"/>
            <w:vAlign w:val="center"/>
          </w:tcPr>
          <w:p w:rsidR="00BB344A" w:rsidRPr="00BB344A" w:rsidRDefault="00BB344A" w:rsidP="00BB344A">
            <w:pPr>
              <w:spacing w:after="0"/>
              <w:jc w:val="center"/>
              <w:rPr>
                <w:rFonts w:ascii="Times New Roman" w:eastAsia="Times New Roman" w:hAnsi="Times New Roman" w:cs="Times New Roman"/>
                <w:bCs/>
                <w:color w:val="000000"/>
                <w:lang w:eastAsia="ru-RU"/>
              </w:rPr>
            </w:pPr>
            <w:r w:rsidRPr="00BB344A">
              <w:rPr>
                <w:rFonts w:ascii="Times New Roman" w:eastAsia="Calibri" w:hAnsi="Times New Roman" w:cs="Times New Roman"/>
                <w:color w:val="000000"/>
              </w:rPr>
              <w:t>236</w:t>
            </w:r>
          </w:p>
        </w:tc>
      </w:tr>
      <w:tr w:rsidR="00BB344A" w:rsidRPr="00BB344A" w:rsidTr="00BB344A">
        <w:trPr>
          <w:trHeight w:val="288"/>
        </w:trPr>
        <w:tc>
          <w:tcPr>
            <w:tcW w:w="5642" w:type="dxa"/>
            <w:tcBorders>
              <w:top w:val="nil"/>
              <w:left w:val="single" w:sz="4" w:space="0" w:color="auto"/>
              <w:bottom w:val="single" w:sz="4" w:space="0" w:color="auto"/>
              <w:right w:val="single" w:sz="4" w:space="0" w:color="auto"/>
            </w:tcBorders>
            <w:shd w:val="clear" w:color="auto" w:fill="auto"/>
            <w:noWrap/>
            <w:vAlign w:val="center"/>
            <w:hideMark/>
          </w:tcPr>
          <w:p w:rsidR="00BB344A" w:rsidRPr="00BB344A" w:rsidRDefault="00BB344A" w:rsidP="00BB344A">
            <w:pPr>
              <w:spacing w:after="0"/>
              <w:jc w:val="both"/>
              <w:rPr>
                <w:rFonts w:ascii="Times New Roman" w:eastAsia="Times New Roman" w:hAnsi="Times New Roman" w:cs="Times New Roman"/>
                <w:color w:val="000000"/>
                <w:lang w:eastAsia="ru-RU"/>
              </w:rPr>
            </w:pPr>
            <w:r w:rsidRPr="00BB344A">
              <w:rPr>
                <w:rFonts w:ascii="Times New Roman" w:eastAsia="Times New Roman" w:hAnsi="Times New Roman" w:cs="Times New Roman"/>
                <w:color w:val="000000"/>
                <w:lang w:eastAsia="ru-RU"/>
              </w:rPr>
              <w:t>в том числе:</w:t>
            </w:r>
          </w:p>
        </w:tc>
        <w:tc>
          <w:tcPr>
            <w:tcW w:w="1417"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color w:val="000000"/>
                <w:lang w:eastAsia="ru-RU"/>
              </w:rPr>
            </w:pPr>
            <w:r w:rsidRPr="00BB344A">
              <w:rPr>
                <w:rFonts w:ascii="Times New Roman" w:eastAsia="Calibri" w:hAnsi="Times New Roman" w:cs="Times New Roman"/>
                <w:color w:val="000000"/>
              </w:rPr>
              <w:t> </w:t>
            </w:r>
          </w:p>
        </w:tc>
        <w:tc>
          <w:tcPr>
            <w:tcW w:w="1417"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color w:val="000000"/>
                <w:lang w:eastAsia="ru-RU"/>
              </w:rPr>
            </w:pPr>
            <w:r w:rsidRPr="00BB344A">
              <w:rPr>
                <w:rFonts w:ascii="Times New Roman" w:eastAsia="Calibri" w:hAnsi="Times New Roman" w:cs="Times New Roman"/>
                <w:color w:val="000000"/>
              </w:rPr>
              <w:t> </w:t>
            </w:r>
          </w:p>
        </w:tc>
        <w:tc>
          <w:tcPr>
            <w:tcW w:w="1418"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color w:val="000000"/>
                <w:lang w:eastAsia="ru-RU"/>
              </w:rPr>
            </w:pPr>
            <w:r w:rsidRPr="00BB344A">
              <w:rPr>
                <w:rFonts w:ascii="Times New Roman" w:eastAsia="Calibri" w:hAnsi="Times New Roman" w:cs="Times New Roman"/>
                <w:color w:val="000000"/>
              </w:rPr>
              <w:t> </w:t>
            </w:r>
          </w:p>
        </w:tc>
      </w:tr>
      <w:tr w:rsidR="00BB344A" w:rsidRPr="00BB344A" w:rsidTr="00BB344A">
        <w:trPr>
          <w:trHeight w:val="288"/>
        </w:trPr>
        <w:tc>
          <w:tcPr>
            <w:tcW w:w="5642" w:type="dxa"/>
            <w:tcBorders>
              <w:top w:val="nil"/>
              <w:left w:val="single" w:sz="4" w:space="0" w:color="auto"/>
              <w:bottom w:val="single" w:sz="4" w:space="0" w:color="auto"/>
              <w:right w:val="single" w:sz="4" w:space="0" w:color="auto"/>
            </w:tcBorders>
            <w:shd w:val="clear" w:color="auto" w:fill="auto"/>
            <w:noWrap/>
            <w:vAlign w:val="center"/>
            <w:hideMark/>
          </w:tcPr>
          <w:p w:rsidR="00BB344A" w:rsidRPr="00BB344A" w:rsidRDefault="00BB344A" w:rsidP="00BB344A">
            <w:pPr>
              <w:spacing w:after="0"/>
              <w:jc w:val="both"/>
              <w:rPr>
                <w:rFonts w:ascii="Times New Roman" w:eastAsia="Times New Roman" w:hAnsi="Times New Roman" w:cs="Times New Roman"/>
                <w:color w:val="000000"/>
                <w:lang w:eastAsia="ru-RU"/>
              </w:rPr>
            </w:pPr>
            <w:r w:rsidRPr="00BB344A">
              <w:rPr>
                <w:rFonts w:ascii="Times New Roman" w:eastAsia="Times New Roman" w:hAnsi="Times New Roman" w:cs="Times New Roman"/>
                <w:color w:val="000000"/>
                <w:lang w:eastAsia="ru-RU"/>
              </w:rPr>
              <w:t>Электронная приемная</w:t>
            </w:r>
          </w:p>
        </w:tc>
        <w:tc>
          <w:tcPr>
            <w:tcW w:w="1417"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color w:val="000000"/>
                <w:lang w:eastAsia="ru-RU"/>
              </w:rPr>
            </w:pPr>
            <w:r w:rsidRPr="00BB344A">
              <w:rPr>
                <w:rFonts w:ascii="Times New Roman" w:eastAsia="Calibri" w:hAnsi="Times New Roman" w:cs="Times New Roman"/>
                <w:color w:val="000000"/>
              </w:rPr>
              <w:t>1584</w:t>
            </w:r>
          </w:p>
        </w:tc>
        <w:tc>
          <w:tcPr>
            <w:tcW w:w="1417"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color w:val="000000"/>
                <w:lang w:eastAsia="ru-RU"/>
              </w:rPr>
            </w:pPr>
            <w:r w:rsidRPr="00BB344A">
              <w:rPr>
                <w:rFonts w:ascii="Times New Roman" w:eastAsia="Calibri" w:hAnsi="Times New Roman" w:cs="Times New Roman"/>
                <w:color w:val="000000"/>
              </w:rPr>
              <w:t>680</w:t>
            </w:r>
          </w:p>
        </w:tc>
        <w:tc>
          <w:tcPr>
            <w:tcW w:w="1418"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color w:val="000000"/>
                <w:lang w:eastAsia="ru-RU"/>
              </w:rPr>
            </w:pPr>
            <w:r w:rsidRPr="00BB344A">
              <w:rPr>
                <w:rFonts w:ascii="Times New Roman" w:eastAsia="Calibri" w:hAnsi="Times New Roman" w:cs="Times New Roman"/>
                <w:color w:val="000000"/>
              </w:rPr>
              <w:t>680</w:t>
            </w:r>
          </w:p>
        </w:tc>
      </w:tr>
      <w:tr w:rsidR="00BB344A" w:rsidRPr="00BB344A" w:rsidTr="00BB344A">
        <w:trPr>
          <w:trHeight w:val="288"/>
        </w:trPr>
        <w:tc>
          <w:tcPr>
            <w:tcW w:w="5642" w:type="dxa"/>
            <w:tcBorders>
              <w:top w:val="nil"/>
              <w:left w:val="single" w:sz="4" w:space="0" w:color="auto"/>
              <w:bottom w:val="single" w:sz="4" w:space="0" w:color="auto"/>
              <w:right w:val="single" w:sz="4" w:space="0" w:color="auto"/>
            </w:tcBorders>
            <w:shd w:val="clear" w:color="auto" w:fill="auto"/>
            <w:noWrap/>
            <w:vAlign w:val="center"/>
          </w:tcPr>
          <w:p w:rsidR="00BB344A" w:rsidRPr="00BB344A" w:rsidRDefault="00BB344A" w:rsidP="00BB344A">
            <w:pPr>
              <w:spacing w:after="0"/>
              <w:jc w:val="both"/>
              <w:rPr>
                <w:rFonts w:ascii="Times New Roman" w:eastAsia="Times New Roman" w:hAnsi="Times New Roman" w:cs="Times New Roman"/>
                <w:color w:val="000000"/>
                <w:lang w:eastAsia="ru-RU"/>
              </w:rPr>
            </w:pPr>
            <w:r w:rsidRPr="00BB344A">
              <w:rPr>
                <w:rFonts w:ascii="Times New Roman" w:eastAsia="Times New Roman" w:hAnsi="Times New Roman" w:cs="Times New Roman"/>
                <w:color w:val="000000"/>
                <w:lang w:eastAsia="ru-RU"/>
              </w:rPr>
              <w:t>Досудебное обжалование (Госуслуги)</w:t>
            </w:r>
          </w:p>
        </w:tc>
        <w:tc>
          <w:tcPr>
            <w:tcW w:w="1417"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color w:val="000000"/>
                <w:lang w:eastAsia="ru-RU"/>
              </w:rPr>
            </w:pPr>
            <w:r w:rsidRPr="00BB344A">
              <w:rPr>
                <w:rFonts w:ascii="Times New Roman" w:eastAsia="Calibri" w:hAnsi="Times New Roman" w:cs="Times New Roman"/>
                <w:color w:val="000000"/>
              </w:rPr>
              <w:t>2931</w:t>
            </w:r>
          </w:p>
        </w:tc>
        <w:tc>
          <w:tcPr>
            <w:tcW w:w="1417"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color w:val="000000"/>
                <w:lang w:eastAsia="ru-RU"/>
              </w:rPr>
            </w:pPr>
            <w:r w:rsidRPr="00BB344A">
              <w:rPr>
                <w:rFonts w:ascii="Times New Roman" w:eastAsia="Calibri" w:hAnsi="Times New Roman" w:cs="Times New Roman"/>
                <w:color w:val="000000"/>
              </w:rPr>
              <w:t>4023</w:t>
            </w:r>
          </w:p>
        </w:tc>
        <w:tc>
          <w:tcPr>
            <w:tcW w:w="1418"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color w:val="000000"/>
                <w:lang w:eastAsia="ru-RU"/>
              </w:rPr>
            </w:pPr>
            <w:r w:rsidRPr="00BB344A">
              <w:rPr>
                <w:rFonts w:ascii="Times New Roman" w:eastAsia="Calibri" w:hAnsi="Times New Roman" w:cs="Times New Roman"/>
                <w:color w:val="000000"/>
              </w:rPr>
              <w:t>2226</w:t>
            </w:r>
          </w:p>
        </w:tc>
      </w:tr>
      <w:tr w:rsidR="00BB344A" w:rsidRPr="00BB344A" w:rsidTr="00BB344A">
        <w:trPr>
          <w:trHeight w:val="288"/>
        </w:trPr>
        <w:tc>
          <w:tcPr>
            <w:tcW w:w="5642" w:type="dxa"/>
            <w:tcBorders>
              <w:top w:val="nil"/>
              <w:left w:val="single" w:sz="4" w:space="0" w:color="auto"/>
              <w:bottom w:val="single" w:sz="4" w:space="0" w:color="auto"/>
              <w:right w:val="single" w:sz="4" w:space="0" w:color="auto"/>
            </w:tcBorders>
            <w:shd w:val="clear" w:color="auto" w:fill="auto"/>
            <w:noWrap/>
            <w:vAlign w:val="center"/>
            <w:hideMark/>
          </w:tcPr>
          <w:p w:rsidR="00BB344A" w:rsidRPr="00BB344A" w:rsidRDefault="00BB344A" w:rsidP="00BB344A">
            <w:pPr>
              <w:spacing w:after="0"/>
              <w:jc w:val="both"/>
              <w:rPr>
                <w:rFonts w:ascii="Times New Roman" w:eastAsia="Times New Roman" w:hAnsi="Times New Roman" w:cs="Times New Roman"/>
                <w:color w:val="000000"/>
                <w:lang w:eastAsia="ru-RU"/>
              </w:rPr>
            </w:pPr>
            <w:r w:rsidRPr="00BB344A">
              <w:rPr>
                <w:rFonts w:ascii="Times New Roman" w:eastAsia="Times New Roman" w:hAnsi="Times New Roman" w:cs="Times New Roman"/>
                <w:color w:val="000000"/>
                <w:lang w:eastAsia="ru-RU"/>
              </w:rPr>
              <w:t>Электронная почта</w:t>
            </w:r>
          </w:p>
        </w:tc>
        <w:tc>
          <w:tcPr>
            <w:tcW w:w="1417"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color w:val="000000"/>
                <w:lang w:eastAsia="ru-RU"/>
              </w:rPr>
            </w:pPr>
            <w:r w:rsidRPr="00BB344A">
              <w:rPr>
                <w:rFonts w:ascii="Times New Roman" w:eastAsia="Calibri" w:hAnsi="Times New Roman" w:cs="Times New Roman"/>
                <w:color w:val="000000"/>
              </w:rPr>
              <w:t>410</w:t>
            </w:r>
          </w:p>
        </w:tc>
        <w:tc>
          <w:tcPr>
            <w:tcW w:w="1417"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color w:val="000000"/>
                <w:lang w:eastAsia="ru-RU"/>
              </w:rPr>
            </w:pPr>
            <w:r w:rsidRPr="00BB344A">
              <w:rPr>
                <w:rFonts w:ascii="Times New Roman" w:eastAsia="Calibri" w:hAnsi="Times New Roman" w:cs="Times New Roman"/>
                <w:color w:val="000000"/>
              </w:rPr>
              <w:t>938</w:t>
            </w:r>
          </w:p>
        </w:tc>
        <w:tc>
          <w:tcPr>
            <w:tcW w:w="1418"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color w:val="000000"/>
                <w:lang w:eastAsia="ru-RU"/>
              </w:rPr>
            </w:pPr>
            <w:r w:rsidRPr="00BB344A">
              <w:rPr>
                <w:rFonts w:ascii="Times New Roman" w:eastAsia="Calibri" w:hAnsi="Times New Roman" w:cs="Times New Roman"/>
                <w:color w:val="000000"/>
              </w:rPr>
              <w:t>639</w:t>
            </w:r>
          </w:p>
        </w:tc>
      </w:tr>
      <w:tr w:rsidR="00BB344A" w:rsidRPr="00BB344A" w:rsidTr="00BB344A">
        <w:trPr>
          <w:trHeight w:val="288"/>
        </w:trPr>
        <w:tc>
          <w:tcPr>
            <w:tcW w:w="5642" w:type="dxa"/>
            <w:tcBorders>
              <w:top w:val="nil"/>
              <w:left w:val="single" w:sz="4" w:space="0" w:color="auto"/>
              <w:bottom w:val="single" w:sz="4" w:space="0" w:color="auto"/>
              <w:right w:val="single" w:sz="4" w:space="0" w:color="auto"/>
            </w:tcBorders>
            <w:shd w:val="clear" w:color="auto" w:fill="auto"/>
            <w:noWrap/>
            <w:vAlign w:val="center"/>
            <w:hideMark/>
          </w:tcPr>
          <w:p w:rsidR="00BB344A" w:rsidRPr="00BB344A" w:rsidRDefault="00BB344A" w:rsidP="00BB344A">
            <w:pPr>
              <w:spacing w:after="0"/>
              <w:jc w:val="both"/>
              <w:rPr>
                <w:rFonts w:ascii="Times New Roman" w:eastAsia="Times New Roman" w:hAnsi="Times New Roman" w:cs="Times New Roman"/>
                <w:color w:val="000000"/>
                <w:lang w:eastAsia="ru-RU"/>
              </w:rPr>
            </w:pPr>
            <w:r w:rsidRPr="00BB344A">
              <w:rPr>
                <w:rFonts w:ascii="Times New Roman" w:eastAsia="Times New Roman" w:hAnsi="Times New Roman" w:cs="Times New Roman"/>
                <w:color w:val="000000"/>
                <w:lang w:eastAsia="ru-RU"/>
              </w:rPr>
              <w:t>Письменное обращение (Почта России / канцелярия)</w:t>
            </w:r>
          </w:p>
        </w:tc>
        <w:tc>
          <w:tcPr>
            <w:tcW w:w="1417"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color w:val="000000"/>
                <w:lang w:eastAsia="ru-RU"/>
              </w:rPr>
            </w:pPr>
            <w:r w:rsidRPr="00BB344A">
              <w:rPr>
                <w:rFonts w:ascii="Times New Roman" w:eastAsia="Calibri" w:hAnsi="Times New Roman" w:cs="Times New Roman"/>
                <w:color w:val="000000"/>
              </w:rPr>
              <w:t>140</w:t>
            </w:r>
          </w:p>
        </w:tc>
        <w:tc>
          <w:tcPr>
            <w:tcW w:w="1417"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color w:val="000000"/>
                <w:lang w:eastAsia="ru-RU"/>
              </w:rPr>
            </w:pPr>
            <w:r w:rsidRPr="00BB344A">
              <w:rPr>
                <w:rFonts w:ascii="Times New Roman" w:eastAsia="Calibri" w:hAnsi="Times New Roman" w:cs="Times New Roman"/>
                <w:color w:val="000000"/>
              </w:rPr>
              <w:t>167</w:t>
            </w:r>
          </w:p>
        </w:tc>
        <w:tc>
          <w:tcPr>
            <w:tcW w:w="1418"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color w:val="000000"/>
                <w:lang w:eastAsia="ru-RU"/>
              </w:rPr>
            </w:pPr>
            <w:r w:rsidRPr="00BB344A">
              <w:rPr>
                <w:rFonts w:ascii="Times New Roman" w:eastAsia="Calibri" w:hAnsi="Times New Roman" w:cs="Times New Roman"/>
                <w:color w:val="000000"/>
              </w:rPr>
              <w:t>206</w:t>
            </w:r>
          </w:p>
        </w:tc>
      </w:tr>
      <w:tr w:rsidR="00BB344A" w:rsidRPr="00BB344A" w:rsidTr="00BB344A">
        <w:trPr>
          <w:trHeight w:val="288"/>
        </w:trPr>
        <w:tc>
          <w:tcPr>
            <w:tcW w:w="5642" w:type="dxa"/>
            <w:tcBorders>
              <w:top w:val="nil"/>
              <w:left w:val="single" w:sz="4" w:space="0" w:color="auto"/>
              <w:bottom w:val="single" w:sz="4" w:space="0" w:color="auto"/>
              <w:right w:val="single" w:sz="4" w:space="0" w:color="auto"/>
            </w:tcBorders>
            <w:shd w:val="clear" w:color="auto" w:fill="auto"/>
            <w:noWrap/>
            <w:vAlign w:val="center"/>
            <w:hideMark/>
          </w:tcPr>
          <w:p w:rsidR="00BB344A" w:rsidRPr="00BB344A" w:rsidRDefault="00BB344A" w:rsidP="00BB344A">
            <w:pPr>
              <w:spacing w:after="0"/>
              <w:jc w:val="both"/>
              <w:rPr>
                <w:rFonts w:ascii="Times New Roman" w:eastAsia="Times New Roman" w:hAnsi="Times New Roman" w:cs="Times New Roman"/>
                <w:color w:val="000000"/>
                <w:lang w:eastAsia="ru-RU"/>
              </w:rPr>
            </w:pPr>
            <w:r w:rsidRPr="00BB344A">
              <w:rPr>
                <w:rFonts w:ascii="Times New Roman" w:eastAsia="Times New Roman" w:hAnsi="Times New Roman" w:cs="Times New Roman"/>
                <w:color w:val="000000"/>
                <w:lang w:eastAsia="ru-RU"/>
              </w:rPr>
              <w:t>Личное обращение к должностному лицу</w:t>
            </w:r>
          </w:p>
        </w:tc>
        <w:tc>
          <w:tcPr>
            <w:tcW w:w="1417"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color w:val="000000"/>
                <w:lang w:eastAsia="ru-RU"/>
              </w:rPr>
            </w:pPr>
            <w:r w:rsidRPr="00BB344A">
              <w:rPr>
                <w:rFonts w:ascii="Times New Roman" w:eastAsia="Calibri" w:hAnsi="Times New Roman" w:cs="Times New Roman"/>
                <w:color w:val="000000"/>
              </w:rPr>
              <w:t>32</w:t>
            </w:r>
          </w:p>
        </w:tc>
        <w:tc>
          <w:tcPr>
            <w:tcW w:w="1417"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color w:val="000000"/>
                <w:lang w:eastAsia="ru-RU"/>
              </w:rPr>
            </w:pPr>
            <w:r w:rsidRPr="00BB344A">
              <w:rPr>
                <w:rFonts w:ascii="Times New Roman" w:eastAsia="Calibri" w:hAnsi="Times New Roman" w:cs="Times New Roman"/>
                <w:color w:val="000000"/>
              </w:rPr>
              <w:t>15</w:t>
            </w:r>
          </w:p>
        </w:tc>
        <w:tc>
          <w:tcPr>
            <w:tcW w:w="1418"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color w:val="000000"/>
                <w:lang w:eastAsia="ru-RU"/>
              </w:rPr>
            </w:pPr>
            <w:r w:rsidRPr="00BB344A">
              <w:rPr>
                <w:rFonts w:ascii="Times New Roman" w:eastAsia="Calibri" w:hAnsi="Times New Roman" w:cs="Times New Roman"/>
                <w:color w:val="000000"/>
              </w:rPr>
              <w:t>14</w:t>
            </w:r>
          </w:p>
        </w:tc>
      </w:tr>
      <w:tr w:rsidR="00BB344A" w:rsidRPr="00BB344A" w:rsidTr="00BB344A">
        <w:trPr>
          <w:trHeight w:val="288"/>
        </w:trPr>
        <w:tc>
          <w:tcPr>
            <w:tcW w:w="5642" w:type="dxa"/>
            <w:tcBorders>
              <w:top w:val="nil"/>
              <w:left w:val="single" w:sz="4" w:space="0" w:color="auto"/>
              <w:bottom w:val="single" w:sz="4" w:space="0" w:color="auto"/>
              <w:right w:val="single" w:sz="4" w:space="0" w:color="auto"/>
            </w:tcBorders>
            <w:shd w:val="clear" w:color="auto" w:fill="auto"/>
            <w:noWrap/>
            <w:vAlign w:val="center"/>
            <w:hideMark/>
          </w:tcPr>
          <w:p w:rsidR="00BB344A" w:rsidRPr="00BB344A" w:rsidRDefault="00BB344A" w:rsidP="00BB344A">
            <w:pPr>
              <w:spacing w:after="0"/>
              <w:jc w:val="both"/>
              <w:rPr>
                <w:rFonts w:ascii="Times New Roman" w:eastAsia="Times New Roman" w:hAnsi="Times New Roman" w:cs="Times New Roman"/>
                <w:color w:val="000000"/>
                <w:lang w:eastAsia="ru-RU"/>
              </w:rPr>
            </w:pPr>
            <w:r w:rsidRPr="00BB344A">
              <w:rPr>
                <w:rFonts w:ascii="Times New Roman" w:eastAsia="Times New Roman" w:hAnsi="Times New Roman" w:cs="Times New Roman"/>
                <w:color w:val="000000"/>
                <w:lang w:eastAsia="ru-RU"/>
              </w:rPr>
              <w:t>Горячая линия / устное обращение по телефону</w:t>
            </w:r>
          </w:p>
        </w:tc>
        <w:tc>
          <w:tcPr>
            <w:tcW w:w="1417"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color w:val="000000"/>
                <w:lang w:eastAsia="ru-RU"/>
              </w:rPr>
            </w:pPr>
            <w:r w:rsidRPr="00BB344A">
              <w:rPr>
                <w:rFonts w:ascii="Times New Roman" w:eastAsia="Calibri" w:hAnsi="Times New Roman" w:cs="Times New Roman"/>
                <w:color w:val="000000"/>
              </w:rPr>
              <w:t>302</w:t>
            </w:r>
          </w:p>
        </w:tc>
        <w:tc>
          <w:tcPr>
            <w:tcW w:w="1417"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color w:val="000000"/>
                <w:lang w:eastAsia="ru-RU"/>
              </w:rPr>
            </w:pPr>
            <w:r w:rsidRPr="00BB344A">
              <w:rPr>
                <w:rFonts w:ascii="Times New Roman" w:eastAsia="Calibri" w:hAnsi="Times New Roman" w:cs="Times New Roman"/>
                <w:color w:val="000000"/>
              </w:rPr>
              <w:t>1026</w:t>
            </w:r>
          </w:p>
        </w:tc>
        <w:tc>
          <w:tcPr>
            <w:tcW w:w="1418"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color w:val="000000"/>
                <w:lang w:eastAsia="ru-RU"/>
              </w:rPr>
            </w:pPr>
            <w:r w:rsidRPr="00BB344A">
              <w:rPr>
                <w:rFonts w:ascii="Times New Roman" w:eastAsia="Calibri" w:hAnsi="Times New Roman" w:cs="Times New Roman"/>
                <w:color w:val="000000"/>
              </w:rPr>
              <w:t>236</w:t>
            </w:r>
          </w:p>
        </w:tc>
      </w:tr>
      <w:tr w:rsidR="00BB344A" w:rsidRPr="00BB344A" w:rsidTr="00BB344A">
        <w:trPr>
          <w:trHeight w:val="288"/>
        </w:trPr>
        <w:tc>
          <w:tcPr>
            <w:tcW w:w="5642" w:type="dxa"/>
            <w:tcBorders>
              <w:top w:val="nil"/>
              <w:left w:val="single" w:sz="4" w:space="0" w:color="auto"/>
              <w:bottom w:val="single" w:sz="4" w:space="0" w:color="auto"/>
              <w:right w:val="single" w:sz="4" w:space="0" w:color="auto"/>
            </w:tcBorders>
            <w:shd w:val="clear" w:color="auto" w:fill="auto"/>
            <w:noWrap/>
            <w:vAlign w:val="center"/>
            <w:hideMark/>
          </w:tcPr>
          <w:p w:rsidR="00BB344A" w:rsidRPr="00BB344A" w:rsidRDefault="00BB344A" w:rsidP="00BB344A">
            <w:pPr>
              <w:spacing w:after="0"/>
              <w:jc w:val="both"/>
              <w:rPr>
                <w:rFonts w:ascii="Times New Roman" w:eastAsia="Times New Roman" w:hAnsi="Times New Roman" w:cs="Times New Roman"/>
                <w:color w:val="000000"/>
                <w:lang w:eastAsia="ru-RU"/>
              </w:rPr>
            </w:pPr>
            <w:r w:rsidRPr="00BB344A">
              <w:rPr>
                <w:rFonts w:ascii="Times New Roman" w:eastAsia="Times New Roman" w:hAnsi="Times New Roman" w:cs="Times New Roman"/>
                <w:color w:val="000000"/>
                <w:lang w:eastAsia="ru-RU"/>
              </w:rPr>
              <w:t>Иные способы</w:t>
            </w:r>
          </w:p>
        </w:tc>
        <w:tc>
          <w:tcPr>
            <w:tcW w:w="1417"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color w:val="000000"/>
                <w:lang w:eastAsia="ru-RU"/>
              </w:rPr>
            </w:pPr>
            <w:r w:rsidRPr="00BB344A">
              <w:rPr>
                <w:rFonts w:ascii="Times New Roman" w:eastAsia="Calibri" w:hAnsi="Times New Roman" w:cs="Times New Roman"/>
                <w:color w:val="000000"/>
              </w:rPr>
              <w:t> </w:t>
            </w:r>
          </w:p>
        </w:tc>
        <w:tc>
          <w:tcPr>
            <w:tcW w:w="1417"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color w:val="000000"/>
                <w:lang w:eastAsia="ru-RU"/>
              </w:rPr>
            </w:pPr>
            <w:r w:rsidRPr="00BB344A">
              <w:rPr>
                <w:rFonts w:ascii="Times New Roman" w:eastAsia="Calibri" w:hAnsi="Times New Roman" w:cs="Times New Roman"/>
                <w:color w:val="000000"/>
              </w:rPr>
              <w:t> </w:t>
            </w:r>
          </w:p>
        </w:tc>
        <w:tc>
          <w:tcPr>
            <w:tcW w:w="1418"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color w:val="000000"/>
                <w:lang w:eastAsia="ru-RU"/>
              </w:rPr>
            </w:pPr>
            <w:r w:rsidRPr="00BB344A">
              <w:rPr>
                <w:rFonts w:ascii="Times New Roman" w:eastAsia="Calibri" w:hAnsi="Times New Roman" w:cs="Times New Roman"/>
                <w:color w:val="000000"/>
              </w:rPr>
              <w:t> </w:t>
            </w:r>
          </w:p>
        </w:tc>
      </w:tr>
    </w:tbl>
    <w:p w:rsidR="00BB344A" w:rsidRPr="00BB344A" w:rsidRDefault="00BB344A" w:rsidP="00BB344A">
      <w:pPr>
        <w:spacing w:after="0" w:line="360" w:lineRule="auto"/>
        <w:ind w:firstLine="709"/>
        <w:jc w:val="both"/>
        <w:rPr>
          <w:rFonts w:ascii="Times New Roman" w:eastAsia="Calibri" w:hAnsi="Times New Roman" w:cs="Times New Roman"/>
          <w:color w:val="000000"/>
          <w:sz w:val="28"/>
          <w:szCs w:val="28"/>
        </w:rPr>
      </w:pPr>
    </w:p>
    <w:p w:rsidR="00BB344A" w:rsidRPr="00CB7713" w:rsidRDefault="00BB344A" w:rsidP="00BB344A">
      <w:pPr>
        <w:spacing w:after="0" w:line="360" w:lineRule="auto"/>
        <w:ind w:firstLine="709"/>
        <w:jc w:val="both"/>
        <w:rPr>
          <w:rFonts w:ascii="Times New Roman" w:eastAsia="Calibri" w:hAnsi="Times New Roman" w:cs="Times New Roman"/>
          <w:color w:val="000000"/>
          <w:sz w:val="24"/>
          <w:szCs w:val="24"/>
        </w:rPr>
      </w:pPr>
      <w:r w:rsidRPr="00CB7713">
        <w:rPr>
          <w:rFonts w:ascii="Times New Roman" w:eastAsia="Calibri" w:hAnsi="Times New Roman" w:cs="Times New Roman"/>
          <w:color w:val="000000"/>
          <w:sz w:val="24"/>
          <w:szCs w:val="24"/>
        </w:rPr>
        <w:t>Анализ динамики количества обращений от физических лиц (Таблица 2.5.9.) на нарушения прав потребителей показывает доминирование обращений, связанных со сферой услуг. Наибольшее количество подобных обращений отмечается в 2021 г. (2865 обращений), количество обращений в другие исследуемые периоды также является существенным (2020 г. – 2134, период с января по октябрь 2022 г. – 1804). Рост показателя был связан с услугами общественного питания (193 обращения в 2021 г., тогда как в 2020 г. – 129, за период с января по октябрь 2022 г. – 106), услуг связи (2021 г. - 184 обращения, 2020 г. – 121, период с января по октябрь 2022 г. – 130), туристических услуг (2021 г. - 114 обращений, 2020 г. –79, период с января по октябрь 2022 г. – 53).</w:t>
      </w:r>
    </w:p>
    <w:p w:rsidR="00BB344A" w:rsidRPr="00CB7713" w:rsidRDefault="00BB344A" w:rsidP="00BB344A">
      <w:pPr>
        <w:spacing w:after="0" w:line="360" w:lineRule="auto"/>
        <w:ind w:firstLine="709"/>
        <w:jc w:val="both"/>
        <w:rPr>
          <w:rFonts w:ascii="Times New Roman" w:eastAsia="Calibri" w:hAnsi="Times New Roman" w:cs="Times New Roman"/>
          <w:color w:val="000000"/>
          <w:sz w:val="24"/>
          <w:szCs w:val="24"/>
        </w:rPr>
      </w:pPr>
      <w:r w:rsidRPr="00CB7713">
        <w:rPr>
          <w:rFonts w:ascii="Times New Roman" w:eastAsia="Calibri" w:hAnsi="Times New Roman" w:cs="Times New Roman"/>
          <w:color w:val="000000"/>
          <w:sz w:val="24"/>
          <w:szCs w:val="24"/>
        </w:rPr>
        <w:t xml:space="preserve">Значительное количество обращений связано также со сферой розничной торговли (2021 г. – 2525 обращений, 2020 г. – 1839, период с января по октябрь 2022 г. – 1659). </w:t>
      </w:r>
    </w:p>
    <w:p w:rsidR="00BB344A" w:rsidRPr="00BB344A" w:rsidRDefault="00BB344A" w:rsidP="00CB7713">
      <w:pPr>
        <w:keepNext/>
        <w:keepLines/>
        <w:spacing w:before="120" w:after="120" w:line="240" w:lineRule="auto"/>
        <w:jc w:val="center"/>
        <w:rPr>
          <w:rFonts w:ascii="Times New Roman" w:eastAsia="Calibri" w:hAnsi="Times New Roman" w:cs="Times New Roman"/>
          <w:color w:val="000000"/>
          <w:sz w:val="24"/>
          <w:szCs w:val="24"/>
        </w:rPr>
      </w:pPr>
      <w:r w:rsidRPr="00BB344A">
        <w:rPr>
          <w:rFonts w:ascii="Times New Roman" w:eastAsia="Calibri" w:hAnsi="Times New Roman" w:cs="Times New Roman"/>
          <w:color w:val="000000"/>
          <w:sz w:val="24"/>
          <w:szCs w:val="24"/>
        </w:rPr>
        <w:t xml:space="preserve">Таблица </w:t>
      </w:r>
      <w:r w:rsidR="00CB7713">
        <w:rPr>
          <w:rFonts w:ascii="Times New Roman" w:eastAsia="Calibri" w:hAnsi="Times New Roman" w:cs="Times New Roman"/>
          <w:color w:val="000000"/>
          <w:sz w:val="24"/>
          <w:szCs w:val="24"/>
        </w:rPr>
        <w:t>17</w:t>
      </w:r>
      <w:r w:rsidRPr="00BB344A">
        <w:rPr>
          <w:rFonts w:ascii="Times New Roman" w:eastAsia="Calibri" w:hAnsi="Times New Roman" w:cs="Times New Roman"/>
          <w:color w:val="000000"/>
          <w:sz w:val="24"/>
          <w:szCs w:val="24"/>
        </w:rPr>
        <w:t xml:space="preserve">. </w:t>
      </w:r>
      <w:r w:rsidRPr="00BB344A">
        <w:rPr>
          <w:rFonts w:ascii="Times New Roman" w:eastAsia="Calibri" w:hAnsi="Times New Roman" w:cs="Times New Roman"/>
          <w:bCs/>
          <w:color w:val="000000"/>
          <w:sz w:val="24"/>
          <w:szCs w:val="24"/>
        </w:rPr>
        <w:t>Количество обращений (жалоб) по тематике, поступивших от физических лиц</w:t>
      </w:r>
      <w:r w:rsidRPr="00BB344A">
        <w:rPr>
          <w:rFonts w:ascii="Times New Roman" w:eastAsia="Calibri" w:hAnsi="Times New Roman" w:cs="Times New Roman"/>
          <w:color w:val="000000"/>
          <w:sz w:val="24"/>
          <w:szCs w:val="24"/>
        </w:rPr>
        <w:t xml:space="preserve"> (данные Управления Роспотребнадзора по Ленинградской области)</w:t>
      </w:r>
    </w:p>
    <w:tbl>
      <w:tblPr>
        <w:tblStyle w:val="223"/>
        <w:tblW w:w="9889" w:type="dxa"/>
        <w:tblLook w:val="04A0" w:firstRow="1" w:lastRow="0" w:firstColumn="1" w:lastColumn="0" w:noHBand="0" w:noVBand="1"/>
      </w:tblPr>
      <w:tblGrid>
        <w:gridCol w:w="5070"/>
        <w:gridCol w:w="1417"/>
        <w:gridCol w:w="1418"/>
        <w:gridCol w:w="1984"/>
      </w:tblGrid>
      <w:tr w:rsidR="00BB344A" w:rsidRPr="00BB344A" w:rsidTr="00BB344A">
        <w:trPr>
          <w:tblHeader/>
        </w:trPr>
        <w:tc>
          <w:tcPr>
            <w:tcW w:w="5070" w:type="dxa"/>
            <w:vAlign w:val="center"/>
          </w:tcPr>
          <w:p w:rsidR="00BB344A" w:rsidRPr="00CD2F82" w:rsidRDefault="00BB344A" w:rsidP="00BB344A">
            <w:pPr>
              <w:jc w:val="center"/>
              <w:rPr>
                <w:rFonts w:ascii="Times New Roman" w:eastAsia="Calibri" w:hAnsi="Times New Roman" w:cs="Times New Roman"/>
                <w:b/>
                <w:color w:val="000000"/>
              </w:rPr>
            </w:pPr>
          </w:p>
        </w:tc>
        <w:tc>
          <w:tcPr>
            <w:tcW w:w="1417" w:type="dxa"/>
            <w:vAlign w:val="center"/>
          </w:tcPr>
          <w:p w:rsidR="00BB344A" w:rsidRPr="00CD2F82" w:rsidRDefault="00BB344A" w:rsidP="00BB344A">
            <w:pPr>
              <w:jc w:val="center"/>
              <w:rPr>
                <w:rFonts w:ascii="Times New Roman" w:eastAsia="Calibri" w:hAnsi="Times New Roman" w:cs="Times New Roman"/>
                <w:b/>
                <w:color w:val="000000"/>
              </w:rPr>
            </w:pPr>
            <w:r w:rsidRPr="00CD2F82">
              <w:rPr>
                <w:rFonts w:ascii="Times New Roman" w:eastAsia="Calibri" w:hAnsi="Times New Roman" w:cs="Times New Roman"/>
                <w:b/>
                <w:color w:val="000000"/>
              </w:rPr>
              <w:t>2020 г.</w:t>
            </w:r>
          </w:p>
        </w:tc>
        <w:tc>
          <w:tcPr>
            <w:tcW w:w="1418" w:type="dxa"/>
            <w:vAlign w:val="center"/>
          </w:tcPr>
          <w:p w:rsidR="00BB344A" w:rsidRPr="00CD2F82" w:rsidRDefault="00BB344A" w:rsidP="00BB344A">
            <w:pPr>
              <w:jc w:val="center"/>
              <w:rPr>
                <w:rFonts w:ascii="Times New Roman" w:eastAsia="Calibri" w:hAnsi="Times New Roman" w:cs="Times New Roman"/>
                <w:b/>
                <w:color w:val="000000"/>
              </w:rPr>
            </w:pPr>
            <w:r w:rsidRPr="00CD2F82">
              <w:rPr>
                <w:rFonts w:ascii="Times New Roman" w:eastAsia="Calibri" w:hAnsi="Times New Roman" w:cs="Times New Roman"/>
                <w:b/>
                <w:color w:val="000000"/>
              </w:rPr>
              <w:t>2021 г.</w:t>
            </w:r>
          </w:p>
        </w:tc>
        <w:tc>
          <w:tcPr>
            <w:tcW w:w="1984" w:type="dxa"/>
            <w:vAlign w:val="center"/>
          </w:tcPr>
          <w:p w:rsidR="00BB344A" w:rsidRPr="00CD2F82" w:rsidRDefault="00BB344A" w:rsidP="00BB344A">
            <w:pPr>
              <w:jc w:val="center"/>
              <w:rPr>
                <w:rFonts w:ascii="Times New Roman" w:eastAsia="Calibri" w:hAnsi="Times New Roman" w:cs="Times New Roman"/>
                <w:b/>
                <w:color w:val="000000"/>
              </w:rPr>
            </w:pPr>
            <w:r w:rsidRPr="00CD2F82">
              <w:rPr>
                <w:rFonts w:ascii="Times New Roman" w:eastAsia="Calibri" w:hAnsi="Times New Roman" w:cs="Times New Roman"/>
                <w:b/>
                <w:color w:val="000000"/>
              </w:rPr>
              <w:t>2022 г. январь - октябрь</w:t>
            </w:r>
          </w:p>
        </w:tc>
      </w:tr>
      <w:tr w:rsidR="00BB344A" w:rsidRPr="00BB344A" w:rsidTr="00BB344A">
        <w:tc>
          <w:tcPr>
            <w:tcW w:w="5070"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На нарушения прав потребителей – всего</w:t>
            </w:r>
          </w:p>
        </w:tc>
        <w:tc>
          <w:tcPr>
            <w:tcW w:w="141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3973</w:t>
            </w:r>
          </w:p>
        </w:tc>
        <w:tc>
          <w:tcPr>
            <w:tcW w:w="1418"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5004</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3463</w:t>
            </w:r>
          </w:p>
        </w:tc>
      </w:tr>
      <w:tr w:rsidR="00BB344A" w:rsidRPr="00BB344A" w:rsidTr="00BB344A">
        <w:tc>
          <w:tcPr>
            <w:tcW w:w="5070"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 xml:space="preserve">В том числе в сферах: розничной торговли </w:t>
            </w:r>
          </w:p>
        </w:tc>
        <w:tc>
          <w:tcPr>
            <w:tcW w:w="141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1839</w:t>
            </w:r>
          </w:p>
        </w:tc>
        <w:tc>
          <w:tcPr>
            <w:tcW w:w="1418"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2525</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1659</w:t>
            </w:r>
          </w:p>
        </w:tc>
      </w:tr>
      <w:tr w:rsidR="00BB344A" w:rsidRPr="00BB344A" w:rsidTr="00BB344A">
        <w:tc>
          <w:tcPr>
            <w:tcW w:w="5070"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 xml:space="preserve">из них: </w:t>
            </w:r>
            <w:r w:rsidRPr="00BB344A">
              <w:rPr>
                <w:rFonts w:ascii="Times New Roman" w:eastAsia="Calibri" w:hAnsi="Times New Roman" w:cs="Times New Roman"/>
                <w:color w:val="000000"/>
              </w:rPr>
              <w:br/>
              <w:t>продовольственными товарами</w:t>
            </w:r>
          </w:p>
        </w:tc>
        <w:tc>
          <w:tcPr>
            <w:tcW w:w="141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1152</w:t>
            </w:r>
          </w:p>
        </w:tc>
        <w:tc>
          <w:tcPr>
            <w:tcW w:w="1418"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1055</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711</w:t>
            </w:r>
          </w:p>
        </w:tc>
      </w:tr>
      <w:tr w:rsidR="00BB344A" w:rsidRPr="00BB344A" w:rsidTr="00BB344A">
        <w:tc>
          <w:tcPr>
            <w:tcW w:w="5070"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в случае заключения договора с использованием дистанционных каналов ("Интернет", мобильные приложения)</w:t>
            </w:r>
          </w:p>
        </w:tc>
        <w:tc>
          <w:tcPr>
            <w:tcW w:w="141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321</w:t>
            </w:r>
          </w:p>
        </w:tc>
        <w:tc>
          <w:tcPr>
            <w:tcW w:w="1418"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63</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407</w:t>
            </w:r>
          </w:p>
        </w:tc>
      </w:tr>
      <w:tr w:rsidR="00BB344A" w:rsidRPr="00BB344A" w:rsidTr="00BB344A">
        <w:tc>
          <w:tcPr>
            <w:tcW w:w="5070"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По образцам</w:t>
            </w:r>
          </w:p>
        </w:tc>
        <w:tc>
          <w:tcPr>
            <w:tcW w:w="141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366</w:t>
            </w:r>
          </w:p>
        </w:tc>
        <w:tc>
          <w:tcPr>
            <w:tcW w:w="1418"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218</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119</w:t>
            </w:r>
          </w:p>
        </w:tc>
      </w:tr>
      <w:tr w:rsidR="00BB344A" w:rsidRPr="00BB344A" w:rsidTr="00BB344A">
        <w:tc>
          <w:tcPr>
            <w:tcW w:w="5070"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В том числе: в сфере услуг</w:t>
            </w:r>
          </w:p>
        </w:tc>
        <w:tc>
          <w:tcPr>
            <w:tcW w:w="141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2134</w:t>
            </w:r>
          </w:p>
        </w:tc>
        <w:tc>
          <w:tcPr>
            <w:tcW w:w="1418"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2865</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1804</w:t>
            </w:r>
          </w:p>
        </w:tc>
      </w:tr>
      <w:tr w:rsidR="00BB344A" w:rsidRPr="00BB344A" w:rsidTr="00BB344A">
        <w:tc>
          <w:tcPr>
            <w:tcW w:w="5070"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 xml:space="preserve">из них: </w:t>
            </w:r>
            <w:r w:rsidRPr="00BB344A">
              <w:rPr>
                <w:rFonts w:ascii="Times New Roman" w:eastAsia="Calibri" w:hAnsi="Times New Roman" w:cs="Times New Roman"/>
                <w:color w:val="000000"/>
              </w:rPr>
              <w:br/>
              <w:t>в случае заключения договора с использованием дистанционных каналов ("Интернет", мобильные приложения)</w:t>
            </w:r>
          </w:p>
        </w:tc>
        <w:tc>
          <w:tcPr>
            <w:tcW w:w="141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14</w:t>
            </w:r>
          </w:p>
        </w:tc>
        <w:tc>
          <w:tcPr>
            <w:tcW w:w="1418"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27</w:t>
            </w:r>
          </w:p>
        </w:tc>
      </w:tr>
      <w:tr w:rsidR="00BB344A" w:rsidRPr="00BB344A" w:rsidTr="00BB344A">
        <w:tc>
          <w:tcPr>
            <w:tcW w:w="5070"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общественного питания</w:t>
            </w:r>
          </w:p>
        </w:tc>
        <w:tc>
          <w:tcPr>
            <w:tcW w:w="141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129</w:t>
            </w:r>
          </w:p>
        </w:tc>
        <w:tc>
          <w:tcPr>
            <w:tcW w:w="1418"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193</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106</w:t>
            </w:r>
          </w:p>
        </w:tc>
      </w:tr>
      <w:tr w:rsidR="00BB344A" w:rsidRPr="00BB344A" w:rsidTr="00BB344A">
        <w:tc>
          <w:tcPr>
            <w:tcW w:w="5070"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бытового обслуживания населения</w:t>
            </w:r>
          </w:p>
        </w:tc>
        <w:tc>
          <w:tcPr>
            <w:tcW w:w="141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166</w:t>
            </w:r>
          </w:p>
        </w:tc>
        <w:tc>
          <w:tcPr>
            <w:tcW w:w="1418"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196</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115</w:t>
            </w:r>
          </w:p>
        </w:tc>
      </w:tr>
      <w:tr w:rsidR="00BB344A" w:rsidRPr="00BB344A" w:rsidTr="00BB344A">
        <w:tc>
          <w:tcPr>
            <w:tcW w:w="5070"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технического обслуживания и ремонта автомототранспортных средств</w:t>
            </w:r>
          </w:p>
        </w:tc>
        <w:tc>
          <w:tcPr>
            <w:tcW w:w="141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21</w:t>
            </w:r>
          </w:p>
        </w:tc>
        <w:tc>
          <w:tcPr>
            <w:tcW w:w="1418"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40</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28</w:t>
            </w:r>
          </w:p>
        </w:tc>
      </w:tr>
      <w:tr w:rsidR="00BB344A" w:rsidRPr="00BB344A" w:rsidTr="00BB344A">
        <w:tc>
          <w:tcPr>
            <w:tcW w:w="5070"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услуг автостоянок</w:t>
            </w:r>
          </w:p>
        </w:tc>
        <w:tc>
          <w:tcPr>
            <w:tcW w:w="141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w:t>
            </w:r>
          </w:p>
        </w:tc>
        <w:tc>
          <w:tcPr>
            <w:tcW w:w="1418"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9</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w:t>
            </w:r>
          </w:p>
        </w:tc>
      </w:tr>
      <w:tr w:rsidR="00BB344A" w:rsidRPr="00BB344A" w:rsidTr="00BB344A">
        <w:tc>
          <w:tcPr>
            <w:tcW w:w="5070"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гостиничных услуг</w:t>
            </w:r>
          </w:p>
        </w:tc>
        <w:tc>
          <w:tcPr>
            <w:tcW w:w="141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45</w:t>
            </w:r>
          </w:p>
        </w:tc>
        <w:tc>
          <w:tcPr>
            <w:tcW w:w="1418"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34</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25</w:t>
            </w:r>
          </w:p>
        </w:tc>
      </w:tr>
      <w:tr w:rsidR="00BB344A" w:rsidRPr="00BB344A" w:rsidTr="00BB344A">
        <w:tc>
          <w:tcPr>
            <w:tcW w:w="5070"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туристских услуг</w:t>
            </w:r>
          </w:p>
        </w:tc>
        <w:tc>
          <w:tcPr>
            <w:tcW w:w="141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79</w:t>
            </w:r>
          </w:p>
        </w:tc>
        <w:tc>
          <w:tcPr>
            <w:tcW w:w="1418"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114</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53</w:t>
            </w:r>
          </w:p>
        </w:tc>
      </w:tr>
      <w:tr w:rsidR="00BB344A" w:rsidRPr="00BB344A" w:rsidTr="00BB344A">
        <w:tc>
          <w:tcPr>
            <w:tcW w:w="5070"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транспортных услуг</w:t>
            </w:r>
          </w:p>
        </w:tc>
        <w:tc>
          <w:tcPr>
            <w:tcW w:w="141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56</w:t>
            </w:r>
          </w:p>
        </w:tc>
        <w:tc>
          <w:tcPr>
            <w:tcW w:w="1418"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74</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126</w:t>
            </w:r>
          </w:p>
        </w:tc>
      </w:tr>
      <w:tr w:rsidR="00BB344A" w:rsidRPr="00BB344A" w:rsidTr="00BB344A">
        <w:tc>
          <w:tcPr>
            <w:tcW w:w="5070"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 xml:space="preserve">из них </w:t>
            </w:r>
            <w:r w:rsidRPr="00BB344A">
              <w:rPr>
                <w:rFonts w:ascii="Times New Roman" w:eastAsia="Calibri" w:hAnsi="Times New Roman" w:cs="Times New Roman"/>
                <w:color w:val="000000"/>
              </w:rPr>
              <w:br/>
              <w:t>перевозок: на железнодорожном транспорте</w:t>
            </w:r>
          </w:p>
        </w:tc>
        <w:tc>
          <w:tcPr>
            <w:tcW w:w="141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0</w:t>
            </w:r>
          </w:p>
        </w:tc>
        <w:tc>
          <w:tcPr>
            <w:tcW w:w="1418"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w:t>
            </w:r>
          </w:p>
        </w:tc>
      </w:tr>
      <w:tr w:rsidR="00BB344A" w:rsidRPr="00BB344A" w:rsidTr="00BB344A">
        <w:tc>
          <w:tcPr>
            <w:tcW w:w="5070"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на внутреннем водном транспорте</w:t>
            </w:r>
          </w:p>
        </w:tc>
        <w:tc>
          <w:tcPr>
            <w:tcW w:w="141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0</w:t>
            </w:r>
          </w:p>
        </w:tc>
        <w:tc>
          <w:tcPr>
            <w:tcW w:w="1418"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0</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4</w:t>
            </w:r>
          </w:p>
        </w:tc>
      </w:tr>
      <w:tr w:rsidR="00BB344A" w:rsidRPr="00BB344A" w:rsidTr="00BB344A">
        <w:tc>
          <w:tcPr>
            <w:tcW w:w="5070"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воздушным транспортом</w:t>
            </w:r>
          </w:p>
        </w:tc>
        <w:tc>
          <w:tcPr>
            <w:tcW w:w="141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11</w:t>
            </w:r>
          </w:p>
        </w:tc>
        <w:tc>
          <w:tcPr>
            <w:tcW w:w="1418"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13</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43</w:t>
            </w:r>
          </w:p>
        </w:tc>
      </w:tr>
      <w:tr w:rsidR="00BB344A" w:rsidRPr="00BB344A" w:rsidTr="00BB344A">
        <w:tc>
          <w:tcPr>
            <w:tcW w:w="5070"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автомобильным транспортом и городским наземным электрическим</w:t>
            </w:r>
          </w:p>
        </w:tc>
        <w:tc>
          <w:tcPr>
            <w:tcW w:w="141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45</w:t>
            </w:r>
          </w:p>
        </w:tc>
        <w:tc>
          <w:tcPr>
            <w:tcW w:w="1418"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60</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76</w:t>
            </w:r>
          </w:p>
        </w:tc>
      </w:tr>
      <w:tr w:rsidR="00BB344A" w:rsidRPr="00BB344A" w:rsidTr="00BB344A">
        <w:tc>
          <w:tcPr>
            <w:tcW w:w="5070"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услуг связи</w:t>
            </w:r>
          </w:p>
        </w:tc>
        <w:tc>
          <w:tcPr>
            <w:tcW w:w="141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121</w:t>
            </w:r>
          </w:p>
        </w:tc>
        <w:tc>
          <w:tcPr>
            <w:tcW w:w="1418"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184</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130</w:t>
            </w:r>
          </w:p>
        </w:tc>
      </w:tr>
      <w:tr w:rsidR="00BB344A" w:rsidRPr="00BB344A" w:rsidTr="00BB344A">
        <w:tc>
          <w:tcPr>
            <w:tcW w:w="5070"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 xml:space="preserve">из них: </w:t>
            </w:r>
            <w:r w:rsidRPr="00BB344A">
              <w:rPr>
                <w:rFonts w:ascii="Times New Roman" w:eastAsia="Calibri" w:hAnsi="Times New Roman" w:cs="Times New Roman"/>
                <w:color w:val="000000"/>
              </w:rPr>
              <w:br/>
              <w:t>подвижной связи</w:t>
            </w:r>
          </w:p>
        </w:tc>
        <w:tc>
          <w:tcPr>
            <w:tcW w:w="141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22</w:t>
            </w:r>
          </w:p>
        </w:tc>
        <w:tc>
          <w:tcPr>
            <w:tcW w:w="1418"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41</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50</w:t>
            </w:r>
          </w:p>
        </w:tc>
      </w:tr>
      <w:tr w:rsidR="00BB344A" w:rsidRPr="00BB344A" w:rsidTr="00BB344A">
        <w:tc>
          <w:tcPr>
            <w:tcW w:w="5070"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местной, внутризоновой, междугородной, международной телефонной связи</w:t>
            </w:r>
          </w:p>
        </w:tc>
        <w:tc>
          <w:tcPr>
            <w:tcW w:w="141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16</w:t>
            </w:r>
          </w:p>
        </w:tc>
        <w:tc>
          <w:tcPr>
            <w:tcW w:w="1418"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52</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22</w:t>
            </w:r>
          </w:p>
        </w:tc>
      </w:tr>
      <w:tr w:rsidR="00BB344A" w:rsidRPr="00BB344A" w:rsidTr="00BB344A">
        <w:tc>
          <w:tcPr>
            <w:tcW w:w="5070"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телевизионной связи</w:t>
            </w:r>
          </w:p>
        </w:tc>
        <w:tc>
          <w:tcPr>
            <w:tcW w:w="141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21</w:t>
            </w:r>
          </w:p>
        </w:tc>
        <w:tc>
          <w:tcPr>
            <w:tcW w:w="1418"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16</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24</w:t>
            </w:r>
          </w:p>
        </w:tc>
      </w:tr>
      <w:tr w:rsidR="00BB344A" w:rsidRPr="00BB344A" w:rsidTr="00BB344A">
        <w:tc>
          <w:tcPr>
            <w:tcW w:w="5070"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телематической связи</w:t>
            </w:r>
          </w:p>
        </w:tc>
        <w:tc>
          <w:tcPr>
            <w:tcW w:w="141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60</w:t>
            </w:r>
          </w:p>
        </w:tc>
        <w:tc>
          <w:tcPr>
            <w:tcW w:w="1418"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64</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18</w:t>
            </w:r>
          </w:p>
        </w:tc>
      </w:tr>
      <w:tr w:rsidR="00BB344A" w:rsidRPr="00BB344A" w:rsidTr="00BB344A">
        <w:tc>
          <w:tcPr>
            <w:tcW w:w="5070"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по передаче данных</w:t>
            </w:r>
          </w:p>
        </w:tc>
        <w:tc>
          <w:tcPr>
            <w:tcW w:w="141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w:t>
            </w:r>
          </w:p>
        </w:tc>
        <w:tc>
          <w:tcPr>
            <w:tcW w:w="1418"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11</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16</w:t>
            </w:r>
          </w:p>
        </w:tc>
      </w:tr>
      <w:tr w:rsidR="00BB344A" w:rsidRPr="00BB344A" w:rsidTr="00BB344A">
        <w:tc>
          <w:tcPr>
            <w:tcW w:w="5070"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деятельности на финансовом рынке</w:t>
            </w:r>
          </w:p>
        </w:tc>
        <w:tc>
          <w:tcPr>
            <w:tcW w:w="141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97</w:t>
            </w:r>
          </w:p>
        </w:tc>
        <w:tc>
          <w:tcPr>
            <w:tcW w:w="1418"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127</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99</w:t>
            </w:r>
          </w:p>
        </w:tc>
      </w:tr>
      <w:tr w:rsidR="00BB344A" w:rsidRPr="00BB344A" w:rsidTr="00BB344A">
        <w:tc>
          <w:tcPr>
            <w:tcW w:w="5070"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 xml:space="preserve">из них: </w:t>
            </w:r>
            <w:r w:rsidRPr="00BB344A">
              <w:rPr>
                <w:rFonts w:ascii="Times New Roman" w:eastAsia="Calibri" w:hAnsi="Times New Roman" w:cs="Times New Roman"/>
                <w:color w:val="000000"/>
              </w:rPr>
              <w:br/>
              <w:t>страховой деятельности</w:t>
            </w:r>
          </w:p>
        </w:tc>
        <w:tc>
          <w:tcPr>
            <w:tcW w:w="141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24</w:t>
            </w:r>
          </w:p>
        </w:tc>
        <w:tc>
          <w:tcPr>
            <w:tcW w:w="1418"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25</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28</w:t>
            </w:r>
          </w:p>
        </w:tc>
      </w:tr>
      <w:tr w:rsidR="00BB344A" w:rsidRPr="00BB344A" w:rsidTr="00BB344A">
        <w:tc>
          <w:tcPr>
            <w:tcW w:w="5070"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банковской деятельности</w:t>
            </w:r>
          </w:p>
        </w:tc>
        <w:tc>
          <w:tcPr>
            <w:tcW w:w="141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41</w:t>
            </w:r>
          </w:p>
        </w:tc>
        <w:tc>
          <w:tcPr>
            <w:tcW w:w="1418"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80</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57</w:t>
            </w:r>
          </w:p>
        </w:tc>
      </w:tr>
      <w:tr w:rsidR="00BB344A" w:rsidRPr="00BB344A" w:rsidTr="00BB344A">
        <w:tc>
          <w:tcPr>
            <w:tcW w:w="5070"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микрофинансовой деятельности</w:t>
            </w:r>
          </w:p>
        </w:tc>
        <w:tc>
          <w:tcPr>
            <w:tcW w:w="141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32</w:t>
            </w:r>
          </w:p>
        </w:tc>
        <w:tc>
          <w:tcPr>
            <w:tcW w:w="1418"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22</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14</w:t>
            </w:r>
          </w:p>
        </w:tc>
      </w:tr>
      <w:tr w:rsidR="00BB344A" w:rsidRPr="00BB344A" w:rsidTr="00BB344A">
        <w:tc>
          <w:tcPr>
            <w:tcW w:w="5070"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деятельности платежных агентов</w:t>
            </w:r>
          </w:p>
        </w:tc>
        <w:tc>
          <w:tcPr>
            <w:tcW w:w="141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w:t>
            </w:r>
          </w:p>
        </w:tc>
        <w:tc>
          <w:tcPr>
            <w:tcW w:w="1418"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5</w:t>
            </w:r>
          </w:p>
        </w:tc>
      </w:tr>
      <w:tr w:rsidR="00BB344A" w:rsidRPr="00BB344A" w:rsidTr="00BB344A">
        <w:tc>
          <w:tcPr>
            <w:tcW w:w="5070"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долевого строительства жилья</w:t>
            </w:r>
          </w:p>
        </w:tc>
        <w:tc>
          <w:tcPr>
            <w:tcW w:w="141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29</w:t>
            </w:r>
          </w:p>
        </w:tc>
        <w:tc>
          <w:tcPr>
            <w:tcW w:w="1418"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17</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19</w:t>
            </w:r>
          </w:p>
        </w:tc>
      </w:tr>
      <w:tr w:rsidR="00BB344A" w:rsidRPr="00BB344A" w:rsidTr="00BB344A">
        <w:tc>
          <w:tcPr>
            <w:tcW w:w="5070"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образовательных услуг</w:t>
            </w:r>
          </w:p>
        </w:tc>
        <w:tc>
          <w:tcPr>
            <w:tcW w:w="141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701</w:t>
            </w:r>
          </w:p>
        </w:tc>
        <w:tc>
          <w:tcPr>
            <w:tcW w:w="1418"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624</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643</w:t>
            </w:r>
          </w:p>
        </w:tc>
      </w:tr>
      <w:tr w:rsidR="00BB344A" w:rsidRPr="00BB344A" w:rsidTr="00BB344A">
        <w:tc>
          <w:tcPr>
            <w:tcW w:w="5070"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медицинских услуг</w:t>
            </w:r>
          </w:p>
        </w:tc>
        <w:tc>
          <w:tcPr>
            <w:tcW w:w="141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47</w:t>
            </w:r>
          </w:p>
        </w:tc>
        <w:tc>
          <w:tcPr>
            <w:tcW w:w="1418"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77</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32</w:t>
            </w:r>
          </w:p>
        </w:tc>
      </w:tr>
      <w:tr w:rsidR="00BB344A" w:rsidRPr="00BB344A" w:rsidTr="00BB344A">
        <w:tc>
          <w:tcPr>
            <w:tcW w:w="5070"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риэлтерская деятельность</w:t>
            </w:r>
          </w:p>
        </w:tc>
        <w:tc>
          <w:tcPr>
            <w:tcW w:w="141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233</w:t>
            </w:r>
          </w:p>
        </w:tc>
        <w:tc>
          <w:tcPr>
            <w:tcW w:w="1418"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601</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120</w:t>
            </w:r>
          </w:p>
        </w:tc>
      </w:tr>
      <w:tr w:rsidR="00BB344A" w:rsidRPr="00BB344A" w:rsidTr="00BB344A">
        <w:tc>
          <w:tcPr>
            <w:tcW w:w="5070"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культурно-развлекательные мероприятия</w:t>
            </w:r>
          </w:p>
        </w:tc>
        <w:tc>
          <w:tcPr>
            <w:tcW w:w="141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5</w:t>
            </w:r>
          </w:p>
        </w:tc>
        <w:tc>
          <w:tcPr>
            <w:tcW w:w="1418"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5</w:t>
            </w:r>
          </w:p>
        </w:tc>
      </w:tr>
      <w:tr w:rsidR="00BB344A" w:rsidRPr="00BB344A" w:rsidTr="00BB344A">
        <w:tc>
          <w:tcPr>
            <w:tcW w:w="5070"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прочих видов деятельности</w:t>
            </w:r>
          </w:p>
        </w:tc>
        <w:tc>
          <w:tcPr>
            <w:tcW w:w="141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30</w:t>
            </w:r>
          </w:p>
        </w:tc>
        <w:tc>
          <w:tcPr>
            <w:tcW w:w="1418"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30</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41</w:t>
            </w:r>
          </w:p>
        </w:tc>
      </w:tr>
      <w:tr w:rsidR="00BB344A" w:rsidRPr="00BB344A" w:rsidTr="00BB344A">
        <w:tc>
          <w:tcPr>
            <w:tcW w:w="5070" w:type="dxa"/>
            <w:vAlign w:val="center"/>
          </w:tcPr>
          <w:p w:rsidR="00BB344A" w:rsidRPr="00BB344A" w:rsidRDefault="00BB344A" w:rsidP="00BB344A">
            <w:pPr>
              <w:jc w:val="both"/>
              <w:rPr>
                <w:rFonts w:ascii="Times New Roman" w:eastAsia="Calibri" w:hAnsi="Times New Roman" w:cs="Times New Roman"/>
                <w:color w:val="000000"/>
              </w:rPr>
            </w:pPr>
            <w:r w:rsidRPr="00BB344A">
              <w:rPr>
                <w:rFonts w:ascii="Times New Roman" w:eastAsia="Calibri" w:hAnsi="Times New Roman" w:cs="Times New Roman"/>
                <w:color w:val="000000"/>
              </w:rPr>
              <w:t>образовательных услуг</w:t>
            </w:r>
          </w:p>
        </w:tc>
        <w:tc>
          <w:tcPr>
            <w:tcW w:w="1417"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371</w:t>
            </w:r>
          </w:p>
        </w:tc>
        <w:tc>
          <w:tcPr>
            <w:tcW w:w="1418"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418</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254</w:t>
            </w:r>
          </w:p>
        </w:tc>
      </w:tr>
    </w:tbl>
    <w:p w:rsidR="00BB344A" w:rsidRPr="00BB344A" w:rsidRDefault="00BB344A" w:rsidP="00BB344A">
      <w:pPr>
        <w:spacing w:after="0" w:line="360" w:lineRule="auto"/>
        <w:ind w:firstLine="709"/>
        <w:jc w:val="both"/>
        <w:rPr>
          <w:rFonts w:ascii="Times New Roman" w:eastAsia="Calibri" w:hAnsi="Times New Roman" w:cs="Times New Roman"/>
          <w:color w:val="000000"/>
          <w:sz w:val="28"/>
          <w:szCs w:val="28"/>
        </w:rPr>
      </w:pPr>
    </w:p>
    <w:p w:rsidR="00BB344A" w:rsidRPr="00CB7713" w:rsidRDefault="00BB344A" w:rsidP="00BB344A">
      <w:pPr>
        <w:spacing w:after="0" w:line="360" w:lineRule="auto"/>
        <w:ind w:firstLine="709"/>
        <w:jc w:val="both"/>
        <w:rPr>
          <w:rFonts w:ascii="Times New Roman" w:eastAsia="Calibri" w:hAnsi="Times New Roman" w:cs="Times New Roman"/>
          <w:color w:val="000000"/>
          <w:sz w:val="24"/>
          <w:szCs w:val="24"/>
        </w:rPr>
      </w:pPr>
      <w:r w:rsidRPr="00CB7713">
        <w:rPr>
          <w:rFonts w:ascii="Times New Roman" w:eastAsia="Calibri" w:hAnsi="Times New Roman" w:cs="Times New Roman"/>
          <w:color w:val="000000"/>
          <w:sz w:val="24"/>
          <w:szCs w:val="24"/>
        </w:rPr>
        <w:t xml:space="preserve">Анализ динамики количества обращений от юридических лиц / предпринимателей (Таблица </w:t>
      </w:r>
      <w:r w:rsidR="00CB7713" w:rsidRPr="00CB7713">
        <w:rPr>
          <w:rFonts w:ascii="Times New Roman" w:eastAsia="Calibri" w:hAnsi="Times New Roman" w:cs="Times New Roman"/>
          <w:color w:val="000000"/>
          <w:sz w:val="24"/>
          <w:szCs w:val="24"/>
        </w:rPr>
        <w:t>18</w:t>
      </w:r>
      <w:r w:rsidRPr="00CB7713">
        <w:rPr>
          <w:rFonts w:ascii="Times New Roman" w:eastAsia="Calibri" w:hAnsi="Times New Roman" w:cs="Times New Roman"/>
          <w:color w:val="000000"/>
          <w:sz w:val="24"/>
          <w:szCs w:val="24"/>
        </w:rPr>
        <w:t xml:space="preserve">.) на нарушения прав потребителей показывает значительное увеличение количества обращений, связанных со сферой услуг, в 2021 г. (1177, тогда как в 2020 г. – 778, в период с января по октябрь 2022 г. – 324). Рост показателя был связан с услугами общественного питания (142 обращения в 2021 г., тогда как в 2020 г. – 58, за период с января по октябрь 2022 г. – 10) услуг связи (2021 г. - 95 обращения, 2020 г. – 59, период с января по октябрь 2022 г. – 21). </w:t>
      </w:r>
    </w:p>
    <w:p w:rsidR="00BB344A" w:rsidRPr="00CB7713" w:rsidRDefault="00BB344A" w:rsidP="00BB344A">
      <w:pPr>
        <w:spacing w:after="0" w:line="360" w:lineRule="auto"/>
        <w:ind w:firstLine="709"/>
        <w:jc w:val="both"/>
        <w:rPr>
          <w:rFonts w:ascii="Times New Roman" w:eastAsia="Calibri" w:hAnsi="Times New Roman" w:cs="Times New Roman"/>
          <w:color w:val="000000"/>
          <w:sz w:val="24"/>
          <w:szCs w:val="24"/>
        </w:rPr>
      </w:pPr>
      <w:r w:rsidRPr="00CB7713">
        <w:rPr>
          <w:rFonts w:ascii="Times New Roman" w:eastAsia="Calibri" w:hAnsi="Times New Roman" w:cs="Times New Roman"/>
          <w:color w:val="000000"/>
          <w:sz w:val="24"/>
          <w:szCs w:val="24"/>
        </w:rPr>
        <w:t xml:space="preserve">За исследуемый период наблюдается рост обращений, связанных со сферой транспортных услуг (в 2020 г. – 18 обращений, в 2021 г. – 45, в 2022 г. – 63). </w:t>
      </w:r>
    </w:p>
    <w:p w:rsidR="00BB344A" w:rsidRPr="00CB7713" w:rsidRDefault="00BB344A" w:rsidP="00BB344A">
      <w:pPr>
        <w:spacing w:after="0" w:line="360" w:lineRule="auto"/>
        <w:ind w:firstLine="709"/>
        <w:jc w:val="both"/>
        <w:rPr>
          <w:rFonts w:ascii="Times New Roman" w:eastAsia="Calibri" w:hAnsi="Times New Roman" w:cs="Times New Roman"/>
          <w:color w:val="000000"/>
          <w:sz w:val="24"/>
          <w:szCs w:val="24"/>
        </w:rPr>
      </w:pPr>
      <w:r w:rsidRPr="00CB7713">
        <w:rPr>
          <w:rFonts w:ascii="Times New Roman" w:eastAsia="Calibri" w:hAnsi="Times New Roman" w:cs="Times New Roman"/>
          <w:color w:val="000000"/>
          <w:sz w:val="24"/>
          <w:szCs w:val="24"/>
        </w:rPr>
        <w:t>Отмечается снижение количества обращений, связанных со сферой розничной торговли (2020 г. – 667 обращений, 2021 г. – 576, период с января по октябрь 2022 г. – 250).</w:t>
      </w:r>
    </w:p>
    <w:p w:rsidR="00BB344A" w:rsidRPr="00CB7713" w:rsidRDefault="00BB344A" w:rsidP="00BB344A">
      <w:pPr>
        <w:spacing w:after="0" w:line="360" w:lineRule="auto"/>
        <w:ind w:firstLine="709"/>
        <w:jc w:val="both"/>
        <w:rPr>
          <w:rFonts w:ascii="Times New Roman" w:eastAsia="Calibri" w:hAnsi="Times New Roman" w:cs="Times New Roman"/>
          <w:color w:val="000000"/>
          <w:sz w:val="24"/>
          <w:szCs w:val="24"/>
        </w:rPr>
      </w:pPr>
    </w:p>
    <w:p w:rsidR="00BB344A" w:rsidRPr="00BB344A" w:rsidRDefault="00BB344A" w:rsidP="00CB7713">
      <w:pPr>
        <w:keepNext/>
        <w:keepLines/>
        <w:spacing w:before="120" w:after="120" w:line="240" w:lineRule="auto"/>
        <w:jc w:val="center"/>
        <w:rPr>
          <w:rFonts w:ascii="Times New Roman" w:eastAsia="Calibri" w:hAnsi="Times New Roman" w:cs="Times New Roman"/>
          <w:color w:val="000000"/>
          <w:sz w:val="24"/>
          <w:szCs w:val="24"/>
        </w:rPr>
      </w:pPr>
      <w:r w:rsidRPr="00BB344A">
        <w:rPr>
          <w:rFonts w:ascii="Times New Roman" w:eastAsia="Calibri" w:hAnsi="Times New Roman" w:cs="Times New Roman"/>
          <w:color w:val="000000"/>
          <w:sz w:val="24"/>
          <w:szCs w:val="24"/>
        </w:rPr>
        <w:t xml:space="preserve">Таблица </w:t>
      </w:r>
      <w:r w:rsidR="00CB7713">
        <w:rPr>
          <w:rFonts w:ascii="Times New Roman" w:eastAsia="Calibri" w:hAnsi="Times New Roman" w:cs="Times New Roman"/>
          <w:color w:val="000000"/>
          <w:sz w:val="24"/>
          <w:szCs w:val="24"/>
        </w:rPr>
        <w:t>18</w:t>
      </w:r>
      <w:r w:rsidRPr="00BB344A">
        <w:rPr>
          <w:rFonts w:ascii="Times New Roman" w:eastAsia="Calibri" w:hAnsi="Times New Roman" w:cs="Times New Roman"/>
          <w:color w:val="000000"/>
          <w:sz w:val="24"/>
          <w:szCs w:val="24"/>
        </w:rPr>
        <w:t xml:space="preserve">. </w:t>
      </w:r>
      <w:r w:rsidRPr="00BB344A">
        <w:rPr>
          <w:rFonts w:ascii="Times New Roman" w:eastAsia="Calibri" w:hAnsi="Times New Roman" w:cs="Times New Roman"/>
          <w:bCs/>
          <w:color w:val="000000"/>
          <w:sz w:val="24"/>
          <w:szCs w:val="24"/>
        </w:rPr>
        <w:t>Количество обращений (жалоб) по тематике, поступивших от юридических лиц / предпринимателей</w:t>
      </w:r>
      <w:r w:rsidRPr="00BB344A">
        <w:rPr>
          <w:rFonts w:ascii="Times New Roman" w:eastAsia="Calibri" w:hAnsi="Times New Roman" w:cs="Times New Roman"/>
          <w:color w:val="000000"/>
          <w:sz w:val="24"/>
          <w:szCs w:val="24"/>
        </w:rPr>
        <w:t xml:space="preserve"> (данные Управления Роспотребнадзора по Ленинградской области)</w:t>
      </w:r>
    </w:p>
    <w:tbl>
      <w:tblPr>
        <w:tblStyle w:val="223"/>
        <w:tblW w:w="9889" w:type="dxa"/>
        <w:tblLook w:val="04A0" w:firstRow="1" w:lastRow="0" w:firstColumn="1" w:lastColumn="0" w:noHBand="0" w:noVBand="1"/>
      </w:tblPr>
      <w:tblGrid>
        <w:gridCol w:w="4786"/>
        <w:gridCol w:w="1559"/>
        <w:gridCol w:w="1560"/>
        <w:gridCol w:w="1984"/>
      </w:tblGrid>
      <w:tr w:rsidR="00BB344A" w:rsidRPr="00BB344A" w:rsidTr="00BB344A">
        <w:trPr>
          <w:tblHeader/>
        </w:trPr>
        <w:tc>
          <w:tcPr>
            <w:tcW w:w="4786" w:type="dxa"/>
            <w:vAlign w:val="center"/>
          </w:tcPr>
          <w:p w:rsidR="00BB344A" w:rsidRPr="00CD2F82" w:rsidRDefault="00BB344A" w:rsidP="00BB344A">
            <w:pPr>
              <w:rPr>
                <w:rFonts w:ascii="Times New Roman" w:eastAsia="Calibri" w:hAnsi="Times New Roman" w:cs="Times New Roman"/>
                <w:b/>
                <w:color w:val="000000"/>
              </w:rPr>
            </w:pPr>
          </w:p>
        </w:tc>
        <w:tc>
          <w:tcPr>
            <w:tcW w:w="1559" w:type="dxa"/>
            <w:vAlign w:val="center"/>
          </w:tcPr>
          <w:p w:rsidR="00BB344A" w:rsidRPr="00CD2F82" w:rsidRDefault="00BB344A" w:rsidP="00BB344A">
            <w:pPr>
              <w:jc w:val="center"/>
              <w:rPr>
                <w:rFonts w:ascii="Times New Roman" w:eastAsia="Calibri" w:hAnsi="Times New Roman" w:cs="Times New Roman"/>
                <w:b/>
                <w:color w:val="000000"/>
              </w:rPr>
            </w:pPr>
            <w:r w:rsidRPr="00CD2F82">
              <w:rPr>
                <w:rFonts w:ascii="Times New Roman" w:eastAsia="Calibri" w:hAnsi="Times New Roman" w:cs="Times New Roman"/>
                <w:b/>
                <w:color w:val="000000"/>
              </w:rPr>
              <w:t>2020 г.</w:t>
            </w:r>
          </w:p>
        </w:tc>
        <w:tc>
          <w:tcPr>
            <w:tcW w:w="1560" w:type="dxa"/>
            <w:vAlign w:val="center"/>
          </w:tcPr>
          <w:p w:rsidR="00BB344A" w:rsidRPr="00CD2F82" w:rsidRDefault="00BB344A" w:rsidP="00BB344A">
            <w:pPr>
              <w:jc w:val="center"/>
              <w:rPr>
                <w:rFonts w:ascii="Times New Roman" w:eastAsia="Calibri" w:hAnsi="Times New Roman" w:cs="Times New Roman"/>
                <w:b/>
                <w:color w:val="000000"/>
              </w:rPr>
            </w:pPr>
            <w:r w:rsidRPr="00CD2F82">
              <w:rPr>
                <w:rFonts w:ascii="Times New Roman" w:eastAsia="Calibri" w:hAnsi="Times New Roman" w:cs="Times New Roman"/>
                <w:b/>
                <w:color w:val="000000"/>
              </w:rPr>
              <w:t>2021 г.</w:t>
            </w:r>
          </w:p>
        </w:tc>
        <w:tc>
          <w:tcPr>
            <w:tcW w:w="1984" w:type="dxa"/>
            <w:vAlign w:val="center"/>
          </w:tcPr>
          <w:p w:rsidR="00BB344A" w:rsidRPr="00CD2F82" w:rsidRDefault="00BB344A" w:rsidP="00BB344A">
            <w:pPr>
              <w:jc w:val="center"/>
              <w:rPr>
                <w:rFonts w:ascii="Times New Roman" w:eastAsia="Calibri" w:hAnsi="Times New Roman" w:cs="Times New Roman"/>
                <w:b/>
                <w:color w:val="000000"/>
              </w:rPr>
            </w:pPr>
            <w:r w:rsidRPr="00CD2F82">
              <w:rPr>
                <w:rFonts w:ascii="Times New Roman" w:eastAsia="Calibri" w:hAnsi="Times New Roman" w:cs="Times New Roman"/>
                <w:b/>
                <w:color w:val="000000"/>
              </w:rPr>
              <w:t>2022 г. январь - октябрь</w:t>
            </w:r>
          </w:p>
        </w:tc>
      </w:tr>
      <w:tr w:rsidR="00BB344A" w:rsidRPr="00BB344A" w:rsidTr="00BB344A">
        <w:tc>
          <w:tcPr>
            <w:tcW w:w="4786"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На нарушения прав потребителей – всего</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1426</w:t>
            </w:r>
          </w:p>
        </w:tc>
        <w:tc>
          <w:tcPr>
            <w:tcW w:w="1560"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1753</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574</w:t>
            </w:r>
          </w:p>
        </w:tc>
      </w:tr>
      <w:tr w:rsidR="00BB344A" w:rsidRPr="00BB344A" w:rsidTr="00BB344A">
        <w:tc>
          <w:tcPr>
            <w:tcW w:w="4786"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 xml:space="preserve">В том числе в сферах: розничной торговли </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667</w:t>
            </w:r>
          </w:p>
        </w:tc>
        <w:tc>
          <w:tcPr>
            <w:tcW w:w="1560"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576</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250</w:t>
            </w:r>
          </w:p>
        </w:tc>
      </w:tr>
      <w:tr w:rsidR="00BB344A" w:rsidRPr="00BB344A" w:rsidTr="00BB344A">
        <w:tc>
          <w:tcPr>
            <w:tcW w:w="4786"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 xml:space="preserve">из них: </w:t>
            </w:r>
            <w:r w:rsidRPr="00BB344A">
              <w:rPr>
                <w:rFonts w:ascii="Times New Roman" w:eastAsia="Calibri" w:hAnsi="Times New Roman" w:cs="Times New Roman"/>
                <w:color w:val="000000"/>
              </w:rPr>
              <w:br/>
              <w:t>продовольственными товарами</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308</w:t>
            </w:r>
          </w:p>
        </w:tc>
        <w:tc>
          <w:tcPr>
            <w:tcW w:w="1560"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326</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92</w:t>
            </w:r>
          </w:p>
        </w:tc>
      </w:tr>
      <w:tr w:rsidR="00BB344A" w:rsidRPr="00BB344A" w:rsidTr="00BB344A">
        <w:tc>
          <w:tcPr>
            <w:tcW w:w="4786"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в случае заключения договора с использованием дистанционных каналов ("Интернет", мобильные приложения)</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147</w:t>
            </w:r>
          </w:p>
        </w:tc>
        <w:tc>
          <w:tcPr>
            <w:tcW w:w="1560"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122</w:t>
            </w:r>
          </w:p>
        </w:tc>
      </w:tr>
      <w:tr w:rsidR="00BB344A" w:rsidRPr="00BB344A" w:rsidTr="00BB344A">
        <w:tc>
          <w:tcPr>
            <w:tcW w:w="4786"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По образцам</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201</w:t>
            </w:r>
          </w:p>
        </w:tc>
        <w:tc>
          <w:tcPr>
            <w:tcW w:w="1560"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250</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36</w:t>
            </w:r>
          </w:p>
        </w:tc>
      </w:tr>
      <w:tr w:rsidR="00BB344A" w:rsidRPr="00BB344A" w:rsidTr="00BB344A">
        <w:tc>
          <w:tcPr>
            <w:tcW w:w="4786"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В том числе: в сфере услуг</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778</w:t>
            </w:r>
          </w:p>
        </w:tc>
        <w:tc>
          <w:tcPr>
            <w:tcW w:w="1560"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1177</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324</w:t>
            </w:r>
          </w:p>
        </w:tc>
      </w:tr>
      <w:tr w:rsidR="00BB344A" w:rsidRPr="00BB344A" w:rsidTr="00BB344A">
        <w:tc>
          <w:tcPr>
            <w:tcW w:w="4786"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 xml:space="preserve">из них: </w:t>
            </w:r>
            <w:r w:rsidRPr="00BB344A">
              <w:rPr>
                <w:rFonts w:ascii="Times New Roman" w:eastAsia="Calibri" w:hAnsi="Times New Roman" w:cs="Times New Roman"/>
                <w:color w:val="000000"/>
              </w:rPr>
              <w:br/>
              <w:t>в случае заключения договора с использованием дистанционных каналов ("Интернет", мобильные приложения)</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w:t>
            </w:r>
          </w:p>
        </w:tc>
        <w:tc>
          <w:tcPr>
            <w:tcW w:w="1560"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w:t>
            </w:r>
          </w:p>
        </w:tc>
      </w:tr>
      <w:tr w:rsidR="00BB344A" w:rsidRPr="00BB344A" w:rsidTr="00BB344A">
        <w:tc>
          <w:tcPr>
            <w:tcW w:w="4786"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общественного питания</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58</w:t>
            </w:r>
          </w:p>
        </w:tc>
        <w:tc>
          <w:tcPr>
            <w:tcW w:w="1560"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142</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10</w:t>
            </w:r>
          </w:p>
        </w:tc>
      </w:tr>
      <w:tr w:rsidR="00BB344A" w:rsidRPr="00BB344A" w:rsidTr="00BB344A">
        <w:tc>
          <w:tcPr>
            <w:tcW w:w="4786"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бытового обслуживания населения</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18</w:t>
            </w:r>
          </w:p>
        </w:tc>
        <w:tc>
          <w:tcPr>
            <w:tcW w:w="1560"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52</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35</w:t>
            </w:r>
          </w:p>
        </w:tc>
      </w:tr>
      <w:tr w:rsidR="00BB344A" w:rsidRPr="00BB344A" w:rsidTr="00BB344A">
        <w:tc>
          <w:tcPr>
            <w:tcW w:w="4786"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технического обслуживания и ремонта автомототранспортных средств</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w:t>
            </w:r>
          </w:p>
        </w:tc>
        <w:tc>
          <w:tcPr>
            <w:tcW w:w="1560"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7</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w:t>
            </w:r>
          </w:p>
        </w:tc>
      </w:tr>
      <w:tr w:rsidR="00BB344A" w:rsidRPr="00BB344A" w:rsidTr="00BB344A">
        <w:tc>
          <w:tcPr>
            <w:tcW w:w="4786"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услуг автостоянок</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w:t>
            </w:r>
          </w:p>
        </w:tc>
        <w:tc>
          <w:tcPr>
            <w:tcW w:w="1560"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4</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w:t>
            </w:r>
          </w:p>
        </w:tc>
      </w:tr>
      <w:tr w:rsidR="00BB344A" w:rsidRPr="00BB344A" w:rsidTr="00BB344A">
        <w:tc>
          <w:tcPr>
            <w:tcW w:w="4786"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гостиничных услуг</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10</w:t>
            </w:r>
          </w:p>
        </w:tc>
        <w:tc>
          <w:tcPr>
            <w:tcW w:w="1560"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10</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13</w:t>
            </w:r>
          </w:p>
        </w:tc>
      </w:tr>
      <w:tr w:rsidR="00BB344A" w:rsidRPr="00BB344A" w:rsidTr="00BB344A">
        <w:tc>
          <w:tcPr>
            <w:tcW w:w="4786"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туристских услуг</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33</w:t>
            </w:r>
          </w:p>
        </w:tc>
        <w:tc>
          <w:tcPr>
            <w:tcW w:w="1560"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20</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12</w:t>
            </w:r>
          </w:p>
        </w:tc>
      </w:tr>
      <w:tr w:rsidR="00BB344A" w:rsidRPr="00BB344A" w:rsidTr="00BB344A">
        <w:tc>
          <w:tcPr>
            <w:tcW w:w="4786"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транспортных услуг</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18</w:t>
            </w:r>
          </w:p>
        </w:tc>
        <w:tc>
          <w:tcPr>
            <w:tcW w:w="1560"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45</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63</w:t>
            </w:r>
          </w:p>
        </w:tc>
      </w:tr>
      <w:tr w:rsidR="00BB344A" w:rsidRPr="00BB344A" w:rsidTr="00BB344A">
        <w:tc>
          <w:tcPr>
            <w:tcW w:w="4786"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 xml:space="preserve">из них </w:t>
            </w:r>
            <w:r w:rsidRPr="00BB344A">
              <w:rPr>
                <w:rFonts w:ascii="Times New Roman" w:eastAsia="Calibri" w:hAnsi="Times New Roman" w:cs="Times New Roman"/>
                <w:color w:val="000000"/>
              </w:rPr>
              <w:br/>
              <w:t>перевозок: на железнодорожном транспорте</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w:t>
            </w:r>
          </w:p>
        </w:tc>
        <w:tc>
          <w:tcPr>
            <w:tcW w:w="1560"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w:t>
            </w:r>
          </w:p>
        </w:tc>
      </w:tr>
      <w:tr w:rsidR="00BB344A" w:rsidRPr="00BB344A" w:rsidTr="00BB344A">
        <w:tc>
          <w:tcPr>
            <w:tcW w:w="4786"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на внутреннем водном транспорте</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w:t>
            </w:r>
          </w:p>
        </w:tc>
        <w:tc>
          <w:tcPr>
            <w:tcW w:w="1560"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w:t>
            </w:r>
          </w:p>
        </w:tc>
      </w:tr>
      <w:tr w:rsidR="00BB344A" w:rsidRPr="00BB344A" w:rsidTr="00BB344A">
        <w:tc>
          <w:tcPr>
            <w:tcW w:w="4786"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воздушным транспортом</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w:t>
            </w:r>
          </w:p>
        </w:tc>
        <w:tc>
          <w:tcPr>
            <w:tcW w:w="1560"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7</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8</w:t>
            </w:r>
          </w:p>
        </w:tc>
      </w:tr>
      <w:tr w:rsidR="00BB344A" w:rsidRPr="00BB344A" w:rsidTr="00BB344A">
        <w:tc>
          <w:tcPr>
            <w:tcW w:w="4786"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автомобильным транспортом и городским наземным электрическим</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15</w:t>
            </w:r>
          </w:p>
        </w:tc>
        <w:tc>
          <w:tcPr>
            <w:tcW w:w="1560"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38</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52</w:t>
            </w:r>
          </w:p>
        </w:tc>
      </w:tr>
      <w:tr w:rsidR="00BB344A" w:rsidRPr="00BB344A" w:rsidTr="00BB344A">
        <w:tc>
          <w:tcPr>
            <w:tcW w:w="4786"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услуг связи</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59</w:t>
            </w:r>
          </w:p>
        </w:tc>
        <w:tc>
          <w:tcPr>
            <w:tcW w:w="1560"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95</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21</w:t>
            </w:r>
          </w:p>
        </w:tc>
      </w:tr>
      <w:tr w:rsidR="00BB344A" w:rsidRPr="00BB344A" w:rsidTr="00BB344A">
        <w:tc>
          <w:tcPr>
            <w:tcW w:w="4786"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 xml:space="preserve">из них: </w:t>
            </w:r>
            <w:r w:rsidRPr="00BB344A">
              <w:rPr>
                <w:rFonts w:ascii="Times New Roman" w:eastAsia="Calibri" w:hAnsi="Times New Roman" w:cs="Times New Roman"/>
                <w:color w:val="000000"/>
              </w:rPr>
              <w:br/>
              <w:t>подвижной связи</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w:t>
            </w:r>
          </w:p>
        </w:tc>
        <w:tc>
          <w:tcPr>
            <w:tcW w:w="1560"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26</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11</w:t>
            </w:r>
          </w:p>
        </w:tc>
      </w:tr>
      <w:tr w:rsidR="00BB344A" w:rsidRPr="00BB344A" w:rsidTr="00BB344A">
        <w:tc>
          <w:tcPr>
            <w:tcW w:w="4786"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местной, внутризоновой, междугородной, международной телефонной связи</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4</w:t>
            </w:r>
          </w:p>
        </w:tc>
        <w:tc>
          <w:tcPr>
            <w:tcW w:w="1560"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21</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w:t>
            </w:r>
          </w:p>
        </w:tc>
      </w:tr>
      <w:tr w:rsidR="00BB344A" w:rsidRPr="00BB344A" w:rsidTr="00BB344A">
        <w:tc>
          <w:tcPr>
            <w:tcW w:w="4786"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телевизионной связи</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11</w:t>
            </w:r>
          </w:p>
        </w:tc>
        <w:tc>
          <w:tcPr>
            <w:tcW w:w="1560"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27</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5</w:t>
            </w:r>
          </w:p>
        </w:tc>
      </w:tr>
      <w:tr w:rsidR="00BB344A" w:rsidRPr="00BB344A" w:rsidTr="00BB344A">
        <w:tc>
          <w:tcPr>
            <w:tcW w:w="4786"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телематической связи</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42</w:t>
            </w:r>
          </w:p>
        </w:tc>
        <w:tc>
          <w:tcPr>
            <w:tcW w:w="1560"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20</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w:t>
            </w:r>
          </w:p>
        </w:tc>
      </w:tr>
      <w:tr w:rsidR="00BB344A" w:rsidRPr="00BB344A" w:rsidTr="00BB344A">
        <w:tc>
          <w:tcPr>
            <w:tcW w:w="4786"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по передаче данных</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w:t>
            </w:r>
          </w:p>
        </w:tc>
        <w:tc>
          <w:tcPr>
            <w:tcW w:w="1560"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w:t>
            </w:r>
          </w:p>
        </w:tc>
      </w:tr>
      <w:tr w:rsidR="00BB344A" w:rsidRPr="00BB344A" w:rsidTr="00BB344A">
        <w:tc>
          <w:tcPr>
            <w:tcW w:w="4786"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деятельности на финансовом рынке</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15</w:t>
            </w:r>
          </w:p>
        </w:tc>
        <w:tc>
          <w:tcPr>
            <w:tcW w:w="1560"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35</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40</w:t>
            </w:r>
          </w:p>
        </w:tc>
      </w:tr>
      <w:tr w:rsidR="00BB344A" w:rsidRPr="00BB344A" w:rsidTr="00BB344A">
        <w:tc>
          <w:tcPr>
            <w:tcW w:w="4786"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 xml:space="preserve">из них: </w:t>
            </w:r>
            <w:r w:rsidRPr="00BB344A">
              <w:rPr>
                <w:rFonts w:ascii="Times New Roman" w:eastAsia="Calibri" w:hAnsi="Times New Roman" w:cs="Times New Roman"/>
                <w:color w:val="000000"/>
              </w:rPr>
              <w:br/>
              <w:t>страховой деятельности</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10</w:t>
            </w:r>
          </w:p>
        </w:tc>
        <w:tc>
          <w:tcPr>
            <w:tcW w:w="1560"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10</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9</w:t>
            </w:r>
          </w:p>
        </w:tc>
      </w:tr>
      <w:tr w:rsidR="00BB344A" w:rsidRPr="00BB344A" w:rsidTr="00BB344A">
        <w:tc>
          <w:tcPr>
            <w:tcW w:w="4786"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банковской деятельности</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w:t>
            </w:r>
          </w:p>
        </w:tc>
        <w:tc>
          <w:tcPr>
            <w:tcW w:w="1560"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11</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28</w:t>
            </w:r>
          </w:p>
        </w:tc>
      </w:tr>
      <w:tr w:rsidR="00BB344A" w:rsidRPr="00BB344A" w:rsidTr="00BB344A">
        <w:tc>
          <w:tcPr>
            <w:tcW w:w="4786"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микрофинансовой деятельности</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w:t>
            </w:r>
          </w:p>
        </w:tc>
        <w:tc>
          <w:tcPr>
            <w:tcW w:w="1560"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14</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w:t>
            </w:r>
          </w:p>
        </w:tc>
      </w:tr>
      <w:tr w:rsidR="00BB344A" w:rsidRPr="00BB344A" w:rsidTr="00BB344A">
        <w:tc>
          <w:tcPr>
            <w:tcW w:w="4786"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деятельности платежных агентов</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0</w:t>
            </w:r>
          </w:p>
        </w:tc>
        <w:tc>
          <w:tcPr>
            <w:tcW w:w="1560"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0</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w:t>
            </w:r>
          </w:p>
        </w:tc>
      </w:tr>
      <w:tr w:rsidR="00BB344A" w:rsidRPr="00BB344A" w:rsidTr="00BB344A">
        <w:tc>
          <w:tcPr>
            <w:tcW w:w="4786"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долевого строительства жилья</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16</w:t>
            </w:r>
          </w:p>
        </w:tc>
        <w:tc>
          <w:tcPr>
            <w:tcW w:w="1560"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9</w:t>
            </w:r>
          </w:p>
        </w:tc>
      </w:tr>
      <w:tr w:rsidR="00BB344A" w:rsidRPr="00BB344A" w:rsidTr="00BB344A">
        <w:tc>
          <w:tcPr>
            <w:tcW w:w="4786"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образовательных услуг</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239</w:t>
            </w:r>
          </w:p>
        </w:tc>
        <w:tc>
          <w:tcPr>
            <w:tcW w:w="1560"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408</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43</w:t>
            </w:r>
          </w:p>
        </w:tc>
      </w:tr>
      <w:tr w:rsidR="00BB344A" w:rsidRPr="00BB344A" w:rsidTr="00BB344A">
        <w:tc>
          <w:tcPr>
            <w:tcW w:w="4786"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медицинских услуг</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30</w:t>
            </w:r>
          </w:p>
        </w:tc>
        <w:tc>
          <w:tcPr>
            <w:tcW w:w="1560"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15</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w:t>
            </w:r>
          </w:p>
        </w:tc>
      </w:tr>
      <w:tr w:rsidR="00BB344A" w:rsidRPr="00BB344A" w:rsidTr="00BB344A">
        <w:tc>
          <w:tcPr>
            <w:tcW w:w="4786"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риэлтерская деятельность</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233</w:t>
            </w:r>
          </w:p>
        </w:tc>
        <w:tc>
          <w:tcPr>
            <w:tcW w:w="1560"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287</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29</w:t>
            </w:r>
          </w:p>
        </w:tc>
      </w:tr>
      <w:tr w:rsidR="00BB344A" w:rsidRPr="00BB344A" w:rsidTr="00BB344A">
        <w:tc>
          <w:tcPr>
            <w:tcW w:w="4786"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культурно-развлекательные мероприятия</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0</w:t>
            </w:r>
          </w:p>
        </w:tc>
        <w:tc>
          <w:tcPr>
            <w:tcW w:w="1560"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0</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w:t>
            </w:r>
          </w:p>
        </w:tc>
      </w:tr>
      <w:tr w:rsidR="00BB344A" w:rsidRPr="00BB344A" w:rsidTr="00BB344A">
        <w:tc>
          <w:tcPr>
            <w:tcW w:w="4786"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прочих видов деятельности</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1</w:t>
            </w:r>
          </w:p>
        </w:tc>
        <w:tc>
          <w:tcPr>
            <w:tcW w:w="1560"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8</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4</w:t>
            </w:r>
          </w:p>
        </w:tc>
      </w:tr>
      <w:tr w:rsidR="00BB344A" w:rsidRPr="00BB344A" w:rsidTr="00BB344A">
        <w:tc>
          <w:tcPr>
            <w:tcW w:w="4786" w:type="dxa"/>
            <w:vAlign w:val="center"/>
          </w:tcPr>
          <w:p w:rsidR="00BB344A" w:rsidRPr="00BB344A" w:rsidRDefault="00BB344A" w:rsidP="00BB344A">
            <w:pPr>
              <w:rPr>
                <w:rFonts w:ascii="Times New Roman" w:eastAsia="Calibri" w:hAnsi="Times New Roman" w:cs="Times New Roman"/>
                <w:color w:val="000000"/>
              </w:rPr>
            </w:pPr>
            <w:r w:rsidRPr="00BB344A">
              <w:rPr>
                <w:rFonts w:ascii="Times New Roman" w:eastAsia="Calibri" w:hAnsi="Times New Roman" w:cs="Times New Roman"/>
                <w:color w:val="000000"/>
              </w:rPr>
              <w:t>образовательных услуг</w:t>
            </w:r>
          </w:p>
        </w:tc>
        <w:tc>
          <w:tcPr>
            <w:tcW w:w="1559"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24</w:t>
            </w:r>
          </w:p>
        </w:tc>
        <w:tc>
          <w:tcPr>
            <w:tcW w:w="1560"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46</w:t>
            </w:r>
          </w:p>
        </w:tc>
        <w:tc>
          <w:tcPr>
            <w:tcW w:w="1984" w:type="dxa"/>
            <w:vAlign w:val="center"/>
          </w:tcPr>
          <w:p w:rsidR="00BB344A" w:rsidRPr="00BB344A" w:rsidRDefault="00BB344A" w:rsidP="00BB344A">
            <w:pPr>
              <w:jc w:val="center"/>
              <w:rPr>
                <w:rFonts w:ascii="Times New Roman" w:eastAsia="Calibri" w:hAnsi="Times New Roman" w:cs="Times New Roman"/>
                <w:color w:val="000000"/>
              </w:rPr>
            </w:pPr>
            <w:r w:rsidRPr="00BB344A">
              <w:rPr>
                <w:rFonts w:ascii="Times New Roman" w:eastAsia="Calibri" w:hAnsi="Times New Roman" w:cs="Times New Roman"/>
                <w:color w:val="000000"/>
              </w:rPr>
              <w:t>36</w:t>
            </w:r>
          </w:p>
        </w:tc>
      </w:tr>
    </w:tbl>
    <w:p w:rsidR="00BB344A" w:rsidRPr="00BB344A" w:rsidRDefault="00BB344A" w:rsidP="00BB344A">
      <w:pPr>
        <w:spacing w:after="0" w:line="360" w:lineRule="auto"/>
        <w:ind w:firstLine="709"/>
        <w:jc w:val="both"/>
        <w:rPr>
          <w:rFonts w:ascii="Times New Roman" w:eastAsia="Calibri" w:hAnsi="Times New Roman" w:cs="Times New Roman"/>
          <w:color w:val="000000"/>
          <w:sz w:val="28"/>
          <w:szCs w:val="28"/>
        </w:rPr>
      </w:pPr>
    </w:p>
    <w:p w:rsidR="00BB344A" w:rsidRPr="00CB7713" w:rsidRDefault="00BB344A" w:rsidP="00BB344A">
      <w:pPr>
        <w:spacing w:after="0" w:line="360" w:lineRule="auto"/>
        <w:ind w:firstLine="709"/>
        <w:jc w:val="both"/>
        <w:rPr>
          <w:rFonts w:ascii="Times New Roman" w:eastAsia="Calibri" w:hAnsi="Times New Roman" w:cs="Times New Roman"/>
          <w:color w:val="000000"/>
          <w:sz w:val="24"/>
          <w:szCs w:val="24"/>
        </w:rPr>
      </w:pPr>
      <w:r w:rsidRPr="00CB7713">
        <w:rPr>
          <w:rFonts w:ascii="Times New Roman" w:eastAsia="Calibri" w:hAnsi="Times New Roman" w:cs="Times New Roman"/>
          <w:color w:val="000000"/>
          <w:sz w:val="24"/>
          <w:szCs w:val="24"/>
        </w:rPr>
        <w:t xml:space="preserve">Согласно </w:t>
      </w:r>
      <w:bookmarkStart w:id="23" w:name="_Hlk120479681"/>
      <w:r w:rsidRPr="00CB7713">
        <w:rPr>
          <w:rFonts w:ascii="Times New Roman" w:eastAsia="Calibri" w:hAnsi="Times New Roman" w:cs="Times New Roman"/>
          <w:color w:val="000000"/>
          <w:sz w:val="24"/>
          <w:szCs w:val="24"/>
        </w:rPr>
        <w:t>данным Управления Роспотребнадзора по Ленинградской области</w:t>
      </w:r>
      <w:bookmarkEnd w:id="23"/>
      <w:r w:rsidRPr="00CB7713">
        <w:rPr>
          <w:rFonts w:ascii="Times New Roman" w:eastAsia="Calibri" w:hAnsi="Times New Roman" w:cs="Times New Roman"/>
          <w:color w:val="000000"/>
          <w:sz w:val="24"/>
          <w:szCs w:val="24"/>
        </w:rPr>
        <w:t>, отмечается видимая динамика обращений, по которым было вынесено решение в пользу обратившихся лиц: существенное увеличение положительных рассмотрений в 2021 г. (6457, тогда как в 2020 г. – 5399). Снижение количества положительных решений в 2022 г. (за период с января по октябрь – 2965 решений в пользу обратившихся лиц), вероятнее всего, связано с общим уменьшением количества обращений (4037 за период с января по октябрь 2022 г., тогда как в 2020 г. – 5399, в 2021 г. – 6757).</w:t>
      </w:r>
    </w:p>
    <w:p w:rsidR="00BB344A" w:rsidRPr="00BB344A" w:rsidRDefault="00BB344A" w:rsidP="00CB7713">
      <w:pPr>
        <w:keepNext/>
        <w:keepLines/>
        <w:spacing w:before="120" w:after="120" w:line="240" w:lineRule="auto"/>
        <w:jc w:val="center"/>
        <w:rPr>
          <w:rFonts w:ascii="Times New Roman" w:eastAsia="Calibri" w:hAnsi="Times New Roman" w:cs="Times New Roman"/>
          <w:color w:val="000000"/>
          <w:sz w:val="24"/>
          <w:szCs w:val="24"/>
        </w:rPr>
      </w:pPr>
      <w:r w:rsidRPr="00BB344A">
        <w:rPr>
          <w:rFonts w:ascii="Times New Roman" w:eastAsia="Calibri" w:hAnsi="Times New Roman" w:cs="Times New Roman"/>
          <w:color w:val="000000"/>
          <w:sz w:val="24"/>
          <w:szCs w:val="24"/>
        </w:rPr>
        <w:t xml:space="preserve">Таблица </w:t>
      </w:r>
      <w:r w:rsidR="00CB7713">
        <w:rPr>
          <w:rFonts w:ascii="Times New Roman" w:eastAsia="Calibri" w:hAnsi="Times New Roman" w:cs="Times New Roman"/>
          <w:color w:val="000000"/>
          <w:sz w:val="24"/>
          <w:szCs w:val="24"/>
        </w:rPr>
        <w:t>19</w:t>
      </w:r>
      <w:r w:rsidRPr="00BB344A">
        <w:rPr>
          <w:rFonts w:ascii="Times New Roman" w:eastAsia="Calibri" w:hAnsi="Times New Roman" w:cs="Times New Roman"/>
          <w:color w:val="000000"/>
          <w:sz w:val="24"/>
          <w:szCs w:val="24"/>
        </w:rPr>
        <w:t>. Количество рассмотренных обращений (жалоб) в рамках полномочий (данные Управления Роспотребнадзора по Ленинградской области)</w:t>
      </w:r>
    </w:p>
    <w:tbl>
      <w:tblPr>
        <w:tblW w:w="9752" w:type="dxa"/>
        <w:tblInd w:w="-5" w:type="dxa"/>
        <w:tblLayout w:type="fixed"/>
        <w:tblLook w:val="04A0" w:firstRow="1" w:lastRow="0" w:firstColumn="1" w:lastColumn="0" w:noHBand="0" w:noVBand="1"/>
      </w:tblPr>
      <w:tblGrid>
        <w:gridCol w:w="5500"/>
        <w:gridCol w:w="1205"/>
        <w:gridCol w:w="1205"/>
        <w:gridCol w:w="1842"/>
      </w:tblGrid>
      <w:tr w:rsidR="00BB344A" w:rsidRPr="00BB344A" w:rsidTr="00BB344A">
        <w:trPr>
          <w:trHeight w:val="576"/>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344A" w:rsidRPr="00CD2F82" w:rsidRDefault="00BB344A" w:rsidP="00BB344A">
            <w:pPr>
              <w:spacing w:after="0"/>
              <w:jc w:val="both"/>
              <w:rPr>
                <w:rFonts w:ascii="Times New Roman" w:eastAsia="Times New Roman" w:hAnsi="Times New Roman" w:cs="Times New Roman"/>
                <w:b/>
                <w:color w:val="000000"/>
                <w:lang w:eastAsia="ru-RU"/>
              </w:rPr>
            </w:pP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rsidR="00BB344A" w:rsidRPr="00CD2F82" w:rsidRDefault="00BB344A" w:rsidP="00BB344A">
            <w:pPr>
              <w:spacing w:after="0"/>
              <w:jc w:val="center"/>
              <w:rPr>
                <w:rFonts w:ascii="Times New Roman" w:eastAsia="Times New Roman" w:hAnsi="Times New Roman" w:cs="Times New Roman"/>
                <w:b/>
                <w:color w:val="000000"/>
                <w:lang w:eastAsia="ru-RU"/>
              </w:rPr>
            </w:pPr>
            <w:r w:rsidRPr="00CD2F82">
              <w:rPr>
                <w:rFonts w:ascii="Times New Roman" w:eastAsia="Times New Roman" w:hAnsi="Times New Roman" w:cs="Times New Roman"/>
                <w:b/>
                <w:color w:val="000000"/>
                <w:lang w:eastAsia="ru-RU"/>
              </w:rPr>
              <w:t>2020 г.</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rsidR="00BB344A" w:rsidRPr="00CD2F82" w:rsidRDefault="00BB344A" w:rsidP="00BB344A">
            <w:pPr>
              <w:spacing w:after="0"/>
              <w:jc w:val="center"/>
              <w:rPr>
                <w:rFonts w:ascii="Times New Roman" w:eastAsia="Times New Roman" w:hAnsi="Times New Roman" w:cs="Times New Roman"/>
                <w:b/>
                <w:color w:val="000000"/>
                <w:lang w:eastAsia="ru-RU"/>
              </w:rPr>
            </w:pPr>
            <w:r w:rsidRPr="00CD2F82">
              <w:rPr>
                <w:rFonts w:ascii="Times New Roman" w:eastAsia="Times New Roman" w:hAnsi="Times New Roman" w:cs="Times New Roman"/>
                <w:b/>
                <w:color w:val="000000"/>
                <w:lang w:eastAsia="ru-RU"/>
              </w:rPr>
              <w:t>2021 г.</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BB344A" w:rsidRPr="00CD2F82" w:rsidRDefault="00BB344A" w:rsidP="00BB344A">
            <w:pPr>
              <w:spacing w:after="0"/>
              <w:jc w:val="center"/>
              <w:rPr>
                <w:rFonts w:ascii="Times New Roman" w:eastAsia="Times New Roman" w:hAnsi="Times New Roman" w:cs="Times New Roman"/>
                <w:b/>
                <w:color w:val="000000"/>
                <w:lang w:eastAsia="ru-RU"/>
              </w:rPr>
            </w:pPr>
            <w:r w:rsidRPr="00CD2F82">
              <w:rPr>
                <w:rFonts w:ascii="Times New Roman" w:eastAsia="Times New Roman" w:hAnsi="Times New Roman" w:cs="Times New Roman"/>
                <w:b/>
                <w:color w:val="000000"/>
                <w:lang w:eastAsia="ru-RU"/>
              </w:rPr>
              <w:t xml:space="preserve">2022 г. </w:t>
            </w:r>
          </w:p>
          <w:p w:rsidR="00BB344A" w:rsidRPr="00CD2F82" w:rsidRDefault="00BB344A" w:rsidP="00BB344A">
            <w:pPr>
              <w:spacing w:after="0"/>
              <w:jc w:val="center"/>
              <w:rPr>
                <w:rFonts w:ascii="Times New Roman" w:eastAsia="Times New Roman" w:hAnsi="Times New Roman" w:cs="Times New Roman"/>
                <w:b/>
                <w:color w:val="000000"/>
                <w:lang w:eastAsia="ru-RU"/>
              </w:rPr>
            </w:pPr>
            <w:r w:rsidRPr="00CD2F82">
              <w:rPr>
                <w:rFonts w:ascii="Times New Roman" w:eastAsia="Calibri" w:hAnsi="Times New Roman" w:cs="Times New Roman"/>
                <w:b/>
                <w:color w:val="000000"/>
              </w:rPr>
              <w:t>январь - октябрь</w:t>
            </w:r>
            <w:r w:rsidRPr="00CD2F82">
              <w:rPr>
                <w:rFonts w:ascii="Times New Roman" w:eastAsia="Times New Roman" w:hAnsi="Times New Roman" w:cs="Times New Roman"/>
                <w:b/>
                <w:color w:val="000000"/>
                <w:lang w:eastAsia="ru-RU"/>
              </w:rPr>
              <w:t xml:space="preserve"> </w:t>
            </w:r>
          </w:p>
        </w:tc>
      </w:tr>
      <w:tr w:rsidR="00BB344A" w:rsidRPr="00BB344A" w:rsidTr="00BB344A">
        <w:trPr>
          <w:trHeight w:val="288"/>
        </w:trPr>
        <w:tc>
          <w:tcPr>
            <w:tcW w:w="5500" w:type="dxa"/>
            <w:tcBorders>
              <w:top w:val="nil"/>
              <w:left w:val="single" w:sz="4" w:space="0" w:color="auto"/>
              <w:bottom w:val="single" w:sz="4" w:space="0" w:color="auto"/>
              <w:right w:val="single" w:sz="4" w:space="0" w:color="auto"/>
            </w:tcBorders>
            <w:shd w:val="clear" w:color="auto" w:fill="auto"/>
            <w:noWrap/>
            <w:vAlign w:val="center"/>
          </w:tcPr>
          <w:p w:rsidR="00BB344A" w:rsidRPr="00BB344A" w:rsidRDefault="00BB344A" w:rsidP="00BB344A">
            <w:pPr>
              <w:spacing w:after="0"/>
              <w:jc w:val="both"/>
              <w:rPr>
                <w:rFonts w:ascii="Times New Roman" w:eastAsia="Times New Roman" w:hAnsi="Times New Roman" w:cs="Times New Roman"/>
                <w:color w:val="000000"/>
                <w:lang w:eastAsia="ru-RU"/>
              </w:rPr>
            </w:pPr>
            <w:r w:rsidRPr="00BB344A">
              <w:rPr>
                <w:rFonts w:ascii="Times New Roman" w:eastAsia="Calibri" w:hAnsi="Times New Roman" w:cs="Times New Roman"/>
                <w:color w:val="000000"/>
              </w:rPr>
              <w:t>Всего рассмотрено в рамках полномочий</w:t>
            </w:r>
          </w:p>
        </w:tc>
        <w:tc>
          <w:tcPr>
            <w:tcW w:w="1205"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bCs/>
                <w:color w:val="000000"/>
                <w:lang w:eastAsia="ru-RU"/>
              </w:rPr>
            </w:pPr>
            <w:r w:rsidRPr="00BB344A">
              <w:rPr>
                <w:rFonts w:ascii="Times New Roman" w:eastAsia="Calibri" w:hAnsi="Times New Roman" w:cs="Times New Roman"/>
                <w:color w:val="000000"/>
              </w:rPr>
              <w:t>5399</w:t>
            </w:r>
          </w:p>
        </w:tc>
        <w:tc>
          <w:tcPr>
            <w:tcW w:w="1205"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bCs/>
                <w:color w:val="000000"/>
                <w:lang w:eastAsia="ru-RU"/>
              </w:rPr>
            </w:pPr>
            <w:r w:rsidRPr="00BB344A">
              <w:rPr>
                <w:rFonts w:ascii="Times New Roman" w:eastAsia="Calibri" w:hAnsi="Times New Roman" w:cs="Times New Roman"/>
                <w:color w:val="000000"/>
              </w:rPr>
              <w:t>6757</w:t>
            </w:r>
          </w:p>
        </w:tc>
        <w:tc>
          <w:tcPr>
            <w:tcW w:w="1842" w:type="dxa"/>
            <w:tcBorders>
              <w:top w:val="nil"/>
              <w:left w:val="nil"/>
              <w:bottom w:val="single" w:sz="4" w:space="0" w:color="auto"/>
              <w:right w:val="single" w:sz="4" w:space="0" w:color="auto"/>
            </w:tcBorders>
            <w:shd w:val="clear" w:color="auto" w:fill="auto"/>
            <w:vAlign w:val="center"/>
          </w:tcPr>
          <w:p w:rsidR="00BB344A" w:rsidRPr="00BB344A" w:rsidRDefault="00BB344A" w:rsidP="00BB344A">
            <w:pPr>
              <w:spacing w:after="0"/>
              <w:jc w:val="center"/>
              <w:rPr>
                <w:rFonts w:ascii="Times New Roman" w:eastAsia="Times New Roman" w:hAnsi="Times New Roman" w:cs="Times New Roman"/>
                <w:bCs/>
                <w:color w:val="000000"/>
                <w:lang w:eastAsia="ru-RU"/>
              </w:rPr>
            </w:pPr>
            <w:r w:rsidRPr="00BB344A">
              <w:rPr>
                <w:rFonts w:ascii="Times New Roman" w:eastAsia="Calibri" w:hAnsi="Times New Roman" w:cs="Times New Roman"/>
                <w:color w:val="000000"/>
              </w:rPr>
              <w:t>4037</w:t>
            </w:r>
          </w:p>
        </w:tc>
      </w:tr>
      <w:tr w:rsidR="00BB344A" w:rsidRPr="00BB344A" w:rsidTr="00BB344A">
        <w:trPr>
          <w:trHeight w:val="288"/>
        </w:trPr>
        <w:tc>
          <w:tcPr>
            <w:tcW w:w="5500" w:type="dxa"/>
            <w:tcBorders>
              <w:top w:val="nil"/>
              <w:left w:val="single" w:sz="4" w:space="0" w:color="auto"/>
              <w:bottom w:val="single" w:sz="4" w:space="0" w:color="auto"/>
              <w:right w:val="single" w:sz="4" w:space="0" w:color="auto"/>
            </w:tcBorders>
            <w:shd w:val="clear" w:color="auto" w:fill="auto"/>
            <w:noWrap/>
            <w:vAlign w:val="center"/>
          </w:tcPr>
          <w:p w:rsidR="00BB344A" w:rsidRPr="00BB344A" w:rsidRDefault="00BB344A" w:rsidP="00BB344A">
            <w:pPr>
              <w:spacing w:after="0"/>
              <w:jc w:val="both"/>
              <w:rPr>
                <w:rFonts w:ascii="Times New Roman" w:eastAsia="Times New Roman" w:hAnsi="Times New Roman" w:cs="Times New Roman"/>
                <w:color w:val="000000"/>
                <w:lang w:eastAsia="ru-RU"/>
              </w:rPr>
            </w:pPr>
            <w:r w:rsidRPr="00BB344A">
              <w:rPr>
                <w:rFonts w:ascii="Times New Roman" w:eastAsia="Calibri" w:hAnsi="Times New Roman" w:cs="Times New Roman"/>
                <w:color w:val="000000"/>
              </w:rPr>
              <w:t>в том числе:</w:t>
            </w:r>
          </w:p>
        </w:tc>
        <w:tc>
          <w:tcPr>
            <w:tcW w:w="1205"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color w:val="000000"/>
                <w:lang w:eastAsia="ru-RU"/>
              </w:rPr>
            </w:pPr>
            <w:r w:rsidRPr="00BB344A">
              <w:rPr>
                <w:rFonts w:ascii="Times New Roman" w:eastAsia="Times New Roman" w:hAnsi="Times New Roman" w:cs="Times New Roman"/>
                <w:color w:val="000000"/>
                <w:lang w:eastAsia="ru-RU"/>
              </w:rPr>
              <w:t> </w:t>
            </w:r>
          </w:p>
        </w:tc>
        <w:tc>
          <w:tcPr>
            <w:tcW w:w="1205"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color w:val="000000"/>
                <w:lang w:eastAsia="ru-RU"/>
              </w:rPr>
            </w:pPr>
            <w:r w:rsidRPr="00BB344A">
              <w:rPr>
                <w:rFonts w:ascii="Times New Roman" w:eastAsia="Times New Roman" w:hAnsi="Times New Roman" w:cs="Times New Roman"/>
                <w:color w:val="000000"/>
                <w:lang w:eastAsia="ru-RU"/>
              </w:rPr>
              <w:t> </w:t>
            </w:r>
          </w:p>
        </w:tc>
        <w:tc>
          <w:tcPr>
            <w:tcW w:w="1842"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color w:val="000000"/>
                <w:lang w:eastAsia="ru-RU"/>
              </w:rPr>
            </w:pPr>
            <w:r w:rsidRPr="00BB344A">
              <w:rPr>
                <w:rFonts w:ascii="Times New Roman" w:eastAsia="Times New Roman" w:hAnsi="Times New Roman" w:cs="Times New Roman"/>
                <w:color w:val="000000"/>
                <w:lang w:eastAsia="ru-RU"/>
              </w:rPr>
              <w:t> </w:t>
            </w:r>
          </w:p>
        </w:tc>
      </w:tr>
      <w:tr w:rsidR="00BB344A" w:rsidRPr="00BB344A" w:rsidTr="00BB344A">
        <w:trPr>
          <w:trHeight w:val="288"/>
        </w:trPr>
        <w:tc>
          <w:tcPr>
            <w:tcW w:w="5500" w:type="dxa"/>
            <w:tcBorders>
              <w:top w:val="nil"/>
              <w:left w:val="single" w:sz="4" w:space="0" w:color="auto"/>
              <w:bottom w:val="single" w:sz="4" w:space="0" w:color="auto"/>
              <w:right w:val="single" w:sz="4" w:space="0" w:color="auto"/>
            </w:tcBorders>
            <w:shd w:val="clear" w:color="auto" w:fill="auto"/>
            <w:noWrap/>
            <w:vAlign w:val="center"/>
          </w:tcPr>
          <w:p w:rsidR="00BB344A" w:rsidRPr="00BB344A" w:rsidRDefault="00BB344A" w:rsidP="00BB344A">
            <w:pPr>
              <w:spacing w:after="0"/>
              <w:jc w:val="both"/>
              <w:rPr>
                <w:rFonts w:ascii="Times New Roman" w:eastAsia="Times New Roman" w:hAnsi="Times New Roman" w:cs="Times New Roman"/>
                <w:color w:val="000000"/>
                <w:lang w:eastAsia="ru-RU"/>
              </w:rPr>
            </w:pPr>
            <w:r w:rsidRPr="00BB344A">
              <w:rPr>
                <w:rFonts w:ascii="Times New Roman" w:eastAsia="Calibri" w:hAnsi="Times New Roman" w:cs="Times New Roman"/>
                <w:color w:val="000000"/>
              </w:rPr>
              <w:t>Количество обращений, в результате которых выявлены нарушения прав потребителей/субъектов предпринимательства</w:t>
            </w:r>
          </w:p>
        </w:tc>
        <w:tc>
          <w:tcPr>
            <w:tcW w:w="1205"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color w:val="000000"/>
                <w:lang w:eastAsia="ru-RU"/>
              </w:rPr>
            </w:pPr>
            <w:r w:rsidRPr="00BB344A">
              <w:rPr>
                <w:rFonts w:ascii="Times New Roman" w:eastAsia="Times New Roman" w:hAnsi="Times New Roman" w:cs="Times New Roman"/>
                <w:color w:val="000000"/>
                <w:lang w:eastAsia="ru-RU"/>
              </w:rPr>
              <w:t>182</w:t>
            </w:r>
          </w:p>
        </w:tc>
        <w:tc>
          <w:tcPr>
            <w:tcW w:w="1205"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color w:val="000000"/>
                <w:lang w:eastAsia="ru-RU"/>
              </w:rPr>
            </w:pPr>
            <w:r w:rsidRPr="00BB344A">
              <w:rPr>
                <w:rFonts w:ascii="Times New Roman" w:eastAsia="Times New Roman" w:hAnsi="Times New Roman" w:cs="Times New Roman"/>
                <w:color w:val="000000"/>
                <w:lang w:eastAsia="ru-RU"/>
              </w:rPr>
              <w:t>351</w:t>
            </w:r>
          </w:p>
        </w:tc>
        <w:tc>
          <w:tcPr>
            <w:tcW w:w="1842"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color w:val="000000"/>
                <w:lang w:eastAsia="ru-RU"/>
              </w:rPr>
            </w:pPr>
            <w:r w:rsidRPr="00BB344A">
              <w:rPr>
                <w:rFonts w:ascii="Times New Roman" w:eastAsia="Times New Roman" w:hAnsi="Times New Roman" w:cs="Times New Roman"/>
                <w:color w:val="000000"/>
                <w:lang w:eastAsia="ru-RU"/>
              </w:rPr>
              <w:t>247</w:t>
            </w:r>
          </w:p>
        </w:tc>
      </w:tr>
      <w:tr w:rsidR="00BB344A" w:rsidRPr="00BB344A" w:rsidTr="00BB344A">
        <w:trPr>
          <w:trHeight w:val="288"/>
        </w:trPr>
        <w:tc>
          <w:tcPr>
            <w:tcW w:w="5500" w:type="dxa"/>
            <w:tcBorders>
              <w:top w:val="nil"/>
              <w:left w:val="single" w:sz="4" w:space="0" w:color="auto"/>
              <w:bottom w:val="single" w:sz="4" w:space="0" w:color="auto"/>
              <w:right w:val="single" w:sz="4" w:space="0" w:color="auto"/>
            </w:tcBorders>
            <w:shd w:val="clear" w:color="auto" w:fill="auto"/>
            <w:noWrap/>
            <w:vAlign w:val="center"/>
          </w:tcPr>
          <w:p w:rsidR="00BB344A" w:rsidRPr="00BB344A" w:rsidRDefault="00BB344A" w:rsidP="00BB344A">
            <w:pPr>
              <w:spacing w:after="0"/>
              <w:jc w:val="both"/>
              <w:rPr>
                <w:rFonts w:ascii="Times New Roman" w:eastAsia="Times New Roman" w:hAnsi="Times New Roman" w:cs="Times New Roman"/>
                <w:color w:val="000000"/>
                <w:lang w:eastAsia="ru-RU"/>
              </w:rPr>
            </w:pPr>
            <w:r w:rsidRPr="00BB344A">
              <w:rPr>
                <w:rFonts w:ascii="Times New Roman" w:eastAsia="Calibri" w:hAnsi="Times New Roman" w:cs="Times New Roman"/>
                <w:color w:val="000000"/>
              </w:rPr>
              <w:t xml:space="preserve">Решено положительно в пользу обратившихся лиц </w:t>
            </w:r>
          </w:p>
        </w:tc>
        <w:tc>
          <w:tcPr>
            <w:tcW w:w="1205"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color w:val="000000"/>
                <w:lang w:eastAsia="ru-RU"/>
              </w:rPr>
            </w:pPr>
            <w:r w:rsidRPr="00BB344A">
              <w:rPr>
                <w:rFonts w:ascii="Times New Roman" w:eastAsia="Times New Roman" w:hAnsi="Times New Roman" w:cs="Times New Roman"/>
                <w:color w:val="000000"/>
                <w:lang w:eastAsia="ru-RU"/>
              </w:rPr>
              <w:t>5220</w:t>
            </w:r>
          </w:p>
        </w:tc>
        <w:tc>
          <w:tcPr>
            <w:tcW w:w="1205"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color w:val="000000"/>
                <w:lang w:eastAsia="ru-RU"/>
              </w:rPr>
            </w:pPr>
            <w:r w:rsidRPr="00BB344A">
              <w:rPr>
                <w:rFonts w:ascii="Times New Roman" w:eastAsia="Times New Roman" w:hAnsi="Times New Roman" w:cs="Times New Roman"/>
                <w:color w:val="000000"/>
                <w:lang w:eastAsia="ru-RU"/>
              </w:rPr>
              <w:t>6457</w:t>
            </w:r>
          </w:p>
        </w:tc>
        <w:tc>
          <w:tcPr>
            <w:tcW w:w="1842"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color w:val="000000"/>
                <w:lang w:eastAsia="ru-RU"/>
              </w:rPr>
            </w:pPr>
            <w:r w:rsidRPr="00BB344A">
              <w:rPr>
                <w:rFonts w:ascii="Times New Roman" w:eastAsia="Times New Roman" w:hAnsi="Times New Roman" w:cs="Times New Roman"/>
                <w:color w:val="000000"/>
                <w:lang w:eastAsia="ru-RU"/>
              </w:rPr>
              <w:t>2965</w:t>
            </w:r>
          </w:p>
        </w:tc>
      </w:tr>
      <w:tr w:rsidR="00BB344A" w:rsidRPr="00BB344A" w:rsidTr="00BB344A">
        <w:trPr>
          <w:trHeight w:val="288"/>
        </w:trPr>
        <w:tc>
          <w:tcPr>
            <w:tcW w:w="5500" w:type="dxa"/>
            <w:tcBorders>
              <w:top w:val="nil"/>
              <w:left w:val="single" w:sz="4" w:space="0" w:color="auto"/>
              <w:bottom w:val="single" w:sz="4" w:space="0" w:color="auto"/>
              <w:right w:val="single" w:sz="4" w:space="0" w:color="auto"/>
            </w:tcBorders>
            <w:shd w:val="clear" w:color="auto" w:fill="auto"/>
            <w:noWrap/>
            <w:vAlign w:val="center"/>
          </w:tcPr>
          <w:p w:rsidR="00BB344A" w:rsidRPr="00BB344A" w:rsidRDefault="00BB344A" w:rsidP="00BB344A">
            <w:pPr>
              <w:spacing w:after="0"/>
              <w:jc w:val="both"/>
              <w:rPr>
                <w:rFonts w:ascii="Times New Roman" w:eastAsia="Times New Roman" w:hAnsi="Times New Roman" w:cs="Times New Roman"/>
                <w:color w:val="000000"/>
                <w:lang w:eastAsia="ru-RU"/>
              </w:rPr>
            </w:pPr>
            <w:r w:rsidRPr="00BB344A">
              <w:rPr>
                <w:rFonts w:ascii="Times New Roman" w:eastAsia="Calibri" w:hAnsi="Times New Roman" w:cs="Times New Roman"/>
                <w:color w:val="000000"/>
              </w:rPr>
              <w:t xml:space="preserve">Иной результат, способствующий защите прав потребителей / предпринимателей </w:t>
            </w:r>
          </w:p>
        </w:tc>
        <w:tc>
          <w:tcPr>
            <w:tcW w:w="1205"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color w:val="000000"/>
                <w:lang w:eastAsia="ru-RU"/>
              </w:rPr>
            </w:pPr>
            <w:r w:rsidRPr="00BB344A">
              <w:rPr>
                <w:rFonts w:ascii="Times New Roman" w:eastAsia="Times New Roman" w:hAnsi="Times New Roman" w:cs="Times New Roman"/>
                <w:color w:val="000000"/>
                <w:lang w:eastAsia="ru-RU"/>
              </w:rPr>
              <w:t>199</w:t>
            </w:r>
          </w:p>
        </w:tc>
        <w:tc>
          <w:tcPr>
            <w:tcW w:w="1205"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color w:val="000000"/>
                <w:lang w:eastAsia="ru-RU"/>
              </w:rPr>
            </w:pPr>
            <w:r w:rsidRPr="00BB344A">
              <w:rPr>
                <w:rFonts w:ascii="Times New Roman" w:eastAsia="Times New Roman" w:hAnsi="Times New Roman" w:cs="Times New Roman"/>
                <w:color w:val="000000"/>
                <w:lang w:eastAsia="ru-RU"/>
              </w:rPr>
              <w:t>280</w:t>
            </w:r>
          </w:p>
        </w:tc>
        <w:tc>
          <w:tcPr>
            <w:tcW w:w="1842" w:type="dxa"/>
            <w:tcBorders>
              <w:top w:val="nil"/>
              <w:left w:val="nil"/>
              <w:bottom w:val="single" w:sz="4" w:space="0" w:color="auto"/>
              <w:right w:val="single" w:sz="4" w:space="0" w:color="auto"/>
            </w:tcBorders>
            <w:shd w:val="clear" w:color="auto" w:fill="auto"/>
            <w:noWrap/>
            <w:vAlign w:val="center"/>
          </w:tcPr>
          <w:p w:rsidR="00BB344A" w:rsidRPr="00BB344A" w:rsidRDefault="00BB344A" w:rsidP="00BB344A">
            <w:pPr>
              <w:spacing w:after="0"/>
              <w:jc w:val="center"/>
              <w:rPr>
                <w:rFonts w:ascii="Times New Roman" w:eastAsia="Times New Roman" w:hAnsi="Times New Roman" w:cs="Times New Roman"/>
                <w:color w:val="000000"/>
                <w:lang w:eastAsia="ru-RU"/>
              </w:rPr>
            </w:pPr>
            <w:r w:rsidRPr="00BB344A">
              <w:rPr>
                <w:rFonts w:ascii="Times New Roman" w:eastAsia="Times New Roman" w:hAnsi="Times New Roman" w:cs="Times New Roman"/>
                <w:color w:val="000000"/>
                <w:lang w:eastAsia="ru-RU"/>
              </w:rPr>
              <w:t>508</w:t>
            </w:r>
          </w:p>
        </w:tc>
      </w:tr>
    </w:tbl>
    <w:p w:rsidR="00573C20" w:rsidRDefault="00573C20" w:rsidP="00277912">
      <w:pPr>
        <w:keepNext/>
        <w:keepLines/>
        <w:spacing w:before="40" w:after="240" w:line="240" w:lineRule="auto"/>
        <w:jc w:val="center"/>
        <w:outlineLvl w:val="2"/>
        <w:rPr>
          <w:rFonts w:ascii="Times New Roman" w:eastAsia="Arial" w:hAnsi="Times New Roman" w:cs="Times New Roman"/>
          <w:b/>
          <w:color w:val="000000"/>
          <w:sz w:val="24"/>
          <w:szCs w:val="24"/>
          <w:lang w:eastAsia="ru-RU"/>
        </w:rPr>
      </w:pPr>
    </w:p>
    <w:p w:rsidR="00277912" w:rsidRPr="00573C20" w:rsidRDefault="00573C20" w:rsidP="00277912">
      <w:pPr>
        <w:keepNext/>
        <w:keepLines/>
        <w:spacing w:before="40" w:after="240" w:line="240" w:lineRule="auto"/>
        <w:jc w:val="center"/>
        <w:outlineLvl w:val="2"/>
        <w:rPr>
          <w:rFonts w:ascii="Times New Roman" w:eastAsia="Arial" w:hAnsi="Times New Roman" w:cs="Times New Roman"/>
          <w:b/>
          <w:color w:val="000000"/>
          <w:sz w:val="24"/>
          <w:szCs w:val="24"/>
          <w:lang w:eastAsia="ru-RU"/>
        </w:rPr>
      </w:pPr>
      <w:r w:rsidRPr="00573C20">
        <w:rPr>
          <w:rFonts w:ascii="Times New Roman" w:eastAsia="Arial" w:hAnsi="Times New Roman" w:cs="Times New Roman"/>
          <w:b/>
          <w:color w:val="000000"/>
          <w:sz w:val="24"/>
          <w:szCs w:val="24"/>
          <w:lang w:eastAsia="ru-RU"/>
        </w:rPr>
        <w:t xml:space="preserve">3.2.6. </w:t>
      </w:r>
      <w:r w:rsidR="00277912" w:rsidRPr="00573C20">
        <w:rPr>
          <w:rFonts w:ascii="Times New Roman" w:eastAsia="Arial" w:hAnsi="Times New Roman" w:cs="Times New Roman"/>
          <w:b/>
          <w:color w:val="000000"/>
          <w:sz w:val="24"/>
          <w:szCs w:val="24"/>
          <w:lang w:eastAsia="ru-RU"/>
        </w:rPr>
        <w:t>О результатах рассмотрения обращений респондентов за защитой прав потребителей</w:t>
      </w:r>
    </w:p>
    <w:p w:rsidR="00277912" w:rsidRPr="00573C20" w:rsidRDefault="00277912" w:rsidP="00277912">
      <w:pPr>
        <w:spacing w:after="0" w:line="360" w:lineRule="auto"/>
        <w:ind w:firstLine="709"/>
        <w:jc w:val="both"/>
        <w:rPr>
          <w:rFonts w:ascii="Times New Roman" w:eastAsia="Calibri" w:hAnsi="Times New Roman" w:cs="Times New Roman"/>
          <w:color w:val="000000"/>
          <w:sz w:val="24"/>
          <w:szCs w:val="24"/>
        </w:rPr>
      </w:pPr>
      <w:r w:rsidRPr="00573C20">
        <w:rPr>
          <w:rFonts w:ascii="Times New Roman" w:eastAsia="Calibri" w:hAnsi="Times New Roman" w:cs="Times New Roman"/>
          <w:color w:val="000000"/>
          <w:sz w:val="24"/>
          <w:szCs w:val="24"/>
        </w:rPr>
        <w:t xml:space="preserve">По результатам опроса потребителей товаров и услуг Ленинградской области, 90% жителей региона за последний год не обращались в надзорные органы за защитой прав потребителей. 5% отметили, что им удалось полностью или частично отстоять свои права, 3% не смогли этого достичь, у 2% вопрос завис на рассмотрении. </w:t>
      </w:r>
    </w:p>
    <w:p w:rsidR="00277912" w:rsidRPr="00277912" w:rsidRDefault="00277912" w:rsidP="00573C20">
      <w:pPr>
        <w:keepNext/>
        <w:keepLines/>
        <w:spacing w:before="120" w:after="120" w:line="240" w:lineRule="auto"/>
        <w:jc w:val="center"/>
        <w:rPr>
          <w:rFonts w:ascii="Times New Roman" w:eastAsia="Calibri" w:hAnsi="Times New Roman" w:cs="Times New Roman"/>
          <w:b/>
          <w:iCs/>
          <w:color w:val="000000"/>
          <w:sz w:val="24"/>
          <w:szCs w:val="28"/>
        </w:rPr>
      </w:pPr>
      <w:r w:rsidRPr="00277912">
        <w:rPr>
          <w:rFonts w:ascii="Times New Roman" w:eastAsia="Calibri" w:hAnsi="Times New Roman" w:cs="Times New Roman"/>
          <w:iCs/>
          <w:color w:val="000000"/>
          <w:sz w:val="24"/>
          <w:szCs w:val="28"/>
        </w:rPr>
        <w:t xml:space="preserve">Рисунок </w:t>
      </w:r>
      <w:r w:rsidR="00573C20">
        <w:rPr>
          <w:rFonts w:ascii="Times New Roman" w:eastAsia="Calibri" w:hAnsi="Times New Roman" w:cs="Times New Roman"/>
          <w:iCs/>
          <w:color w:val="000000"/>
          <w:sz w:val="24"/>
          <w:szCs w:val="28"/>
        </w:rPr>
        <w:t>26</w:t>
      </w:r>
      <w:r w:rsidRPr="00277912">
        <w:rPr>
          <w:rFonts w:ascii="Times New Roman" w:eastAsia="Calibri" w:hAnsi="Times New Roman" w:cs="Times New Roman"/>
          <w:iCs/>
          <w:color w:val="000000"/>
          <w:sz w:val="24"/>
          <w:szCs w:val="28"/>
        </w:rPr>
        <w:t xml:space="preserve">. </w:t>
      </w:r>
      <w:r w:rsidRPr="00277912">
        <w:rPr>
          <w:rFonts w:ascii="Times New Roman" w:eastAsia="Calibri" w:hAnsi="Times New Roman" w:cs="Times New Roman"/>
          <w:b/>
          <w:iCs/>
          <w:color w:val="000000"/>
          <w:sz w:val="24"/>
          <w:szCs w:val="28"/>
        </w:rPr>
        <w:t xml:space="preserve">Обращались ли Вы в отчетном году в надзорные органы за защитой прав потребителей? </w:t>
      </w:r>
      <w:r w:rsidRPr="00277912">
        <w:rPr>
          <w:rFonts w:ascii="Times New Roman" w:eastAsia="Calibri" w:hAnsi="Times New Roman" w:cs="Times New Roman"/>
          <w:noProof/>
          <w:color w:val="000000"/>
          <w:sz w:val="24"/>
          <w:szCs w:val="24"/>
        </w:rPr>
        <w:t>(</w:t>
      </w:r>
      <w:r w:rsidRPr="00277912">
        <w:rPr>
          <w:rFonts w:ascii="Times New Roman" w:eastAsia="Calibri" w:hAnsi="Times New Roman" w:cs="Times New Roman"/>
          <w:color w:val="000000"/>
          <w:sz w:val="24"/>
          <w:szCs w:val="24"/>
        </w:rPr>
        <w:t>n=1 200)</w:t>
      </w:r>
    </w:p>
    <w:p w:rsidR="00277912" w:rsidRPr="00277912" w:rsidRDefault="00277912" w:rsidP="00277912">
      <w:pPr>
        <w:spacing w:after="0" w:line="288" w:lineRule="auto"/>
        <w:jc w:val="center"/>
        <w:rPr>
          <w:rFonts w:ascii="Times New Roman" w:eastAsia="Calibri" w:hAnsi="Times New Roman" w:cs="Times New Roman"/>
          <w:b/>
          <w:noProof/>
          <w:color w:val="000000"/>
          <w:sz w:val="28"/>
          <w:szCs w:val="28"/>
        </w:rPr>
      </w:pPr>
      <w:r w:rsidRPr="00277912">
        <w:rPr>
          <w:rFonts w:ascii="Times New Roman" w:eastAsia="Calibri" w:hAnsi="Times New Roman" w:cs="Times New Roman"/>
          <w:noProof/>
          <w:color w:val="000000"/>
          <w:lang w:eastAsia="ru-RU"/>
        </w:rPr>
        <w:drawing>
          <wp:inline distT="0" distB="0" distL="0" distR="0" wp14:anchorId="24A051A3" wp14:editId="35689782">
            <wp:extent cx="5280025" cy="2381250"/>
            <wp:effectExtent l="0" t="0" r="0" b="0"/>
            <wp:docPr id="105" name="Диаграмма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277912" w:rsidRPr="00573C20" w:rsidRDefault="00277912" w:rsidP="00277912">
      <w:pPr>
        <w:keepNext/>
        <w:keepLines/>
        <w:pageBreakBefore/>
        <w:tabs>
          <w:tab w:val="left" w:pos="1963"/>
        </w:tabs>
        <w:spacing w:before="241" w:after="0" w:line="240" w:lineRule="auto"/>
        <w:ind w:right="-284"/>
        <w:jc w:val="center"/>
        <w:outlineLvl w:val="1"/>
        <w:rPr>
          <w:rFonts w:ascii="Times New Roman" w:eastAsia="Arial" w:hAnsi="Times New Roman" w:cs="Times New Roman"/>
          <w:b/>
          <w:color w:val="000000"/>
          <w:sz w:val="24"/>
          <w:szCs w:val="24"/>
          <w:lang w:eastAsia="ru-RU"/>
        </w:rPr>
      </w:pPr>
      <w:r w:rsidRPr="00573C20">
        <w:rPr>
          <w:rFonts w:ascii="Times New Roman" w:eastAsia="Arial" w:hAnsi="Times New Roman" w:cs="Times New Roman"/>
          <w:b/>
          <w:color w:val="000000"/>
          <w:sz w:val="24"/>
          <w:szCs w:val="24"/>
          <w:lang w:eastAsia="ru-RU"/>
        </w:rPr>
        <w:t>3.3. Результаты мониторинга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конкуренции</w:t>
      </w:r>
    </w:p>
    <w:p w:rsidR="00277912" w:rsidRPr="00573C20" w:rsidRDefault="00277912" w:rsidP="00277912">
      <w:pPr>
        <w:spacing w:before="120" w:after="120" w:line="269" w:lineRule="auto"/>
        <w:ind w:firstLine="851"/>
        <w:jc w:val="both"/>
        <w:rPr>
          <w:rFonts w:ascii="Times New Roman" w:eastAsia="Arial" w:hAnsi="Times New Roman" w:cs="Times New Roman"/>
          <w:color w:val="000000"/>
          <w:sz w:val="24"/>
          <w:szCs w:val="24"/>
          <w:lang w:eastAsia="ru-RU"/>
        </w:rPr>
      </w:pPr>
    </w:p>
    <w:p w:rsidR="00277912" w:rsidRPr="00573C20" w:rsidRDefault="00277912" w:rsidP="00277912">
      <w:pPr>
        <w:keepNext/>
        <w:keepLines/>
        <w:spacing w:before="40" w:after="240" w:line="240" w:lineRule="auto"/>
        <w:jc w:val="center"/>
        <w:outlineLvl w:val="2"/>
        <w:rPr>
          <w:rFonts w:ascii="Times New Roman" w:eastAsia="Arial" w:hAnsi="Times New Roman" w:cs="Times New Roman"/>
          <w:b/>
          <w:color w:val="000000"/>
          <w:sz w:val="24"/>
          <w:szCs w:val="24"/>
          <w:lang w:eastAsia="ru-RU"/>
        </w:rPr>
      </w:pPr>
      <w:bookmarkStart w:id="24" w:name="_Toc120887472"/>
      <w:bookmarkStart w:id="25" w:name="_Toc122720234"/>
      <w:r w:rsidRPr="00573C20">
        <w:rPr>
          <w:rFonts w:ascii="Times New Roman" w:eastAsia="Arial" w:hAnsi="Times New Roman" w:cs="Times New Roman"/>
          <w:b/>
          <w:color w:val="000000"/>
          <w:sz w:val="24"/>
          <w:szCs w:val="24"/>
          <w:lang w:eastAsia="ru-RU"/>
        </w:rPr>
        <w:t>3.</w:t>
      </w:r>
      <w:r w:rsidR="005B5F9A" w:rsidRPr="00573C20">
        <w:rPr>
          <w:rFonts w:ascii="Times New Roman" w:eastAsia="Arial" w:hAnsi="Times New Roman" w:cs="Times New Roman"/>
          <w:b/>
          <w:color w:val="000000"/>
          <w:sz w:val="24"/>
          <w:szCs w:val="24"/>
          <w:lang w:eastAsia="ru-RU"/>
        </w:rPr>
        <w:t>3.</w:t>
      </w:r>
      <w:r w:rsidRPr="00573C20">
        <w:rPr>
          <w:rFonts w:ascii="Times New Roman" w:eastAsia="Arial" w:hAnsi="Times New Roman" w:cs="Times New Roman"/>
          <w:b/>
          <w:color w:val="000000"/>
          <w:sz w:val="24"/>
          <w:szCs w:val="24"/>
          <w:lang w:eastAsia="ru-RU"/>
        </w:rPr>
        <w:t>1. О качестве официальной информации о состоянии конкуренции на рынках товаров, работ и услуг Ленинградской области (доступность, понятность, удобство получения)</w:t>
      </w:r>
      <w:bookmarkEnd w:id="24"/>
      <w:bookmarkEnd w:id="25"/>
    </w:p>
    <w:p w:rsidR="00277912" w:rsidRPr="00573C20" w:rsidRDefault="00277912" w:rsidP="00277912">
      <w:pPr>
        <w:spacing w:before="120" w:after="120" w:line="360" w:lineRule="auto"/>
        <w:ind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b/>
          <w:bCs/>
          <w:color w:val="000000"/>
          <w:sz w:val="24"/>
          <w:szCs w:val="24"/>
          <w:lang w:eastAsia="ru-RU"/>
        </w:rPr>
        <w:t>Качество официальной информации</w:t>
      </w:r>
      <w:r w:rsidRPr="00573C20">
        <w:rPr>
          <w:rFonts w:ascii="Times New Roman" w:eastAsia="Arial" w:hAnsi="Times New Roman" w:cs="Times New Roman"/>
          <w:color w:val="000000"/>
          <w:sz w:val="24"/>
          <w:szCs w:val="24"/>
          <w:lang w:eastAsia="ru-RU"/>
        </w:rPr>
        <w:t xml:space="preserve"> о состоянии конкуренции на рынках товаров, работ и услуг Ленинградской области оценивалось по нескольким показателям: </w:t>
      </w:r>
      <w:r w:rsidRPr="00573C20">
        <w:rPr>
          <w:rFonts w:ascii="Times New Roman" w:eastAsia="Arial" w:hAnsi="Times New Roman" w:cs="Times New Roman"/>
          <w:b/>
          <w:bCs/>
          <w:color w:val="000000"/>
          <w:sz w:val="24"/>
          <w:szCs w:val="24"/>
          <w:lang w:eastAsia="ru-RU"/>
        </w:rPr>
        <w:t>доступность, понятность и удобство получения</w:t>
      </w:r>
      <w:r w:rsidRPr="00573C20">
        <w:rPr>
          <w:rFonts w:ascii="Times New Roman" w:eastAsia="Arial" w:hAnsi="Times New Roman" w:cs="Times New Roman"/>
          <w:color w:val="000000"/>
          <w:sz w:val="24"/>
          <w:szCs w:val="24"/>
          <w:lang w:eastAsia="ru-RU"/>
        </w:rPr>
        <w:t>.</w:t>
      </w:r>
    </w:p>
    <w:p w:rsidR="00277912" w:rsidRPr="00277912" w:rsidRDefault="00277912" w:rsidP="00573C20">
      <w:pPr>
        <w:keepNext/>
        <w:keepLines/>
        <w:spacing w:before="120" w:after="120" w:line="240" w:lineRule="auto"/>
        <w:jc w:val="center"/>
        <w:rPr>
          <w:rFonts w:ascii="Times New Roman" w:eastAsia="Calibri" w:hAnsi="Times New Roman" w:cs="Times New Roman"/>
          <w:b/>
          <w:iCs/>
          <w:color w:val="000000"/>
          <w:sz w:val="24"/>
          <w:szCs w:val="28"/>
        </w:rPr>
      </w:pPr>
      <w:r w:rsidRPr="00277912">
        <w:rPr>
          <w:rFonts w:ascii="Times New Roman" w:eastAsia="Calibri" w:hAnsi="Times New Roman" w:cs="Times New Roman"/>
          <w:iCs/>
          <w:color w:val="000000"/>
          <w:sz w:val="24"/>
          <w:szCs w:val="28"/>
        </w:rPr>
        <w:t xml:space="preserve">Рисунок </w:t>
      </w:r>
      <w:r w:rsidR="00573C20">
        <w:rPr>
          <w:rFonts w:ascii="Times New Roman" w:eastAsia="Calibri" w:hAnsi="Times New Roman" w:cs="Times New Roman"/>
          <w:iCs/>
          <w:color w:val="000000"/>
          <w:sz w:val="24"/>
          <w:szCs w:val="28"/>
        </w:rPr>
        <w:t>27</w:t>
      </w:r>
      <w:r w:rsidRPr="00277912">
        <w:rPr>
          <w:rFonts w:ascii="Times New Roman" w:eastAsia="Calibri" w:hAnsi="Times New Roman" w:cs="Times New Roman"/>
          <w:iCs/>
          <w:color w:val="000000"/>
          <w:sz w:val="24"/>
          <w:szCs w:val="28"/>
        </w:rPr>
        <w:t xml:space="preserve">. </w:t>
      </w:r>
      <w:r w:rsidRPr="00277912">
        <w:rPr>
          <w:rFonts w:ascii="Times New Roman" w:eastAsia="Calibri" w:hAnsi="Times New Roman" w:cs="Times New Roman"/>
          <w:b/>
          <w:iCs/>
          <w:color w:val="000000"/>
          <w:sz w:val="24"/>
          <w:szCs w:val="28"/>
        </w:rPr>
        <w:t xml:space="preserve">Оцените качество официальной информации о состоянии конкурентной среды на рынках товаров и услуг Ленинградской области, размещаемой в открытом доступе. </w:t>
      </w:r>
      <w:r w:rsidRPr="00277912">
        <w:rPr>
          <w:rFonts w:ascii="Times New Roman" w:eastAsia="Calibri" w:hAnsi="Times New Roman" w:cs="Times New Roman"/>
          <w:noProof/>
          <w:color w:val="000000"/>
          <w:sz w:val="24"/>
          <w:szCs w:val="24"/>
        </w:rPr>
        <w:t xml:space="preserve">(опрос предпринимателей, </w:t>
      </w:r>
      <w:r w:rsidRPr="00277912">
        <w:rPr>
          <w:rFonts w:ascii="Times New Roman" w:eastAsia="Calibri" w:hAnsi="Times New Roman" w:cs="Times New Roman"/>
          <w:color w:val="000000"/>
          <w:sz w:val="24"/>
          <w:szCs w:val="24"/>
        </w:rPr>
        <w:t>n=500)</w:t>
      </w:r>
    </w:p>
    <w:p w:rsidR="00277912" w:rsidRPr="00277912" w:rsidRDefault="00277912" w:rsidP="00277912">
      <w:pPr>
        <w:spacing w:before="120" w:after="120" w:line="360" w:lineRule="auto"/>
        <w:ind w:firstLine="709"/>
        <w:contextualSpacing/>
        <w:jc w:val="both"/>
        <w:rPr>
          <w:rFonts w:ascii="Times New Roman" w:eastAsia="Arial" w:hAnsi="Times New Roman" w:cs="Times New Roman"/>
          <w:color w:val="000000"/>
          <w:sz w:val="28"/>
          <w:szCs w:val="28"/>
          <w:lang w:eastAsia="ru-RU"/>
        </w:rPr>
      </w:pPr>
      <w:r w:rsidRPr="00277912">
        <w:rPr>
          <w:rFonts w:ascii="Times New Roman" w:eastAsia="Franklin Gothic Book" w:hAnsi="Times New Roman" w:cs="Times New Roman"/>
          <w:noProof/>
          <w:color w:val="000000"/>
          <w:szCs w:val="24"/>
          <w:u w:color="000000"/>
          <w:lang w:eastAsia="ru-RU"/>
        </w:rPr>
        <w:drawing>
          <wp:inline distT="0" distB="0" distL="0" distR="0" wp14:anchorId="7DA262B6" wp14:editId="59B1E078">
            <wp:extent cx="6193155" cy="3429000"/>
            <wp:effectExtent l="0" t="0" r="0" b="0"/>
            <wp:docPr id="107" name="Диаграмма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277912" w:rsidRPr="00573C20" w:rsidRDefault="00277912" w:rsidP="00573C20">
      <w:pPr>
        <w:spacing w:before="120" w:after="120" w:line="360" w:lineRule="auto"/>
        <w:ind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 xml:space="preserve">Предприниматели оценивают качество официальной информации достаточно высоко. </w:t>
      </w:r>
      <w:r w:rsidRPr="00573C20">
        <w:rPr>
          <w:rFonts w:ascii="Times New Roman" w:eastAsia="Arial" w:hAnsi="Times New Roman" w:cs="Times New Roman"/>
          <w:b/>
          <w:bCs/>
          <w:color w:val="000000"/>
          <w:sz w:val="24"/>
          <w:szCs w:val="24"/>
          <w:lang w:eastAsia="ru-RU"/>
        </w:rPr>
        <w:t>Доступностью</w:t>
      </w:r>
      <w:r w:rsidRPr="00573C20">
        <w:rPr>
          <w:rFonts w:ascii="Times New Roman" w:eastAsia="Arial" w:hAnsi="Times New Roman" w:cs="Times New Roman"/>
          <w:color w:val="000000"/>
          <w:sz w:val="24"/>
          <w:szCs w:val="24"/>
          <w:lang w:eastAsia="ru-RU"/>
        </w:rPr>
        <w:t xml:space="preserve"> данной информации удовлетворены в той или иной степени 67% опрошенных субъектов предпринимательской деятельности (27% оценили уровень доступности удовлетворительно, а 40% </w:t>
      </w:r>
      <w:r w:rsidRPr="00573C20">
        <w:rPr>
          <w:rFonts w:ascii="Cambria Math" w:eastAsia="Arial" w:hAnsi="Cambria Math" w:cs="Cambria Math"/>
          <w:color w:val="000000"/>
          <w:sz w:val="24"/>
          <w:szCs w:val="24"/>
          <w:lang w:eastAsia="ru-RU"/>
        </w:rPr>
        <w:t>₋</w:t>
      </w:r>
      <w:r w:rsidRPr="00573C20">
        <w:rPr>
          <w:rFonts w:ascii="Times New Roman" w:eastAsia="Arial" w:hAnsi="Times New Roman" w:cs="Times New Roman"/>
          <w:color w:val="000000"/>
          <w:sz w:val="24"/>
          <w:szCs w:val="24"/>
          <w:lang w:eastAsia="ru-RU"/>
        </w:rPr>
        <w:t xml:space="preserve"> скорее удовлетворительно). Недовольство данным аспектом выразили 16% респондентов: 6% считают уровень доступности официальной информации о состоянии конкурентной среды неудовлетворительным, а 10% </w:t>
      </w:r>
      <w:r w:rsidRPr="00573C20">
        <w:rPr>
          <w:rFonts w:ascii="Cambria Math" w:eastAsia="Arial" w:hAnsi="Cambria Math" w:cs="Cambria Math"/>
          <w:color w:val="000000"/>
          <w:sz w:val="24"/>
          <w:szCs w:val="24"/>
          <w:lang w:eastAsia="ru-RU"/>
        </w:rPr>
        <w:t>₋</w:t>
      </w:r>
      <w:r w:rsidRPr="00573C20">
        <w:rPr>
          <w:rFonts w:ascii="Times New Roman" w:eastAsia="Arial" w:hAnsi="Times New Roman" w:cs="Times New Roman"/>
          <w:color w:val="000000"/>
          <w:sz w:val="24"/>
          <w:szCs w:val="24"/>
          <w:lang w:eastAsia="ru-RU"/>
        </w:rPr>
        <w:t xml:space="preserve"> скорее неудовлетворительным. Ещё 16% предпринимателей, участвовавших в исследовании, затруднились дать оценку по рассматриваемому параметру.</w:t>
      </w:r>
    </w:p>
    <w:p w:rsidR="00277912" w:rsidRPr="00573C20" w:rsidRDefault="00277912" w:rsidP="00573C20">
      <w:pPr>
        <w:spacing w:before="120" w:after="120" w:line="360" w:lineRule="auto"/>
        <w:ind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 xml:space="preserve">Удовлетворенность предпринимателей </w:t>
      </w:r>
      <w:r w:rsidRPr="00573C20">
        <w:rPr>
          <w:rFonts w:ascii="Times New Roman" w:eastAsia="Arial" w:hAnsi="Times New Roman" w:cs="Times New Roman"/>
          <w:b/>
          <w:bCs/>
          <w:color w:val="000000"/>
          <w:sz w:val="24"/>
          <w:szCs w:val="24"/>
          <w:lang w:eastAsia="ru-RU"/>
        </w:rPr>
        <w:t>понятностью</w:t>
      </w:r>
      <w:r w:rsidRPr="00573C20">
        <w:rPr>
          <w:rFonts w:ascii="Times New Roman" w:eastAsia="Arial" w:hAnsi="Times New Roman" w:cs="Times New Roman"/>
          <w:color w:val="000000"/>
          <w:sz w:val="24"/>
          <w:szCs w:val="24"/>
          <w:lang w:eastAsia="ru-RU"/>
        </w:rPr>
        <w:t xml:space="preserve"> размещаемой в открытом доступе информации о конкурентной среде в регионе находится на несколько более высоком уровне: по этому параметру положительную оценку дают 71% респондентов (32% оценили удовлетворительно, а 39% </w:t>
      </w:r>
      <w:r w:rsidRPr="00573C20">
        <w:rPr>
          <w:rFonts w:ascii="Cambria Math" w:eastAsia="Arial" w:hAnsi="Cambria Math" w:cs="Cambria Math"/>
          <w:color w:val="000000"/>
          <w:sz w:val="24"/>
          <w:szCs w:val="24"/>
          <w:lang w:eastAsia="ru-RU"/>
        </w:rPr>
        <w:t>₋</w:t>
      </w:r>
      <w:r w:rsidRPr="00573C20">
        <w:rPr>
          <w:rFonts w:ascii="Times New Roman" w:eastAsia="Arial" w:hAnsi="Times New Roman" w:cs="Times New Roman"/>
          <w:color w:val="000000"/>
          <w:sz w:val="24"/>
          <w:szCs w:val="24"/>
          <w:lang w:eastAsia="ru-RU"/>
        </w:rPr>
        <w:t xml:space="preserve"> скорее удовлетворительно). Противоположной точки зрения придерживаются всего 12% опрошенных: 3% не удовлетворены данной информацией с точки зрения ее понятности, а 9% оценили этот аспект скорее неудовлетворительно. Не смогли дать оценку уровню понятности информации о конкурентной среде 17% предпринимателей.</w:t>
      </w:r>
    </w:p>
    <w:p w:rsidR="00277912" w:rsidRPr="00573C20" w:rsidRDefault="00277912" w:rsidP="00573C20">
      <w:pPr>
        <w:spacing w:before="120" w:after="120" w:line="360" w:lineRule="auto"/>
        <w:ind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 xml:space="preserve">Большинство (69%) представителей бизнеса Ленинградской области отметили, что им в целом </w:t>
      </w:r>
      <w:r w:rsidRPr="00573C20">
        <w:rPr>
          <w:rFonts w:ascii="Times New Roman" w:eastAsia="Arial" w:hAnsi="Times New Roman" w:cs="Times New Roman"/>
          <w:b/>
          <w:bCs/>
          <w:color w:val="000000"/>
          <w:sz w:val="24"/>
          <w:szCs w:val="24"/>
          <w:lang w:eastAsia="ru-RU"/>
        </w:rPr>
        <w:t>удобно получать информацию</w:t>
      </w:r>
      <w:r w:rsidRPr="00573C20">
        <w:rPr>
          <w:rFonts w:ascii="Times New Roman" w:eastAsia="Arial" w:hAnsi="Times New Roman" w:cs="Times New Roman"/>
          <w:color w:val="000000"/>
          <w:sz w:val="24"/>
          <w:szCs w:val="24"/>
          <w:lang w:eastAsia="ru-RU"/>
        </w:rPr>
        <w:t xml:space="preserve"> о состоянии конкуренции в регионе: 31% оценили удобство получения удовлетворительно, 38% </w:t>
      </w:r>
      <w:r w:rsidRPr="00573C20">
        <w:rPr>
          <w:rFonts w:ascii="Cambria Math" w:eastAsia="Arial" w:hAnsi="Cambria Math" w:cs="Cambria Math"/>
          <w:color w:val="000000"/>
          <w:sz w:val="24"/>
          <w:szCs w:val="24"/>
          <w:lang w:eastAsia="ru-RU"/>
        </w:rPr>
        <w:t>₋</w:t>
      </w:r>
      <w:r w:rsidRPr="00573C20">
        <w:rPr>
          <w:rFonts w:ascii="Times New Roman" w:eastAsia="Arial" w:hAnsi="Times New Roman" w:cs="Times New Roman"/>
          <w:color w:val="000000"/>
          <w:sz w:val="24"/>
          <w:szCs w:val="24"/>
          <w:lang w:eastAsia="ru-RU"/>
        </w:rPr>
        <w:t xml:space="preserve"> скорее удовлетворительно). Неудовлетворительные оценки по данному параметру дали 15% респондентов (5% </w:t>
      </w:r>
      <w:r w:rsidRPr="00573C20">
        <w:rPr>
          <w:rFonts w:ascii="Cambria Math" w:eastAsia="Arial" w:hAnsi="Cambria Math" w:cs="Cambria Math"/>
          <w:color w:val="000000"/>
          <w:sz w:val="24"/>
          <w:szCs w:val="24"/>
          <w:lang w:eastAsia="ru-RU"/>
        </w:rPr>
        <w:t>₋</w:t>
      </w:r>
      <w:r w:rsidRPr="00573C20">
        <w:rPr>
          <w:rFonts w:ascii="Times New Roman" w:eastAsia="Arial" w:hAnsi="Times New Roman" w:cs="Times New Roman"/>
          <w:color w:val="000000"/>
          <w:sz w:val="24"/>
          <w:szCs w:val="24"/>
          <w:lang w:eastAsia="ru-RU"/>
        </w:rPr>
        <w:t xml:space="preserve"> неудовлетворительно, 10% </w:t>
      </w:r>
      <w:r w:rsidRPr="00573C20">
        <w:rPr>
          <w:rFonts w:ascii="Cambria Math" w:eastAsia="Arial" w:hAnsi="Cambria Math" w:cs="Cambria Math"/>
          <w:color w:val="000000"/>
          <w:sz w:val="24"/>
          <w:szCs w:val="24"/>
          <w:lang w:eastAsia="ru-RU"/>
        </w:rPr>
        <w:t>₋</w:t>
      </w:r>
      <w:r w:rsidRPr="00573C20">
        <w:rPr>
          <w:rFonts w:ascii="Times New Roman" w:eastAsia="Arial" w:hAnsi="Times New Roman" w:cs="Times New Roman"/>
          <w:color w:val="000000"/>
          <w:sz w:val="24"/>
          <w:szCs w:val="24"/>
          <w:lang w:eastAsia="ru-RU"/>
        </w:rPr>
        <w:t xml:space="preserve"> скорее неудовлетворительно). 16% предприниматели затруднились оценить удобство получения официальной информации о конкурентной среде.</w:t>
      </w:r>
    </w:p>
    <w:p w:rsidR="00277912" w:rsidRPr="00573C20" w:rsidRDefault="00277912" w:rsidP="00573C20">
      <w:pPr>
        <w:spacing w:before="120" w:after="120" w:line="360" w:lineRule="auto"/>
        <w:ind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Наиболее высокий уровень удовлетворенности доступностью официальной информации о состоянии конкурентной среды на рынках Ленинградской области отмечается среди опрошенных предпринимателей, представляющих следующие виды деятельности (в скобках представлены совокупные доли оценок "удовлетворительно" и "скорее удовлетворительно"):</w:t>
      </w:r>
    </w:p>
    <w:p w:rsidR="00277912" w:rsidRPr="00573C20" w:rsidRDefault="00277912" w:rsidP="00573C20">
      <w:pPr>
        <w:numPr>
          <w:ilvl w:val="0"/>
          <w:numId w:val="14"/>
        </w:numPr>
        <w:spacing w:before="120" w:after="12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услуг среднего профессионального образования (90%);</w:t>
      </w:r>
    </w:p>
    <w:p w:rsidR="00277912" w:rsidRPr="00573C20" w:rsidRDefault="00277912" w:rsidP="00573C20">
      <w:pPr>
        <w:numPr>
          <w:ilvl w:val="0"/>
          <w:numId w:val="14"/>
        </w:numPr>
        <w:spacing w:before="120" w:after="12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услуг розничной торговли лекарственными препаратами, медицинскими изделиями и сопутствующими товарами (86%);</w:t>
      </w:r>
    </w:p>
    <w:p w:rsidR="00277912" w:rsidRPr="00573C20" w:rsidRDefault="00277912" w:rsidP="00573C20">
      <w:pPr>
        <w:numPr>
          <w:ilvl w:val="0"/>
          <w:numId w:val="14"/>
        </w:numPr>
        <w:spacing w:before="120" w:after="12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архитектурно-строительного проектирования (82%);</w:t>
      </w:r>
    </w:p>
    <w:p w:rsidR="00277912" w:rsidRPr="00573C20" w:rsidRDefault="00277912" w:rsidP="00573C20">
      <w:pPr>
        <w:numPr>
          <w:ilvl w:val="0"/>
          <w:numId w:val="14"/>
        </w:numPr>
        <w:spacing w:before="120" w:after="12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нефтепродуктов (82%);</w:t>
      </w:r>
    </w:p>
    <w:p w:rsidR="00277912" w:rsidRPr="00573C20" w:rsidRDefault="00277912" w:rsidP="00573C20">
      <w:pPr>
        <w:numPr>
          <w:ilvl w:val="0"/>
          <w:numId w:val="14"/>
        </w:numPr>
        <w:spacing w:before="120" w:after="12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медицинских услуг (80%).</w:t>
      </w:r>
    </w:p>
    <w:p w:rsidR="00277912" w:rsidRPr="00573C20" w:rsidRDefault="00277912" w:rsidP="00573C20">
      <w:pPr>
        <w:spacing w:before="120" w:after="120" w:line="360" w:lineRule="auto"/>
        <w:ind w:firstLine="709"/>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Следующие рынки, напротив, характеризуются самыми низкими долями удовлетворенных уровнем доступности официальной информации о конкуренции в регионе:</w:t>
      </w:r>
    </w:p>
    <w:p w:rsidR="00277912" w:rsidRPr="00573C20" w:rsidRDefault="00277912" w:rsidP="00573C20">
      <w:pPr>
        <w:numPr>
          <w:ilvl w:val="0"/>
          <w:numId w:val="14"/>
        </w:numPr>
        <w:spacing w:before="120" w:after="12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услуг жилищно-коммунального хозяйства (47%);</w:t>
      </w:r>
    </w:p>
    <w:p w:rsidR="00277912" w:rsidRPr="00573C20" w:rsidRDefault="00277912" w:rsidP="00573C20">
      <w:pPr>
        <w:numPr>
          <w:ilvl w:val="0"/>
          <w:numId w:val="14"/>
        </w:numPr>
        <w:spacing w:before="120" w:after="12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Сфера наружной рекламы (45%);</w:t>
      </w:r>
    </w:p>
    <w:p w:rsidR="00277912" w:rsidRPr="00573C20" w:rsidRDefault="00277912" w:rsidP="00573C20">
      <w:pPr>
        <w:numPr>
          <w:ilvl w:val="0"/>
          <w:numId w:val="14"/>
        </w:numPr>
        <w:spacing w:before="120" w:after="12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купли-продажи электрической энергии (мощности) на розничном рынке электрической энергии (мощности) (40%);</w:t>
      </w:r>
    </w:p>
    <w:p w:rsidR="00277912" w:rsidRPr="00573C20" w:rsidRDefault="00277912" w:rsidP="00573C20">
      <w:pPr>
        <w:numPr>
          <w:ilvl w:val="0"/>
          <w:numId w:val="14"/>
        </w:numPr>
        <w:spacing w:before="120" w:after="12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(40%);</w:t>
      </w:r>
    </w:p>
    <w:p w:rsidR="00277912" w:rsidRPr="00573C20" w:rsidRDefault="00277912" w:rsidP="00573C20">
      <w:pPr>
        <w:numPr>
          <w:ilvl w:val="0"/>
          <w:numId w:val="14"/>
        </w:numPr>
        <w:spacing w:before="120" w:after="12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оказания услуг по перевозке пассажиров автомобильным транспортом по муниципальным маршрутам регулярных перевозок (36%).</w:t>
      </w:r>
    </w:p>
    <w:p w:rsidR="00344407" w:rsidRPr="00250D73" w:rsidRDefault="00344407" w:rsidP="00344407">
      <w:pPr>
        <w:spacing w:after="0" w:line="360" w:lineRule="auto"/>
        <w:ind w:firstLine="709"/>
        <w:jc w:val="both"/>
        <w:rPr>
          <w:rFonts w:ascii="Times New Roman" w:eastAsia="Times New Roman" w:hAnsi="Times New Roman" w:cs="Times New Roman"/>
          <w:color w:val="000000" w:themeColor="text1"/>
          <w:sz w:val="28"/>
          <w:szCs w:val="28"/>
          <w:lang w:eastAsia="ru-RU"/>
        </w:rPr>
      </w:pPr>
    </w:p>
    <w:p w:rsidR="005B5F9A" w:rsidRPr="00573C20" w:rsidRDefault="005B5F9A" w:rsidP="005B5F9A">
      <w:pPr>
        <w:keepNext/>
        <w:keepLines/>
        <w:spacing w:before="40" w:after="240" w:line="240" w:lineRule="auto"/>
        <w:jc w:val="center"/>
        <w:outlineLvl w:val="2"/>
        <w:rPr>
          <w:rFonts w:ascii="Times New Roman" w:eastAsia="Arial" w:hAnsi="Times New Roman" w:cs="Times New Roman"/>
          <w:b/>
          <w:color w:val="000000"/>
          <w:sz w:val="24"/>
          <w:szCs w:val="24"/>
          <w:lang w:eastAsia="ru-RU"/>
        </w:rPr>
      </w:pPr>
      <w:bookmarkStart w:id="26" w:name="_Toc120887473"/>
      <w:bookmarkStart w:id="27" w:name="_Toc122720235"/>
      <w:r w:rsidRPr="00573C20">
        <w:rPr>
          <w:rFonts w:ascii="Times New Roman" w:eastAsia="Arial" w:hAnsi="Times New Roman" w:cs="Times New Roman"/>
          <w:b/>
          <w:color w:val="000000"/>
          <w:sz w:val="24"/>
          <w:szCs w:val="24"/>
          <w:lang w:eastAsia="ru-RU"/>
        </w:rPr>
        <w:t>3.3.2. О полноте официальной информации о состоянии конкуренции на рынках товаров, работ и услуг Ленинградской области</w:t>
      </w:r>
      <w:bookmarkEnd w:id="26"/>
      <w:bookmarkEnd w:id="27"/>
    </w:p>
    <w:p w:rsidR="005B5F9A" w:rsidRPr="00573C20" w:rsidRDefault="005B5F9A" w:rsidP="005B5F9A">
      <w:pPr>
        <w:spacing w:before="240" w:after="120" w:line="360" w:lineRule="auto"/>
        <w:ind w:firstLine="709"/>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Полнота официальной информации о состоянии конкуренции на рынках товаров, работ и услуг Ленинградкой области оценивалась по нескольким параметрам, утвержденным единой методикой настоящего мониторинга: удовлетворенность субъектов предпринимательской деятельности полнотой данной информации находится на уровне от 55% до 59% в зависимости от параметра оценки. Так, выше всего оценивается доступность информации о перечне товарных рынков для содействия развитию конкуренции в регионе (59% удовлетворительных оценок), а более низкие результаты отмечаются по таким аспектам, как обеспечение доступности "дорожной карты" региона и доступность информации о проведенных мониторингах в регионе и сформированном ежегодном докладе (по 55% удовлетворительных оценок).</w:t>
      </w:r>
    </w:p>
    <w:p w:rsidR="005B5F9A" w:rsidRPr="005B5F9A" w:rsidRDefault="00573C20" w:rsidP="00573C20">
      <w:pPr>
        <w:keepNext/>
        <w:keepLines/>
        <w:spacing w:before="120" w:after="120" w:line="240" w:lineRule="auto"/>
        <w:jc w:val="center"/>
        <w:rPr>
          <w:rFonts w:ascii="Times New Roman" w:eastAsia="Calibri" w:hAnsi="Times New Roman" w:cs="Times New Roman"/>
          <w:b/>
          <w:iCs/>
          <w:color w:val="000000"/>
          <w:sz w:val="24"/>
          <w:szCs w:val="28"/>
        </w:rPr>
      </w:pPr>
      <w:r>
        <w:rPr>
          <w:rFonts w:ascii="Times New Roman" w:eastAsia="Calibri" w:hAnsi="Times New Roman" w:cs="Times New Roman"/>
          <w:iCs/>
          <w:color w:val="000000"/>
          <w:sz w:val="24"/>
          <w:szCs w:val="28"/>
        </w:rPr>
        <w:t>Рисунок 28</w:t>
      </w:r>
      <w:r w:rsidR="005B5F9A" w:rsidRPr="005B5F9A">
        <w:rPr>
          <w:rFonts w:ascii="Times New Roman" w:eastAsia="Calibri" w:hAnsi="Times New Roman" w:cs="Times New Roman"/>
          <w:iCs/>
          <w:color w:val="000000"/>
          <w:sz w:val="24"/>
          <w:szCs w:val="28"/>
        </w:rPr>
        <w:t xml:space="preserve">. </w:t>
      </w:r>
      <w:r w:rsidR="005B5F9A" w:rsidRPr="005B5F9A">
        <w:rPr>
          <w:rFonts w:ascii="Times New Roman" w:eastAsia="Calibri" w:hAnsi="Times New Roman" w:cs="Times New Roman"/>
          <w:b/>
          <w:iCs/>
          <w:color w:val="000000"/>
          <w:sz w:val="24"/>
          <w:szCs w:val="28"/>
        </w:rPr>
        <w:t xml:space="preserve">Оцените, пожалуйста, на Ваш взгляд, полноту размещенной органом исполнительной власти Ленинградской области, уполномоченным содействовать развитию конкуренции, и муниципальными образованиями информации о состоянии конкурентной среды на рынках товаров, работ и услуг Ленинградской области и деятельности по </w:t>
      </w:r>
      <w:r>
        <w:rPr>
          <w:rFonts w:ascii="Times New Roman" w:eastAsia="Calibri" w:hAnsi="Times New Roman" w:cs="Times New Roman"/>
          <w:b/>
          <w:iCs/>
          <w:color w:val="000000"/>
          <w:sz w:val="24"/>
          <w:szCs w:val="28"/>
        </w:rPr>
        <w:t>содействию развитию конкуренции</w:t>
      </w:r>
      <w:r w:rsidR="005B5F9A" w:rsidRPr="005B5F9A">
        <w:rPr>
          <w:rFonts w:ascii="Times New Roman" w:eastAsia="Calibri" w:hAnsi="Times New Roman" w:cs="Times New Roman"/>
          <w:noProof/>
          <w:color w:val="000000"/>
          <w:sz w:val="24"/>
          <w:szCs w:val="24"/>
        </w:rPr>
        <w:t xml:space="preserve"> (опрос предпринимателей, </w:t>
      </w:r>
      <w:r w:rsidR="005B5F9A" w:rsidRPr="005B5F9A">
        <w:rPr>
          <w:rFonts w:ascii="Times New Roman" w:eastAsia="Calibri" w:hAnsi="Times New Roman" w:cs="Times New Roman"/>
          <w:color w:val="000000"/>
          <w:sz w:val="24"/>
          <w:szCs w:val="24"/>
        </w:rPr>
        <w:t>n=500)</w:t>
      </w:r>
    </w:p>
    <w:p w:rsidR="005B5F9A" w:rsidRPr="005B5F9A" w:rsidRDefault="005B5F9A" w:rsidP="005B5F9A">
      <w:pPr>
        <w:spacing w:before="120" w:after="120" w:line="360" w:lineRule="auto"/>
        <w:jc w:val="both"/>
        <w:rPr>
          <w:rFonts w:ascii="Times New Roman" w:eastAsia="Arial" w:hAnsi="Times New Roman" w:cs="Times New Roman"/>
          <w:color w:val="000000"/>
          <w:sz w:val="28"/>
          <w:szCs w:val="28"/>
          <w:lang w:eastAsia="ru-RU"/>
        </w:rPr>
      </w:pPr>
      <w:r w:rsidRPr="005B5F9A">
        <w:rPr>
          <w:rFonts w:ascii="Times New Roman" w:eastAsia="Franklin Gothic Book" w:hAnsi="Times New Roman" w:cs="Times New Roman"/>
          <w:noProof/>
          <w:color w:val="000000"/>
          <w:szCs w:val="24"/>
          <w:u w:color="000000"/>
          <w:lang w:eastAsia="ru-RU"/>
        </w:rPr>
        <w:drawing>
          <wp:inline distT="0" distB="0" distL="0" distR="0" wp14:anchorId="31B9244E" wp14:editId="26B28227">
            <wp:extent cx="6193155" cy="6751674"/>
            <wp:effectExtent l="0" t="0" r="0" b="0"/>
            <wp:docPr id="108" name="Диаграмма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5B5F9A" w:rsidRPr="00573C20" w:rsidRDefault="005B5F9A" w:rsidP="00573C20">
      <w:pPr>
        <w:spacing w:after="0" w:line="360" w:lineRule="auto"/>
        <w:ind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 xml:space="preserve">Доступность информации о перечне товарных рынков для содействия развитию конкуренции в регионе наиболее высоко оценивается на следующих рынках Ленинградской области (в скобках представлены совокупные доли оценок </w:t>
      </w:r>
      <w:r w:rsidR="002440F7">
        <w:rPr>
          <w:rFonts w:ascii="Times New Roman" w:eastAsia="Arial" w:hAnsi="Times New Roman" w:cs="Times New Roman"/>
          <w:color w:val="000000"/>
          <w:sz w:val="24"/>
          <w:szCs w:val="24"/>
          <w:lang w:eastAsia="ru-RU"/>
        </w:rPr>
        <w:t>«</w:t>
      </w:r>
      <w:r w:rsidRPr="00573C20">
        <w:rPr>
          <w:rFonts w:ascii="Times New Roman" w:eastAsia="Arial" w:hAnsi="Times New Roman" w:cs="Times New Roman"/>
          <w:color w:val="000000"/>
          <w:sz w:val="24"/>
          <w:szCs w:val="24"/>
          <w:lang w:eastAsia="ru-RU"/>
        </w:rPr>
        <w:t>удовлетворительно</w:t>
      </w:r>
      <w:r w:rsidR="002440F7">
        <w:rPr>
          <w:rFonts w:ascii="Times New Roman" w:eastAsia="Arial" w:hAnsi="Times New Roman" w:cs="Times New Roman"/>
          <w:color w:val="000000"/>
          <w:sz w:val="24"/>
          <w:szCs w:val="24"/>
          <w:lang w:eastAsia="ru-RU"/>
        </w:rPr>
        <w:t>»</w:t>
      </w:r>
      <w:r w:rsidRPr="00573C20">
        <w:rPr>
          <w:rFonts w:ascii="Times New Roman" w:eastAsia="Arial" w:hAnsi="Times New Roman" w:cs="Times New Roman"/>
          <w:color w:val="000000"/>
          <w:sz w:val="24"/>
          <w:szCs w:val="24"/>
          <w:lang w:eastAsia="ru-RU"/>
        </w:rPr>
        <w:t xml:space="preserve"> и </w:t>
      </w:r>
      <w:r w:rsidR="002440F7">
        <w:rPr>
          <w:rFonts w:ascii="Times New Roman" w:eastAsia="Arial" w:hAnsi="Times New Roman" w:cs="Times New Roman"/>
          <w:color w:val="000000"/>
          <w:sz w:val="24"/>
          <w:szCs w:val="24"/>
          <w:lang w:eastAsia="ru-RU"/>
        </w:rPr>
        <w:t>«</w:t>
      </w:r>
      <w:r w:rsidRPr="00573C20">
        <w:rPr>
          <w:rFonts w:ascii="Times New Roman" w:eastAsia="Arial" w:hAnsi="Times New Roman" w:cs="Times New Roman"/>
          <w:color w:val="000000"/>
          <w:sz w:val="24"/>
          <w:szCs w:val="24"/>
          <w:lang w:eastAsia="ru-RU"/>
        </w:rPr>
        <w:t>скорее удовлетворительно</w:t>
      </w:r>
      <w:r w:rsidR="002440F7">
        <w:rPr>
          <w:rFonts w:ascii="Times New Roman" w:eastAsia="Arial" w:hAnsi="Times New Roman" w:cs="Times New Roman"/>
          <w:color w:val="000000"/>
          <w:sz w:val="24"/>
          <w:szCs w:val="24"/>
          <w:lang w:eastAsia="ru-RU"/>
        </w:rPr>
        <w:t>»</w:t>
      </w:r>
      <w:r w:rsidRPr="00573C20">
        <w:rPr>
          <w:rFonts w:ascii="Times New Roman" w:eastAsia="Arial" w:hAnsi="Times New Roman" w:cs="Times New Roman"/>
          <w:color w:val="000000"/>
          <w:sz w:val="24"/>
          <w:szCs w:val="24"/>
          <w:lang w:eastAsia="ru-RU"/>
        </w:rPr>
        <w:t>):</w:t>
      </w:r>
    </w:p>
    <w:p w:rsidR="005B5F9A" w:rsidRPr="00573C20" w:rsidRDefault="005B5F9A"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нефтепродуктов (91%);</w:t>
      </w:r>
    </w:p>
    <w:p w:rsidR="005B5F9A" w:rsidRPr="00573C20" w:rsidRDefault="005B5F9A"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оказания услуг по перевозке пассажиров автомобильным транспортом по межмуниципальным маршрутам регулярных перевозок (90%);</w:t>
      </w:r>
    </w:p>
    <w:p w:rsidR="005B5F9A" w:rsidRPr="00573C20" w:rsidRDefault="005B5F9A"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семеноводства (86%);</w:t>
      </w:r>
    </w:p>
    <w:p w:rsidR="005B5F9A" w:rsidRPr="00573C20" w:rsidRDefault="005B5F9A"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услуг розничной торговли лекарственными препаратами, медицинскими изделиями и сопутствующими товарами (82%);</w:t>
      </w:r>
    </w:p>
    <w:p w:rsidR="005B5F9A" w:rsidRPr="00573C20" w:rsidRDefault="005B5F9A"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оказания услуг по перевозке пассажиров автомобильным транспортом по муниципальным маршрутам регулярных перевозок (82%).</w:t>
      </w:r>
    </w:p>
    <w:p w:rsidR="005B5F9A" w:rsidRPr="00573C20" w:rsidRDefault="005B5F9A" w:rsidP="00573C20">
      <w:pPr>
        <w:spacing w:after="0" w:line="360" w:lineRule="auto"/>
        <w:ind w:firstLine="709"/>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На следующих рынках, напротив, отмечаются самые низкие доли удовлетворенных данным параметром:</w:t>
      </w:r>
    </w:p>
    <w:p w:rsidR="005B5F9A" w:rsidRPr="00573C20" w:rsidRDefault="005B5F9A"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услуг дошкольного образования (36%);</w:t>
      </w:r>
    </w:p>
    <w:p w:rsidR="005B5F9A" w:rsidRPr="00573C20" w:rsidRDefault="005B5F9A"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услуг среднего профессионального образования (30%);</w:t>
      </w:r>
    </w:p>
    <w:p w:rsidR="005B5F9A" w:rsidRPr="00573C20" w:rsidRDefault="005B5F9A"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услуг детского отдыха и оздоровления (20%);</w:t>
      </w:r>
    </w:p>
    <w:p w:rsidR="005B5F9A" w:rsidRPr="00573C20" w:rsidRDefault="005B5F9A"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вылова водных биоресурсов (20%);</w:t>
      </w:r>
    </w:p>
    <w:p w:rsidR="005B5F9A" w:rsidRPr="00573C20" w:rsidRDefault="005B5F9A"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производства кирпича (17%).</w:t>
      </w:r>
    </w:p>
    <w:p w:rsidR="005B5F9A" w:rsidRPr="00573C20" w:rsidRDefault="005B5F9A" w:rsidP="00573C20">
      <w:pPr>
        <w:spacing w:after="0" w:line="360" w:lineRule="auto"/>
        <w:ind w:firstLine="709"/>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По такому аспекту, как предоставление возможности прохождения электронных анкет о состоянии конкурентной среды региона, наиболее часто давали положительные оценки респонденты, представляющие следующие рынки:</w:t>
      </w:r>
    </w:p>
    <w:p w:rsidR="005B5F9A" w:rsidRPr="00573C20" w:rsidRDefault="005B5F9A"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купли-продажи электрической энергии (мощности) на розничном рынке электрической энергии (мощности) (90%);</w:t>
      </w:r>
    </w:p>
    <w:p w:rsidR="005B5F9A" w:rsidRPr="00573C20" w:rsidRDefault="005B5F9A"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услуг по сбору и транспортированию твердых коммунальных отходов (80%);</w:t>
      </w:r>
    </w:p>
    <w:p w:rsidR="005B5F9A" w:rsidRPr="00573C20" w:rsidRDefault="005B5F9A"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(80%);</w:t>
      </w:r>
    </w:p>
    <w:p w:rsidR="005B5F9A" w:rsidRPr="00573C20" w:rsidRDefault="005B5F9A"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социальных услуг (75%);</w:t>
      </w:r>
    </w:p>
    <w:p w:rsidR="005B5F9A" w:rsidRPr="00573C20" w:rsidRDefault="005B5F9A"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услуг розничной торговли лекарственными препаратами, медицинскими изделиями и сопутствующими товарами (73%).</w:t>
      </w:r>
    </w:p>
    <w:p w:rsidR="005B5F9A" w:rsidRPr="00573C20" w:rsidRDefault="005B5F9A" w:rsidP="00573C20">
      <w:pPr>
        <w:spacing w:after="0" w:line="360" w:lineRule="auto"/>
        <w:ind w:firstLine="709"/>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Самые низкие доли удовлетворенных данным параметром зафиксированы на следующих изучаемых рынках Ленинградской области:</w:t>
      </w:r>
    </w:p>
    <w:p w:rsidR="005B5F9A" w:rsidRPr="00573C20" w:rsidRDefault="005B5F9A"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ритуальных услуг (40%);</w:t>
      </w:r>
    </w:p>
    <w:p w:rsidR="005B5F9A" w:rsidRPr="00573C20" w:rsidRDefault="005B5F9A"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услуг среднего профессионального образования (30%);</w:t>
      </w:r>
    </w:p>
    <w:p w:rsidR="005B5F9A" w:rsidRPr="00573C20" w:rsidRDefault="005B5F9A"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переработки водных биоресурсов (20%);</w:t>
      </w:r>
    </w:p>
    <w:p w:rsidR="005B5F9A" w:rsidRPr="00573C20" w:rsidRDefault="005B5F9A"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производства кирпича (17%);</w:t>
      </w:r>
    </w:p>
    <w:p w:rsidR="005B5F9A" w:rsidRPr="00573C20" w:rsidRDefault="005B5F9A"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вылова водных биоресурсов (10%).</w:t>
      </w:r>
    </w:p>
    <w:p w:rsidR="005B5F9A" w:rsidRPr="00573C20" w:rsidRDefault="005B5F9A" w:rsidP="00573C20">
      <w:pPr>
        <w:spacing w:after="0" w:line="360" w:lineRule="auto"/>
        <w:ind w:firstLine="709"/>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Наиболее высокий уровень удовлетворенности</w:t>
      </w:r>
      <w:r w:rsidRPr="00573C20">
        <w:rPr>
          <w:rFonts w:ascii="Times New Roman" w:eastAsia="Calibri" w:hAnsi="Times New Roman" w:cs="Times New Roman"/>
          <w:color w:val="000000"/>
          <w:sz w:val="24"/>
          <w:szCs w:val="24"/>
        </w:rPr>
        <w:t xml:space="preserve"> </w:t>
      </w:r>
      <w:r w:rsidRPr="00573C20">
        <w:rPr>
          <w:rFonts w:ascii="Times New Roman" w:eastAsia="Arial" w:hAnsi="Times New Roman" w:cs="Times New Roman"/>
          <w:color w:val="000000"/>
          <w:sz w:val="24"/>
          <w:szCs w:val="24"/>
          <w:lang w:eastAsia="ru-RU"/>
        </w:rPr>
        <w:t>доступностью информации о проведенных обучающих мероприятиях для органов местного самоуправления региона наблюдается среди представителей следующих рынков:</w:t>
      </w:r>
    </w:p>
    <w:p w:rsidR="005B5F9A" w:rsidRPr="00573C20" w:rsidRDefault="005B5F9A"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товарной аквакультуры (83%);</w:t>
      </w:r>
    </w:p>
    <w:p w:rsidR="005B5F9A" w:rsidRPr="00573C20" w:rsidRDefault="005B5F9A"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услуг розничной торговли лекарственными препаратами, медицинскими изделиями и сопутствующими товарами (82%);</w:t>
      </w:r>
    </w:p>
    <w:p w:rsidR="005B5F9A" w:rsidRPr="00573C20" w:rsidRDefault="005B5F9A"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(80%);</w:t>
      </w:r>
    </w:p>
    <w:p w:rsidR="005B5F9A" w:rsidRPr="00573C20" w:rsidRDefault="005B5F9A"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семеноводства (79%);</w:t>
      </w:r>
    </w:p>
    <w:p w:rsidR="005B5F9A" w:rsidRPr="00573C20" w:rsidRDefault="005B5F9A"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социальных услуг (75%).</w:t>
      </w:r>
    </w:p>
    <w:p w:rsidR="005B5F9A" w:rsidRPr="00573C20" w:rsidRDefault="005B5F9A" w:rsidP="00573C20">
      <w:pPr>
        <w:spacing w:after="0" w:line="360" w:lineRule="auto"/>
        <w:ind w:firstLine="709"/>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На следующих рынках, напротив, отмечаются самые низкие доли удовлетворенных данным аспектом полноты официальной информации о состоянии конкуренции:</w:t>
      </w:r>
    </w:p>
    <w:p w:rsidR="005B5F9A" w:rsidRPr="00573C20" w:rsidRDefault="005B5F9A"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услуг детского отдыха и оздоровления (40%);</w:t>
      </w:r>
    </w:p>
    <w:p w:rsidR="005B5F9A" w:rsidRPr="00573C20" w:rsidRDefault="005B5F9A"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переработки водных биоресурсов (40%);</w:t>
      </w:r>
    </w:p>
    <w:p w:rsidR="005B5F9A" w:rsidRPr="00573C20" w:rsidRDefault="005B5F9A"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вылова водных биоресурсов (40%);</w:t>
      </w:r>
    </w:p>
    <w:p w:rsidR="005B5F9A" w:rsidRPr="00573C20" w:rsidRDefault="005B5F9A"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услуг среднего профессионального образования (30%);</w:t>
      </w:r>
    </w:p>
    <w:p w:rsidR="005B5F9A" w:rsidRPr="00573C20" w:rsidRDefault="005B5F9A"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Сфера наружной рекламы (27%);</w:t>
      </w:r>
    </w:p>
    <w:p w:rsidR="005B5F9A" w:rsidRPr="00573C20" w:rsidRDefault="005B5F9A"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услуг дошкольного образования (27%);</w:t>
      </w:r>
    </w:p>
    <w:p w:rsidR="005B5F9A" w:rsidRPr="00573C20" w:rsidRDefault="005B5F9A"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производства кирпича (25%).</w:t>
      </w:r>
    </w:p>
    <w:p w:rsidR="00720B81" w:rsidRPr="00573C20" w:rsidRDefault="00720B81" w:rsidP="00F35D26">
      <w:pPr>
        <w:widowControl w:val="0"/>
        <w:spacing w:after="0" w:line="360" w:lineRule="auto"/>
        <w:rPr>
          <w:rFonts w:ascii="Times New Roman" w:eastAsia="Times New Roman" w:hAnsi="Times New Roman" w:cs="Times New Roman"/>
          <w:sz w:val="24"/>
          <w:szCs w:val="24"/>
        </w:rPr>
      </w:pPr>
    </w:p>
    <w:p w:rsidR="005B5F9A" w:rsidRPr="00573C20" w:rsidRDefault="005B5F9A" w:rsidP="005B5F9A">
      <w:pPr>
        <w:keepNext/>
        <w:keepLines/>
        <w:spacing w:before="40" w:after="240" w:line="240" w:lineRule="auto"/>
        <w:jc w:val="center"/>
        <w:outlineLvl w:val="2"/>
        <w:rPr>
          <w:rFonts w:ascii="Times New Roman" w:eastAsia="Arial" w:hAnsi="Times New Roman" w:cs="Times New Roman"/>
          <w:b/>
          <w:color w:val="000000"/>
          <w:sz w:val="24"/>
          <w:szCs w:val="24"/>
          <w:lang w:eastAsia="ru-RU"/>
        </w:rPr>
      </w:pPr>
      <w:bookmarkStart w:id="28" w:name="_Toc120887474"/>
      <w:bookmarkStart w:id="29" w:name="_Toc122720236"/>
      <w:r w:rsidRPr="00573C20">
        <w:rPr>
          <w:rFonts w:ascii="Times New Roman" w:eastAsia="Arial" w:hAnsi="Times New Roman" w:cs="Times New Roman"/>
          <w:b/>
          <w:color w:val="000000"/>
          <w:sz w:val="24"/>
          <w:szCs w:val="24"/>
          <w:lang w:eastAsia="ru-RU"/>
        </w:rPr>
        <w:t>3.3.3. Об источниках получения субъектами предпринимательской деятельности и населением указанной информации и надежности таких источников</w:t>
      </w:r>
      <w:bookmarkEnd w:id="28"/>
      <w:bookmarkEnd w:id="29"/>
    </w:p>
    <w:p w:rsidR="005B5F9A" w:rsidRPr="00573C20" w:rsidRDefault="005B5F9A" w:rsidP="00573C20">
      <w:pPr>
        <w:spacing w:after="0" w:line="360" w:lineRule="auto"/>
        <w:ind w:firstLine="709"/>
        <w:jc w:val="both"/>
        <w:rPr>
          <w:rFonts w:ascii="Times New Roman" w:eastAsia="Calibri" w:hAnsi="Times New Roman" w:cs="Times New Roman"/>
          <w:color w:val="000000"/>
          <w:sz w:val="24"/>
          <w:szCs w:val="24"/>
        </w:rPr>
      </w:pPr>
      <w:r w:rsidRPr="00573C20">
        <w:rPr>
          <w:rFonts w:ascii="Times New Roman" w:eastAsia="Calibri" w:hAnsi="Times New Roman" w:cs="Times New Roman"/>
          <w:color w:val="000000"/>
          <w:sz w:val="24"/>
          <w:szCs w:val="24"/>
        </w:rPr>
        <w:t xml:space="preserve">Предприниматели Ленинградской области практикуют получение информации о состоянии конкурентной среды из широкого спектра источников. На первое место вышла официальная информация, размещенная на сайте уполномоченного органа в сети Интернет (используют 56% респондентов). В тройку наиболее популярных источников также вошли специальные блоги, порталы и другие электронные ресурсы (36%), и официальная информация, размещенная на интернет-портале об инвестиционной деятельности в Ленинградской области (31%). Реже всего назывался такой источник информации, как радио (11%). </w:t>
      </w:r>
    </w:p>
    <w:p w:rsidR="005B5F9A" w:rsidRPr="005B5F9A" w:rsidRDefault="005B5F9A" w:rsidP="00573C20">
      <w:pPr>
        <w:keepNext/>
        <w:keepLines/>
        <w:spacing w:before="120" w:after="120" w:line="240" w:lineRule="auto"/>
        <w:jc w:val="center"/>
        <w:rPr>
          <w:rFonts w:ascii="Times New Roman" w:eastAsia="Calibri" w:hAnsi="Times New Roman" w:cs="Times New Roman"/>
          <w:b/>
          <w:iCs/>
          <w:color w:val="000000"/>
          <w:sz w:val="24"/>
          <w:szCs w:val="28"/>
        </w:rPr>
      </w:pPr>
      <w:r w:rsidRPr="005B5F9A">
        <w:rPr>
          <w:rFonts w:ascii="Times New Roman" w:eastAsia="Calibri" w:hAnsi="Times New Roman" w:cs="Times New Roman"/>
          <w:iCs/>
          <w:color w:val="000000"/>
          <w:sz w:val="24"/>
          <w:szCs w:val="28"/>
        </w:rPr>
        <w:t xml:space="preserve">Рисунок </w:t>
      </w:r>
      <w:r w:rsidR="00573C20">
        <w:rPr>
          <w:rFonts w:ascii="Times New Roman" w:eastAsia="Calibri" w:hAnsi="Times New Roman" w:cs="Times New Roman"/>
          <w:iCs/>
          <w:color w:val="000000"/>
          <w:sz w:val="24"/>
          <w:szCs w:val="28"/>
        </w:rPr>
        <w:t>29</w:t>
      </w:r>
      <w:r w:rsidRPr="005B5F9A">
        <w:rPr>
          <w:rFonts w:ascii="Times New Roman" w:eastAsia="Calibri" w:hAnsi="Times New Roman" w:cs="Times New Roman"/>
          <w:iCs/>
          <w:color w:val="000000"/>
          <w:sz w:val="24"/>
          <w:szCs w:val="28"/>
        </w:rPr>
        <w:t xml:space="preserve">. </w:t>
      </w:r>
      <w:r w:rsidRPr="005B5F9A">
        <w:rPr>
          <w:rFonts w:ascii="Times New Roman" w:eastAsia="Calibri" w:hAnsi="Times New Roman" w:cs="Times New Roman"/>
          <w:b/>
          <w:color w:val="000000"/>
          <w:sz w:val="24"/>
          <w:szCs w:val="24"/>
        </w:rPr>
        <w:t>Укажите, какими источниками информации о состоянии конкурентной среды на рынках товаров, работ и услуг Ленинградской области и деятельности по содействию развитию конкуренции Вы предпочитаете пользоваться?</w:t>
      </w:r>
      <w:r w:rsidRPr="005B5F9A">
        <w:rPr>
          <w:rFonts w:ascii="Times New Roman" w:eastAsia="Calibri" w:hAnsi="Times New Roman" w:cs="Times New Roman"/>
          <w:b/>
          <w:color w:val="000000"/>
        </w:rPr>
        <w:t xml:space="preserve"> </w:t>
      </w:r>
      <w:r w:rsidRPr="005B5F9A">
        <w:rPr>
          <w:rFonts w:ascii="Times New Roman" w:eastAsia="Calibri" w:hAnsi="Times New Roman" w:cs="Times New Roman"/>
          <w:noProof/>
          <w:color w:val="000000"/>
          <w:sz w:val="24"/>
          <w:szCs w:val="24"/>
        </w:rPr>
        <w:t xml:space="preserve">(опрос предпринимателей, </w:t>
      </w:r>
      <w:r w:rsidRPr="005B5F9A">
        <w:rPr>
          <w:rFonts w:ascii="Times New Roman" w:eastAsia="Calibri" w:hAnsi="Times New Roman" w:cs="Times New Roman"/>
          <w:color w:val="000000"/>
          <w:sz w:val="24"/>
          <w:szCs w:val="24"/>
        </w:rPr>
        <w:t>n=500)</w:t>
      </w:r>
    </w:p>
    <w:p w:rsidR="005B5F9A" w:rsidRPr="005B5F9A" w:rsidRDefault="005B5F9A" w:rsidP="005B5F9A">
      <w:pPr>
        <w:spacing w:before="120" w:after="120" w:line="288" w:lineRule="auto"/>
        <w:jc w:val="both"/>
        <w:rPr>
          <w:rFonts w:ascii="Times New Roman" w:eastAsia="Calibri" w:hAnsi="Times New Roman" w:cs="Times New Roman"/>
          <w:color w:val="000000"/>
          <w:sz w:val="28"/>
          <w:szCs w:val="28"/>
        </w:rPr>
      </w:pPr>
      <w:r w:rsidRPr="005B5F9A">
        <w:rPr>
          <w:rFonts w:ascii="Times New Roman" w:eastAsia="Calibri" w:hAnsi="Times New Roman" w:cs="Times New Roman"/>
          <w:noProof/>
          <w:color w:val="000000"/>
          <w:sz w:val="28"/>
          <w:szCs w:val="28"/>
          <w:lang w:eastAsia="ru-RU"/>
        </w:rPr>
        <w:drawing>
          <wp:inline distT="0" distB="0" distL="0" distR="0" wp14:anchorId="76841039" wp14:editId="436F4AF3">
            <wp:extent cx="6038850" cy="4550735"/>
            <wp:effectExtent l="0" t="0" r="0" b="2540"/>
            <wp:docPr id="109"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5B5F9A" w:rsidRPr="00573C20" w:rsidRDefault="005B5F9A" w:rsidP="005B5F9A">
      <w:pPr>
        <w:spacing w:after="0" w:line="360" w:lineRule="auto"/>
        <w:ind w:firstLine="709"/>
        <w:jc w:val="both"/>
        <w:rPr>
          <w:rFonts w:ascii="Times New Roman" w:eastAsia="Calibri" w:hAnsi="Times New Roman" w:cs="Times New Roman"/>
          <w:color w:val="000000"/>
          <w:sz w:val="24"/>
          <w:szCs w:val="24"/>
        </w:rPr>
      </w:pPr>
      <w:r w:rsidRPr="00573C20">
        <w:rPr>
          <w:rFonts w:ascii="Times New Roman" w:eastAsia="Calibri" w:hAnsi="Times New Roman" w:cs="Times New Roman"/>
          <w:color w:val="000000"/>
          <w:sz w:val="24"/>
          <w:szCs w:val="24"/>
        </w:rPr>
        <w:t>Наиболее надежным источником информации о состоянии конкурентной среды, с точки зрения предпринимателей, является официальная информация, размещенная на сайте уполномоченного органа в сети Интернет: 43% доверяют этому источнику больше всего. Специальным блогам, порталам и прочим электронным ресурсам выражают доверие 23% опрошенных, а информации, размещенной на официальных сайтах других исполнительных органов государственной власти и органов местного самоуправления в сети Интернет – 22%. Наименьшим уровнем доверия пользуются печатные СМИ и радио (по 2%).</w:t>
      </w:r>
    </w:p>
    <w:p w:rsidR="00C10FC9" w:rsidRPr="00573C20" w:rsidRDefault="00C10FC9" w:rsidP="00C10FC9">
      <w:pPr>
        <w:keepNext/>
        <w:keepLines/>
        <w:spacing w:before="40" w:after="240" w:line="240" w:lineRule="auto"/>
        <w:jc w:val="center"/>
        <w:outlineLvl w:val="2"/>
        <w:rPr>
          <w:rFonts w:ascii="Times New Roman" w:eastAsia="Arial" w:hAnsi="Times New Roman" w:cs="Times New Roman"/>
          <w:b/>
          <w:color w:val="000000"/>
          <w:sz w:val="24"/>
          <w:szCs w:val="24"/>
          <w:lang w:eastAsia="ru-RU"/>
        </w:rPr>
      </w:pPr>
      <w:r w:rsidRPr="00573C20">
        <w:rPr>
          <w:rFonts w:ascii="Times New Roman" w:eastAsia="Arial" w:hAnsi="Times New Roman" w:cs="Times New Roman"/>
          <w:b/>
          <w:color w:val="000000"/>
          <w:sz w:val="24"/>
          <w:szCs w:val="24"/>
          <w:lang w:eastAsia="ru-RU"/>
        </w:rPr>
        <w:t>3.3.4. Об удовлетворенности предпринимателей действиями органов власти Ленинградской области</w:t>
      </w:r>
    </w:p>
    <w:p w:rsidR="00C10FC9" w:rsidRPr="00573C20" w:rsidRDefault="00C10FC9" w:rsidP="00573C20">
      <w:pPr>
        <w:spacing w:before="240" w:after="0" w:line="360" w:lineRule="auto"/>
        <w:ind w:firstLine="709"/>
        <w:jc w:val="both"/>
        <w:rPr>
          <w:rFonts w:ascii="Times New Roman" w:eastAsia="Calibri" w:hAnsi="Times New Roman" w:cs="Times New Roman"/>
          <w:color w:val="000000"/>
          <w:sz w:val="24"/>
          <w:szCs w:val="24"/>
        </w:rPr>
      </w:pPr>
      <w:r w:rsidRPr="00573C20">
        <w:rPr>
          <w:rFonts w:ascii="Times New Roman" w:eastAsia="Calibri" w:hAnsi="Times New Roman" w:cs="Times New Roman"/>
          <w:color w:val="000000"/>
          <w:sz w:val="24"/>
          <w:szCs w:val="24"/>
        </w:rPr>
        <w:t>Уровень удовлетворенности опрошенных представителей компаний деятельностью органов власти Ленинградской области на основном рынке для их бизнеса составляет 60%. Недовольство работой властей выразили 26% респондентов, а 14% затруднились дать какую-либо оценку их действиям.</w:t>
      </w:r>
    </w:p>
    <w:p w:rsidR="00C10FC9" w:rsidRPr="00C10FC9" w:rsidRDefault="00573C20" w:rsidP="00573C20">
      <w:pPr>
        <w:keepNext/>
        <w:keepLines/>
        <w:spacing w:before="120" w:after="120" w:line="240" w:lineRule="auto"/>
        <w:jc w:val="center"/>
        <w:rPr>
          <w:rFonts w:ascii="Times New Roman" w:eastAsia="Calibri" w:hAnsi="Times New Roman" w:cs="Times New Roman"/>
          <w:b/>
          <w:iCs/>
          <w:color w:val="000000"/>
          <w:sz w:val="24"/>
          <w:szCs w:val="28"/>
        </w:rPr>
      </w:pPr>
      <w:r>
        <w:rPr>
          <w:rFonts w:ascii="Times New Roman" w:eastAsia="Calibri" w:hAnsi="Times New Roman" w:cs="Times New Roman"/>
          <w:iCs/>
          <w:color w:val="000000"/>
          <w:sz w:val="24"/>
          <w:szCs w:val="28"/>
        </w:rPr>
        <w:t>Рисунок 30</w:t>
      </w:r>
      <w:r w:rsidR="00C10FC9" w:rsidRPr="00C10FC9">
        <w:rPr>
          <w:rFonts w:ascii="Times New Roman" w:eastAsia="Calibri" w:hAnsi="Times New Roman" w:cs="Times New Roman"/>
          <w:iCs/>
          <w:color w:val="000000"/>
          <w:sz w:val="24"/>
          <w:szCs w:val="28"/>
        </w:rPr>
        <w:t xml:space="preserve">. </w:t>
      </w:r>
      <w:r w:rsidR="00C10FC9" w:rsidRPr="00C10FC9">
        <w:rPr>
          <w:rFonts w:ascii="Times New Roman" w:eastAsia="Calibri" w:hAnsi="Times New Roman" w:cs="Times New Roman"/>
          <w:b/>
          <w:iCs/>
          <w:color w:val="000000"/>
          <w:sz w:val="24"/>
          <w:szCs w:val="28"/>
        </w:rPr>
        <w:t>Насколько Вы удовлетворены деятельностью органов власти на основном рынке для бизнеса, который Вы представляете?</w:t>
      </w:r>
      <w:r w:rsidR="00C10FC9" w:rsidRPr="00C10FC9">
        <w:rPr>
          <w:rFonts w:ascii="Times New Roman" w:eastAsia="Calibri" w:hAnsi="Times New Roman" w:cs="Times New Roman"/>
          <w:i/>
          <w:color w:val="000000"/>
        </w:rPr>
        <w:t xml:space="preserve"> </w:t>
      </w:r>
      <w:r w:rsidR="00C10FC9" w:rsidRPr="00C10FC9">
        <w:rPr>
          <w:rFonts w:ascii="Times New Roman" w:eastAsia="Calibri" w:hAnsi="Times New Roman" w:cs="Times New Roman"/>
          <w:color w:val="000000"/>
          <w:sz w:val="24"/>
          <w:szCs w:val="24"/>
        </w:rPr>
        <w:t>(</w:t>
      </w:r>
      <w:r w:rsidR="00C10FC9" w:rsidRPr="00C10FC9">
        <w:rPr>
          <w:rFonts w:ascii="Times New Roman" w:eastAsia="Calibri" w:hAnsi="Times New Roman" w:cs="Times New Roman"/>
          <w:noProof/>
          <w:color w:val="000000"/>
          <w:sz w:val="24"/>
          <w:szCs w:val="24"/>
        </w:rPr>
        <w:t xml:space="preserve">опрос предпринимателей, </w:t>
      </w:r>
      <w:r w:rsidR="00C10FC9" w:rsidRPr="00C10FC9">
        <w:rPr>
          <w:rFonts w:ascii="Times New Roman" w:eastAsia="Calibri" w:hAnsi="Times New Roman" w:cs="Times New Roman"/>
          <w:noProof/>
          <w:color w:val="000000"/>
          <w:sz w:val="24"/>
          <w:szCs w:val="24"/>
          <w:lang w:val="en-US"/>
        </w:rPr>
        <w:t>n</w:t>
      </w:r>
      <w:r w:rsidR="00C10FC9" w:rsidRPr="00C10FC9">
        <w:rPr>
          <w:rFonts w:ascii="Times New Roman" w:eastAsia="Calibri" w:hAnsi="Times New Roman" w:cs="Times New Roman"/>
          <w:noProof/>
          <w:color w:val="000000"/>
          <w:sz w:val="24"/>
          <w:szCs w:val="24"/>
        </w:rPr>
        <w:t>=500</w:t>
      </w:r>
      <w:r w:rsidR="00C10FC9" w:rsidRPr="00C10FC9">
        <w:rPr>
          <w:rFonts w:ascii="Times New Roman" w:eastAsia="Calibri" w:hAnsi="Times New Roman" w:cs="Times New Roman"/>
          <w:color w:val="000000"/>
          <w:sz w:val="24"/>
          <w:szCs w:val="24"/>
        </w:rPr>
        <w:t>)</w:t>
      </w:r>
    </w:p>
    <w:p w:rsidR="00C10FC9" w:rsidRPr="00C10FC9" w:rsidRDefault="00C10FC9" w:rsidP="00C10FC9">
      <w:pPr>
        <w:spacing w:before="120" w:after="120" w:line="288" w:lineRule="auto"/>
        <w:jc w:val="both"/>
        <w:rPr>
          <w:rFonts w:ascii="Times New Roman" w:eastAsia="Calibri" w:hAnsi="Times New Roman" w:cs="Times New Roman"/>
          <w:b/>
          <w:bCs/>
          <w:color w:val="000000"/>
          <w:sz w:val="28"/>
          <w:szCs w:val="28"/>
        </w:rPr>
      </w:pPr>
      <w:r w:rsidRPr="00C10FC9">
        <w:rPr>
          <w:rFonts w:ascii="Times New Roman" w:eastAsia="Calibri" w:hAnsi="Times New Roman" w:cs="Times New Roman"/>
          <w:b/>
          <w:bCs/>
          <w:noProof/>
          <w:color w:val="000000"/>
          <w:sz w:val="28"/>
          <w:szCs w:val="28"/>
          <w:lang w:eastAsia="ru-RU"/>
        </w:rPr>
        <w:drawing>
          <wp:inline distT="0" distB="0" distL="0" distR="0" wp14:anchorId="3697BEB6" wp14:editId="767C1133">
            <wp:extent cx="6188075" cy="2155372"/>
            <wp:effectExtent l="0" t="0" r="3175" b="0"/>
            <wp:docPr id="110" name="Диаграмма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C10FC9" w:rsidRPr="00573C20" w:rsidRDefault="00C10FC9" w:rsidP="00573C20">
      <w:pPr>
        <w:spacing w:after="0" w:line="360" w:lineRule="auto"/>
        <w:ind w:firstLine="709"/>
        <w:jc w:val="both"/>
        <w:rPr>
          <w:rFonts w:ascii="Times New Roman" w:eastAsia="Calibri" w:hAnsi="Times New Roman" w:cs="Times New Roman"/>
          <w:color w:val="000000"/>
          <w:sz w:val="24"/>
          <w:szCs w:val="24"/>
        </w:rPr>
      </w:pPr>
      <w:r w:rsidRPr="00573C20">
        <w:rPr>
          <w:rFonts w:ascii="Times New Roman" w:eastAsia="Calibri" w:hAnsi="Times New Roman" w:cs="Times New Roman"/>
          <w:color w:val="000000"/>
          <w:sz w:val="24"/>
          <w:szCs w:val="24"/>
        </w:rPr>
        <w:t>В разрезе видов деятельности можно отметить, что на следующих рынках Ленинградской области зафиксированы наиболее высокие показатели удовлетворённости действиями властей региона (</w:t>
      </w:r>
      <w:r w:rsidRPr="00573C20">
        <w:rPr>
          <w:rFonts w:ascii="Times New Roman" w:eastAsia="Arial" w:hAnsi="Times New Roman" w:cs="Times New Roman"/>
          <w:color w:val="000000"/>
          <w:sz w:val="24"/>
          <w:szCs w:val="24"/>
          <w:lang w:eastAsia="ru-RU"/>
        </w:rPr>
        <w:t>в скобках представлен</w:t>
      </w:r>
      <w:r w:rsidR="002440F7">
        <w:rPr>
          <w:rFonts w:ascii="Times New Roman" w:eastAsia="Arial" w:hAnsi="Times New Roman" w:cs="Times New Roman"/>
          <w:color w:val="000000"/>
          <w:sz w:val="24"/>
          <w:szCs w:val="24"/>
          <w:lang w:eastAsia="ru-RU"/>
        </w:rPr>
        <w:t>ы совокупные доли оценок «</w:t>
      </w:r>
      <w:r w:rsidRPr="00573C20">
        <w:rPr>
          <w:rFonts w:ascii="Times New Roman" w:eastAsia="Arial" w:hAnsi="Times New Roman" w:cs="Times New Roman"/>
          <w:color w:val="000000"/>
          <w:sz w:val="24"/>
          <w:szCs w:val="24"/>
          <w:lang w:eastAsia="ru-RU"/>
        </w:rPr>
        <w:t>удовлетворен</w:t>
      </w:r>
      <w:r w:rsidR="002440F7">
        <w:rPr>
          <w:rFonts w:ascii="Times New Roman" w:eastAsia="Arial" w:hAnsi="Times New Roman" w:cs="Times New Roman"/>
          <w:color w:val="000000"/>
          <w:sz w:val="24"/>
          <w:szCs w:val="24"/>
          <w:lang w:eastAsia="ru-RU"/>
        </w:rPr>
        <w:t>» и «</w:t>
      </w:r>
      <w:r w:rsidRPr="00573C20">
        <w:rPr>
          <w:rFonts w:ascii="Times New Roman" w:eastAsia="Arial" w:hAnsi="Times New Roman" w:cs="Times New Roman"/>
          <w:color w:val="000000"/>
          <w:sz w:val="24"/>
          <w:szCs w:val="24"/>
          <w:lang w:eastAsia="ru-RU"/>
        </w:rPr>
        <w:t>скорее удовлетворен</w:t>
      </w:r>
      <w:r w:rsidR="002440F7">
        <w:rPr>
          <w:rFonts w:ascii="Times New Roman" w:eastAsia="Arial" w:hAnsi="Times New Roman" w:cs="Times New Roman"/>
          <w:color w:val="000000"/>
          <w:sz w:val="24"/>
          <w:szCs w:val="24"/>
          <w:lang w:eastAsia="ru-RU"/>
        </w:rPr>
        <w:t>»</w:t>
      </w:r>
      <w:r w:rsidRPr="00573C20">
        <w:rPr>
          <w:rFonts w:ascii="Times New Roman" w:eastAsia="Arial" w:hAnsi="Times New Roman" w:cs="Times New Roman"/>
          <w:color w:val="000000"/>
          <w:sz w:val="24"/>
          <w:szCs w:val="24"/>
          <w:lang w:eastAsia="ru-RU"/>
        </w:rPr>
        <w:t>):</w:t>
      </w:r>
    </w:p>
    <w:p w:rsidR="00C10FC9" w:rsidRPr="00573C20" w:rsidRDefault="00C10FC9"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нефтепродуктов (91%);</w:t>
      </w:r>
    </w:p>
    <w:p w:rsidR="00C10FC9" w:rsidRPr="00573C20" w:rsidRDefault="00C10FC9"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племенного животноводства (88%);</w:t>
      </w:r>
    </w:p>
    <w:p w:rsidR="00C10FC9" w:rsidRPr="00573C20" w:rsidRDefault="00C10FC9"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услуг розничной торговли лекарственными препаратами, медицинскими изделиями и сопутствующими товарами (86%);</w:t>
      </w:r>
    </w:p>
    <w:p w:rsidR="00C10FC9" w:rsidRPr="00573C20" w:rsidRDefault="00C10FC9"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 xml:space="preserve">Рынок услуг связи, в том числе услуг по предоставлению широкополосного доступа к информационно-телекоммуникационной сети </w:t>
      </w:r>
      <w:r w:rsidR="002440F7">
        <w:rPr>
          <w:rFonts w:ascii="Times New Roman" w:eastAsia="Arial" w:hAnsi="Times New Roman" w:cs="Times New Roman"/>
          <w:color w:val="000000"/>
          <w:sz w:val="24"/>
          <w:szCs w:val="24"/>
          <w:lang w:eastAsia="ru-RU"/>
        </w:rPr>
        <w:t>«</w:t>
      </w:r>
      <w:r w:rsidRPr="00573C20">
        <w:rPr>
          <w:rFonts w:ascii="Times New Roman" w:eastAsia="Arial" w:hAnsi="Times New Roman" w:cs="Times New Roman"/>
          <w:color w:val="000000"/>
          <w:sz w:val="24"/>
          <w:szCs w:val="24"/>
          <w:lang w:eastAsia="ru-RU"/>
        </w:rPr>
        <w:t>Интернет</w:t>
      </w:r>
      <w:r w:rsidR="002440F7">
        <w:rPr>
          <w:rFonts w:ascii="Times New Roman" w:eastAsia="Arial" w:hAnsi="Times New Roman" w:cs="Times New Roman"/>
          <w:color w:val="000000"/>
          <w:sz w:val="24"/>
          <w:szCs w:val="24"/>
          <w:lang w:eastAsia="ru-RU"/>
        </w:rPr>
        <w:t>»</w:t>
      </w:r>
      <w:r w:rsidRPr="00573C20">
        <w:rPr>
          <w:rFonts w:ascii="Times New Roman" w:eastAsia="Arial" w:hAnsi="Times New Roman" w:cs="Times New Roman"/>
          <w:color w:val="000000"/>
          <w:sz w:val="24"/>
          <w:szCs w:val="24"/>
          <w:lang w:eastAsia="ru-RU"/>
        </w:rPr>
        <w:t xml:space="preserve"> (77%);</w:t>
      </w:r>
    </w:p>
    <w:p w:rsidR="00C10FC9" w:rsidRPr="00573C20" w:rsidRDefault="00C10FC9"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семеноводства (71%).</w:t>
      </w:r>
    </w:p>
    <w:p w:rsidR="00C10FC9" w:rsidRPr="00573C20" w:rsidRDefault="00C10FC9" w:rsidP="00573C20">
      <w:pPr>
        <w:spacing w:after="0" w:line="360" w:lineRule="auto"/>
        <w:ind w:firstLine="709"/>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Самые низкие доли предпринимателей, довольных действиями органов власти, наблюдаются на следующих рассматриваемых рынках:</w:t>
      </w:r>
    </w:p>
    <w:p w:rsidR="00C10FC9" w:rsidRPr="00573C20" w:rsidRDefault="00C10FC9"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услуг дошкольного образования (45%);</w:t>
      </w:r>
    </w:p>
    <w:p w:rsidR="00C10FC9" w:rsidRPr="00573C20" w:rsidRDefault="00C10FC9"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кадастровых и землеустроительных работ (45%);</w:t>
      </w:r>
    </w:p>
    <w:p w:rsidR="00C10FC9" w:rsidRPr="00573C20" w:rsidRDefault="00C10FC9"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оказания услуг по перевозке пассажиров и багажа легковым такси на территории Ленинградской области (45%);</w:t>
      </w:r>
    </w:p>
    <w:p w:rsidR="00C10FC9" w:rsidRPr="00573C20" w:rsidRDefault="00C10FC9"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услуг среднего профессионального образования (40%);</w:t>
      </w:r>
    </w:p>
    <w:p w:rsidR="00C10FC9" w:rsidRPr="00573C20" w:rsidRDefault="00C10FC9"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производства кирпича (33%);</w:t>
      </w:r>
    </w:p>
    <w:p w:rsidR="005B5F9A" w:rsidRPr="00573C20" w:rsidRDefault="00C10FC9" w:rsidP="00573C20">
      <w:pPr>
        <w:numPr>
          <w:ilvl w:val="0"/>
          <w:numId w:val="14"/>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Рынок переработки водных биоресурсов (30%).</w:t>
      </w:r>
    </w:p>
    <w:p w:rsidR="0059232D" w:rsidRPr="00573C20" w:rsidRDefault="0059232D" w:rsidP="0059232D">
      <w:pPr>
        <w:spacing w:before="120" w:after="120" w:line="360" w:lineRule="auto"/>
        <w:ind w:firstLine="709"/>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 xml:space="preserve">В соответствии со статьей 10 Федерального закона от 17.08.1995 N 147-ФЗ </w:t>
      </w:r>
      <w:r w:rsidR="002440F7">
        <w:rPr>
          <w:rFonts w:ascii="Times New Roman" w:eastAsia="Arial" w:hAnsi="Times New Roman" w:cs="Times New Roman"/>
          <w:color w:val="000000"/>
          <w:sz w:val="24"/>
          <w:szCs w:val="24"/>
          <w:lang w:eastAsia="ru-RU"/>
        </w:rPr>
        <w:t>«</w:t>
      </w:r>
      <w:r w:rsidRPr="00573C20">
        <w:rPr>
          <w:rFonts w:ascii="Times New Roman" w:eastAsia="Arial" w:hAnsi="Times New Roman" w:cs="Times New Roman"/>
          <w:color w:val="000000"/>
          <w:sz w:val="24"/>
          <w:szCs w:val="24"/>
          <w:lang w:eastAsia="ru-RU"/>
        </w:rPr>
        <w:t>О естественных монополиях</w:t>
      </w:r>
      <w:r w:rsidR="002440F7">
        <w:rPr>
          <w:rFonts w:ascii="Times New Roman" w:eastAsia="Arial" w:hAnsi="Times New Roman" w:cs="Times New Roman"/>
          <w:color w:val="000000"/>
          <w:sz w:val="24"/>
          <w:szCs w:val="24"/>
          <w:lang w:eastAsia="ru-RU"/>
        </w:rPr>
        <w:t>»</w:t>
      </w:r>
      <w:r w:rsidRPr="00573C20">
        <w:rPr>
          <w:rFonts w:ascii="Times New Roman" w:eastAsia="Arial" w:hAnsi="Times New Roman" w:cs="Times New Roman"/>
          <w:color w:val="000000"/>
          <w:sz w:val="24"/>
          <w:szCs w:val="24"/>
          <w:lang w:eastAsia="ru-RU"/>
        </w:rPr>
        <w:t xml:space="preserve"> органы регулирования естественных монополий формируют и ведут реестр субъектов естественных монополий, в отношении которых осуществляются государственные регулирование и контроль.</w:t>
      </w:r>
    </w:p>
    <w:p w:rsidR="0059232D" w:rsidRPr="00573C20" w:rsidRDefault="0059232D" w:rsidP="0059232D">
      <w:pPr>
        <w:spacing w:before="120" w:after="120" w:line="360" w:lineRule="auto"/>
        <w:ind w:firstLine="709"/>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 xml:space="preserve">В соответствии с пунктом 5.3.4.2. </w:t>
      </w:r>
      <w:r w:rsidR="002440F7">
        <w:rPr>
          <w:rFonts w:ascii="Times New Roman" w:eastAsia="Arial" w:hAnsi="Times New Roman" w:cs="Times New Roman"/>
          <w:color w:val="000000"/>
          <w:sz w:val="24"/>
          <w:szCs w:val="24"/>
          <w:lang w:eastAsia="ru-RU"/>
        </w:rPr>
        <w:t>«</w:t>
      </w:r>
      <w:r w:rsidRPr="00573C20">
        <w:rPr>
          <w:rFonts w:ascii="Times New Roman" w:eastAsia="Arial" w:hAnsi="Times New Roman" w:cs="Times New Roman"/>
          <w:color w:val="000000"/>
          <w:sz w:val="24"/>
          <w:szCs w:val="24"/>
          <w:lang w:eastAsia="ru-RU"/>
        </w:rPr>
        <w:t>Положения о Фед</w:t>
      </w:r>
      <w:r w:rsidR="002440F7">
        <w:rPr>
          <w:rFonts w:ascii="Times New Roman" w:eastAsia="Arial" w:hAnsi="Times New Roman" w:cs="Times New Roman"/>
          <w:color w:val="000000"/>
          <w:sz w:val="24"/>
          <w:szCs w:val="24"/>
          <w:lang w:eastAsia="ru-RU"/>
        </w:rPr>
        <w:t>еральной антимонопольной службе»</w:t>
      </w:r>
      <w:r w:rsidRPr="00573C20">
        <w:rPr>
          <w:rFonts w:ascii="Times New Roman" w:eastAsia="Arial" w:hAnsi="Times New Roman" w:cs="Times New Roman"/>
          <w:color w:val="000000"/>
          <w:sz w:val="24"/>
          <w:szCs w:val="24"/>
          <w:lang w:eastAsia="ru-RU"/>
        </w:rPr>
        <w:t xml:space="preserve">, утвержденного Постановлением Правительства Российской Федерации (далее - РФ) от 30.06.2004 г. №331 - на Федеральную антимонопольную службу (далее - ФАС) возложены полномочия по формированию и ведению реестра субъектов естественных монополий, в отношении которых осуществляется государственное регулирование и контроль с целью определения (установления) цен (тарифов) и осуществления контроля по вопросам, связанным с определением (установлением) и применением цен (тарифов). </w:t>
      </w:r>
    </w:p>
    <w:p w:rsidR="0059232D" w:rsidRPr="00573C20" w:rsidRDefault="0059232D" w:rsidP="0059232D">
      <w:pPr>
        <w:spacing w:before="120" w:after="120" w:line="360" w:lineRule="auto"/>
        <w:ind w:firstLine="709"/>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 xml:space="preserve">Реестр субъектов естественных монополий размещен на официальном сайте ФАС в сети Интернет </w:t>
      </w:r>
      <w:hyperlink r:id="rId67" w:history="1">
        <w:r w:rsidRPr="00573C20">
          <w:rPr>
            <w:rFonts w:ascii="Times New Roman" w:eastAsia="Arial" w:hAnsi="Times New Roman" w:cs="Times New Roman"/>
            <w:color w:val="0000FF"/>
            <w:sz w:val="24"/>
            <w:szCs w:val="24"/>
            <w:u w:val="single"/>
            <w:lang w:eastAsia="ru-RU"/>
          </w:rPr>
          <w:t>https://fas.gov.ru/documents/b-n-57ddb068-19e7-4f34-9b64-7dbe7540594a</w:t>
        </w:r>
      </w:hyperlink>
    </w:p>
    <w:p w:rsidR="0059232D" w:rsidRPr="00573C20" w:rsidRDefault="0059232D" w:rsidP="0059232D">
      <w:pPr>
        <w:spacing w:before="120" w:after="120" w:line="360" w:lineRule="auto"/>
        <w:ind w:firstLine="709"/>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В 2022 г. количество субъектов остается таким же, как в 2021 г. и также практически не изменилось по сравнению с 2020 г. (исключение – сфера электроэнергетики 72 субъекта в 2022 г. против 74 в 2020 г.)</w:t>
      </w:r>
    </w:p>
    <w:p w:rsidR="0059232D" w:rsidRPr="0059232D" w:rsidRDefault="0059232D" w:rsidP="00573C20">
      <w:pPr>
        <w:keepNext/>
        <w:keepLines/>
        <w:pageBreakBefore/>
        <w:spacing w:before="120" w:after="120" w:line="240" w:lineRule="auto"/>
        <w:jc w:val="center"/>
        <w:rPr>
          <w:rFonts w:ascii="Times New Roman" w:eastAsia="Arial" w:hAnsi="Times New Roman" w:cs="Times New Roman"/>
          <w:color w:val="000000"/>
          <w:sz w:val="24"/>
          <w:szCs w:val="24"/>
          <w:lang w:eastAsia="ru-RU"/>
        </w:rPr>
      </w:pPr>
      <w:r w:rsidRPr="0059232D">
        <w:rPr>
          <w:rFonts w:ascii="Times New Roman" w:eastAsia="Arial" w:hAnsi="Times New Roman" w:cs="Times New Roman"/>
          <w:color w:val="000000"/>
          <w:sz w:val="24"/>
          <w:szCs w:val="24"/>
          <w:lang w:eastAsia="ru-RU"/>
        </w:rPr>
        <w:t xml:space="preserve">Таблица </w:t>
      </w:r>
      <w:r w:rsidR="00573C20">
        <w:rPr>
          <w:rFonts w:ascii="Times New Roman" w:eastAsia="Arial" w:hAnsi="Times New Roman" w:cs="Times New Roman"/>
          <w:color w:val="000000"/>
          <w:sz w:val="24"/>
          <w:szCs w:val="24"/>
          <w:lang w:eastAsia="ru-RU"/>
        </w:rPr>
        <w:t>20</w:t>
      </w:r>
      <w:r w:rsidRPr="0059232D">
        <w:rPr>
          <w:rFonts w:ascii="Times New Roman" w:eastAsia="Arial" w:hAnsi="Times New Roman" w:cs="Times New Roman"/>
          <w:color w:val="000000"/>
          <w:sz w:val="24"/>
          <w:szCs w:val="24"/>
          <w:lang w:eastAsia="ru-RU"/>
        </w:rPr>
        <w:t>. Количество организаций в Реестре субъектов естественных монополий, который ведет ФАС, осуществляющих деятельность на территории Ленинградской области в 2020-2022 гг. (на 1 декабря)</w:t>
      </w:r>
    </w:p>
    <w:tbl>
      <w:tblPr>
        <w:tblStyle w:val="230"/>
        <w:tblW w:w="0" w:type="auto"/>
        <w:tblLayout w:type="fixed"/>
        <w:tblLook w:val="04A0" w:firstRow="1" w:lastRow="0" w:firstColumn="1" w:lastColumn="0" w:noHBand="0" w:noVBand="1"/>
      </w:tblPr>
      <w:tblGrid>
        <w:gridCol w:w="5940"/>
        <w:gridCol w:w="1316"/>
        <w:gridCol w:w="1316"/>
        <w:gridCol w:w="1317"/>
      </w:tblGrid>
      <w:tr w:rsidR="0059232D" w:rsidRPr="0059232D" w:rsidTr="00EF0409">
        <w:trPr>
          <w:trHeight w:val="276"/>
          <w:tblHeader/>
        </w:trPr>
        <w:tc>
          <w:tcPr>
            <w:tcW w:w="5940" w:type="dxa"/>
            <w:vAlign w:val="center"/>
            <w:hideMark/>
          </w:tcPr>
          <w:p w:rsidR="0059232D" w:rsidRPr="0059232D" w:rsidRDefault="0059232D" w:rsidP="0059232D">
            <w:pPr>
              <w:spacing w:before="120" w:after="120" w:line="269" w:lineRule="auto"/>
              <w:jc w:val="both"/>
              <w:rPr>
                <w:rFonts w:ascii="Times New Roman" w:eastAsia="Arial" w:hAnsi="Times New Roman" w:cs="Times New Roman"/>
                <w:color w:val="000000"/>
                <w:lang w:eastAsia="ru-RU"/>
              </w:rPr>
            </w:pPr>
            <w:r w:rsidRPr="0059232D">
              <w:rPr>
                <w:rFonts w:ascii="Times New Roman" w:eastAsia="Arial" w:hAnsi="Times New Roman" w:cs="Times New Roman"/>
                <w:color w:val="000000"/>
                <w:lang w:eastAsia="ru-RU"/>
              </w:rPr>
              <w:t> </w:t>
            </w:r>
          </w:p>
        </w:tc>
        <w:tc>
          <w:tcPr>
            <w:tcW w:w="1316" w:type="dxa"/>
            <w:noWrap/>
            <w:vAlign w:val="center"/>
            <w:hideMark/>
          </w:tcPr>
          <w:p w:rsidR="0059232D" w:rsidRPr="0059232D" w:rsidRDefault="0059232D" w:rsidP="0059232D">
            <w:pPr>
              <w:spacing w:before="120" w:after="120" w:line="269" w:lineRule="auto"/>
              <w:jc w:val="center"/>
              <w:rPr>
                <w:rFonts w:ascii="Times New Roman" w:eastAsia="Arial" w:hAnsi="Times New Roman" w:cs="Times New Roman"/>
                <w:color w:val="000000"/>
                <w:lang w:eastAsia="ru-RU"/>
              </w:rPr>
            </w:pPr>
            <w:r w:rsidRPr="0059232D">
              <w:rPr>
                <w:rFonts w:ascii="Times New Roman" w:eastAsia="Arial" w:hAnsi="Times New Roman" w:cs="Times New Roman"/>
                <w:color w:val="000000"/>
                <w:lang w:eastAsia="ru-RU"/>
              </w:rPr>
              <w:t>2020</w:t>
            </w:r>
          </w:p>
        </w:tc>
        <w:tc>
          <w:tcPr>
            <w:tcW w:w="1316" w:type="dxa"/>
            <w:noWrap/>
            <w:vAlign w:val="center"/>
            <w:hideMark/>
          </w:tcPr>
          <w:p w:rsidR="0059232D" w:rsidRPr="0059232D" w:rsidRDefault="0059232D" w:rsidP="0059232D">
            <w:pPr>
              <w:spacing w:before="120" w:after="120" w:line="269" w:lineRule="auto"/>
              <w:jc w:val="center"/>
              <w:rPr>
                <w:rFonts w:ascii="Times New Roman" w:eastAsia="Arial" w:hAnsi="Times New Roman" w:cs="Times New Roman"/>
                <w:color w:val="000000"/>
                <w:lang w:eastAsia="ru-RU"/>
              </w:rPr>
            </w:pPr>
            <w:r w:rsidRPr="0059232D">
              <w:rPr>
                <w:rFonts w:ascii="Times New Roman" w:eastAsia="Arial" w:hAnsi="Times New Roman" w:cs="Times New Roman"/>
                <w:color w:val="000000"/>
                <w:lang w:eastAsia="ru-RU"/>
              </w:rPr>
              <w:t>2021</w:t>
            </w:r>
          </w:p>
        </w:tc>
        <w:tc>
          <w:tcPr>
            <w:tcW w:w="1317" w:type="dxa"/>
            <w:noWrap/>
            <w:vAlign w:val="center"/>
            <w:hideMark/>
          </w:tcPr>
          <w:p w:rsidR="0059232D" w:rsidRPr="0059232D" w:rsidRDefault="0059232D" w:rsidP="0059232D">
            <w:pPr>
              <w:spacing w:before="120" w:after="120" w:line="269" w:lineRule="auto"/>
              <w:jc w:val="center"/>
              <w:rPr>
                <w:rFonts w:ascii="Times New Roman" w:eastAsia="Arial" w:hAnsi="Times New Roman" w:cs="Times New Roman"/>
                <w:color w:val="000000"/>
                <w:lang w:eastAsia="ru-RU"/>
              </w:rPr>
            </w:pPr>
            <w:r w:rsidRPr="0059232D">
              <w:rPr>
                <w:rFonts w:ascii="Times New Roman" w:eastAsia="Arial" w:hAnsi="Times New Roman" w:cs="Times New Roman"/>
                <w:color w:val="000000"/>
                <w:lang w:eastAsia="ru-RU"/>
              </w:rPr>
              <w:t xml:space="preserve">2022 </w:t>
            </w:r>
          </w:p>
        </w:tc>
      </w:tr>
      <w:tr w:rsidR="0059232D" w:rsidRPr="0059232D" w:rsidTr="00EF0409">
        <w:trPr>
          <w:trHeight w:val="828"/>
        </w:trPr>
        <w:tc>
          <w:tcPr>
            <w:tcW w:w="5940" w:type="dxa"/>
            <w:vAlign w:val="center"/>
            <w:hideMark/>
          </w:tcPr>
          <w:p w:rsidR="0059232D" w:rsidRPr="0059232D" w:rsidRDefault="0059232D" w:rsidP="0059232D">
            <w:pPr>
              <w:spacing w:before="120" w:after="120" w:line="269" w:lineRule="auto"/>
              <w:jc w:val="both"/>
              <w:rPr>
                <w:rFonts w:ascii="Times New Roman" w:eastAsia="Arial" w:hAnsi="Times New Roman" w:cs="Times New Roman"/>
                <w:color w:val="000000"/>
                <w:lang w:eastAsia="ru-RU"/>
              </w:rPr>
            </w:pPr>
            <w:r w:rsidRPr="0059232D">
              <w:rPr>
                <w:rFonts w:ascii="Times New Roman" w:eastAsia="Arial" w:hAnsi="Times New Roman" w:cs="Times New Roman"/>
                <w:color w:val="000000"/>
                <w:lang w:eastAsia="ru-RU"/>
              </w:rPr>
              <w:t>Водоснабжение и водоотведение с использованием централизованных систем, систем коммунальной инфраструктуры</w:t>
            </w:r>
          </w:p>
        </w:tc>
        <w:tc>
          <w:tcPr>
            <w:tcW w:w="1316" w:type="dxa"/>
            <w:noWrap/>
            <w:vAlign w:val="center"/>
            <w:hideMark/>
          </w:tcPr>
          <w:p w:rsidR="0059232D" w:rsidRPr="0059232D" w:rsidRDefault="0059232D" w:rsidP="0059232D">
            <w:pPr>
              <w:spacing w:before="120" w:after="120" w:line="269" w:lineRule="auto"/>
              <w:jc w:val="center"/>
              <w:rPr>
                <w:rFonts w:ascii="Times New Roman" w:eastAsia="Arial" w:hAnsi="Times New Roman" w:cs="Times New Roman"/>
                <w:color w:val="000000"/>
                <w:lang w:eastAsia="ru-RU"/>
              </w:rPr>
            </w:pPr>
            <w:r w:rsidRPr="0059232D">
              <w:rPr>
                <w:rFonts w:ascii="Times New Roman" w:eastAsia="Arial" w:hAnsi="Times New Roman" w:cs="Times New Roman"/>
                <w:color w:val="000000"/>
                <w:lang w:eastAsia="ru-RU"/>
              </w:rPr>
              <w:t>6</w:t>
            </w:r>
          </w:p>
        </w:tc>
        <w:tc>
          <w:tcPr>
            <w:tcW w:w="1316" w:type="dxa"/>
            <w:noWrap/>
            <w:vAlign w:val="center"/>
            <w:hideMark/>
          </w:tcPr>
          <w:p w:rsidR="0059232D" w:rsidRPr="0059232D" w:rsidRDefault="0059232D" w:rsidP="0059232D">
            <w:pPr>
              <w:spacing w:before="120" w:after="120" w:line="269" w:lineRule="auto"/>
              <w:jc w:val="center"/>
              <w:rPr>
                <w:rFonts w:ascii="Times New Roman" w:eastAsia="Arial" w:hAnsi="Times New Roman" w:cs="Times New Roman"/>
                <w:color w:val="000000"/>
                <w:lang w:eastAsia="ru-RU"/>
              </w:rPr>
            </w:pPr>
            <w:r w:rsidRPr="0059232D">
              <w:rPr>
                <w:rFonts w:ascii="Times New Roman" w:eastAsia="Arial" w:hAnsi="Times New Roman" w:cs="Times New Roman"/>
                <w:color w:val="000000"/>
                <w:lang w:eastAsia="ru-RU"/>
              </w:rPr>
              <w:t>6</w:t>
            </w:r>
          </w:p>
        </w:tc>
        <w:tc>
          <w:tcPr>
            <w:tcW w:w="1317" w:type="dxa"/>
            <w:noWrap/>
            <w:vAlign w:val="center"/>
            <w:hideMark/>
          </w:tcPr>
          <w:p w:rsidR="0059232D" w:rsidRPr="0059232D" w:rsidRDefault="0059232D" w:rsidP="0059232D">
            <w:pPr>
              <w:spacing w:before="120" w:after="120" w:line="269" w:lineRule="auto"/>
              <w:jc w:val="center"/>
              <w:rPr>
                <w:rFonts w:ascii="Times New Roman" w:eastAsia="Arial" w:hAnsi="Times New Roman" w:cs="Times New Roman"/>
                <w:color w:val="000000"/>
                <w:lang w:eastAsia="ru-RU"/>
              </w:rPr>
            </w:pPr>
            <w:r w:rsidRPr="0059232D">
              <w:rPr>
                <w:rFonts w:ascii="Times New Roman" w:eastAsia="Arial" w:hAnsi="Times New Roman" w:cs="Times New Roman"/>
                <w:color w:val="000000"/>
                <w:lang w:eastAsia="ru-RU"/>
              </w:rPr>
              <w:t>6</w:t>
            </w:r>
          </w:p>
        </w:tc>
      </w:tr>
      <w:tr w:rsidR="0059232D" w:rsidRPr="0059232D" w:rsidTr="00EF0409">
        <w:trPr>
          <w:trHeight w:val="552"/>
        </w:trPr>
        <w:tc>
          <w:tcPr>
            <w:tcW w:w="5940" w:type="dxa"/>
            <w:vAlign w:val="center"/>
            <w:hideMark/>
          </w:tcPr>
          <w:p w:rsidR="0059232D" w:rsidRPr="0059232D" w:rsidRDefault="0059232D" w:rsidP="0059232D">
            <w:pPr>
              <w:spacing w:before="120" w:after="120" w:line="269" w:lineRule="auto"/>
              <w:jc w:val="both"/>
              <w:rPr>
                <w:rFonts w:ascii="Times New Roman" w:eastAsia="Arial" w:hAnsi="Times New Roman" w:cs="Times New Roman"/>
                <w:color w:val="000000"/>
                <w:lang w:eastAsia="ru-RU"/>
              </w:rPr>
            </w:pPr>
            <w:r w:rsidRPr="0059232D">
              <w:rPr>
                <w:rFonts w:ascii="Times New Roman" w:eastAsia="Arial" w:hAnsi="Times New Roman" w:cs="Times New Roman"/>
                <w:color w:val="000000"/>
                <w:lang w:eastAsia="ru-RU"/>
              </w:rPr>
              <w:t>Услуги по передаче электрической и (или) тепловой энергии</w:t>
            </w:r>
          </w:p>
        </w:tc>
        <w:tc>
          <w:tcPr>
            <w:tcW w:w="1316" w:type="dxa"/>
            <w:noWrap/>
            <w:vAlign w:val="center"/>
            <w:hideMark/>
          </w:tcPr>
          <w:p w:rsidR="0059232D" w:rsidRPr="0059232D" w:rsidRDefault="0059232D" w:rsidP="0059232D">
            <w:pPr>
              <w:spacing w:before="120" w:after="120" w:line="269" w:lineRule="auto"/>
              <w:jc w:val="center"/>
              <w:rPr>
                <w:rFonts w:ascii="Times New Roman" w:eastAsia="Arial" w:hAnsi="Times New Roman" w:cs="Times New Roman"/>
                <w:color w:val="000000"/>
                <w:lang w:eastAsia="ru-RU"/>
              </w:rPr>
            </w:pPr>
            <w:r w:rsidRPr="0059232D">
              <w:rPr>
                <w:rFonts w:ascii="Times New Roman" w:eastAsia="Arial" w:hAnsi="Times New Roman" w:cs="Times New Roman"/>
                <w:color w:val="000000"/>
                <w:lang w:eastAsia="ru-RU"/>
              </w:rPr>
              <w:t>74</w:t>
            </w:r>
          </w:p>
        </w:tc>
        <w:tc>
          <w:tcPr>
            <w:tcW w:w="1316" w:type="dxa"/>
            <w:noWrap/>
            <w:vAlign w:val="center"/>
            <w:hideMark/>
          </w:tcPr>
          <w:p w:rsidR="0059232D" w:rsidRPr="0059232D" w:rsidRDefault="0059232D" w:rsidP="0059232D">
            <w:pPr>
              <w:spacing w:before="120" w:after="120" w:line="269" w:lineRule="auto"/>
              <w:jc w:val="center"/>
              <w:rPr>
                <w:rFonts w:ascii="Times New Roman" w:eastAsia="Arial" w:hAnsi="Times New Roman" w:cs="Times New Roman"/>
                <w:color w:val="000000"/>
                <w:lang w:eastAsia="ru-RU"/>
              </w:rPr>
            </w:pPr>
            <w:r w:rsidRPr="0059232D">
              <w:rPr>
                <w:rFonts w:ascii="Times New Roman" w:eastAsia="Arial" w:hAnsi="Times New Roman" w:cs="Times New Roman"/>
                <w:color w:val="000000"/>
                <w:lang w:eastAsia="ru-RU"/>
              </w:rPr>
              <w:t>72</w:t>
            </w:r>
          </w:p>
        </w:tc>
        <w:tc>
          <w:tcPr>
            <w:tcW w:w="1317" w:type="dxa"/>
            <w:noWrap/>
            <w:vAlign w:val="center"/>
            <w:hideMark/>
          </w:tcPr>
          <w:p w:rsidR="0059232D" w:rsidRPr="0059232D" w:rsidRDefault="0059232D" w:rsidP="0059232D">
            <w:pPr>
              <w:spacing w:before="120" w:after="120" w:line="269" w:lineRule="auto"/>
              <w:jc w:val="center"/>
              <w:rPr>
                <w:rFonts w:ascii="Times New Roman" w:eastAsia="Arial" w:hAnsi="Times New Roman" w:cs="Times New Roman"/>
                <w:color w:val="000000"/>
                <w:lang w:eastAsia="ru-RU"/>
              </w:rPr>
            </w:pPr>
            <w:r w:rsidRPr="0059232D">
              <w:rPr>
                <w:rFonts w:ascii="Times New Roman" w:eastAsia="Arial" w:hAnsi="Times New Roman" w:cs="Times New Roman"/>
                <w:color w:val="000000"/>
                <w:lang w:eastAsia="ru-RU"/>
              </w:rPr>
              <w:t>72</w:t>
            </w:r>
          </w:p>
        </w:tc>
      </w:tr>
      <w:tr w:rsidR="0059232D" w:rsidRPr="0059232D" w:rsidTr="00EF0409">
        <w:trPr>
          <w:trHeight w:val="552"/>
        </w:trPr>
        <w:tc>
          <w:tcPr>
            <w:tcW w:w="5940" w:type="dxa"/>
            <w:vAlign w:val="center"/>
            <w:hideMark/>
          </w:tcPr>
          <w:p w:rsidR="0059232D" w:rsidRPr="0059232D" w:rsidRDefault="0059232D" w:rsidP="0059232D">
            <w:pPr>
              <w:spacing w:before="120" w:after="120" w:line="269" w:lineRule="auto"/>
              <w:jc w:val="both"/>
              <w:rPr>
                <w:rFonts w:ascii="Times New Roman" w:eastAsia="Arial" w:hAnsi="Times New Roman" w:cs="Times New Roman"/>
                <w:color w:val="000000"/>
                <w:lang w:eastAsia="ru-RU"/>
              </w:rPr>
            </w:pPr>
            <w:r w:rsidRPr="0059232D">
              <w:rPr>
                <w:rFonts w:ascii="Times New Roman" w:eastAsia="Arial" w:hAnsi="Times New Roman" w:cs="Times New Roman"/>
                <w:color w:val="000000"/>
                <w:lang w:eastAsia="ru-RU"/>
              </w:rPr>
              <w:t>Транспортировка нефти и (или) нефтепродуктов по магистральным трубопроводам</w:t>
            </w:r>
          </w:p>
        </w:tc>
        <w:tc>
          <w:tcPr>
            <w:tcW w:w="1316" w:type="dxa"/>
            <w:noWrap/>
            <w:vAlign w:val="center"/>
            <w:hideMark/>
          </w:tcPr>
          <w:p w:rsidR="0059232D" w:rsidRPr="0059232D" w:rsidRDefault="0059232D" w:rsidP="0059232D">
            <w:pPr>
              <w:spacing w:before="120" w:after="120" w:line="269" w:lineRule="auto"/>
              <w:jc w:val="center"/>
              <w:rPr>
                <w:rFonts w:ascii="Times New Roman" w:eastAsia="Arial" w:hAnsi="Times New Roman" w:cs="Times New Roman"/>
                <w:color w:val="000000"/>
                <w:lang w:eastAsia="ru-RU"/>
              </w:rPr>
            </w:pPr>
            <w:r w:rsidRPr="0059232D">
              <w:rPr>
                <w:rFonts w:ascii="Times New Roman" w:eastAsia="Arial" w:hAnsi="Times New Roman" w:cs="Times New Roman"/>
                <w:color w:val="000000"/>
                <w:lang w:eastAsia="ru-RU"/>
              </w:rPr>
              <w:t>2</w:t>
            </w:r>
          </w:p>
        </w:tc>
        <w:tc>
          <w:tcPr>
            <w:tcW w:w="1316" w:type="dxa"/>
            <w:noWrap/>
            <w:vAlign w:val="center"/>
            <w:hideMark/>
          </w:tcPr>
          <w:p w:rsidR="0059232D" w:rsidRPr="0059232D" w:rsidRDefault="0059232D" w:rsidP="0059232D">
            <w:pPr>
              <w:spacing w:before="120" w:after="120" w:line="269" w:lineRule="auto"/>
              <w:jc w:val="center"/>
              <w:rPr>
                <w:rFonts w:ascii="Times New Roman" w:eastAsia="Arial" w:hAnsi="Times New Roman" w:cs="Times New Roman"/>
                <w:color w:val="000000"/>
                <w:lang w:eastAsia="ru-RU"/>
              </w:rPr>
            </w:pPr>
            <w:r w:rsidRPr="0059232D">
              <w:rPr>
                <w:rFonts w:ascii="Times New Roman" w:eastAsia="Arial" w:hAnsi="Times New Roman" w:cs="Times New Roman"/>
                <w:color w:val="000000"/>
                <w:lang w:eastAsia="ru-RU"/>
              </w:rPr>
              <w:t>2</w:t>
            </w:r>
          </w:p>
        </w:tc>
        <w:tc>
          <w:tcPr>
            <w:tcW w:w="1317" w:type="dxa"/>
            <w:noWrap/>
            <w:vAlign w:val="center"/>
            <w:hideMark/>
          </w:tcPr>
          <w:p w:rsidR="0059232D" w:rsidRPr="0059232D" w:rsidRDefault="0059232D" w:rsidP="0059232D">
            <w:pPr>
              <w:spacing w:before="120" w:after="120" w:line="269" w:lineRule="auto"/>
              <w:jc w:val="center"/>
              <w:rPr>
                <w:rFonts w:ascii="Times New Roman" w:eastAsia="Arial" w:hAnsi="Times New Roman" w:cs="Times New Roman"/>
                <w:color w:val="000000"/>
                <w:lang w:eastAsia="ru-RU"/>
              </w:rPr>
            </w:pPr>
            <w:r w:rsidRPr="0059232D">
              <w:rPr>
                <w:rFonts w:ascii="Times New Roman" w:eastAsia="Arial" w:hAnsi="Times New Roman" w:cs="Times New Roman"/>
                <w:color w:val="000000"/>
                <w:lang w:eastAsia="ru-RU"/>
              </w:rPr>
              <w:t>2</w:t>
            </w:r>
          </w:p>
        </w:tc>
      </w:tr>
      <w:tr w:rsidR="0059232D" w:rsidRPr="0059232D" w:rsidTr="00EF0409">
        <w:trPr>
          <w:trHeight w:val="276"/>
        </w:trPr>
        <w:tc>
          <w:tcPr>
            <w:tcW w:w="5940" w:type="dxa"/>
            <w:vAlign w:val="center"/>
            <w:hideMark/>
          </w:tcPr>
          <w:p w:rsidR="0059232D" w:rsidRPr="0059232D" w:rsidRDefault="0059232D" w:rsidP="0059232D">
            <w:pPr>
              <w:spacing w:before="120" w:after="120" w:line="269" w:lineRule="auto"/>
              <w:jc w:val="both"/>
              <w:rPr>
                <w:rFonts w:ascii="Times New Roman" w:eastAsia="Arial" w:hAnsi="Times New Roman" w:cs="Times New Roman"/>
                <w:color w:val="000000"/>
                <w:lang w:eastAsia="ru-RU"/>
              </w:rPr>
            </w:pPr>
            <w:r w:rsidRPr="0059232D">
              <w:rPr>
                <w:rFonts w:ascii="Times New Roman" w:eastAsia="Arial" w:hAnsi="Times New Roman" w:cs="Times New Roman"/>
                <w:color w:val="000000"/>
                <w:lang w:eastAsia="ru-RU"/>
              </w:rPr>
              <w:t>Железнодорожные перевозки</w:t>
            </w:r>
          </w:p>
        </w:tc>
        <w:tc>
          <w:tcPr>
            <w:tcW w:w="1316" w:type="dxa"/>
            <w:noWrap/>
            <w:vAlign w:val="center"/>
            <w:hideMark/>
          </w:tcPr>
          <w:p w:rsidR="0059232D" w:rsidRPr="0059232D" w:rsidRDefault="0059232D" w:rsidP="0059232D">
            <w:pPr>
              <w:spacing w:before="120" w:after="120" w:line="269" w:lineRule="auto"/>
              <w:jc w:val="center"/>
              <w:rPr>
                <w:rFonts w:ascii="Times New Roman" w:eastAsia="Arial" w:hAnsi="Times New Roman" w:cs="Times New Roman"/>
                <w:color w:val="000000"/>
                <w:lang w:eastAsia="ru-RU"/>
              </w:rPr>
            </w:pPr>
            <w:r w:rsidRPr="0059232D">
              <w:rPr>
                <w:rFonts w:ascii="Times New Roman" w:eastAsia="Arial" w:hAnsi="Times New Roman" w:cs="Times New Roman"/>
                <w:color w:val="000000"/>
                <w:lang w:eastAsia="ru-RU"/>
              </w:rPr>
              <w:t>9</w:t>
            </w:r>
          </w:p>
        </w:tc>
        <w:tc>
          <w:tcPr>
            <w:tcW w:w="1316" w:type="dxa"/>
            <w:noWrap/>
            <w:vAlign w:val="center"/>
            <w:hideMark/>
          </w:tcPr>
          <w:p w:rsidR="0059232D" w:rsidRPr="0059232D" w:rsidRDefault="0059232D" w:rsidP="0059232D">
            <w:pPr>
              <w:spacing w:before="120" w:after="120" w:line="269" w:lineRule="auto"/>
              <w:jc w:val="center"/>
              <w:rPr>
                <w:rFonts w:ascii="Times New Roman" w:eastAsia="Arial" w:hAnsi="Times New Roman" w:cs="Times New Roman"/>
                <w:color w:val="000000"/>
                <w:lang w:eastAsia="ru-RU"/>
              </w:rPr>
            </w:pPr>
            <w:r w:rsidRPr="0059232D">
              <w:rPr>
                <w:rFonts w:ascii="Times New Roman" w:eastAsia="Arial" w:hAnsi="Times New Roman" w:cs="Times New Roman"/>
                <w:color w:val="000000"/>
                <w:lang w:eastAsia="ru-RU"/>
              </w:rPr>
              <w:t>10</w:t>
            </w:r>
          </w:p>
        </w:tc>
        <w:tc>
          <w:tcPr>
            <w:tcW w:w="1317" w:type="dxa"/>
            <w:noWrap/>
            <w:vAlign w:val="center"/>
            <w:hideMark/>
          </w:tcPr>
          <w:p w:rsidR="0059232D" w:rsidRPr="0059232D" w:rsidRDefault="0059232D" w:rsidP="0059232D">
            <w:pPr>
              <w:spacing w:before="120" w:after="120" w:line="269" w:lineRule="auto"/>
              <w:jc w:val="center"/>
              <w:rPr>
                <w:rFonts w:ascii="Times New Roman" w:eastAsia="Arial" w:hAnsi="Times New Roman" w:cs="Times New Roman"/>
                <w:color w:val="000000"/>
                <w:lang w:eastAsia="ru-RU"/>
              </w:rPr>
            </w:pPr>
            <w:r w:rsidRPr="0059232D">
              <w:rPr>
                <w:rFonts w:ascii="Times New Roman" w:eastAsia="Arial" w:hAnsi="Times New Roman" w:cs="Times New Roman"/>
                <w:color w:val="000000"/>
                <w:lang w:eastAsia="ru-RU"/>
              </w:rPr>
              <w:t>10</w:t>
            </w:r>
          </w:p>
        </w:tc>
      </w:tr>
    </w:tbl>
    <w:p w:rsidR="0059232D" w:rsidRPr="00573C20" w:rsidRDefault="0059232D" w:rsidP="00573C20">
      <w:pPr>
        <w:spacing w:before="120" w:after="120" w:line="360" w:lineRule="auto"/>
        <w:ind w:firstLine="708"/>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 xml:space="preserve">Комитет по тарифам и ценовой политике Ленинградской области является уполномоченным органом и осуществляет региональный государственный контроль (надзор) в сферах естественных монополий на территории Ленинградской области, а также региональный государственный контроль (надзор) в области регулирования цен (тарифов) в сферах электроэнергетики, теплоснабжения, водоснабжения и водоотведения, обращения с твердыми коммунальными отходами на территории Ленинградской области. </w:t>
      </w:r>
    </w:p>
    <w:p w:rsidR="0059232D" w:rsidRPr="00573C20" w:rsidRDefault="0059232D" w:rsidP="0059232D">
      <w:pPr>
        <w:spacing w:before="120" w:after="120" w:line="360" w:lineRule="auto"/>
        <w:ind w:firstLine="709"/>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 xml:space="preserve">Комитет по тарифам и ценовой политике Ленинградской области осуществляет деятельность в соответствии Постановлением Правительства Ленинградской области от 28.08.2013 №274 </w:t>
      </w:r>
      <w:r w:rsidR="002440F7">
        <w:rPr>
          <w:rFonts w:ascii="Times New Roman" w:eastAsia="Arial" w:hAnsi="Times New Roman" w:cs="Times New Roman"/>
          <w:color w:val="000000"/>
          <w:sz w:val="24"/>
          <w:szCs w:val="24"/>
          <w:lang w:eastAsia="ru-RU"/>
        </w:rPr>
        <w:t>«</w:t>
      </w:r>
      <w:r w:rsidRPr="00573C20">
        <w:rPr>
          <w:rFonts w:ascii="Times New Roman" w:eastAsia="Arial" w:hAnsi="Times New Roman" w:cs="Times New Roman"/>
          <w:color w:val="000000"/>
          <w:sz w:val="24"/>
          <w:szCs w:val="24"/>
          <w:lang w:eastAsia="ru-RU"/>
        </w:rPr>
        <w:t>Об утверждении Положения о комитете по тарифам и ценовой политике Ленинградской области и признании утратившими силу некоторых постановлений Правительства Ленинградской области</w:t>
      </w:r>
      <w:r w:rsidR="002440F7">
        <w:rPr>
          <w:rFonts w:ascii="Times New Roman" w:eastAsia="Arial" w:hAnsi="Times New Roman" w:cs="Times New Roman"/>
          <w:color w:val="000000"/>
          <w:sz w:val="24"/>
          <w:szCs w:val="24"/>
          <w:lang w:eastAsia="ru-RU"/>
        </w:rPr>
        <w:t>»</w:t>
      </w:r>
      <w:r w:rsidRPr="00573C20">
        <w:rPr>
          <w:rFonts w:ascii="Times New Roman" w:eastAsia="Arial" w:hAnsi="Times New Roman" w:cs="Times New Roman"/>
          <w:color w:val="000000"/>
          <w:sz w:val="24"/>
          <w:szCs w:val="24"/>
          <w:lang w:eastAsia="ru-RU"/>
        </w:rPr>
        <w:t xml:space="preserve">. </w:t>
      </w:r>
    </w:p>
    <w:p w:rsidR="0059232D" w:rsidRPr="00573C20" w:rsidRDefault="0059232D" w:rsidP="00573C20">
      <w:pPr>
        <w:pStyle w:val="a4"/>
        <w:numPr>
          <w:ilvl w:val="1"/>
          <w:numId w:val="7"/>
        </w:numPr>
        <w:spacing w:before="120" w:after="120" w:line="360" w:lineRule="auto"/>
        <w:jc w:val="center"/>
        <w:rPr>
          <w:rFonts w:ascii="Times New Roman" w:eastAsia="Arial" w:hAnsi="Times New Roman" w:cs="Times New Roman"/>
          <w:b/>
          <w:color w:val="000000"/>
          <w:sz w:val="24"/>
          <w:szCs w:val="24"/>
          <w:lang w:eastAsia="ru-RU"/>
        </w:rPr>
      </w:pPr>
      <w:r w:rsidRPr="00573C20">
        <w:rPr>
          <w:rFonts w:ascii="Times New Roman" w:eastAsia="Arial" w:hAnsi="Times New Roman" w:cs="Times New Roman"/>
          <w:b/>
          <w:color w:val="000000"/>
          <w:sz w:val="24"/>
          <w:szCs w:val="24"/>
          <w:lang w:eastAsia="ru-RU"/>
        </w:rPr>
        <w:t>Результаты мониторинга деятельности субъектов естественных монополий на территории Ленинградской области</w:t>
      </w:r>
    </w:p>
    <w:p w:rsidR="0059232D" w:rsidRPr="00573C20" w:rsidRDefault="0059232D" w:rsidP="0059232D">
      <w:pPr>
        <w:pStyle w:val="a4"/>
        <w:spacing w:before="120" w:after="120" w:line="360" w:lineRule="auto"/>
        <w:ind w:left="1069"/>
        <w:jc w:val="center"/>
        <w:rPr>
          <w:rFonts w:ascii="Times New Roman" w:eastAsia="Arial" w:hAnsi="Times New Roman" w:cs="Times New Roman"/>
          <w:b/>
          <w:color w:val="000000"/>
          <w:sz w:val="24"/>
          <w:szCs w:val="24"/>
          <w:highlight w:val="white"/>
          <w:lang w:eastAsia="ru-RU"/>
        </w:rPr>
      </w:pPr>
      <w:r w:rsidRPr="00573C20">
        <w:rPr>
          <w:rFonts w:ascii="Times New Roman" w:eastAsia="Arial" w:hAnsi="Times New Roman" w:cs="Times New Roman"/>
          <w:b/>
          <w:color w:val="000000"/>
          <w:sz w:val="24"/>
          <w:szCs w:val="24"/>
          <w:lang w:eastAsia="ru-RU"/>
        </w:rPr>
        <w:t>3.4.1. О динамике и количестве юридических лиц, представителей естественных монополий, осуществляющих свою деятельность на территории Ленинградской области</w:t>
      </w:r>
    </w:p>
    <w:p w:rsidR="0059232D" w:rsidRPr="00573C20" w:rsidRDefault="0059232D" w:rsidP="00573C20">
      <w:pPr>
        <w:spacing w:after="0" w:line="360" w:lineRule="auto"/>
        <w:ind w:firstLine="709"/>
        <w:jc w:val="both"/>
        <w:rPr>
          <w:rFonts w:ascii="Times New Roman" w:eastAsia="Arial" w:hAnsi="Times New Roman" w:cs="Times New Roman"/>
          <w:color w:val="000000"/>
          <w:sz w:val="24"/>
          <w:szCs w:val="24"/>
          <w:highlight w:val="white"/>
          <w:lang w:eastAsia="ru-RU"/>
        </w:rPr>
      </w:pPr>
      <w:r w:rsidRPr="00573C20">
        <w:rPr>
          <w:rFonts w:ascii="Times New Roman" w:eastAsia="Arial" w:hAnsi="Times New Roman" w:cs="Times New Roman"/>
          <w:color w:val="000000"/>
          <w:sz w:val="24"/>
          <w:szCs w:val="24"/>
          <w:highlight w:val="white"/>
          <w:lang w:eastAsia="ru-RU"/>
        </w:rPr>
        <w:t xml:space="preserve">В соответствии со статьей 10 Федерального закона от 17.08.1995 N 147-ФЗ </w:t>
      </w:r>
      <w:r w:rsidR="002440F7">
        <w:rPr>
          <w:rFonts w:ascii="Times New Roman" w:eastAsia="Arial" w:hAnsi="Times New Roman" w:cs="Times New Roman"/>
          <w:color w:val="000000"/>
          <w:sz w:val="24"/>
          <w:szCs w:val="24"/>
          <w:highlight w:val="white"/>
          <w:lang w:eastAsia="ru-RU"/>
        </w:rPr>
        <w:t>«</w:t>
      </w:r>
      <w:r w:rsidRPr="00573C20">
        <w:rPr>
          <w:rFonts w:ascii="Times New Roman" w:eastAsia="Arial" w:hAnsi="Times New Roman" w:cs="Times New Roman"/>
          <w:color w:val="000000"/>
          <w:sz w:val="24"/>
          <w:szCs w:val="24"/>
          <w:highlight w:val="white"/>
          <w:lang w:eastAsia="ru-RU"/>
        </w:rPr>
        <w:t>О естественных монополиях</w:t>
      </w:r>
      <w:r w:rsidR="002440F7">
        <w:rPr>
          <w:rFonts w:ascii="Times New Roman" w:eastAsia="Arial" w:hAnsi="Times New Roman" w:cs="Times New Roman"/>
          <w:color w:val="000000"/>
          <w:sz w:val="24"/>
          <w:szCs w:val="24"/>
          <w:highlight w:val="white"/>
          <w:lang w:eastAsia="ru-RU"/>
        </w:rPr>
        <w:t>»</w:t>
      </w:r>
      <w:r w:rsidRPr="00573C20">
        <w:rPr>
          <w:rFonts w:ascii="Times New Roman" w:eastAsia="Arial" w:hAnsi="Times New Roman" w:cs="Times New Roman"/>
          <w:color w:val="000000"/>
          <w:sz w:val="24"/>
          <w:szCs w:val="24"/>
          <w:highlight w:val="white"/>
          <w:lang w:eastAsia="ru-RU"/>
        </w:rPr>
        <w:t xml:space="preserve"> органы регулирования естественных монополий формируют и ведут реестр субъектов естественных монополий, в отношении которых осуществляются государственные регулирование и контроль.</w:t>
      </w:r>
    </w:p>
    <w:p w:rsidR="0059232D" w:rsidRPr="00573C20" w:rsidRDefault="0059232D" w:rsidP="00573C20">
      <w:pPr>
        <w:spacing w:after="0" w:line="360" w:lineRule="auto"/>
        <w:ind w:firstLine="709"/>
        <w:jc w:val="both"/>
        <w:rPr>
          <w:rFonts w:ascii="Times New Roman" w:eastAsia="Arial" w:hAnsi="Times New Roman" w:cs="Times New Roman"/>
          <w:color w:val="000000"/>
          <w:sz w:val="24"/>
          <w:szCs w:val="24"/>
          <w:highlight w:val="white"/>
          <w:lang w:eastAsia="ru-RU"/>
        </w:rPr>
      </w:pPr>
      <w:r w:rsidRPr="00573C20">
        <w:rPr>
          <w:rFonts w:ascii="Times New Roman" w:eastAsia="Arial" w:hAnsi="Times New Roman" w:cs="Times New Roman"/>
          <w:color w:val="000000"/>
          <w:sz w:val="24"/>
          <w:szCs w:val="24"/>
          <w:highlight w:val="white"/>
          <w:lang w:eastAsia="ru-RU"/>
        </w:rPr>
        <w:t>На территории Ленинградской области по состоянию на 01.09.2022 г. субъекты естественных монополий осуществляют деятельность в 9 различных сферах.</w:t>
      </w:r>
    </w:p>
    <w:p w:rsidR="0059232D" w:rsidRPr="0059232D" w:rsidRDefault="0059232D" w:rsidP="00573C20">
      <w:pPr>
        <w:keepNext/>
        <w:keepLines/>
        <w:spacing w:before="120" w:after="120" w:line="240" w:lineRule="auto"/>
        <w:jc w:val="center"/>
        <w:rPr>
          <w:rFonts w:ascii="Times New Roman" w:eastAsia="Arial" w:hAnsi="Times New Roman" w:cs="Times New Roman"/>
          <w:color w:val="000000"/>
          <w:sz w:val="24"/>
          <w:szCs w:val="24"/>
          <w:lang w:eastAsia="ru-RU"/>
        </w:rPr>
      </w:pPr>
      <w:r w:rsidRPr="0059232D">
        <w:rPr>
          <w:rFonts w:ascii="Times New Roman" w:eastAsia="Arial" w:hAnsi="Times New Roman" w:cs="Times New Roman"/>
          <w:color w:val="000000"/>
          <w:sz w:val="24"/>
          <w:szCs w:val="24"/>
          <w:lang w:eastAsia="ru-RU"/>
        </w:rPr>
        <w:t xml:space="preserve">Таблица </w:t>
      </w:r>
      <w:r w:rsidR="00573C20">
        <w:rPr>
          <w:rFonts w:ascii="Times New Roman" w:eastAsia="Arial" w:hAnsi="Times New Roman" w:cs="Times New Roman"/>
          <w:color w:val="000000"/>
          <w:sz w:val="24"/>
          <w:szCs w:val="24"/>
          <w:lang w:eastAsia="ru-RU"/>
        </w:rPr>
        <w:t>21</w:t>
      </w:r>
      <w:r w:rsidRPr="0059232D">
        <w:rPr>
          <w:rFonts w:ascii="Times New Roman" w:eastAsia="Arial" w:hAnsi="Times New Roman" w:cs="Times New Roman"/>
          <w:color w:val="000000"/>
          <w:sz w:val="24"/>
          <w:szCs w:val="24"/>
          <w:lang w:eastAsia="ru-RU"/>
        </w:rPr>
        <w:t>. Перечень товарных рынков, на которых присутствуют субъекты естественных монополий, на территории Ленинградской области</w:t>
      </w:r>
    </w:p>
    <w:tbl>
      <w:tblPr>
        <w:tblW w:w="9981"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6"/>
        <w:gridCol w:w="9355"/>
      </w:tblGrid>
      <w:tr w:rsidR="0059232D" w:rsidRPr="0059232D" w:rsidTr="00EF0409">
        <w:trPr>
          <w:trHeight w:val="404"/>
          <w:tblHeader/>
        </w:trPr>
        <w:tc>
          <w:tcPr>
            <w:tcW w:w="626" w:type="dxa"/>
            <w:vMerge w:val="restart"/>
            <w:shd w:val="clear" w:color="auto" w:fill="auto"/>
            <w:tcMar>
              <w:top w:w="100" w:type="dxa"/>
              <w:left w:w="100" w:type="dxa"/>
              <w:bottom w:w="100" w:type="dxa"/>
              <w:right w:w="100" w:type="dxa"/>
            </w:tcMar>
            <w:vAlign w:val="center"/>
          </w:tcPr>
          <w:p w:rsidR="0059232D" w:rsidRPr="002440F7" w:rsidRDefault="0059232D" w:rsidP="0059232D">
            <w:pPr>
              <w:pBdr>
                <w:top w:val="nil"/>
                <w:left w:val="nil"/>
                <w:bottom w:val="nil"/>
                <w:right w:val="nil"/>
                <w:between w:val="nil"/>
              </w:pBdr>
              <w:spacing w:before="120" w:after="120" w:line="240" w:lineRule="auto"/>
              <w:jc w:val="center"/>
              <w:rPr>
                <w:rFonts w:ascii="Times New Roman" w:eastAsia="Times New Roman" w:hAnsi="Times New Roman" w:cs="Times New Roman"/>
                <w:b/>
                <w:color w:val="000000"/>
              </w:rPr>
            </w:pPr>
            <w:r w:rsidRPr="002440F7">
              <w:rPr>
                <w:rFonts w:ascii="Times New Roman" w:eastAsia="Times New Roman" w:hAnsi="Times New Roman" w:cs="Times New Roman"/>
                <w:b/>
                <w:color w:val="000000"/>
              </w:rPr>
              <w:t>№ п/п</w:t>
            </w:r>
          </w:p>
        </w:tc>
        <w:tc>
          <w:tcPr>
            <w:tcW w:w="9355" w:type="dxa"/>
            <w:vMerge w:val="restart"/>
            <w:shd w:val="clear" w:color="auto" w:fill="auto"/>
            <w:tcMar>
              <w:top w:w="100" w:type="dxa"/>
              <w:left w:w="100" w:type="dxa"/>
              <w:bottom w:w="100" w:type="dxa"/>
              <w:right w:w="100" w:type="dxa"/>
            </w:tcMar>
            <w:vAlign w:val="center"/>
          </w:tcPr>
          <w:p w:rsidR="0059232D" w:rsidRPr="002440F7" w:rsidRDefault="0059232D" w:rsidP="0059232D">
            <w:pPr>
              <w:pBdr>
                <w:top w:val="nil"/>
                <w:left w:val="nil"/>
                <w:bottom w:val="nil"/>
                <w:right w:val="nil"/>
                <w:between w:val="nil"/>
              </w:pBdr>
              <w:spacing w:before="120" w:after="120" w:line="240" w:lineRule="auto"/>
              <w:jc w:val="center"/>
              <w:rPr>
                <w:rFonts w:ascii="Times New Roman" w:eastAsia="Times New Roman" w:hAnsi="Times New Roman" w:cs="Times New Roman"/>
                <w:b/>
                <w:color w:val="000000"/>
              </w:rPr>
            </w:pPr>
            <w:r w:rsidRPr="002440F7">
              <w:rPr>
                <w:rFonts w:ascii="Times New Roman" w:eastAsia="Times New Roman" w:hAnsi="Times New Roman" w:cs="Times New Roman"/>
                <w:b/>
                <w:color w:val="000000"/>
              </w:rPr>
              <w:t>Рынок присутствия субъектов естественных монополий</w:t>
            </w:r>
          </w:p>
        </w:tc>
      </w:tr>
      <w:tr w:rsidR="0059232D" w:rsidRPr="0059232D" w:rsidTr="00EF0409">
        <w:trPr>
          <w:trHeight w:val="524"/>
        </w:trPr>
        <w:tc>
          <w:tcPr>
            <w:tcW w:w="626" w:type="dxa"/>
            <w:vMerge/>
            <w:shd w:val="clear" w:color="auto" w:fill="auto"/>
            <w:tcMar>
              <w:top w:w="100" w:type="dxa"/>
              <w:left w:w="100" w:type="dxa"/>
              <w:bottom w:w="100" w:type="dxa"/>
              <w:right w:w="100" w:type="dxa"/>
            </w:tcMar>
            <w:vAlign w:val="center"/>
          </w:tcPr>
          <w:p w:rsidR="0059232D" w:rsidRPr="0059232D" w:rsidRDefault="0059232D" w:rsidP="0059232D">
            <w:pPr>
              <w:pBdr>
                <w:top w:val="nil"/>
                <w:left w:val="nil"/>
                <w:bottom w:val="nil"/>
                <w:right w:val="nil"/>
                <w:between w:val="nil"/>
              </w:pBdr>
              <w:spacing w:before="120" w:after="120" w:line="240" w:lineRule="auto"/>
              <w:jc w:val="center"/>
              <w:rPr>
                <w:rFonts w:ascii="Times New Roman" w:eastAsia="Times New Roman" w:hAnsi="Times New Roman" w:cs="Times New Roman"/>
                <w:color w:val="000000"/>
              </w:rPr>
            </w:pPr>
          </w:p>
        </w:tc>
        <w:tc>
          <w:tcPr>
            <w:tcW w:w="9355" w:type="dxa"/>
            <w:vMerge/>
            <w:shd w:val="clear" w:color="auto" w:fill="auto"/>
            <w:tcMar>
              <w:top w:w="100" w:type="dxa"/>
              <w:left w:w="100" w:type="dxa"/>
              <w:bottom w:w="100" w:type="dxa"/>
              <w:right w:w="100" w:type="dxa"/>
            </w:tcMar>
            <w:vAlign w:val="center"/>
          </w:tcPr>
          <w:p w:rsidR="0059232D" w:rsidRPr="0059232D" w:rsidRDefault="0059232D" w:rsidP="0059232D">
            <w:pPr>
              <w:pBdr>
                <w:top w:val="nil"/>
                <w:left w:val="nil"/>
                <w:bottom w:val="nil"/>
                <w:right w:val="nil"/>
                <w:between w:val="nil"/>
              </w:pBdr>
              <w:spacing w:before="120" w:after="120" w:line="240" w:lineRule="auto"/>
              <w:rPr>
                <w:rFonts w:ascii="Times New Roman" w:eastAsia="Times New Roman" w:hAnsi="Times New Roman" w:cs="Times New Roman"/>
                <w:color w:val="000000"/>
              </w:rPr>
            </w:pPr>
          </w:p>
        </w:tc>
      </w:tr>
      <w:tr w:rsidR="0059232D" w:rsidRPr="0059232D" w:rsidTr="00EF0409">
        <w:tc>
          <w:tcPr>
            <w:tcW w:w="626" w:type="dxa"/>
            <w:shd w:val="clear" w:color="auto" w:fill="auto"/>
            <w:tcMar>
              <w:top w:w="100" w:type="dxa"/>
              <w:left w:w="100" w:type="dxa"/>
              <w:bottom w:w="100" w:type="dxa"/>
              <w:right w:w="100" w:type="dxa"/>
            </w:tcMar>
            <w:vAlign w:val="center"/>
          </w:tcPr>
          <w:p w:rsidR="0059232D" w:rsidRPr="0059232D" w:rsidRDefault="0059232D" w:rsidP="0059232D">
            <w:pPr>
              <w:pBdr>
                <w:top w:val="nil"/>
                <w:left w:val="nil"/>
                <w:bottom w:val="nil"/>
                <w:right w:val="nil"/>
                <w:between w:val="nil"/>
              </w:pBdr>
              <w:spacing w:before="120" w:after="120" w:line="240" w:lineRule="auto"/>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1</w:t>
            </w:r>
          </w:p>
        </w:tc>
        <w:tc>
          <w:tcPr>
            <w:tcW w:w="9355" w:type="dxa"/>
            <w:shd w:val="clear" w:color="auto" w:fill="auto"/>
            <w:tcMar>
              <w:top w:w="100" w:type="dxa"/>
              <w:left w:w="100" w:type="dxa"/>
              <w:bottom w:w="100" w:type="dxa"/>
              <w:right w:w="100" w:type="dxa"/>
            </w:tcMar>
            <w:vAlign w:val="center"/>
          </w:tcPr>
          <w:p w:rsidR="0059232D" w:rsidRPr="0059232D" w:rsidRDefault="0059232D" w:rsidP="0059232D">
            <w:pPr>
              <w:pBdr>
                <w:top w:val="nil"/>
                <w:left w:val="nil"/>
                <w:bottom w:val="nil"/>
                <w:right w:val="nil"/>
                <w:between w:val="nil"/>
              </w:pBdr>
              <w:spacing w:before="120" w:after="120" w:line="240" w:lineRule="auto"/>
              <w:rPr>
                <w:rFonts w:ascii="Times New Roman" w:eastAsia="Times New Roman" w:hAnsi="Times New Roman" w:cs="Times New Roman"/>
                <w:color w:val="000000"/>
              </w:rPr>
            </w:pPr>
            <w:r w:rsidRPr="0059232D">
              <w:rPr>
                <w:rFonts w:ascii="Times New Roman" w:eastAsia="Times New Roman" w:hAnsi="Times New Roman" w:cs="Times New Roman"/>
                <w:color w:val="000000"/>
              </w:rPr>
              <w:t>Рынок нефтепродуктов* в части оказания услуг по транспортировке нефти и нефтепродуктов по магистральным трубопроводам</w:t>
            </w:r>
          </w:p>
        </w:tc>
      </w:tr>
      <w:tr w:rsidR="0059232D" w:rsidRPr="0059232D" w:rsidTr="00EF0409">
        <w:tc>
          <w:tcPr>
            <w:tcW w:w="626" w:type="dxa"/>
            <w:shd w:val="clear" w:color="auto" w:fill="auto"/>
            <w:tcMar>
              <w:top w:w="100" w:type="dxa"/>
              <w:left w:w="100" w:type="dxa"/>
              <w:bottom w:w="100" w:type="dxa"/>
              <w:right w:w="100" w:type="dxa"/>
            </w:tcMar>
            <w:vAlign w:val="center"/>
          </w:tcPr>
          <w:p w:rsidR="0059232D" w:rsidRPr="0059232D" w:rsidRDefault="0059232D" w:rsidP="0059232D">
            <w:pPr>
              <w:pBdr>
                <w:top w:val="nil"/>
                <w:left w:val="nil"/>
                <w:bottom w:val="nil"/>
                <w:right w:val="nil"/>
                <w:between w:val="nil"/>
              </w:pBdr>
              <w:spacing w:before="120" w:after="120" w:line="240" w:lineRule="auto"/>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2</w:t>
            </w:r>
          </w:p>
        </w:tc>
        <w:tc>
          <w:tcPr>
            <w:tcW w:w="9355" w:type="dxa"/>
            <w:shd w:val="clear" w:color="auto" w:fill="auto"/>
            <w:tcMar>
              <w:top w:w="100" w:type="dxa"/>
              <w:left w:w="100" w:type="dxa"/>
              <w:bottom w:w="100" w:type="dxa"/>
              <w:right w:w="100" w:type="dxa"/>
            </w:tcMar>
            <w:vAlign w:val="center"/>
          </w:tcPr>
          <w:p w:rsidR="0059232D" w:rsidRPr="0059232D" w:rsidRDefault="0059232D" w:rsidP="0059232D">
            <w:pPr>
              <w:pBdr>
                <w:top w:val="nil"/>
                <w:left w:val="nil"/>
                <w:bottom w:val="nil"/>
                <w:right w:val="nil"/>
                <w:between w:val="nil"/>
              </w:pBdr>
              <w:spacing w:before="120" w:after="120" w:line="240" w:lineRule="auto"/>
              <w:rPr>
                <w:rFonts w:ascii="Times New Roman" w:eastAsia="Times New Roman" w:hAnsi="Times New Roman" w:cs="Times New Roman"/>
                <w:color w:val="000000"/>
              </w:rPr>
            </w:pPr>
            <w:r w:rsidRPr="0059232D">
              <w:rPr>
                <w:rFonts w:ascii="Times New Roman" w:eastAsia="Times New Roman" w:hAnsi="Times New Roman" w:cs="Times New Roman"/>
                <w:color w:val="000000"/>
              </w:rPr>
              <w:t>Рынок теплоснабжения (производство тепловой энергии)* в части оказания услуг по транспортировке газа по трубопроводам</w:t>
            </w:r>
          </w:p>
        </w:tc>
      </w:tr>
      <w:tr w:rsidR="0059232D" w:rsidRPr="0059232D" w:rsidTr="00EF0409">
        <w:tc>
          <w:tcPr>
            <w:tcW w:w="626" w:type="dxa"/>
            <w:shd w:val="clear" w:color="auto" w:fill="auto"/>
            <w:tcMar>
              <w:top w:w="100" w:type="dxa"/>
              <w:left w:w="100" w:type="dxa"/>
              <w:bottom w:w="100" w:type="dxa"/>
              <w:right w:w="100" w:type="dxa"/>
            </w:tcMar>
            <w:vAlign w:val="center"/>
          </w:tcPr>
          <w:p w:rsidR="0059232D" w:rsidRPr="0059232D" w:rsidRDefault="0059232D" w:rsidP="0059232D">
            <w:pPr>
              <w:pBdr>
                <w:top w:val="nil"/>
                <w:left w:val="nil"/>
                <w:bottom w:val="nil"/>
                <w:right w:val="nil"/>
                <w:between w:val="nil"/>
              </w:pBdr>
              <w:spacing w:before="120" w:after="120" w:line="240" w:lineRule="auto"/>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3</w:t>
            </w:r>
          </w:p>
        </w:tc>
        <w:tc>
          <w:tcPr>
            <w:tcW w:w="9355" w:type="dxa"/>
            <w:shd w:val="clear" w:color="auto" w:fill="auto"/>
            <w:tcMar>
              <w:top w:w="100" w:type="dxa"/>
              <w:left w:w="100" w:type="dxa"/>
              <w:bottom w:w="100" w:type="dxa"/>
              <w:right w:w="100" w:type="dxa"/>
            </w:tcMar>
            <w:vAlign w:val="center"/>
          </w:tcPr>
          <w:p w:rsidR="0059232D" w:rsidRPr="0059232D" w:rsidRDefault="0059232D" w:rsidP="0059232D">
            <w:pPr>
              <w:pBdr>
                <w:top w:val="nil"/>
                <w:left w:val="nil"/>
                <w:bottom w:val="nil"/>
                <w:right w:val="nil"/>
                <w:between w:val="nil"/>
              </w:pBdr>
              <w:spacing w:before="120" w:after="120" w:line="240" w:lineRule="auto"/>
              <w:rPr>
                <w:rFonts w:ascii="Times New Roman" w:eastAsia="Times New Roman" w:hAnsi="Times New Roman" w:cs="Times New Roman"/>
                <w:color w:val="000000"/>
              </w:rPr>
            </w:pPr>
            <w:r w:rsidRPr="0059232D">
              <w:rPr>
                <w:rFonts w:ascii="Times New Roman" w:eastAsia="Times New Roman" w:hAnsi="Times New Roman" w:cs="Times New Roman"/>
                <w:color w:val="000000"/>
              </w:rPr>
              <w:t>Рынок железнодорожного транспорта</w:t>
            </w:r>
          </w:p>
        </w:tc>
      </w:tr>
      <w:tr w:rsidR="0059232D" w:rsidRPr="0059232D" w:rsidTr="00EF0409">
        <w:tc>
          <w:tcPr>
            <w:tcW w:w="626" w:type="dxa"/>
            <w:shd w:val="clear" w:color="auto" w:fill="auto"/>
            <w:tcMar>
              <w:top w:w="100" w:type="dxa"/>
              <w:left w:w="100" w:type="dxa"/>
              <w:bottom w:w="100" w:type="dxa"/>
              <w:right w:w="100" w:type="dxa"/>
            </w:tcMar>
            <w:vAlign w:val="center"/>
          </w:tcPr>
          <w:p w:rsidR="0059232D" w:rsidRPr="0059232D" w:rsidRDefault="0059232D" w:rsidP="0059232D">
            <w:pPr>
              <w:pBdr>
                <w:top w:val="nil"/>
                <w:left w:val="nil"/>
                <w:bottom w:val="nil"/>
                <w:right w:val="nil"/>
                <w:between w:val="nil"/>
              </w:pBdr>
              <w:spacing w:before="120" w:after="120" w:line="240" w:lineRule="auto"/>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4</w:t>
            </w:r>
          </w:p>
        </w:tc>
        <w:tc>
          <w:tcPr>
            <w:tcW w:w="9355" w:type="dxa"/>
            <w:shd w:val="clear" w:color="auto" w:fill="auto"/>
            <w:tcMar>
              <w:top w:w="100" w:type="dxa"/>
              <w:left w:w="100" w:type="dxa"/>
              <w:bottom w:w="100" w:type="dxa"/>
              <w:right w:w="100" w:type="dxa"/>
            </w:tcMar>
            <w:vAlign w:val="center"/>
          </w:tcPr>
          <w:p w:rsidR="0059232D" w:rsidRPr="0059232D" w:rsidRDefault="0059232D" w:rsidP="0059232D">
            <w:pPr>
              <w:pBdr>
                <w:top w:val="nil"/>
                <w:left w:val="nil"/>
                <w:bottom w:val="nil"/>
                <w:right w:val="nil"/>
                <w:between w:val="nil"/>
              </w:pBdr>
              <w:spacing w:before="120" w:after="120" w:line="240" w:lineRule="auto"/>
              <w:rPr>
                <w:rFonts w:ascii="Times New Roman" w:eastAsia="Times New Roman" w:hAnsi="Times New Roman" w:cs="Times New Roman"/>
                <w:color w:val="000000"/>
              </w:rPr>
            </w:pPr>
            <w:r w:rsidRPr="0059232D">
              <w:rPr>
                <w:rFonts w:ascii="Times New Roman" w:eastAsia="Times New Roman" w:hAnsi="Times New Roman" w:cs="Times New Roman"/>
                <w:color w:val="000000"/>
              </w:rPr>
              <w:t>Рынок услуг в транспортных терминалах, портах</w:t>
            </w:r>
          </w:p>
        </w:tc>
      </w:tr>
      <w:tr w:rsidR="0059232D" w:rsidRPr="0059232D" w:rsidTr="00EF0409">
        <w:tc>
          <w:tcPr>
            <w:tcW w:w="626" w:type="dxa"/>
            <w:shd w:val="clear" w:color="auto" w:fill="auto"/>
            <w:tcMar>
              <w:top w:w="100" w:type="dxa"/>
              <w:left w:w="100" w:type="dxa"/>
              <w:bottom w:w="100" w:type="dxa"/>
              <w:right w:w="100" w:type="dxa"/>
            </w:tcMar>
            <w:vAlign w:val="center"/>
          </w:tcPr>
          <w:p w:rsidR="0059232D" w:rsidRPr="0059232D" w:rsidRDefault="0059232D" w:rsidP="0059232D">
            <w:pPr>
              <w:pBdr>
                <w:top w:val="nil"/>
                <w:left w:val="nil"/>
                <w:bottom w:val="nil"/>
                <w:right w:val="nil"/>
                <w:between w:val="nil"/>
              </w:pBdr>
              <w:spacing w:before="120" w:after="120" w:line="240" w:lineRule="auto"/>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5</w:t>
            </w:r>
          </w:p>
        </w:tc>
        <w:tc>
          <w:tcPr>
            <w:tcW w:w="9355" w:type="dxa"/>
            <w:shd w:val="clear" w:color="auto" w:fill="auto"/>
            <w:tcMar>
              <w:top w:w="100" w:type="dxa"/>
              <w:left w:w="100" w:type="dxa"/>
              <w:bottom w:w="100" w:type="dxa"/>
              <w:right w:w="100" w:type="dxa"/>
            </w:tcMar>
            <w:vAlign w:val="center"/>
          </w:tcPr>
          <w:p w:rsidR="0059232D" w:rsidRPr="0059232D" w:rsidRDefault="0059232D" w:rsidP="0059232D">
            <w:pPr>
              <w:pBdr>
                <w:top w:val="nil"/>
                <w:left w:val="nil"/>
                <w:bottom w:val="nil"/>
                <w:right w:val="nil"/>
                <w:between w:val="nil"/>
              </w:pBdr>
              <w:spacing w:before="120" w:after="120" w:line="240" w:lineRule="auto"/>
              <w:rPr>
                <w:rFonts w:ascii="Times New Roman" w:eastAsia="Times New Roman" w:hAnsi="Times New Roman" w:cs="Times New Roman"/>
                <w:color w:val="000000"/>
              </w:rPr>
            </w:pPr>
            <w:r w:rsidRPr="0059232D">
              <w:rPr>
                <w:rFonts w:ascii="Times New Roman" w:eastAsia="Times New Roman" w:hAnsi="Times New Roman" w:cs="Times New Roman"/>
                <w:color w:val="000000"/>
              </w:rPr>
              <w:t>Рынок услуг связи, в том числе услуг по предоставлению широкополосного доступа к информационно-телекоммуникационной сети "Интернет"* в части оказания услуг общедоступной электросвязи и общедоступной почтовой связи</w:t>
            </w:r>
          </w:p>
        </w:tc>
      </w:tr>
      <w:tr w:rsidR="0059232D" w:rsidRPr="0059232D" w:rsidTr="00EF0409">
        <w:tc>
          <w:tcPr>
            <w:tcW w:w="626" w:type="dxa"/>
            <w:shd w:val="clear" w:color="auto" w:fill="auto"/>
            <w:tcMar>
              <w:top w:w="100" w:type="dxa"/>
              <w:left w:w="100" w:type="dxa"/>
              <w:bottom w:w="100" w:type="dxa"/>
              <w:right w:w="100" w:type="dxa"/>
            </w:tcMar>
            <w:vAlign w:val="center"/>
          </w:tcPr>
          <w:p w:rsidR="0059232D" w:rsidRPr="0059232D" w:rsidRDefault="0059232D" w:rsidP="0059232D">
            <w:pPr>
              <w:pBdr>
                <w:top w:val="nil"/>
                <w:left w:val="nil"/>
                <w:bottom w:val="nil"/>
                <w:right w:val="nil"/>
                <w:between w:val="nil"/>
              </w:pBdr>
              <w:spacing w:before="120" w:after="120" w:line="240" w:lineRule="auto"/>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6</w:t>
            </w:r>
          </w:p>
        </w:tc>
        <w:tc>
          <w:tcPr>
            <w:tcW w:w="9355" w:type="dxa"/>
            <w:shd w:val="clear" w:color="auto" w:fill="auto"/>
            <w:tcMar>
              <w:top w:w="100" w:type="dxa"/>
              <w:left w:w="100" w:type="dxa"/>
              <w:bottom w:w="100" w:type="dxa"/>
              <w:right w:w="100" w:type="dxa"/>
            </w:tcMar>
            <w:vAlign w:val="center"/>
          </w:tcPr>
          <w:p w:rsidR="0059232D" w:rsidRPr="0059232D" w:rsidRDefault="0059232D" w:rsidP="0059232D">
            <w:pPr>
              <w:pBdr>
                <w:top w:val="nil"/>
                <w:left w:val="nil"/>
                <w:bottom w:val="nil"/>
                <w:right w:val="nil"/>
                <w:between w:val="nil"/>
              </w:pBdr>
              <w:spacing w:before="120" w:after="120" w:line="240" w:lineRule="auto"/>
              <w:rPr>
                <w:rFonts w:ascii="Times New Roman" w:eastAsia="Times New Roman" w:hAnsi="Times New Roman" w:cs="Times New Roman"/>
                <w:color w:val="000000"/>
              </w:rPr>
            </w:pPr>
            <w:r w:rsidRPr="0059232D">
              <w:rPr>
                <w:rFonts w:ascii="Times New Roman" w:eastAsia="Times New Roman" w:hAnsi="Times New Roman" w:cs="Times New Roman"/>
                <w:color w:val="000000"/>
              </w:rPr>
              <w:t>Рынок теплоснабжения (производство тепловой энергии) *, 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и рынок купли-продажи электрической энергии (мощности) на розничном рынке электрической энергии (мощности)* в части оказания услуг по передаче электрической и / или тепловой энергии</w:t>
            </w:r>
          </w:p>
        </w:tc>
      </w:tr>
      <w:tr w:rsidR="0059232D" w:rsidRPr="0059232D" w:rsidTr="00EF0409">
        <w:tc>
          <w:tcPr>
            <w:tcW w:w="626" w:type="dxa"/>
            <w:shd w:val="clear" w:color="auto" w:fill="auto"/>
            <w:tcMar>
              <w:top w:w="100" w:type="dxa"/>
              <w:left w:w="100" w:type="dxa"/>
              <w:bottom w:w="100" w:type="dxa"/>
              <w:right w:w="100" w:type="dxa"/>
            </w:tcMar>
            <w:vAlign w:val="center"/>
          </w:tcPr>
          <w:p w:rsidR="0059232D" w:rsidRPr="0059232D" w:rsidRDefault="0059232D" w:rsidP="0059232D">
            <w:pPr>
              <w:pBdr>
                <w:top w:val="nil"/>
                <w:left w:val="nil"/>
                <w:bottom w:val="nil"/>
                <w:right w:val="nil"/>
                <w:between w:val="nil"/>
              </w:pBdr>
              <w:spacing w:before="120" w:after="120" w:line="240" w:lineRule="auto"/>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7</w:t>
            </w:r>
          </w:p>
        </w:tc>
        <w:tc>
          <w:tcPr>
            <w:tcW w:w="9355" w:type="dxa"/>
            <w:shd w:val="clear" w:color="auto" w:fill="auto"/>
            <w:tcMar>
              <w:top w:w="100" w:type="dxa"/>
              <w:left w:w="100" w:type="dxa"/>
              <w:bottom w:w="100" w:type="dxa"/>
              <w:right w:w="100" w:type="dxa"/>
            </w:tcMar>
            <w:vAlign w:val="center"/>
          </w:tcPr>
          <w:p w:rsidR="0059232D" w:rsidRPr="0059232D" w:rsidRDefault="0059232D" w:rsidP="0059232D">
            <w:pPr>
              <w:pBdr>
                <w:top w:val="nil"/>
                <w:left w:val="nil"/>
                <w:bottom w:val="nil"/>
                <w:right w:val="nil"/>
                <w:between w:val="nil"/>
              </w:pBdr>
              <w:spacing w:before="120" w:after="120" w:line="240" w:lineRule="auto"/>
              <w:rPr>
                <w:rFonts w:ascii="Times New Roman" w:eastAsia="Times New Roman" w:hAnsi="Times New Roman" w:cs="Times New Roman"/>
                <w:color w:val="000000"/>
              </w:rPr>
            </w:pPr>
            <w:r w:rsidRPr="0059232D">
              <w:rPr>
                <w:rFonts w:ascii="Times New Roman" w:eastAsia="Times New Roman" w:hAnsi="Times New Roman" w:cs="Times New Roman"/>
                <w:color w:val="000000"/>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и рынок купли-продажи электрической энергии (мощности) на розничном рынке электрической энергии (мощности)* в части оказания услуг по оперативно-диспетчерскому управлению в электроэнергетике</w:t>
            </w:r>
          </w:p>
        </w:tc>
      </w:tr>
      <w:tr w:rsidR="0059232D" w:rsidRPr="0059232D" w:rsidTr="00EF0409">
        <w:tc>
          <w:tcPr>
            <w:tcW w:w="626" w:type="dxa"/>
            <w:shd w:val="clear" w:color="auto" w:fill="auto"/>
            <w:tcMar>
              <w:top w:w="100" w:type="dxa"/>
              <w:left w:w="100" w:type="dxa"/>
              <w:bottom w:w="100" w:type="dxa"/>
              <w:right w:w="100" w:type="dxa"/>
            </w:tcMar>
            <w:vAlign w:val="center"/>
          </w:tcPr>
          <w:p w:rsidR="0059232D" w:rsidRPr="0059232D" w:rsidRDefault="0059232D" w:rsidP="0059232D">
            <w:pPr>
              <w:pBdr>
                <w:top w:val="nil"/>
                <w:left w:val="nil"/>
                <w:bottom w:val="nil"/>
                <w:right w:val="nil"/>
                <w:between w:val="nil"/>
              </w:pBdr>
              <w:spacing w:before="120" w:after="120" w:line="240" w:lineRule="auto"/>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8</w:t>
            </w:r>
          </w:p>
        </w:tc>
        <w:tc>
          <w:tcPr>
            <w:tcW w:w="9355" w:type="dxa"/>
            <w:shd w:val="clear" w:color="auto" w:fill="auto"/>
            <w:tcMar>
              <w:top w:w="100" w:type="dxa"/>
              <w:left w:w="100" w:type="dxa"/>
              <w:bottom w:w="100" w:type="dxa"/>
              <w:right w:w="100" w:type="dxa"/>
            </w:tcMar>
            <w:vAlign w:val="center"/>
          </w:tcPr>
          <w:p w:rsidR="0059232D" w:rsidRPr="0059232D" w:rsidRDefault="0059232D" w:rsidP="0059232D">
            <w:pPr>
              <w:pBdr>
                <w:top w:val="nil"/>
                <w:left w:val="nil"/>
                <w:bottom w:val="nil"/>
                <w:right w:val="nil"/>
                <w:between w:val="nil"/>
              </w:pBdr>
              <w:spacing w:before="120" w:after="120" w:line="240" w:lineRule="auto"/>
              <w:rPr>
                <w:rFonts w:ascii="Times New Roman" w:eastAsia="Times New Roman" w:hAnsi="Times New Roman" w:cs="Times New Roman"/>
                <w:color w:val="000000"/>
              </w:rPr>
            </w:pPr>
            <w:r w:rsidRPr="0059232D">
              <w:rPr>
                <w:rFonts w:ascii="Times New Roman" w:eastAsia="Times New Roman" w:hAnsi="Times New Roman" w:cs="Times New Roman"/>
                <w:color w:val="000000"/>
              </w:rPr>
              <w:t>Рынок теплоснабжения (производство тепловой энергии)* в части оказания услуг по водоснабжению и водоотведению с использованием централизованных системы, систем коммунальной инфраструктуры</w:t>
            </w:r>
          </w:p>
        </w:tc>
      </w:tr>
      <w:tr w:rsidR="0059232D" w:rsidRPr="0059232D" w:rsidTr="00EF0409">
        <w:tc>
          <w:tcPr>
            <w:tcW w:w="626" w:type="dxa"/>
            <w:shd w:val="clear" w:color="auto" w:fill="auto"/>
            <w:tcMar>
              <w:top w:w="100" w:type="dxa"/>
              <w:left w:w="100" w:type="dxa"/>
              <w:bottom w:w="100" w:type="dxa"/>
              <w:right w:w="100" w:type="dxa"/>
            </w:tcMar>
            <w:vAlign w:val="center"/>
          </w:tcPr>
          <w:p w:rsidR="0059232D" w:rsidRPr="0059232D" w:rsidRDefault="0059232D" w:rsidP="0059232D">
            <w:pPr>
              <w:pBdr>
                <w:top w:val="nil"/>
                <w:left w:val="nil"/>
                <w:bottom w:val="nil"/>
                <w:right w:val="nil"/>
                <w:between w:val="nil"/>
              </w:pBdr>
              <w:spacing w:before="120" w:after="120" w:line="240" w:lineRule="auto"/>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9</w:t>
            </w:r>
          </w:p>
        </w:tc>
        <w:tc>
          <w:tcPr>
            <w:tcW w:w="9355" w:type="dxa"/>
            <w:shd w:val="clear" w:color="auto" w:fill="auto"/>
            <w:tcMar>
              <w:top w:w="100" w:type="dxa"/>
              <w:left w:w="100" w:type="dxa"/>
              <w:bottom w:w="100" w:type="dxa"/>
              <w:right w:w="100" w:type="dxa"/>
            </w:tcMar>
            <w:vAlign w:val="center"/>
          </w:tcPr>
          <w:p w:rsidR="0059232D" w:rsidRPr="0059232D" w:rsidRDefault="0059232D" w:rsidP="0059232D">
            <w:pPr>
              <w:pBdr>
                <w:top w:val="nil"/>
                <w:left w:val="nil"/>
                <w:bottom w:val="nil"/>
                <w:right w:val="nil"/>
                <w:between w:val="nil"/>
              </w:pBdr>
              <w:spacing w:before="120" w:after="120" w:line="240" w:lineRule="auto"/>
              <w:rPr>
                <w:rFonts w:ascii="Times New Roman" w:eastAsia="Times New Roman" w:hAnsi="Times New Roman" w:cs="Times New Roman"/>
                <w:color w:val="000000"/>
              </w:rPr>
            </w:pPr>
            <w:r w:rsidRPr="0059232D">
              <w:rPr>
                <w:rFonts w:ascii="Times New Roman" w:eastAsia="Times New Roman" w:hAnsi="Times New Roman" w:cs="Times New Roman"/>
                <w:color w:val="000000"/>
              </w:rPr>
              <w:t>Рынок услуг по ледокольной проводке судов, ледовой лоцманской проводке судов в акватории Северного морского пути</w:t>
            </w:r>
          </w:p>
        </w:tc>
      </w:tr>
    </w:tbl>
    <w:p w:rsidR="0059232D" w:rsidRPr="0059232D" w:rsidRDefault="0059232D" w:rsidP="0059232D">
      <w:pPr>
        <w:spacing w:before="120" w:after="120" w:line="360" w:lineRule="auto"/>
        <w:ind w:firstLine="709"/>
        <w:jc w:val="both"/>
        <w:rPr>
          <w:rFonts w:ascii="Times New Roman" w:eastAsia="Arial" w:hAnsi="Times New Roman" w:cs="Times New Roman"/>
          <w:color w:val="000000"/>
          <w:sz w:val="24"/>
          <w:szCs w:val="24"/>
          <w:highlight w:val="white"/>
          <w:lang w:eastAsia="ru-RU"/>
        </w:rPr>
      </w:pPr>
      <w:r w:rsidRPr="0059232D">
        <w:rPr>
          <w:rFonts w:ascii="Times New Roman" w:eastAsia="Arial" w:hAnsi="Times New Roman" w:cs="Times New Roman"/>
          <w:color w:val="000000"/>
          <w:sz w:val="24"/>
          <w:szCs w:val="24"/>
          <w:highlight w:val="white"/>
          <w:lang w:eastAsia="ru-RU"/>
        </w:rPr>
        <w:t xml:space="preserve">* указанный рынок входит в перечень рынков товаров, работ и услуг Ленинградской области согласно распоряжению Губернатора Ленинградской области от 29.12.2021 №1298-рг </w:t>
      </w:r>
      <w:r w:rsidR="002440F7">
        <w:rPr>
          <w:rFonts w:ascii="Times New Roman" w:eastAsia="Arial" w:hAnsi="Times New Roman" w:cs="Times New Roman"/>
          <w:color w:val="000000"/>
          <w:sz w:val="24"/>
          <w:szCs w:val="24"/>
          <w:highlight w:val="white"/>
          <w:lang w:eastAsia="ru-RU"/>
        </w:rPr>
        <w:t>«</w:t>
      </w:r>
      <w:r w:rsidRPr="0059232D">
        <w:rPr>
          <w:rFonts w:ascii="Times New Roman" w:eastAsia="Arial" w:hAnsi="Times New Roman" w:cs="Times New Roman"/>
          <w:color w:val="000000"/>
          <w:sz w:val="24"/>
          <w:szCs w:val="24"/>
          <w:highlight w:val="white"/>
          <w:lang w:eastAsia="ru-RU"/>
        </w:rPr>
        <w:t>Об утверждении перечня товарных рынков Ленинградской области и Плана мероприятий (</w:t>
      </w:r>
      <w:r w:rsidR="002440F7">
        <w:rPr>
          <w:rFonts w:ascii="Times New Roman" w:eastAsia="Arial" w:hAnsi="Times New Roman" w:cs="Times New Roman"/>
          <w:color w:val="000000"/>
          <w:sz w:val="24"/>
          <w:szCs w:val="24"/>
          <w:highlight w:val="white"/>
          <w:lang w:eastAsia="ru-RU"/>
        </w:rPr>
        <w:t>«</w:t>
      </w:r>
      <w:r w:rsidRPr="0059232D">
        <w:rPr>
          <w:rFonts w:ascii="Times New Roman" w:eastAsia="Arial" w:hAnsi="Times New Roman" w:cs="Times New Roman"/>
          <w:color w:val="000000"/>
          <w:sz w:val="24"/>
          <w:szCs w:val="24"/>
          <w:highlight w:val="white"/>
          <w:lang w:eastAsia="ru-RU"/>
        </w:rPr>
        <w:t>дорожной карты</w:t>
      </w:r>
      <w:r w:rsidR="002440F7">
        <w:rPr>
          <w:rFonts w:ascii="Times New Roman" w:eastAsia="Arial" w:hAnsi="Times New Roman" w:cs="Times New Roman"/>
          <w:color w:val="000000"/>
          <w:sz w:val="24"/>
          <w:szCs w:val="24"/>
          <w:highlight w:val="white"/>
          <w:lang w:eastAsia="ru-RU"/>
        </w:rPr>
        <w:t>»</w:t>
      </w:r>
      <w:r w:rsidRPr="0059232D">
        <w:rPr>
          <w:rFonts w:ascii="Times New Roman" w:eastAsia="Arial" w:hAnsi="Times New Roman" w:cs="Times New Roman"/>
          <w:color w:val="000000"/>
          <w:sz w:val="24"/>
          <w:szCs w:val="24"/>
          <w:highlight w:val="white"/>
          <w:lang w:eastAsia="ru-RU"/>
        </w:rPr>
        <w:t>) по содействию развитию конкуренции на рынках товаров, работ и услуг Ленинградской области на 2022-2025 гг.".</w:t>
      </w:r>
    </w:p>
    <w:p w:rsidR="0059232D" w:rsidRPr="0059232D" w:rsidRDefault="0059232D" w:rsidP="0059232D">
      <w:pPr>
        <w:spacing w:before="120" w:after="120" w:line="360" w:lineRule="auto"/>
        <w:ind w:firstLine="709"/>
        <w:jc w:val="both"/>
        <w:rPr>
          <w:rFonts w:ascii="Times New Roman" w:eastAsia="Arial" w:hAnsi="Times New Roman" w:cs="Times New Roman"/>
          <w:color w:val="000000"/>
          <w:sz w:val="28"/>
          <w:szCs w:val="28"/>
          <w:highlight w:val="white"/>
          <w:lang w:eastAsia="ru-RU"/>
        </w:rPr>
      </w:pPr>
    </w:p>
    <w:p w:rsidR="0059232D" w:rsidRPr="0059232D" w:rsidRDefault="0059232D" w:rsidP="0059232D">
      <w:pPr>
        <w:keepNext/>
        <w:keepLines/>
        <w:spacing w:before="120" w:after="120" w:line="240" w:lineRule="auto"/>
        <w:jc w:val="both"/>
        <w:rPr>
          <w:rFonts w:ascii="Times New Roman" w:eastAsia="Arial" w:hAnsi="Times New Roman" w:cs="Times New Roman"/>
          <w:color w:val="000000"/>
          <w:sz w:val="24"/>
          <w:szCs w:val="24"/>
          <w:lang w:eastAsia="ru-RU"/>
        </w:rPr>
      </w:pPr>
      <w:r w:rsidRPr="0059232D">
        <w:rPr>
          <w:rFonts w:ascii="Times New Roman" w:eastAsia="Arial" w:hAnsi="Times New Roman" w:cs="Times New Roman"/>
          <w:color w:val="000000"/>
          <w:sz w:val="24"/>
          <w:szCs w:val="24"/>
          <w:lang w:eastAsia="ru-RU"/>
        </w:rPr>
        <w:t xml:space="preserve">Таблица </w:t>
      </w:r>
      <w:r w:rsidR="00573C20">
        <w:rPr>
          <w:rFonts w:ascii="Times New Roman" w:eastAsia="Arial" w:hAnsi="Times New Roman" w:cs="Times New Roman"/>
          <w:color w:val="000000"/>
          <w:sz w:val="24"/>
          <w:szCs w:val="24"/>
          <w:lang w:eastAsia="ru-RU"/>
        </w:rPr>
        <w:t>22</w:t>
      </w:r>
      <w:r w:rsidRPr="0059232D">
        <w:rPr>
          <w:rFonts w:ascii="Times New Roman" w:eastAsia="Arial" w:hAnsi="Times New Roman" w:cs="Times New Roman"/>
          <w:color w:val="000000"/>
          <w:sz w:val="24"/>
          <w:szCs w:val="24"/>
          <w:lang w:eastAsia="ru-RU"/>
        </w:rPr>
        <w:t xml:space="preserve">. Динамика количества субъектов естественных монополий за последние 3 года </w:t>
      </w:r>
    </w:p>
    <w:tbl>
      <w:tblPr>
        <w:tblW w:w="9806" w:type="dxa"/>
        <w:tblInd w:w="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92"/>
        <w:gridCol w:w="4448"/>
        <w:gridCol w:w="1081"/>
        <w:gridCol w:w="992"/>
        <w:gridCol w:w="992"/>
        <w:gridCol w:w="1701"/>
      </w:tblGrid>
      <w:tr w:rsidR="0059232D" w:rsidRPr="0059232D" w:rsidTr="002440F7">
        <w:trPr>
          <w:trHeight w:val="440"/>
          <w:tblHeader/>
        </w:trPr>
        <w:tc>
          <w:tcPr>
            <w:tcW w:w="592" w:type="dxa"/>
            <w:vMerge w:val="restart"/>
            <w:shd w:val="clear" w:color="auto" w:fill="auto"/>
            <w:tcMar>
              <w:top w:w="100" w:type="dxa"/>
              <w:left w:w="100" w:type="dxa"/>
              <w:bottom w:w="100" w:type="dxa"/>
              <w:right w:w="100" w:type="dxa"/>
            </w:tcMar>
            <w:vAlign w:val="center"/>
          </w:tcPr>
          <w:p w:rsidR="0059232D" w:rsidRPr="002440F7" w:rsidRDefault="0059232D" w:rsidP="002440F7">
            <w:pPr>
              <w:widowControl w:val="0"/>
              <w:pBdr>
                <w:top w:val="nil"/>
                <w:left w:val="nil"/>
                <w:bottom w:val="nil"/>
                <w:right w:val="nil"/>
                <w:between w:val="nil"/>
              </w:pBdr>
              <w:ind w:right="-2"/>
              <w:jc w:val="center"/>
              <w:rPr>
                <w:rFonts w:ascii="Times New Roman" w:eastAsia="Times New Roman" w:hAnsi="Times New Roman" w:cs="Times New Roman"/>
                <w:b/>
                <w:color w:val="000000"/>
              </w:rPr>
            </w:pPr>
            <w:r w:rsidRPr="002440F7">
              <w:rPr>
                <w:rFonts w:ascii="Times New Roman" w:eastAsia="Times New Roman" w:hAnsi="Times New Roman" w:cs="Times New Roman"/>
                <w:b/>
                <w:color w:val="000000"/>
              </w:rPr>
              <w:t>№ п/п</w:t>
            </w:r>
          </w:p>
        </w:tc>
        <w:tc>
          <w:tcPr>
            <w:tcW w:w="4448" w:type="dxa"/>
            <w:vMerge w:val="restart"/>
            <w:shd w:val="clear" w:color="auto" w:fill="auto"/>
            <w:tcMar>
              <w:top w:w="100" w:type="dxa"/>
              <w:left w:w="100" w:type="dxa"/>
              <w:bottom w:w="100" w:type="dxa"/>
              <w:right w:w="100" w:type="dxa"/>
            </w:tcMar>
            <w:vAlign w:val="center"/>
          </w:tcPr>
          <w:p w:rsidR="0059232D" w:rsidRPr="002440F7" w:rsidRDefault="0059232D" w:rsidP="002440F7">
            <w:pPr>
              <w:widowControl w:val="0"/>
              <w:pBdr>
                <w:top w:val="nil"/>
                <w:left w:val="nil"/>
                <w:bottom w:val="nil"/>
                <w:right w:val="nil"/>
                <w:between w:val="nil"/>
              </w:pBdr>
              <w:ind w:right="-2"/>
              <w:jc w:val="center"/>
              <w:rPr>
                <w:rFonts w:ascii="Times New Roman" w:eastAsia="Times New Roman" w:hAnsi="Times New Roman" w:cs="Times New Roman"/>
                <w:b/>
                <w:color w:val="000000"/>
              </w:rPr>
            </w:pPr>
            <w:r w:rsidRPr="002440F7">
              <w:rPr>
                <w:rFonts w:ascii="Times New Roman" w:eastAsia="Times New Roman" w:hAnsi="Times New Roman" w:cs="Times New Roman"/>
                <w:b/>
                <w:color w:val="000000"/>
              </w:rPr>
              <w:t>Рынок присутствия субъектов естественных монополий</w:t>
            </w:r>
          </w:p>
        </w:tc>
        <w:tc>
          <w:tcPr>
            <w:tcW w:w="3065" w:type="dxa"/>
            <w:gridSpan w:val="3"/>
            <w:shd w:val="clear" w:color="auto" w:fill="auto"/>
            <w:tcMar>
              <w:top w:w="100" w:type="dxa"/>
              <w:left w:w="100" w:type="dxa"/>
              <w:bottom w:w="100" w:type="dxa"/>
              <w:right w:w="100" w:type="dxa"/>
            </w:tcMar>
            <w:vAlign w:val="center"/>
          </w:tcPr>
          <w:p w:rsidR="0059232D" w:rsidRPr="002440F7" w:rsidRDefault="0059232D" w:rsidP="002440F7">
            <w:pPr>
              <w:widowControl w:val="0"/>
              <w:pBdr>
                <w:top w:val="nil"/>
                <w:left w:val="nil"/>
                <w:bottom w:val="nil"/>
                <w:right w:val="nil"/>
                <w:between w:val="nil"/>
              </w:pBdr>
              <w:ind w:right="-2"/>
              <w:jc w:val="center"/>
              <w:rPr>
                <w:rFonts w:ascii="Times New Roman" w:eastAsia="Times New Roman" w:hAnsi="Times New Roman" w:cs="Times New Roman"/>
                <w:b/>
                <w:color w:val="000000"/>
              </w:rPr>
            </w:pPr>
            <w:r w:rsidRPr="002440F7">
              <w:rPr>
                <w:rFonts w:ascii="Times New Roman" w:eastAsia="Times New Roman" w:hAnsi="Times New Roman" w:cs="Times New Roman"/>
                <w:b/>
                <w:color w:val="000000"/>
              </w:rPr>
              <w:t>Количество хозяйствующих субъектов</w:t>
            </w:r>
          </w:p>
        </w:tc>
        <w:tc>
          <w:tcPr>
            <w:tcW w:w="1701" w:type="dxa"/>
            <w:vMerge w:val="restart"/>
            <w:shd w:val="clear" w:color="auto" w:fill="auto"/>
            <w:tcMar>
              <w:top w:w="100" w:type="dxa"/>
              <w:left w:w="100" w:type="dxa"/>
              <w:bottom w:w="100" w:type="dxa"/>
              <w:right w:w="100" w:type="dxa"/>
            </w:tcMar>
            <w:vAlign w:val="center"/>
          </w:tcPr>
          <w:p w:rsidR="0059232D" w:rsidRPr="002440F7" w:rsidRDefault="0059232D" w:rsidP="002440F7">
            <w:pPr>
              <w:widowControl w:val="0"/>
              <w:pBdr>
                <w:top w:val="nil"/>
                <w:left w:val="nil"/>
                <w:bottom w:val="nil"/>
                <w:right w:val="nil"/>
                <w:between w:val="nil"/>
              </w:pBdr>
              <w:ind w:right="-2"/>
              <w:jc w:val="center"/>
              <w:rPr>
                <w:rFonts w:ascii="Times New Roman" w:eastAsia="Times New Roman" w:hAnsi="Times New Roman" w:cs="Times New Roman"/>
                <w:b/>
                <w:color w:val="000000"/>
              </w:rPr>
            </w:pPr>
            <w:r w:rsidRPr="002440F7">
              <w:rPr>
                <w:rFonts w:ascii="Times New Roman" w:eastAsia="Times New Roman" w:hAnsi="Times New Roman" w:cs="Times New Roman"/>
                <w:b/>
                <w:color w:val="000000"/>
              </w:rPr>
              <w:t>Динамика (Соотношение в 2022 г. к 2020 г., %)</w:t>
            </w:r>
          </w:p>
        </w:tc>
      </w:tr>
      <w:tr w:rsidR="0059232D" w:rsidRPr="0059232D" w:rsidTr="002440F7">
        <w:trPr>
          <w:trHeight w:val="482"/>
        </w:trPr>
        <w:tc>
          <w:tcPr>
            <w:tcW w:w="592" w:type="dxa"/>
            <w:vMerge/>
            <w:shd w:val="clear" w:color="auto" w:fill="auto"/>
            <w:tcMar>
              <w:top w:w="100" w:type="dxa"/>
              <w:left w:w="100" w:type="dxa"/>
              <w:bottom w:w="100" w:type="dxa"/>
              <w:right w:w="100" w:type="dxa"/>
            </w:tcMar>
            <w:vAlign w:val="center"/>
          </w:tcPr>
          <w:p w:rsidR="0059232D" w:rsidRPr="0059232D" w:rsidRDefault="0059232D" w:rsidP="002440F7">
            <w:pPr>
              <w:widowControl w:val="0"/>
              <w:pBdr>
                <w:top w:val="nil"/>
                <w:left w:val="nil"/>
                <w:bottom w:val="nil"/>
                <w:right w:val="nil"/>
                <w:between w:val="nil"/>
              </w:pBdr>
              <w:jc w:val="center"/>
              <w:rPr>
                <w:rFonts w:ascii="Times New Roman" w:eastAsia="Times New Roman" w:hAnsi="Times New Roman" w:cs="Times New Roman"/>
                <w:color w:val="000000"/>
              </w:rPr>
            </w:pPr>
          </w:p>
        </w:tc>
        <w:tc>
          <w:tcPr>
            <w:tcW w:w="4448" w:type="dxa"/>
            <w:vMerge/>
            <w:shd w:val="clear" w:color="auto" w:fill="auto"/>
            <w:tcMar>
              <w:top w:w="100" w:type="dxa"/>
              <w:left w:w="100" w:type="dxa"/>
              <w:bottom w:w="100" w:type="dxa"/>
              <w:right w:w="100" w:type="dxa"/>
            </w:tcMar>
            <w:vAlign w:val="center"/>
          </w:tcPr>
          <w:p w:rsidR="0059232D" w:rsidRPr="0059232D" w:rsidRDefault="0059232D" w:rsidP="002440F7">
            <w:pPr>
              <w:widowControl w:val="0"/>
              <w:pBdr>
                <w:top w:val="nil"/>
                <w:left w:val="nil"/>
                <w:bottom w:val="nil"/>
                <w:right w:val="nil"/>
                <w:between w:val="nil"/>
              </w:pBdr>
              <w:jc w:val="center"/>
              <w:rPr>
                <w:rFonts w:ascii="Times New Roman" w:eastAsia="Times New Roman" w:hAnsi="Times New Roman" w:cs="Times New Roman"/>
                <w:color w:val="000000"/>
              </w:rPr>
            </w:pPr>
          </w:p>
        </w:tc>
        <w:tc>
          <w:tcPr>
            <w:tcW w:w="1081" w:type="dxa"/>
            <w:shd w:val="clear" w:color="auto" w:fill="auto"/>
            <w:tcMar>
              <w:top w:w="100" w:type="dxa"/>
              <w:left w:w="100" w:type="dxa"/>
              <w:bottom w:w="100" w:type="dxa"/>
              <w:right w:w="100" w:type="dxa"/>
            </w:tcMar>
            <w:vAlign w:val="center"/>
          </w:tcPr>
          <w:p w:rsidR="0059232D" w:rsidRPr="002440F7" w:rsidRDefault="0059232D" w:rsidP="002440F7">
            <w:pPr>
              <w:widowControl w:val="0"/>
              <w:pBdr>
                <w:top w:val="nil"/>
                <w:left w:val="nil"/>
                <w:bottom w:val="nil"/>
                <w:right w:val="nil"/>
                <w:between w:val="nil"/>
              </w:pBdr>
              <w:ind w:right="-2"/>
              <w:jc w:val="center"/>
              <w:rPr>
                <w:rFonts w:ascii="Times New Roman" w:eastAsia="Times New Roman" w:hAnsi="Times New Roman" w:cs="Times New Roman"/>
                <w:b/>
                <w:color w:val="000000"/>
              </w:rPr>
            </w:pPr>
            <w:r w:rsidRPr="002440F7">
              <w:rPr>
                <w:rFonts w:ascii="Times New Roman" w:eastAsia="Times New Roman" w:hAnsi="Times New Roman" w:cs="Times New Roman"/>
                <w:b/>
                <w:color w:val="000000"/>
              </w:rPr>
              <w:t>2020</w:t>
            </w:r>
          </w:p>
        </w:tc>
        <w:tc>
          <w:tcPr>
            <w:tcW w:w="992" w:type="dxa"/>
            <w:shd w:val="clear" w:color="auto" w:fill="auto"/>
            <w:tcMar>
              <w:top w:w="100" w:type="dxa"/>
              <w:left w:w="100" w:type="dxa"/>
              <w:bottom w:w="100" w:type="dxa"/>
              <w:right w:w="100" w:type="dxa"/>
            </w:tcMar>
            <w:vAlign w:val="center"/>
          </w:tcPr>
          <w:p w:rsidR="0059232D" w:rsidRPr="002440F7" w:rsidRDefault="0059232D" w:rsidP="002440F7">
            <w:pPr>
              <w:widowControl w:val="0"/>
              <w:pBdr>
                <w:top w:val="nil"/>
                <w:left w:val="nil"/>
                <w:bottom w:val="nil"/>
                <w:right w:val="nil"/>
                <w:between w:val="nil"/>
              </w:pBdr>
              <w:ind w:right="-2"/>
              <w:jc w:val="center"/>
              <w:rPr>
                <w:rFonts w:ascii="Times New Roman" w:eastAsia="Times New Roman" w:hAnsi="Times New Roman" w:cs="Times New Roman"/>
                <w:b/>
                <w:color w:val="000000"/>
              </w:rPr>
            </w:pPr>
            <w:r w:rsidRPr="002440F7">
              <w:rPr>
                <w:rFonts w:ascii="Times New Roman" w:eastAsia="Times New Roman" w:hAnsi="Times New Roman" w:cs="Times New Roman"/>
                <w:b/>
                <w:color w:val="000000"/>
              </w:rPr>
              <w:t>2021</w:t>
            </w:r>
          </w:p>
        </w:tc>
        <w:tc>
          <w:tcPr>
            <w:tcW w:w="992" w:type="dxa"/>
            <w:shd w:val="clear" w:color="auto" w:fill="auto"/>
            <w:tcMar>
              <w:top w:w="100" w:type="dxa"/>
              <w:left w:w="100" w:type="dxa"/>
              <w:bottom w:w="100" w:type="dxa"/>
              <w:right w:w="100" w:type="dxa"/>
            </w:tcMar>
            <w:vAlign w:val="center"/>
          </w:tcPr>
          <w:p w:rsidR="0059232D" w:rsidRPr="002440F7" w:rsidRDefault="0059232D" w:rsidP="002440F7">
            <w:pPr>
              <w:widowControl w:val="0"/>
              <w:pBdr>
                <w:top w:val="nil"/>
                <w:left w:val="nil"/>
                <w:bottom w:val="nil"/>
                <w:right w:val="nil"/>
                <w:between w:val="nil"/>
              </w:pBdr>
              <w:ind w:right="-2"/>
              <w:jc w:val="center"/>
              <w:rPr>
                <w:rFonts w:ascii="Times New Roman" w:eastAsia="Times New Roman" w:hAnsi="Times New Roman" w:cs="Times New Roman"/>
                <w:b/>
                <w:color w:val="000000"/>
              </w:rPr>
            </w:pPr>
            <w:r w:rsidRPr="002440F7">
              <w:rPr>
                <w:rFonts w:ascii="Times New Roman" w:eastAsia="Times New Roman" w:hAnsi="Times New Roman" w:cs="Times New Roman"/>
                <w:b/>
                <w:color w:val="000000"/>
              </w:rPr>
              <w:t>2022</w:t>
            </w:r>
          </w:p>
        </w:tc>
        <w:tc>
          <w:tcPr>
            <w:tcW w:w="1701" w:type="dxa"/>
            <w:vMerge/>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rPr>
                <w:rFonts w:ascii="Times New Roman" w:eastAsia="Times New Roman" w:hAnsi="Times New Roman" w:cs="Times New Roman"/>
                <w:color w:val="000000"/>
              </w:rPr>
            </w:pPr>
          </w:p>
        </w:tc>
      </w:tr>
      <w:tr w:rsidR="0059232D" w:rsidRPr="0059232D" w:rsidTr="00EF0409">
        <w:tc>
          <w:tcPr>
            <w:tcW w:w="592"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1</w:t>
            </w:r>
          </w:p>
        </w:tc>
        <w:tc>
          <w:tcPr>
            <w:tcW w:w="4448"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rPr>
                <w:rFonts w:ascii="Times New Roman" w:eastAsia="Times New Roman" w:hAnsi="Times New Roman" w:cs="Times New Roman"/>
                <w:color w:val="000000"/>
              </w:rPr>
            </w:pPr>
            <w:r w:rsidRPr="0059232D">
              <w:rPr>
                <w:rFonts w:ascii="Times New Roman" w:eastAsia="Times New Roman" w:hAnsi="Times New Roman" w:cs="Times New Roman"/>
                <w:color w:val="000000"/>
              </w:rPr>
              <w:t>Рынок нефтепродуктов* в части оказания услуг по транспортировке нефти и нефтепродуктов по магистральным трубопроводам</w:t>
            </w:r>
          </w:p>
        </w:tc>
        <w:tc>
          <w:tcPr>
            <w:tcW w:w="1081"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1</w:t>
            </w:r>
          </w:p>
        </w:tc>
        <w:tc>
          <w:tcPr>
            <w:tcW w:w="992"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2</w:t>
            </w:r>
          </w:p>
        </w:tc>
        <w:tc>
          <w:tcPr>
            <w:tcW w:w="992"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2</w:t>
            </w:r>
          </w:p>
        </w:tc>
        <w:tc>
          <w:tcPr>
            <w:tcW w:w="1701"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200%</w:t>
            </w:r>
          </w:p>
        </w:tc>
      </w:tr>
      <w:tr w:rsidR="0059232D" w:rsidRPr="0059232D" w:rsidTr="00EF0409">
        <w:tc>
          <w:tcPr>
            <w:tcW w:w="592"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2</w:t>
            </w:r>
          </w:p>
        </w:tc>
        <w:tc>
          <w:tcPr>
            <w:tcW w:w="4448"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rPr>
                <w:rFonts w:ascii="Times New Roman" w:eastAsia="Times New Roman" w:hAnsi="Times New Roman" w:cs="Times New Roman"/>
                <w:color w:val="000000"/>
              </w:rPr>
            </w:pPr>
            <w:r w:rsidRPr="0059232D">
              <w:rPr>
                <w:rFonts w:ascii="Times New Roman" w:eastAsia="Times New Roman" w:hAnsi="Times New Roman" w:cs="Times New Roman"/>
                <w:color w:val="000000"/>
              </w:rPr>
              <w:t>Рынок теплоснабжения (производство тепловой энергии)* в части оказания услуг по транспортировке газа по трубопроводам</w:t>
            </w:r>
          </w:p>
        </w:tc>
        <w:tc>
          <w:tcPr>
            <w:tcW w:w="1081"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2</w:t>
            </w:r>
          </w:p>
        </w:tc>
        <w:tc>
          <w:tcPr>
            <w:tcW w:w="992"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2</w:t>
            </w:r>
          </w:p>
        </w:tc>
        <w:tc>
          <w:tcPr>
            <w:tcW w:w="992"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2</w:t>
            </w:r>
          </w:p>
        </w:tc>
        <w:tc>
          <w:tcPr>
            <w:tcW w:w="1701"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100%</w:t>
            </w:r>
          </w:p>
        </w:tc>
      </w:tr>
      <w:tr w:rsidR="0059232D" w:rsidRPr="0059232D" w:rsidTr="00EF0409">
        <w:tc>
          <w:tcPr>
            <w:tcW w:w="592"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3</w:t>
            </w:r>
          </w:p>
        </w:tc>
        <w:tc>
          <w:tcPr>
            <w:tcW w:w="4448"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rPr>
                <w:rFonts w:ascii="Times New Roman" w:eastAsia="Times New Roman" w:hAnsi="Times New Roman" w:cs="Times New Roman"/>
                <w:color w:val="000000"/>
              </w:rPr>
            </w:pPr>
            <w:r w:rsidRPr="0059232D">
              <w:rPr>
                <w:rFonts w:ascii="Times New Roman" w:eastAsia="Times New Roman" w:hAnsi="Times New Roman" w:cs="Times New Roman"/>
                <w:color w:val="000000"/>
              </w:rPr>
              <w:t>Рынок железнодорожных перевозок</w:t>
            </w:r>
          </w:p>
        </w:tc>
        <w:tc>
          <w:tcPr>
            <w:tcW w:w="1081"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1</w:t>
            </w:r>
          </w:p>
        </w:tc>
        <w:tc>
          <w:tcPr>
            <w:tcW w:w="992"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1</w:t>
            </w:r>
          </w:p>
        </w:tc>
        <w:tc>
          <w:tcPr>
            <w:tcW w:w="992"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1</w:t>
            </w:r>
          </w:p>
        </w:tc>
        <w:tc>
          <w:tcPr>
            <w:tcW w:w="1701"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100%</w:t>
            </w:r>
          </w:p>
        </w:tc>
      </w:tr>
      <w:tr w:rsidR="0059232D" w:rsidRPr="0059232D" w:rsidTr="00EF0409">
        <w:tc>
          <w:tcPr>
            <w:tcW w:w="592"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4</w:t>
            </w:r>
          </w:p>
        </w:tc>
        <w:tc>
          <w:tcPr>
            <w:tcW w:w="4448"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rPr>
                <w:rFonts w:ascii="Times New Roman" w:eastAsia="Times New Roman" w:hAnsi="Times New Roman" w:cs="Times New Roman"/>
                <w:color w:val="000000"/>
              </w:rPr>
            </w:pPr>
            <w:r w:rsidRPr="0059232D">
              <w:rPr>
                <w:rFonts w:ascii="Times New Roman" w:eastAsia="Times New Roman" w:hAnsi="Times New Roman" w:cs="Times New Roman"/>
                <w:color w:val="000000"/>
              </w:rPr>
              <w:t>Рынок услуг в транспортных терминалах, портах</w:t>
            </w:r>
          </w:p>
        </w:tc>
        <w:tc>
          <w:tcPr>
            <w:tcW w:w="1081"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24</w:t>
            </w:r>
          </w:p>
        </w:tc>
        <w:tc>
          <w:tcPr>
            <w:tcW w:w="992"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10</w:t>
            </w:r>
          </w:p>
        </w:tc>
        <w:tc>
          <w:tcPr>
            <w:tcW w:w="992"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11</w:t>
            </w:r>
          </w:p>
        </w:tc>
        <w:tc>
          <w:tcPr>
            <w:tcW w:w="1701"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45,83%</w:t>
            </w:r>
          </w:p>
        </w:tc>
      </w:tr>
      <w:tr w:rsidR="0059232D" w:rsidRPr="0059232D" w:rsidTr="00EF0409">
        <w:tc>
          <w:tcPr>
            <w:tcW w:w="592"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5</w:t>
            </w:r>
          </w:p>
        </w:tc>
        <w:tc>
          <w:tcPr>
            <w:tcW w:w="4448"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rPr>
                <w:rFonts w:ascii="Times New Roman" w:eastAsia="Times New Roman" w:hAnsi="Times New Roman" w:cs="Times New Roman"/>
                <w:color w:val="000000"/>
              </w:rPr>
            </w:pPr>
            <w:r w:rsidRPr="0059232D">
              <w:rPr>
                <w:rFonts w:ascii="Times New Roman" w:eastAsia="Times New Roman" w:hAnsi="Times New Roman" w:cs="Times New Roman"/>
                <w:color w:val="000000"/>
              </w:rPr>
              <w:t>Рынок услуг связи, в том числе услуг по предоставлению широкополосного доступа к информационно-телекоммуникационной сети "Интернет"* в части оказания услуг общедоступной электросвязи и общедоступной почтовой связи</w:t>
            </w:r>
          </w:p>
        </w:tc>
        <w:tc>
          <w:tcPr>
            <w:tcW w:w="1081"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2</w:t>
            </w:r>
          </w:p>
        </w:tc>
        <w:tc>
          <w:tcPr>
            <w:tcW w:w="992"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2</w:t>
            </w:r>
          </w:p>
        </w:tc>
        <w:tc>
          <w:tcPr>
            <w:tcW w:w="992"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2</w:t>
            </w:r>
          </w:p>
        </w:tc>
        <w:tc>
          <w:tcPr>
            <w:tcW w:w="1701"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100%</w:t>
            </w:r>
          </w:p>
        </w:tc>
      </w:tr>
      <w:tr w:rsidR="0059232D" w:rsidRPr="0059232D" w:rsidTr="00EF0409">
        <w:tc>
          <w:tcPr>
            <w:tcW w:w="592"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6</w:t>
            </w:r>
          </w:p>
        </w:tc>
        <w:tc>
          <w:tcPr>
            <w:tcW w:w="4448"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rPr>
                <w:rFonts w:ascii="Times New Roman" w:eastAsia="Times New Roman" w:hAnsi="Times New Roman" w:cs="Times New Roman"/>
                <w:color w:val="000000"/>
              </w:rPr>
            </w:pPr>
            <w:r w:rsidRPr="0059232D">
              <w:rPr>
                <w:rFonts w:ascii="Times New Roman" w:eastAsia="Times New Roman" w:hAnsi="Times New Roman" w:cs="Times New Roman"/>
                <w:color w:val="000000"/>
              </w:rPr>
              <w:t>Рынок теплоснабжения (производство тепловой энергии) *, 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и рынок купли-продажи электрической энергии (мощности) на розничном рынке электрической энергии (мощности)* в части оказания услуг по передаче электрической и / или тепловой энергии</w:t>
            </w:r>
          </w:p>
        </w:tc>
        <w:tc>
          <w:tcPr>
            <w:tcW w:w="1081"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165</w:t>
            </w:r>
          </w:p>
        </w:tc>
        <w:tc>
          <w:tcPr>
            <w:tcW w:w="992"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69</w:t>
            </w:r>
          </w:p>
        </w:tc>
        <w:tc>
          <w:tcPr>
            <w:tcW w:w="992"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69</w:t>
            </w:r>
          </w:p>
        </w:tc>
        <w:tc>
          <w:tcPr>
            <w:tcW w:w="1701"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41,82%</w:t>
            </w:r>
          </w:p>
        </w:tc>
      </w:tr>
      <w:tr w:rsidR="0059232D" w:rsidRPr="0059232D" w:rsidTr="00EF0409">
        <w:tc>
          <w:tcPr>
            <w:tcW w:w="592"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7</w:t>
            </w:r>
          </w:p>
        </w:tc>
        <w:tc>
          <w:tcPr>
            <w:tcW w:w="4448"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rPr>
                <w:rFonts w:ascii="Times New Roman" w:eastAsia="Times New Roman" w:hAnsi="Times New Roman" w:cs="Times New Roman"/>
                <w:color w:val="000000"/>
              </w:rPr>
            </w:pPr>
            <w:r w:rsidRPr="0059232D">
              <w:rPr>
                <w:rFonts w:ascii="Times New Roman" w:eastAsia="Times New Roman" w:hAnsi="Times New Roman" w:cs="Times New Roman"/>
                <w:color w:val="000000"/>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и рынок купли-продажи электрической энергии (мощности) на розничном рынке электрической энергии (мощности)* в части оказания услуг по оперативно-диспетчерскому управлению в электроэнергетике</w:t>
            </w:r>
          </w:p>
        </w:tc>
        <w:tc>
          <w:tcPr>
            <w:tcW w:w="1081"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1</w:t>
            </w:r>
          </w:p>
        </w:tc>
        <w:tc>
          <w:tcPr>
            <w:tcW w:w="992"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1</w:t>
            </w:r>
          </w:p>
        </w:tc>
        <w:tc>
          <w:tcPr>
            <w:tcW w:w="992"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1</w:t>
            </w:r>
          </w:p>
        </w:tc>
        <w:tc>
          <w:tcPr>
            <w:tcW w:w="1701"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100%</w:t>
            </w:r>
          </w:p>
        </w:tc>
      </w:tr>
      <w:tr w:rsidR="0059232D" w:rsidRPr="0059232D" w:rsidTr="00EF0409">
        <w:tc>
          <w:tcPr>
            <w:tcW w:w="592"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8</w:t>
            </w:r>
          </w:p>
        </w:tc>
        <w:tc>
          <w:tcPr>
            <w:tcW w:w="4448"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rPr>
                <w:rFonts w:ascii="Times New Roman" w:eastAsia="Times New Roman" w:hAnsi="Times New Roman" w:cs="Times New Roman"/>
                <w:color w:val="000000"/>
              </w:rPr>
            </w:pPr>
            <w:r w:rsidRPr="0059232D">
              <w:rPr>
                <w:rFonts w:ascii="Times New Roman" w:eastAsia="Times New Roman" w:hAnsi="Times New Roman" w:cs="Times New Roman"/>
                <w:color w:val="000000"/>
              </w:rPr>
              <w:t>Рынок теплоснабжения (производство тепловой энергии)* в части оказания услуг по водоснабжению и водоотведению с использованием централизованных системы, систем коммунальной инфраструктуры</w:t>
            </w:r>
          </w:p>
        </w:tc>
        <w:tc>
          <w:tcPr>
            <w:tcW w:w="1081"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143</w:t>
            </w:r>
          </w:p>
        </w:tc>
        <w:tc>
          <w:tcPr>
            <w:tcW w:w="992"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75</w:t>
            </w:r>
          </w:p>
        </w:tc>
        <w:tc>
          <w:tcPr>
            <w:tcW w:w="992"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75</w:t>
            </w:r>
          </w:p>
        </w:tc>
        <w:tc>
          <w:tcPr>
            <w:tcW w:w="1701"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52,5 %</w:t>
            </w:r>
          </w:p>
        </w:tc>
      </w:tr>
      <w:tr w:rsidR="0059232D" w:rsidRPr="0059232D" w:rsidTr="00EF0409">
        <w:tc>
          <w:tcPr>
            <w:tcW w:w="592"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9</w:t>
            </w:r>
          </w:p>
        </w:tc>
        <w:tc>
          <w:tcPr>
            <w:tcW w:w="4448"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rPr>
                <w:rFonts w:ascii="Times New Roman" w:eastAsia="Times New Roman" w:hAnsi="Times New Roman" w:cs="Times New Roman"/>
                <w:color w:val="000000"/>
              </w:rPr>
            </w:pPr>
            <w:r w:rsidRPr="0059232D">
              <w:rPr>
                <w:rFonts w:ascii="Times New Roman" w:eastAsia="Times New Roman" w:hAnsi="Times New Roman" w:cs="Times New Roman"/>
                <w:color w:val="000000"/>
              </w:rPr>
              <w:t>Рынок услуг по ледокольной проводке судов, ледовой лоцманской проводке судов в акватории Северного морского пути</w:t>
            </w:r>
          </w:p>
        </w:tc>
        <w:tc>
          <w:tcPr>
            <w:tcW w:w="1081"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1</w:t>
            </w:r>
          </w:p>
        </w:tc>
        <w:tc>
          <w:tcPr>
            <w:tcW w:w="992"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1</w:t>
            </w:r>
          </w:p>
        </w:tc>
        <w:tc>
          <w:tcPr>
            <w:tcW w:w="992"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1</w:t>
            </w:r>
          </w:p>
        </w:tc>
        <w:tc>
          <w:tcPr>
            <w:tcW w:w="1701" w:type="dxa"/>
            <w:shd w:val="clear" w:color="auto" w:fill="auto"/>
            <w:tcMar>
              <w:top w:w="100" w:type="dxa"/>
              <w:left w:w="100" w:type="dxa"/>
              <w:bottom w:w="100" w:type="dxa"/>
              <w:right w:w="100" w:type="dxa"/>
            </w:tcMar>
            <w:vAlign w:val="center"/>
          </w:tcPr>
          <w:p w:rsidR="0059232D" w:rsidRPr="0059232D" w:rsidRDefault="0059232D" w:rsidP="0059232D">
            <w:pPr>
              <w:widowControl w:val="0"/>
              <w:pBdr>
                <w:top w:val="nil"/>
                <w:left w:val="nil"/>
                <w:bottom w:val="nil"/>
                <w:right w:val="nil"/>
                <w:between w:val="nil"/>
              </w:pBdr>
              <w:ind w:right="-2"/>
              <w:jc w:val="center"/>
              <w:rPr>
                <w:rFonts w:ascii="Times New Roman" w:eastAsia="Times New Roman" w:hAnsi="Times New Roman" w:cs="Times New Roman"/>
                <w:color w:val="000000"/>
              </w:rPr>
            </w:pPr>
            <w:r w:rsidRPr="0059232D">
              <w:rPr>
                <w:rFonts w:ascii="Times New Roman" w:eastAsia="Times New Roman" w:hAnsi="Times New Roman" w:cs="Times New Roman"/>
                <w:color w:val="000000"/>
              </w:rPr>
              <w:t>100%</w:t>
            </w:r>
          </w:p>
        </w:tc>
      </w:tr>
    </w:tbl>
    <w:p w:rsidR="0059232D" w:rsidRPr="0059232D" w:rsidRDefault="0059232D" w:rsidP="0059232D">
      <w:pPr>
        <w:spacing w:before="120" w:after="120" w:line="360" w:lineRule="auto"/>
        <w:ind w:firstLine="709"/>
        <w:jc w:val="both"/>
        <w:rPr>
          <w:rFonts w:ascii="Times New Roman" w:eastAsia="Arial" w:hAnsi="Times New Roman" w:cs="Times New Roman"/>
          <w:color w:val="000000"/>
          <w:sz w:val="24"/>
          <w:szCs w:val="24"/>
          <w:highlight w:val="white"/>
          <w:lang w:eastAsia="ru-RU"/>
        </w:rPr>
      </w:pPr>
      <w:r w:rsidRPr="0059232D">
        <w:rPr>
          <w:rFonts w:ascii="Times New Roman" w:eastAsia="Arial" w:hAnsi="Times New Roman" w:cs="Times New Roman"/>
          <w:color w:val="000000"/>
          <w:sz w:val="24"/>
          <w:szCs w:val="24"/>
          <w:highlight w:val="white"/>
          <w:lang w:eastAsia="ru-RU"/>
        </w:rPr>
        <w:t xml:space="preserve">* указанный рынок входит в перечень рынков товаров, работ и услуг Ленинградской области согласно распоряжению Губернатора Ленинградской области от 29.12.2021 №1298-рг </w:t>
      </w:r>
      <w:r w:rsidR="002440F7">
        <w:rPr>
          <w:rFonts w:ascii="Times New Roman" w:eastAsia="Arial" w:hAnsi="Times New Roman" w:cs="Times New Roman"/>
          <w:color w:val="000000"/>
          <w:sz w:val="24"/>
          <w:szCs w:val="24"/>
          <w:highlight w:val="white"/>
          <w:lang w:eastAsia="ru-RU"/>
        </w:rPr>
        <w:t>«</w:t>
      </w:r>
      <w:r w:rsidRPr="0059232D">
        <w:rPr>
          <w:rFonts w:ascii="Times New Roman" w:eastAsia="Arial" w:hAnsi="Times New Roman" w:cs="Times New Roman"/>
          <w:color w:val="000000"/>
          <w:sz w:val="24"/>
          <w:szCs w:val="24"/>
          <w:highlight w:val="white"/>
          <w:lang w:eastAsia="ru-RU"/>
        </w:rPr>
        <w:t>Об утверждении перечня товарных рынков Ленинградской области и Плана мероприятий (</w:t>
      </w:r>
      <w:r w:rsidR="002440F7">
        <w:rPr>
          <w:rFonts w:ascii="Times New Roman" w:eastAsia="Arial" w:hAnsi="Times New Roman" w:cs="Times New Roman"/>
          <w:color w:val="000000"/>
          <w:sz w:val="24"/>
          <w:szCs w:val="24"/>
          <w:highlight w:val="white"/>
          <w:lang w:eastAsia="ru-RU"/>
        </w:rPr>
        <w:t>«</w:t>
      </w:r>
      <w:r w:rsidRPr="0059232D">
        <w:rPr>
          <w:rFonts w:ascii="Times New Roman" w:eastAsia="Arial" w:hAnsi="Times New Roman" w:cs="Times New Roman"/>
          <w:color w:val="000000"/>
          <w:sz w:val="24"/>
          <w:szCs w:val="24"/>
          <w:highlight w:val="white"/>
          <w:lang w:eastAsia="ru-RU"/>
        </w:rPr>
        <w:t>дорожной карты</w:t>
      </w:r>
      <w:r w:rsidR="002440F7">
        <w:rPr>
          <w:rFonts w:ascii="Times New Roman" w:eastAsia="Arial" w:hAnsi="Times New Roman" w:cs="Times New Roman"/>
          <w:color w:val="000000"/>
          <w:sz w:val="24"/>
          <w:szCs w:val="24"/>
          <w:highlight w:val="white"/>
          <w:lang w:eastAsia="ru-RU"/>
        </w:rPr>
        <w:t>»</w:t>
      </w:r>
      <w:r w:rsidRPr="0059232D">
        <w:rPr>
          <w:rFonts w:ascii="Times New Roman" w:eastAsia="Arial" w:hAnsi="Times New Roman" w:cs="Times New Roman"/>
          <w:color w:val="000000"/>
          <w:sz w:val="24"/>
          <w:szCs w:val="24"/>
          <w:highlight w:val="white"/>
          <w:lang w:eastAsia="ru-RU"/>
        </w:rPr>
        <w:t>) по содействию развитию конкуренции на рынках товаров, работ и услуг Ленинградской области на 2022-2025 гг.</w:t>
      </w:r>
      <w:r w:rsidR="002440F7">
        <w:rPr>
          <w:rFonts w:ascii="Times New Roman" w:eastAsia="Arial" w:hAnsi="Times New Roman" w:cs="Times New Roman"/>
          <w:color w:val="000000"/>
          <w:sz w:val="24"/>
          <w:szCs w:val="24"/>
          <w:highlight w:val="white"/>
          <w:lang w:eastAsia="ru-RU"/>
        </w:rPr>
        <w:t>»</w:t>
      </w:r>
      <w:r w:rsidRPr="0059232D">
        <w:rPr>
          <w:rFonts w:ascii="Times New Roman" w:eastAsia="Arial" w:hAnsi="Times New Roman" w:cs="Times New Roman"/>
          <w:color w:val="000000"/>
          <w:sz w:val="24"/>
          <w:szCs w:val="24"/>
          <w:highlight w:val="white"/>
          <w:lang w:eastAsia="ru-RU"/>
        </w:rPr>
        <w:t>.</w:t>
      </w:r>
    </w:p>
    <w:p w:rsidR="0096100B" w:rsidRPr="00573C20" w:rsidRDefault="00573C20" w:rsidP="0096100B">
      <w:pPr>
        <w:keepNext/>
        <w:keepLines/>
        <w:spacing w:before="40" w:after="240" w:line="240" w:lineRule="auto"/>
        <w:jc w:val="center"/>
        <w:outlineLvl w:val="2"/>
        <w:rPr>
          <w:rFonts w:ascii="Times New Roman" w:eastAsia="Arial" w:hAnsi="Times New Roman" w:cs="Times New Roman"/>
          <w:b/>
          <w:color w:val="000000"/>
          <w:sz w:val="24"/>
          <w:szCs w:val="24"/>
          <w:lang w:eastAsia="ru-RU"/>
        </w:rPr>
      </w:pPr>
      <w:bookmarkStart w:id="30" w:name="_Toc122720240"/>
      <w:r w:rsidRPr="00573C20">
        <w:rPr>
          <w:rFonts w:ascii="Times New Roman" w:eastAsia="Arial" w:hAnsi="Times New Roman" w:cs="Times New Roman"/>
          <w:b/>
          <w:color w:val="000000"/>
          <w:sz w:val="24"/>
          <w:szCs w:val="24"/>
          <w:lang w:eastAsia="ru-RU"/>
        </w:rPr>
        <w:t>3.</w:t>
      </w:r>
      <w:r w:rsidR="0096100B" w:rsidRPr="00573C20">
        <w:rPr>
          <w:rFonts w:ascii="Times New Roman" w:eastAsia="Arial" w:hAnsi="Times New Roman" w:cs="Times New Roman"/>
          <w:b/>
          <w:color w:val="000000"/>
          <w:sz w:val="24"/>
          <w:szCs w:val="24"/>
          <w:lang w:eastAsia="ru-RU"/>
        </w:rPr>
        <w:t>4.2. Об уровнях тарифов (цен), установленных уполномоченным органом исполнительной власти Ленинградской области в сфере государственного регулирования тарифов, за текущий и прошедший периоды</w:t>
      </w:r>
      <w:bookmarkEnd w:id="30"/>
    </w:p>
    <w:p w:rsidR="0096100B" w:rsidRPr="00573C20" w:rsidRDefault="0096100B" w:rsidP="00573C20">
      <w:pPr>
        <w:spacing w:after="0" w:line="360" w:lineRule="auto"/>
        <w:ind w:firstLine="709"/>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Комитетом по тарифам и ценовой политике Ленинградской области на 2022 г. установлены тарифы:</w:t>
      </w:r>
    </w:p>
    <w:p w:rsidR="0096100B" w:rsidRPr="00573C20" w:rsidRDefault="0096100B" w:rsidP="00573C20">
      <w:pPr>
        <w:numPr>
          <w:ilvl w:val="0"/>
          <w:numId w:val="17"/>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в сфере теплоснабжения для 69 организаций;</w:t>
      </w:r>
    </w:p>
    <w:p w:rsidR="0096100B" w:rsidRPr="00573C20" w:rsidRDefault="0096100B" w:rsidP="00573C20">
      <w:pPr>
        <w:numPr>
          <w:ilvl w:val="0"/>
          <w:numId w:val="17"/>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в сфере железнодорожного транспорта для 1 организации;</w:t>
      </w:r>
    </w:p>
    <w:p w:rsidR="0096100B" w:rsidRPr="00573C20" w:rsidRDefault="0096100B" w:rsidP="00573C20">
      <w:pPr>
        <w:numPr>
          <w:ilvl w:val="0"/>
          <w:numId w:val="17"/>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в сфере газоснабжения для 2 организаций;</w:t>
      </w:r>
    </w:p>
    <w:p w:rsidR="0096100B" w:rsidRPr="00573C20" w:rsidRDefault="0096100B" w:rsidP="00573C20">
      <w:pPr>
        <w:numPr>
          <w:ilvl w:val="0"/>
          <w:numId w:val="17"/>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в сфере электроэнергетики для 2 организаций;</w:t>
      </w:r>
    </w:p>
    <w:p w:rsidR="0096100B" w:rsidRPr="00573C20" w:rsidRDefault="0096100B" w:rsidP="00573C20">
      <w:pPr>
        <w:numPr>
          <w:ilvl w:val="0"/>
          <w:numId w:val="17"/>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в сфере водоснабжения и водоотведения для 75 организаций.</w:t>
      </w:r>
    </w:p>
    <w:p w:rsidR="0096100B" w:rsidRPr="00573C20" w:rsidRDefault="0096100B" w:rsidP="00573C20">
      <w:pPr>
        <w:spacing w:after="0" w:line="360" w:lineRule="auto"/>
        <w:ind w:firstLine="709"/>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Распоряжением Правительства Российской Федерации от 30.10.2021 № 3073-р утверждены средние индексы изменения размера вносимой гражданами платы за коммунальные услуги по Ленинградской области:</w:t>
      </w:r>
    </w:p>
    <w:p w:rsidR="0096100B" w:rsidRPr="00573C20" w:rsidRDefault="0096100B" w:rsidP="00573C20">
      <w:pPr>
        <w:numPr>
          <w:ilvl w:val="0"/>
          <w:numId w:val="17"/>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с 01.01.2022 – в размере 0%,</w:t>
      </w:r>
    </w:p>
    <w:p w:rsidR="0096100B" w:rsidRPr="00573C20" w:rsidRDefault="0096100B" w:rsidP="00573C20">
      <w:pPr>
        <w:numPr>
          <w:ilvl w:val="0"/>
          <w:numId w:val="17"/>
        </w:numPr>
        <w:spacing w:after="0" w:line="360" w:lineRule="auto"/>
        <w:ind w:left="0" w:firstLine="709"/>
        <w:contextualSpacing/>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с 01.07.2022 – в размере 3,4%.</w:t>
      </w:r>
    </w:p>
    <w:p w:rsidR="0096100B" w:rsidRPr="00573C20" w:rsidRDefault="0096100B" w:rsidP="00573C20">
      <w:pPr>
        <w:spacing w:after="0" w:line="360" w:lineRule="auto"/>
        <w:ind w:firstLine="709"/>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Предельные индексы устанавливаются и применяются исходя из принципа неизменности набора и объема потребляемых коммунальных услуг.</w:t>
      </w:r>
    </w:p>
    <w:p w:rsidR="0096100B" w:rsidRPr="00573C20" w:rsidRDefault="0096100B" w:rsidP="00573C20">
      <w:pPr>
        <w:spacing w:after="0" w:line="360" w:lineRule="auto"/>
        <w:ind w:firstLine="709"/>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Распоряжением Правительства Российской Федерации от 15.11.2018 № 2490-р до 2023 г. установлено предельно допустимое отклонение по отдельным муниципальным образованиям от среднего индекса по Ленинградской области в размере 2,0%.</w:t>
      </w:r>
    </w:p>
    <w:p w:rsidR="0096100B" w:rsidRPr="00573C20" w:rsidRDefault="0096100B" w:rsidP="00573C20">
      <w:pPr>
        <w:spacing w:after="0" w:line="360" w:lineRule="auto"/>
        <w:ind w:firstLine="709"/>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С учетом указанных ограничений предельный индекс роста платы граждан по Ленинградской области на 2022 составляет 5,4% и установлен постановлением Губернатора Ленинградской области от 02.12.2021 г. № 109-пг "О внесении изменений в постановление губернатора Ленинградской области от 14 декабря 2018 г. №73-пг "Об утверждении предельных (максимальных) индексов изменения размера вносимой гражданами платы за коммунальные услуги в муниципальных образованиях Ленинградской области на 2019-2023 гг.".</w:t>
      </w:r>
    </w:p>
    <w:p w:rsidR="0096100B" w:rsidRPr="00573C20" w:rsidRDefault="0096100B" w:rsidP="00573C20">
      <w:pPr>
        <w:spacing w:after="0" w:line="360" w:lineRule="auto"/>
        <w:ind w:firstLine="709"/>
        <w:jc w:val="both"/>
        <w:rPr>
          <w:rFonts w:ascii="Times New Roman" w:eastAsia="Arial" w:hAnsi="Times New Roman" w:cs="Times New Roman"/>
          <w:color w:val="000000"/>
          <w:sz w:val="24"/>
          <w:szCs w:val="24"/>
          <w:lang w:eastAsia="ru-RU"/>
        </w:rPr>
      </w:pPr>
      <w:r w:rsidRPr="00573C20">
        <w:rPr>
          <w:rFonts w:ascii="Times New Roman" w:eastAsia="Arial" w:hAnsi="Times New Roman" w:cs="Times New Roman"/>
          <w:color w:val="000000"/>
          <w:sz w:val="24"/>
          <w:szCs w:val="24"/>
          <w:lang w:eastAsia="ru-RU"/>
        </w:rPr>
        <w:t>Комитетом по тарифам и ценовой политике Ленинградской области ежемесячно в течение 2022 г. проводится мониторинг индекса изменения вносимой гражданами платы за коммунальные услуги в Ленинградской области. Данные итогов мониторинга за 2022 г. доступны по ссылке:</w:t>
      </w:r>
    </w:p>
    <w:p w:rsidR="0096100B" w:rsidRPr="00573C20" w:rsidRDefault="008C32C6" w:rsidP="00573C20">
      <w:pPr>
        <w:widowControl w:val="0"/>
        <w:pBdr>
          <w:top w:val="nil"/>
          <w:left w:val="nil"/>
          <w:bottom w:val="nil"/>
          <w:right w:val="nil"/>
          <w:between w:val="nil"/>
        </w:pBdr>
        <w:spacing w:after="0" w:line="360" w:lineRule="auto"/>
        <w:ind w:firstLine="709"/>
        <w:rPr>
          <w:rFonts w:ascii="Times New Roman" w:eastAsia="Times New Roman" w:hAnsi="Times New Roman" w:cs="Times New Roman"/>
          <w:color w:val="000000"/>
          <w:sz w:val="24"/>
          <w:szCs w:val="24"/>
        </w:rPr>
      </w:pPr>
      <w:hyperlink r:id="rId68">
        <w:r w:rsidR="0096100B" w:rsidRPr="00573C20">
          <w:rPr>
            <w:rFonts w:ascii="Times New Roman" w:eastAsia="Times New Roman" w:hAnsi="Times New Roman" w:cs="Times New Roman"/>
            <w:color w:val="000000"/>
            <w:sz w:val="24"/>
            <w:szCs w:val="24"/>
            <w:u w:val="single"/>
          </w:rPr>
          <w:t>https://tarif.lenobl.ru/ru/programmy-i-plany/monitoring-soblyudeniya-predelnyh-indeksov-izmeneniya-razmera-platy-gr/informaciya-o-rezultatah-monitoringa/2022-god/</w:t>
        </w:r>
      </w:hyperlink>
    </w:p>
    <w:p w:rsidR="00B2456F" w:rsidRPr="00573C20" w:rsidRDefault="00B2456F" w:rsidP="00573C20">
      <w:pPr>
        <w:widowControl w:val="0"/>
        <w:spacing w:after="0" w:line="360" w:lineRule="auto"/>
        <w:ind w:firstLine="709"/>
        <w:rPr>
          <w:rFonts w:ascii="Times New Roman" w:eastAsia="Times New Roman" w:hAnsi="Times New Roman" w:cs="Times New Roman"/>
          <w:sz w:val="24"/>
          <w:szCs w:val="24"/>
        </w:rPr>
      </w:pPr>
      <w:r w:rsidRPr="00573C20">
        <w:rPr>
          <w:rFonts w:ascii="Times New Roman" w:eastAsia="Times New Roman" w:hAnsi="Times New Roman" w:cs="Times New Roman"/>
          <w:sz w:val="24"/>
          <w:szCs w:val="24"/>
        </w:rPr>
        <w:t>В соответствии с Положением о комитете по тарифам и ценовой политике Ленинградской области (ЛенРТК), утвержденном постановлением Правительства Ленинградской области от 28 августа 2013 № 274, ЛенРТК реализует свои полномочия в части регулирования тарифов (цен) в следующих сферах деятельности:</w:t>
      </w:r>
    </w:p>
    <w:p w:rsidR="00B2456F" w:rsidRPr="00573C20" w:rsidRDefault="00B2456F" w:rsidP="00573C20">
      <w:pPr>
        <w:widowControl w:val="0"/>
        <w:spacing w:after="0" w:line="360" w:lineRule="auto"/>
        <w:ind w:firstLine="709"/>
        <w:rPr>
          <w:rFonts w:ascii="Times New Roman" w:eastAsia="Times New Roman" w:hAnsi="Times New Roman" w:cs="Times New Roman"/>
          <w:sz w:val="24"/>
          <w:szCs w:val="24"/>
        </w:rPr>
      </w:pPr>
      <w:r w:rsidRPr="00573C20">
        <w:rPr>
          <w:rFonts w:ascii="Times New Roman" w:eastAsia="Times New Roman" w:hAnsi="Times New Roman" w:cs="Times New Roman"/>
          <w:sz w:val="24"/>
          <w:szCs w:val="24"/>
        </w:rPr>
        <w:t>• Теплоснабжение</w:t>
      </w:r>
    </w:p>
    <w:p w:rsidR="00B2456F" w:rsidRPr="00573C20" w:rsidRDefault="00B2456F" w:rsidP="00573C20">
      <w:pPr>
        <w:widowControl w:val="0"/>
        <w:spacing w:after="0" w:line="360" w:lineRule="auto"/>
        <w:ind w:firstLine="709"/>
        <w:rPr>
          <w:rFonts w:ascii="Times New Roman" w:eastAsia="Times New Roman" w:hAnsi="Times New Roman" w:cs="Times New Roman"/>
          <w:sz w:val="24"/>
          <w:szCs w:val="24"/>
        </w:rPr>
      </w:pPr>
      <w:r w:rsidRPr="00573C20">
        <w:rPr>
          <w:rFonts w:ascii="Times New Roman" w:eastAsia="Times New Roman" w:hAnsi="Times New Roman" w:cs="Times New Roman"/>
          <w:sz w:val="24"/>
          <w:szCs w:val="24"/>
        </w:rPr>
        <w:t>• Водоснабжение и водоотведение</w:t>
      </w:r>
    </w:p>
    <w:p w:rsidR="00B2456F" w:rsidRPr="00573C20" w:rsidRDefault="00B2456F" w:rsidP="00573C20">
      <w:pPr>
        <w:widowControl w:val="0"/>
        <w:spacing w:after="0" w:line="360" w:lineRule="auto"/>
        <w:ind w:firstLine="709"/>
        <w:rPr>
          <w:rFonts w:ascii="Times New Roman" w:eastAsia="Times New Roman" w:hAnsi="Times New Roman" w:cs="Times New Roman"/>
          <w:sz w:val="24"/>
          <w:szCs w:val="24"/>
        </w:rPr>
      </w:pPr>
      <w:r w:rsidRPr="00573C20">
        <w:rPr>
          <w:rFonts w:ascii="Times New Roman" w:eastAsia="Times New Roman" w:hAnsi="Times New Roman" w:cs="Times New Roman"/>
          <w:sz w:val="24"/>
          <w:szCs w:val="24"/>
        </w:rPr>
        <w:t>• Электроэнергетика</w:t>
      </w:r>
    </w:p>
    <w:p w:rsidR="00B2456F" w:rsidRPr="00573C20" w:rsidRDefault="00B2456F" w:rsidP="00573C20">
      <w:pPr>
        <w:widowControl w:val="0"/>
        <w:spacing w:after="0" w:line="360" w:lineRule="auto"/>
        <w:ind w:firstLine="709"/>
        <w:rPr>
          <w:rFonts w:ascii="Times New Roman" w:eastAsia="Times New Roman" w:hAnsi="Times New Roman" w:cs="Times New Roman"/>
          <w:sz w:val="24"/>
          <w:szCs w:val="24"/>
        </w:rPr>
      </w:pPr>
      <w:r w:rsidRPr="00573C20">
        <w:rPr>
          <w:rFonts w:ascii="Times New Roman" w:eastAsia="Times New Roman" w:hAnsi="Times New Roman" w:cs="Times New Roman"/>
          <w:sz w:val="24"/>
          <w:szCs w:val="24"/>
        </w:rPr>
        <w:t>• Обращение с ТКО</w:t>
      </w:r>
    </w:p>
    <w:p w:rsidR="00B2456F" w:rsidRPr="00573C20" w:rsidRDefault="00B2456F" w:rsidP="00573C20">
      <w:pPr>
        <w:widowControl w:val="0"/>
        <w:spacing w:after="0" w:line="360" w:lineRule="auto"/>
        <w:ind w:firstLine="709"/>
        <w:rPr>
          <w:rFonts w:ascii="Times New Roman" w:eastAsia="Times New Roman" w:hAnsi="Times New Roman" w:cs="Times New Roman"/>
          <w:sz w:val="24"/>
          <w:szCs w:val="24"/>
        </w:rPr>
      </w:pPr>
      <w:r w:rsidRPr="00573C20">
        <w:rPr>
          <w:rFonts w:ascii="Times New Roman" w:eastAsia="Times New Roman" w:hAnsi="Times New Roman" w:cs="Times New Roman"/>
          <w:sz w:val="24"/>
          <w:szCs w:val="24"/>
        </w:rPr>
        <w:t>• Газоснабжение</w:t>
      </w:r>
    </w:p>
    <w:p w:rsidR="00B2456F" w:rsidRPr="00573C20" w:rsidRDefault="00B2456F" w:rsidP="00573C20">
      <w:pPr>
        <w:widowControl w:val="0"/>
        <w:spacing w:after="0" w:line="360" w:lineRule="auto"/>
        <w:ind w:firstLine="709"/>
        <w:rPr>
          <w:rFonts w:ascii="Times New Roman" w:eastAsia="Times New Roman" w:hAnsi="Times New Roman" w:cs="Times New Roman"/>
          <w:sz w:val="24"/>
          <w:szCs w:val="24"/>
        </w:rPr>
      </w:pPr>
      <w:r w:rsidRPr="00573C20">
        <w:rPr>
          <w:rFonts w:ascii="Times New Roman" w:eastAsia="Times New Roman" w:hAnsi="Times New Roman" w:cs="Times New Roman"/>
          <w:sz w:val="24"/>
          <w:szCs w:val="24"/>
        </w:rPr>
        <w:t>• Регулирование социально значимых товаров</w:t>
      </w:r>
    </w:p>
    <w:p w:rsidR="005B5F9A" w:rsidRPr="00573C20" w:rsidRDefault="00B2456F" w:rsidP="00573C20">
      <w:pPr>
        <w:widowControl w:val="0"/>
        <w:spacing w:after="0" w:line="360" w:lineRule="auto"/>
        <w:ind w:firstLine="709"/>
        <w:rPr>
          <w:rFonts w:ascii="Times New Roman" w:eastAsia="Times New Roman" w:hAnsi="Times New Roman" w:cs="Times New Roman"/>
          <w:sz w:val="24"/>
          <w:szCs w:val="24"/>
        </w:rPr>
      </w:pPr>
      <w:r w:rsidRPr="00573C20">
        <w:rPr>
          <w:rFonts w:ascii="Times New Roman" w:eastAsia="Times New Roman" w:hAnsi="Times New Roman" w:cs="Times New Roman"/>
          <w:sz w:val="24"/>
          <w:szCs w:val="24"/>
        </w:rPr>
        <w:t>Информация об уровнях тарифов (цен) размещена на сайте ЛенРТК https://tarif.lenobl.ru/ru/tarif/</w:t>
      </w:r>
    </w:p>
    <w:p w:rsidR="00B2456F" w:rsidRPr="00573C20" w:rsidRDefault="00B2456F" w:rsidP="00B2456F">
      <w:pPr>
        <w:keepNext/>
        <w:keepLines/>
        <w:spacing w:before="40" w:after="240" w:line="240" w:lineRule="auto"/>
        <w:jc w:val="center"/>
        <w:outlineLvl w:val="2"/>
        <w:rPr>
          <w:rFonts w:ascii="Times New Roman" w:eastAsia="Arial" w:hAnsi="Times New Roman" w:cs="Times New Roman"/>
          <w:b/>
          <w:color w:val="000000"/>
          <w:sz w:val="24"/>
          <w:szCs w:val="24"/>
          <w:lang w:eastAsia="ru-RU"/>
        </w:rPr>
      </w:pPr>
      <w:bookmarkStart w:id="31" w:name="_Toc119695542"/>
      <w:bookmarkStart w:id="32" w:name="_Toc122720241"/>
      <w:r w:rsidRPr="00573C20">
        <w:rPr>
          <w:rFonts w:ascii="Times New Roman" w:eastAsia="Arial" w:hAnsi="Times New Roman" w:cs="Times New Roman"/>
          <w:b/>
          <w:color w:val="000000"/>
          <w:sz w:val="24"/>
          <w:szCs w:val="24"/>
          <w:lang w:eastAsia="ru-RU"/>
        </w:rPr>
        <w:t>3.4.3. О развитии конкуренции и качестве товаров, работ, услуг на выявленных товарных рынках (на основе субъективных оценок субъектов предпринимательской деятельности, взаимодействующих прямо или косвенно в экономической деятельности с субъектами естественных монополий, в том числе в электронном виде, и потребителей товаров, работ, услуг, предоставляемых субъектами естественных монополий)</w:t>
      </w:r>
      <w:bookmarkEnd w:id="31"/>
      <w:bookmarkEnd w:id="32"/>
    </w:p>
    <w:p w:rsidR="00B2456F" w:rsidRPr="00573C20" w:rsidRDefault="00B2456F" w:rsidP="00B2456F">
      <w:pPr>
        <w:rPr>
          <w:rFonts w:ascii="Times New Roman" w:eastAsia="Calibri" w:hAnsi="Times New Roman" w:cs="Times New Roman"/>
          <w:color w:val="000000"/>
          <w:sz w:val="24"/>
          <w:szCs w:val="24"/>
          <w:lang w:eastAsia="ru-RU"/>
        </w:rPr>
      </w:pPr>
    </w:p>
    <w:p w:rsidR="00B2456F" w:rsidRPr="00573C20" w:rsidRDefault="00B2456F" w:rsidP="00B2456F">
      <w:pPr>
        <w:spacing w:after="0" w:line="360" w:lineRule="auto"/>
        <w:ind w:firstLine="708"/>
        <w:jc w:val="both"/>
        <w:rPr>
          <w:rFonts w:ascii="Times New Roman" w:eastAsia="Times New Roman" w:hAnsi="Times New Roman" w:cs="Times New Roman"/>
          <w:color w:val="000000"/>
          <w:sz w:val="24"/>
          <w:szCs w:val="24"/>
          <w:lang w:eastAsia="ru-RU"/>
        </w:rPr>
      </w:pPr>
      <w:r w:rsidRPr="00573C20">
        <w:rPr>
          <w:rFonts w:ascii="Times New Roman" w:eastAsia="Times New Roman" w:hAnsi="Times New Roman" w:cs="Times New Roman"/>
          <w:color w:val="000000"/>
          <w:sz w:val="24"/>
          <w:szCs w:val="24"/>
          <w:lang w:eastAsia="ru-RU"/>
        </w:rPr>
        <w:t>На рисунке ниже представлены данные на основе оценок субъектов предпринимательской деятельности.</w:t>
      </w:r>
    </w:p>
    <w:p w:rsidR="00B2456F" w:rsidRPr="00B2456F" w:rsidRDefault="00B2456F" w:rsidP="00573C20">
      <w:pPr>
        <w:keepNext/>
        <w:keepLines/>
        <w:spacing w:before="120" w:after="120" w:line="240" w:lineRule="auto"/>
        <w:jc w:val="center"/>
        <w:rPr>
          <w:rFonts w:ascii="Times New Roman" w:eastAsia="Calibri" w:hAnsi="Times New Roman" w:cs="Times New Roman"/>
          <w:color w:val="000000"/>
          <w:sz w:val="24"/>
          <w:szCs w:val="24"/>
        </w:rPr>
      </w:pPr>
      <w:r w:rsidRPr="00B2456F">
        <w:rPr>
          <w:rFonts w:ascii="Times New Roman" w:eastAsia="Calibri" w:hAnsi="Times New Roman" w:cs="Times New Roman"/>
          <w:iCs/>
          <w:color w:val="000000"/>
          <w:sz w:val="24"/>
          <w:szCs w:val="28"/>
        </w:rPr>
        <w:t xml:space="preserve">Рисунок </w:t>
      </w:r>
      <w:r w:rsidR="00573C20">
        <w:rPr>
          <w:rFonts w:ascii="Times New Roman" w:eastAsia="Calibri" w:hAnsi="Times New Roman" w:cs="Times New Roman"/>
          <w:iCs/>
          <w:color w:val="000000"/>
          <w:sz w:val="24"/>
          <w:szCs w:val="28"/>
        </w:rPr>
        <w:t>31</w:t>
      </w:r>
      <w:r w:rsidRPr="00B2456F">
        <w:rPr>
          <w:rFonts w:ascii="Times New Roman" w:eastAsia="Calibri" w:hAnsi="Times New Roman" w:cs="Times New Roman"/>
          <w:iCs/>
          <w:color w:val="000000"/>
          <w:sz w:val="24"/>
          <w:szCs w:val="28"/>
        </w:rPr>
        <w:t xml:space="preserve">. </w:t>
      </w:r>
      <w:r w:rsidRPr="00B2456F">
        <w:rPr>
          <w:rFonts w:ascii="Times New Roman" w:eastAsia="Calibri" w:hAnsi="Times New Roman" w:cs="Times New Roman"/>
          <w:b/>
          <w:iCs/>
          <w:color w:val="000000"/>
          <w:sz w:val="24"/>
          <w:szCs w:val="28"/>
        </w:rPr>
        <w:t xml:space="preserve">Оцените, пожалуйста, как изменились следующие характеристики услуг субъектов естественных монополий, предоставляемых по месту ведения Вашего бизнеса, за последние 5 лет </w:t>
      </w:r>
      <w:r w:rsidRPr="00B2456F">
        <w:rPr>
          <w:rFonts w:ascii="Times New Roman" w:eastAsia="Calibri" w:hAnsi="Times New Roman" w:cs="Times New Roman"/>
          <w:noProof/>
          <w:color w:val="000000"/>
          <w:sz w:val="24"/>
          <w:szCs w:val="24"/>
        </w:rPr>
        <w:t>(опрос предпринимателей, % от опрошенных без учета затруднившихся ответить):</w:t>
      </w:r>
    </w:p>
    <w:p w:rsidR="00B2456F" w:rsidRPr="00B2456F" w:rsidRDefault="00B2456F" w:rsidP="00B2456F">
      <w:pPr>
        <w:keepNext/>
        <w:keepLines/>
        <w:spacing w:before="120" w:after="120" w:line="240" w:lineRule="auto"/>
        <w:jc w:val="both"/>
        <w:rPr>
          <w:rFonts w:ascii="Times New Roman" w:eastAsia="Calibri" w:hAnsi="Times New Roman" w:cs="Times New Roman"/>
          <w:bCs/>
          <w:iCs/>
          <w:color w:val="000000"/>
          <w:sz w:val="24"/>
          <w:szCs w:val="28"/>
        </w:rPr>
      </w:pPr>
      <w:r w:rsidRPr="00B2456F">
        <w:rPr>
          <w:rFonts w:ascii="Times New Roman" w:eastAsia="Times New Roman" w:hAnsi="Times New Roman" w:cs="Times New Roman"/>
          <w:i/>
          <w:color w:val="000000"/>
          <w:lang w:eastAsia="ru-RU"/>
        </w:rPr>
        <w:t>Качество услуг</w:t>
      </w:r>
    </w:p>
    <w:p w:rsidR="00B2456F" w:rsidRPr="00B2456F" w:rsidRDefault="00B2456F" w:rsidP="00B2456F">
      <w:pPr>
        <w:spacing w:before="120" w:after="120" w:line="360" w:lineRule="auto"/>
        <w:ind w:firstLine="709"/>
        <w:jc w:val="both"/>
        <w:rPr>
          <w:rFonts w:ascii="Times New Roman" w:eastAsia="Arial" w:hAnsi="Times New Roman" w:cs="Times New Roman"/>
          <w:color w:val="000000"/>
          <w:sz w:val="28"/>
          <w:szCs w:val="28"/>
          <w:lang w:eastAsia="ru-RU"/>
        </w:rPr>
      </w:pPr>
      <w:r w:rsidRPr="00B2456F">
        <w:rPr>
          <w:rFonts w:ascii="Times New Roman" w:eastAsia="Franklin Gothic Book" w:hAnsi="Times New Roman" w:cs="Times New Roman"/>
          <w:noProof/>
          <w:color w:val="000000"/>
          <w:szCs w:val="24"/>
          <w:u w:color="000000"/>
          <w:lang w:eastAsia="ru-RU"/>
        </w:rPr>
        <w:drawing>
          <wp:inline distT="0" distB="0" distL="0" distR="0" wp14:anchorId="10A4FDA6" wp14:editId="24A37B82">
            <wp:extent cx="6193155" cy="2898648"/>
            <wp:effectExtent l="0" t="0" r="0" b="0"/>
            <wp:docPr id="111" name="Диаграмма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B2456F" w:rsidRPr="00573C20" w:rsidRDefault="00B2456F" w:rsidP="00573C20">
      <w:pPr>
        <w:spacing w:after="0" w:line="360" w:lineRule="auto"/>
        <w:ind w:firstLine="709"/>
        <w:jc w:val="both"/>
        <w:rPr>
          <w:rFonts w:ascii="Times New Roman" w:eastAsia="Times New Roman" w:hAnsi="Times New Roman" w:cs="Times New Roman"/>
          <w:color w:val="000000"/>
          <w:sz w:val="24"/>
          <w:szCs w:val="24"/>
          <w:lang w:eastAsia="ru-RU"/>
        </w:rPr>
      </w:pPr>
      <w:r w:rsidRPr="00573C20">
        <w:rPr>
          <w:rFonts w:ascii="Times New Roman" w:eastAsia="Times New Roman" w:hAnsi="Times New Roman" w:cs="Times New Roman"/>
          <w:b/>
          <w:bCs/>
          <w:color w:val="000000"/>
          <w:sz w:val="24"/>
          <w:szCs w:val="24"/>
          <w:lang w:eastAsia="ru-RU"/>
        </w:rPr>
        <w:t>Качество услуг</w:t>
      </w:r>
      <w:r w:rsidRPr="00573C20">
        <w:rPr>
          <w:rFonts w:ascii="Times New Roman" w:eastAsia="Times New Roman" w:hAnsi="Times New Roman" w:cs="Times New Roman"/>
          <w:color w:val="000000"/>
          <w:sz w:val="24"/>
          <w:szCs w:val="24"/>
          <w:lang w:eastAsia="ru-RU"/>
        </w:rPr>
        <w:t xml:space="preserve"> субъектов естественных монополий остается неизменным на протяжении последних 5 лет, по мнению большинства опрошенных предпринимателей. Наиболее позитивная оценка изменения качества услуг отмечается по телефонной связи: доля оценок </w:t>
      </w:r>
      <w:r w:rsidR="002440F7">
        <w:rPr>
          <w:rFonts w:ascii="Times New Roman" w:eastAsia="Times New Roman" w:hAnsi="Times New Roman" w:cs="Times New Roman"/>
          <w:color w:val="000000"/>
          <w:sz w:val="24"/>
          <w:szCs w:val="24"/>
          <w:lang w:eastAsia="ru-RU"/>
        </w:rPr>
        <w:t>«</w:t>
      </w:r>
      <w:r w:rsidRPr="00573C20">
        <w:rPr>
          <w:rFonts w:ascii="Times New Roman" w:eastAsia="Times New Roman" w:hAnsi="Times New Roman" w:cs="Times New Roman"/>
          <w:color w:val="000000"/>
          <w:sz w:val="24"/>
          <w:szCs w:val="24"/>
          <w:lang w:eastAsia="ru-RU"/>
        </w:rPr>
        <w:t>улучшилось</w:t>
      </w:r>
      <w:r w:rsidR="002440F7">
        <w:rPr>
          <w:rFonts w:ascii="Times New Roman" w:eastAsia="Times New Roman" w:hAnsi="Times New Roman" w:cs="Times New Roman"/>
          <w:color w:val="000000"/>
          <w:sz w:val="24"/>
          <w:szCs w:val="24"/>
          <w:lang w:eastAsia="ru-RU"/>
        </w:rPr>
        <w:t>»</w:t>
      </w:r>
      <w:r w:rsidRPr="00573C20">
        <w:rPr>
          <w:rFonts w:ascii="Times New Roman" w:eastAsia="Times New Roman" w:hAnsi="Times New Roman" w:cs="Times New Roman"/>
          <w:color w:val="000000"/>
          <w:sz w:val="24"/>
          <w:szCs w:val="24"/>
          <w:lang w:eastAsia="ru-RU"/>
        </w:rPr>
        <w:t xml:space="preserve"> самая высокая среди всех естественных монополий (22%), и в 2 раза превышает долю оценок </w:t>
      </w:r>
      <w:r w:rsidR="002440F7">
        <w:rPr>
          <w:rFonts w:ascii="Times New Roman" w:eastAsia="Times New Roman" w:hAnsi="Times New Roman" w:cs="Times New Roman"/>
          <w:color w:val="000000"/>
          <w:sz w:val="24"/>
          <w:szCs w:val="24"/>
          <w:lang w:eastAsia="ru-RU"/>
        </w:rPr>
        <w:t>«</w:t>
      </w:r>
      <w:r w:rsidRPr="00573C20">
        <w:rPr>
          <w:rFonts w:ascii="Times New Roman" w:eastAsia="Times New Roman" w:hAnsi="Times New Roman" w:cs="Times New Roman"/>
          <w:color w:val="000000"/>
          <w:sz w:val="24"/>
          <w:szCs w:val="24"/>
          <w:lang w:eastAsia="ru-RU"/>
        </w:rPr>
        <w:t>ухудшилось</w:t>
      </w:r>
      <w:r w:rsidR="002440F7">
        <w:rPr>
          <w:rFonts w:ascii="Times New Roman" w:eastAsia="Times New Roman" w:hAnsi="Times New Roman" w:cs="Times New Roman"/>
          <w:color w:val="000000"/>
          <w:sz w:val="24"/>
          <w:szCs w:val="24"/>
          <w:lang w:eastAsia="ru-RU"/>
        </w:rPr>
        <w:t>»</w:t>
      </w:r>
      <w:r w:rsidRPr="00573C20">
        <w:rPr>
          <w:rFonts w:ascii="Times New Roman" w:eastAsia="Times New Roman" w:hAnsi="Times New Roman" w:cs="Times New Roman"/>
          <w:color w:val="000000"/>
          <w:sz w:val="24"/>
          <w:szCs w:val="24"/>
          <w:lang w:eastAsia="ru-RU"/>
        </w:rPr>
        <w:t xml:space="preserve"> (11%). Изменения качества услуг водоочистки, водоснабжения и водоотведения оценивались хуже других естественных монополий: доли оценок "улучшилось" самые низкие (12-13%) и соответствуют долям оценок "ухудшилось" (13%).</w:t>
      </w:r>
    </w:p>
    <w:p w:rsidR="00B2456F" w:rsidRPr="00B2456F" w:rsidRDefault="00B2456F" w:rsidP="00573C20">
      <w:pPr>
        <w:keepNext/>
        <w:keepLines/>
        <w:spacing w:before="120" w:after="120" w:line="240" w:lineRule="auto"/>
        <w:jc w:val="center"/>
        <w:rPr>
          <w:rFonts w:ascii="Times New Roman" w:eastAsia="Calibri" w:hAnsi="Times New Roman" w:cs="Times New Roman"/>
          <w:color w:val="000000"/>
          <w:sz w:val="24"/>
          <w:szCs w:val="24"/>
        </w:rPr>
      </w:pPr>
      <w:r w:rsidRPr="00B2456F">
        <w:rPr>
          <w:rFonts w:ascii="Times New Roman" w:eastAsia="Calibri" w:hAnsi="Times New Roman" w:cs="Times New Roman"/>
          <w:iCs/>
          <w:color w:val="000000"/>
          <w:sz w:val="24"/>
          <w:szCs w:val="28"/>
        </w:rPr>
        <w:t xml:space="preserve">Рисунок </w:t>
      </w:r>
      <w:r w:rsidR="00573C20">
        <w:rPr>
          <w:rFonts w:ascii="Times New Roman" w:eastAsia="Calibri" w:hAnsi="Times New Roman" w:cs="Times New Roman"/>
          <w:iCs/>
          <w:color w:val="000000"/>
          <w:sz w:val="24"/>
          <w:szCs w:val="28"/>
        </w:rPr>
        <w:t>32</w:t>
      </w:r>
      <w:r w:rsidRPr="00B2456F">
        <w:rPr>
          <w:rFonts w:ascii="Times New Roman" w:eastAsia="Calibri" w:hAnsi="Times New Roman" w:cs="Times New Roman"/>
          <w:iCs/>
          <w:color w:val="000000"/>
          <w:sz w:val="24"/>
          <w:szCs w:val="28"/>
        </w:rPr>
        <w:t xml:space="preserve">. </w:t>
      </w:r>
      <w:r w:rsidRPr="00B2456F">
        <w:rPr>
          <w:rFonts w:ascii="Times New Roman" w:eastAsia="Calibri" w:hAnsi="Times New Roman" w:cs="Times New Roman"/>
          <w:b/>
          <w:iCs/>
          <w:color w:val="000000"/>
          <w:sz w:val="24"/>
          <w:szCs w:val="28"/>
        </w:rPr>
        <w:t xml:space="preserve">Оцените, пожалуйста, как изменились следующие характеристики услуг субъектов естественных монополий, предоставляемых по месту ведения Вашего бизнеса, за последние 5 лет </w:t>
      </w:r>
      <w:r w:rsidRPr="00B2456F">
        <w:rPr>
          <w:rFonts w:ascii="Times New Roman" w:eastAsia="Calibri" w:hAnsi="Times New Roman" w:cs="Times New Roman"/>
          <w:noProof/>
          <w:color w:val="000000"/>
          <w:sz w:val="24"/>
          <w:szCs w:val="24"/>
        </w:rPr>
        <w:t>(опрос предпринимателей, % от опрошенных без учета затруднившихся ответить):</w:t>
      </w:r>
    </w:p>
    <w:p w:rsidR="00B2456F" w:rsidRPr="00B2456F" w:rsidRDefault="00B2456F" w:rsidP="00B2456F">
      <w:pPr>
        <w:keepNext/>
        <w:keepLines/>
        <w:spacing w:before="120" w:after="120" w:line="240" w:lineRule="auto"/>
        <w:jc w:val="both"/>
        <w:rPr>
          <w:rFonts w:ascii="Times New Roman" w:eastAsia="Calibri" w:hAnsi="Times New Roman" w:cs="Times New Roman"/>
          <w:bCs/>
          <w:iCs/>
          <w:color w:val="000000"/>
          <w:sz w:val="24"/>
          <w:szCs w:val="28"/>
        </w:rPr>
      </w:pPr>
      <w:r w:rsidRPr="00B2456F">
        <w:rPr>
          <w:rFonts w:ascii="Times New Roman" w:eastAsia="Times New Roman" w:hAnsi="Times New Roman" w:cs="Times New Roman"/>
          <w:i/>
          <w:color w:val="000000"/>
          <w:lang w:eastAsia="ru-RU"/>
        </w:rPr>
        <w:t>Уровень цен на услуги</w:t>
      </w:r>
    </w:p>
    <w:p w:rsidR="00B2456F" w:rsidRPr="00B2456F" w:rsidRDefault="00B2456F" w:rsidP="00B2456F">
      <w:pPr>
        <w:spacing w:before="120" w:after="120" w:line="360" w:lineRule="auto"/>
        <w:ind w:firstLine="709"/>
        <w:jc w:val="both"/>
        <w:rPr>
          <w:rFonts w:ascii="Times New Roman" w:eastAsia="Arial" w:hAnsi="Times New Roman" w:cs="Times New Roman"/>
          <w:color w:val="000000"/>
          <w:sz w:val="28"/>
          <w:szCs w:val="28"/>
          <w:lang w:eastAsia="ru-RU"/>
        </w:rPr>
      </w:pPr>
      <w:r w:rsidRPr="00B2456F">
        <w:rPr>
          <w:rFonts w:ascii="Times New Roman" w:eastAsia="Franklin Gothic Book" w:hAnsi="Times New Roman" w:cs="Times New Roman"/>
          <w:noProof/>
          <w:color w:val="000000"/>
          <w:szCs w:val="24"/>
          <w:u w:color="000000"/>
          <w:lang w:eastAsia="ru-RU"/>
        </w:rPr>
        <w:drawing>
          <wp:inline distT="0" distB="0" distL="0" distR="0" wp14:anchorId="2EC5F887" wp14:editId="7BDC25C3">
            <wp:extent cx="6193155" cy="2898648"/>
            <wp:effectExtent l="0" t="0" r="0" b="0"/>
            <wp:docPr id="112" name="Диаграмма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B2456F" w:rsidRPr="00573C20" w:rsidRDefault="00B2456F" w:rsidP="00B2456F">
      <w:pPr>
        <w:spacing w:after="0" w:line="360" w:lineRule="auto"/>
        <w:ind w:firstLine="708"/>
        <w:jc w:val="both"/>
        <w:rPr>
          <w:rFonts w:ascii="Times New Roman" w:eastAsia="Times New Roman" w:hAnsi="Times New Roman" w:cs="Times New Roman"/>
          <w:color w:val="000000"/>
          <w:sz w:val="24"/>
          <w:szCs w:val="24"/>
          <w:lang w:eastAsia="ru-RU"/>
        </w:rPr>
      </w:pPr>
      <w:r w:rsidRPr="00573C20">
        <w:rPr>
          <w:rFonts w:ascii="Times New Roman" w:eastAsia="Times New Roman" w:hAnsi="Times New Roman" w:cs="Times New Roman"/>
          <w:b/>
          <w:bCs/>
          <w:color w:val="000000"/>
          <w:sz w:val="24"/>
          <w:szCs w:val="24"/>
          <w:lang w:eastAsia="ru-RU"/>
        </w:rPr>
        <w:t>Уровень цен на услуги</w:t>
      </w:r>
      <w:r w:rsidRPr="00573C20">
        <w:rPr>
          <w:rFonts w:ascii="Times New Roman" w:eastAsia="Times New Roman" w:hAnsi="Times New Roman" w:cs="Times New Roman"/>
          <w:color w:val="000000"/>
          <w:sz w:val="24"/>
          <w:szCs w:val="24"/>
          <w:lang w:eastAsia="ru-RU"/>
        </w:rPr>
        <w:t xml:space="preserve"> субъектов естественных монополий за последние 5 лет увеличился: такой точки зрения придерживается большинство опрошенных предпринимателей. При этом наиболее заметным был рост цен на услуги водоснабжения, водоотведения и теплоснабжения (по этим услугам наиболее высокие доли отметивших увеличение цен – 77%), менее заметным – на услуги телефонной связи (по этой услуге самая низкая доля отметивших увеличение цен – 68%, и самая высокая доля указавших, что цены не изменились – 28%).</w:t>
      </w:r>
    </w:p>
    <w:p w:rsidR="00B2456F" w:rsidRPr="00573C20" w:rsidRDefault="00B2456F" w:rsidP="00B2456F">
      <w:pPr>
        <w:spacing w:after="0" w:line="360" w:lineRule="auto"/>
        <w:jc w:val="both"/>
        <w:rPr>
          <w:rFonts w:ascii="Times New Roman" w:eastAsia="Calibri" w:hAnsi="Times New Roman" w:cs="Times New Roman"/>
          <w:i/>
          <w:iCs/>
          <w:color w:val="000000"/>
          <w:sz w:val="24"/>
          <w:szCs w:val="24"/>
        </w:rPr>
      </w:pPr>
    </w:p>
    <w:p w:rsidR="00B2456F" w:rsidRPr="00B2456F" w:rsidRDefault="00B2456F" w:rsidP="00573C20">
      <w:pPr>
        <w:keepNext/>
        <w:keepLines/>
        <w:spacing w:before="120" w:after="120" w:line="240" w:lineRule="auto"/>
        <w:jc w:val="center"/>
        <w:rPr>
          <w:rFonts w:ascii="Times New Roman" w:eastAsia="Calibri" w:hAnsi="Times New Roman" w:cs="Times New Roman"/>
          <w:color w:val="000000"/>
          <w:sz w:val="24"/>
          <w:szCs w:val="24"/>
        </w:rPr>
      </w:pPr>
      <w:r w:rsidRPr="00B2456F">
        <w:rPr>
          <w:rFonts w:ascii="Times New Roman" w:eastAsia="Calibri" w:hAnsi="Times New Roman" w:cs="Times New Roman"/>
          <w:iCs/>
          <w:color w:val="000000"/>
          <w:sz w:val="24"/>
          <w:szCs w:val="28"/>
        </w:rPr>
        <w:t xml:space="preserve">Рисунок </w:t>
      </w:r>
      <w:r w:rsidR="00573C20">
        <w:rPr>
          <w:rFonts w:ascii="Times New Roman" w:eastAsia="Calibri" w:hAnsi="Times New Roman" w:cs="Times New Roman"/>
          <w:iCs/>
          <w:color w:val="000000"/>
          <w:sz w:val="24"/>
          <w:szCs w:val="28"/>
        </w:rPr>
        <w:t>33</w:t>
      </w:r>
      <w:r w:rsidRPr="00B2456F">
        <w:rPr>
          <w:rFonts w:ascii="Times New Roman" w:eastAsia="Calibri" w:hAnsi="Times New Roman" w:cs="Times New Roman"/>
          <w:iCs/>
          <w:color w:val="000000"/>
          <w:sz w:val="24"/>
          <w:szCs w:val="28"/>
        </w:rPr>
        <w:t xml:space="preserve">. </w:t>
      </w:r>
      <w:r w:rsidRPr="00B2456F">
        <w:rPr>
          <w:rFonts w:ascii="Times New Roman" w:eastAsia="Calibri" w:hAnsi="Times New Roman" w:cs="Times New Roman"/>
          <w:b/>
          <w:iCs/>
          <w:color w:val="000000"/>
          <w:sz w:val="24"/>
          <w:szCs w:val="28"/>
        </w:rPr>
        <w:t xml:space="preserve">Оцените характеристики услуг субъектов естественных монополий в Ленинградской области по следующим критериям </w:t>
      </w:r>
      <w:r w:rsidRPr="00B2456F">
        <w:rPr>
          <w:rFonts w:ascii="Times New Roman" w:eastAsia="Calibri" w:hAnsi="Times New Roman" w:cs="Times New Roman"/>
          <w:noProof/>
          <w:color w:val="000000"/>
          <w:sz w:val="24"/>
          <w:szCs w:val="24"/>
        </w:rPr>
        <w:t>(опрос предпринимателей, % от опрошенных без учета затруднившихся ответить):</w:t>
      </w:r>
    </w:p>
    <w:p w:rsidR="00B2456F" w:rsidRPr="00B2456F" w:rsidRDefault="00B2456F" w:rsidP="00B2456F">
      <w:pPr>
        <w:keepNext/>
        <w:keepLines/>
        <w:spacing w:before="120" w:after="120" w:line="240" w:lineRule="auto"/>
        <w:jc w:val="both"/>
        <w:rPr>
          <w:rFonts w:ascii="Times New Roman" w:eastAsia="Times New Roman" w:hAnsi="Times New Roman" w:cs="Times New Roman"/>
          <w:i/>
          <w:color w:val="000000"/>
          <w:lang w:eastAsia="ru-RU"/>
        </w:rPr>
      </w:pPr>
      <w:r w:rsidRPr="00B2456F">
        <w:rPr>
          <w:rFonts w:ascii="Times New Roman" w:eastAsia="Times New Roman" w:hAnsi="Times New Roman" w:cs="Times New Roman"/>
          <w:i/>
          <w:color w:val="000000"/>
          <w:lang w:eastAsia="ru-RU"/>
        </w:rPr>
        <w:t>Сложность (количество) процедур подключения</w:t>
      </w:r>
    </w:p>
    <w:p w:rsidR="00B2456F" w:rsidRPr="00B2456F" w:rsidRDefault="00B2456F" w:rsidP="00B2456F">
      <w:pPr>
        <w:spacing w:before="120" w:after="120" w:line="360" w:lineRule="auto"/>
        <w:ind w:firstLine="709"/>
        <w:jc w:val="both"/>
        <w:rPr>
          <w:rFonts w:ascii="Times New Roman" w:eastAsia="Arial" w:hAnsi="Times New Roman" w:cs="Times New Roman"/>
          <w:color w:val="000000"/>
          <w:sz w:val="28"/>
          <w:szCs w:val="28"/>
          <w:lang w:eastAsia="ru-RU"/>
        </w:rPr>
      </w:pPr>
      <w:r w:rsidRPr="00B2456F">
        <w:rPr>
          <w:rFonts w:ascii="Times New Roman" w:eastAsia="Franklin Gothic Book" w:hAnsi="Times New Roman" w:cs="Times New Roman"/>
          <w:noProof/>
          <w:color w:val="000000"/>
          <w:szCs w:val="24"/>
          <w:u w:color="000000"/>
          <w:lang w:eastAsia="ru-RU"/>
        </w:rPr>
        <w:drawing>
          <wp:inline distT="0" distB="0" distL="0" distR="0" wp14:anchorId="47A1980F" wp14:editId="1D5358C9">
            <wp:extent cx="6193155" cy="3291840"/>
            <wp:effectExtent l="0" t="0" r="0" b="3810"/>
            <wp:docPr id="113" name="Диаграмма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B2456F" w:rsidRPr="003736FC" w:rsidRDefault="00B2456F" w:rsidP="003736FC">
      <w:pPr>
        <w:spacing w:after="0" w:line="360" w:lineRule="auto"/>
        <w:ind w:firstLine="708"/>
        <w:jc w:val="both"/>
        <w:rPr>
          <w:rFonts w:ascii="Times New Roman" w:eastAsia="Times New Roman" w:hAnsi="Times New Roman" w:cs="Times New Roman"/>
          <w:color w:val="000000"/>
          <w:sz w:val="24"/>
          <w:szCs w:val="24"/>
          <w:lang w:eastAsia="ru-RU"/>
        </w:rPr>
      </w:pPr>
      <w:r w:rsidRPr="00573C20">
        <w:rPr>
          <w:rFonts w:ascii="Times New Roman" w:eastAsia="Times New Roman" w:hAnsi="Times New Roman" w:cs="Times New Roman"/>
          <w:color w:val="000000"/>
          <w:sz w:val="24"/>
          <w:szCs w:val="24"/>
          <w:lang w:eastAsia="ru-RU"/>
        </w:rPr>
        <w:t xml:space="preserve">Оценивая </w:t>
      </w:r>
      <w:r w:rsidRPr="00573C20">
        <w:rPr>
          <w:rFonts w:ascii="Times New Roman" w:eastAsia="Times New Roman" w:hAnsi="Times New Roman" w:cs="Times New Roman"/>
          <w:b/>
          <w:bCs/>
          <w:color w:val="000000"/>
          <w:sz w:val="24"/>
          <w:szCs w:val="24"/>
          <w:lang w:eastAsia="ru-RU"/>
        </w:rPr>
        <w:t>сложность (количество) процедур подключения</w:t>
      </w:r>
      <w:r w:rsidRPr="00573C20">
        <w:rPr>
          <w:rFonts w:ascii="Times New Roman" w:eastAsia="Times New Roman" w:hAnsi="Times New Roman" w:cs="Times New Roman"/>
          <w:color w:val="000000"/>
          <w:sz w:val="24"/>
          <w:szCs w:val="24"/>
          <w:lang w:eastAsia="ru-RU"/>
        </w:rPr>
        <w:t xml:space="preserve"> к услугам естественных монополий, большинство предпринимателей демонстрируют удовлетворенность данным параметром. Самой простой опрошенные представители компаний считают процедуру подключения к телефонной связи (89% удовлетворены процедурой в той или иной степени, 11% - не удовлетворены), больше всего нареканий вызывает подключение к газоснабжению (65% удовлетворительных оценок пр</w:t>
      </w:r>
      <w:r w:rsidR="003736FC">
        <w:rPr>
          <w:rFonts w:ascii="Times New Roman" w:eastAsia="Times New Roman" w:hAnsi="Times New Roman" w:cs="Times New Roman"/>
          <w:color w:val="000000"/>
          <w:sz w:val="24"/>
          <w:szCs w:val="24"/>
          <w:lang w:eastAsia="ru-RU"/>
        </w:rPr>
        <w:t>отив 35% неудовлетворительных).</w:t>
      </w:r>
    </w:p>
    <w:p w:rsidR="00B2456F" w:rsidRPr="00B2456F" w:rsidRDefault="00B2456F" w:rsidP="00573C20">
      <w:pPr>
        <w:keepNext/>
        <w:keepLines/>
        <w:spacing w:before="120" w:after="120" w:line="240" w:lineRule="auto"/>
        <w:jc w:val="center"/>
        <w:rPr>
          <w:rFonts w:ascii="Times New Roman" w:eastAsia="Calibri" w:hAnsi="Times New Roman" w:cs="Times New Roman"/>
          <w:color w:val="000000"/>
          <w:sz w:val="24"/>
          <w:szCs w:val="24"/>
        </w:rPr>
      </w:pPr>
      <w:r w:rsidRPr="00B2456F">
        <w:rPr>
          <w:rFonts w:ascii="Times New Roman" w:eastAsia="Calibri" w:hAnsi="Times New Roman" w:cs="Times New Roman"/>
          <w:iCs/>
          <w:color w:val="000000"/>
          <w:sz w:val="24"/>
          <w:szCs w:val="28"/>
        </w:rPr>
        <w:t xml:space="preserve">Рисунок </w:t>
      </w:r>
      <w:r w:rsidR="00573C20">
        <w:rPr>
          <w:rFonts w:ascii="Times New Roman" w:eastAsia="Calibri" w:hAnsi="Times New Roman" w:cs="Times New Roman"/>
          <w:iCs/>
          <w:color w:val="000000"/>
          <w:sz w:val="24"/>
          <w:szCs w:val="28"/>
        </w:rPr>
        <w:t>34</w:t>
      </w:r>
      <w:r w:rsidRPr="00B2456F">
        <w:rPr>
          <w:rFonts w:ascii="Times New Roman" w:eastAsia="Calibri" w:hAnsi="Times New Roman" w:cs="Times New Roman"/>
          <w:iCs/>
          <w:color w:val="000000"/>
          <w:sz w:val="24"/>
          <w:szCs w:val="28"/>
        </w:rPr>
        <w:t xml:space="preserve">. </w:t>
      </w:r>
      <w:r w:rsidRPr="00B2456F">
        <w:rPr>
          <w:rFonts w:ascii="Times New Roman" w:eastAsia="Calibri" w:hAnsi="Times New Roman" w:cs="Times New Roman"/>
          <w:b/>
          <w:iCs/>
          <w:color w:val="000000"/>
          <w:sz w:val="24"/>
          <w:szCs w:val="28"/>
        </w:rPr>
        <w:t xml:space="preserve">Оцените, пожалуйста, как изменились следующие характеристики услуг субъектов естественных монополий, предоставляемых по месту ведения Вашего бизнеса, за последние 5 лет </w:t>
      </w:r>
      <w:r w:rsidRPr="00B2456F">
        <w:rPr>
          <w:rFonts w:ascii="Times New Roman" w:eastAsia="Calibri" w:hAnsi="Times New Roman" w:cs="Times New Roman"/>
          <w:noProof/>
          <w:color w:val="000000"/>
          <w:sz w:val="24"/>
          <w:szCs w:val="24"/>
        </w:rPr>
        <w:t>(опрос предпринимателей, % от опрошенных без учета затруднившихся ответить):</w:t>
      </w:r>
    </w:p>
    <w:p w:rsidR="00B2456F" w:rsidRPr="00B2456F" w:rsidRDefault="00B2456F" w:rsidP="00B2456F">
      <w:pPr>
        <w:keepNext/>
        <w:keepLines/>
        <w:spacing w:before="120" w:after="120" w:line="240" w:lineRule="auto"/>
        <w:jc w:val="both"/>
        <w:rPr>
          <w:rFonts w:ascii="Times New Roman" w:eastAsia="Times New Roman" w:hAnsi="Times New Roman" w:cs="Times New Roman"/>
          <w:i/>
          <w:color w:val="000000"/>
          <w:lang w:eastAsia="ru-RU"/>
        </w:rPr>
      </w:pPr>
      <w:r w:rsidRPr="00B2456F">
        <w:rPr>
          <w:rFonts w:ascii="Times New Roman" w:eastAsia="Times New Roman" w:hAnsi="Times New Roman" w:cs="Times New Roman"/>
          <w:i/>
          <w:color w:val="000000"/>
          <w:lang w:eastAsia="ru-RU"/>
        </w:rPr>
        <w:t>Сложность (количество) процедур подключения</w:t>
      </w:r>
    </w:p>
    <w:p w:rsidR="00B2456F" w:rsidRPr="00B2456F" w:rsidRDefault="00B2456F" w:rsidP="00B2456F">
      <w:pPr>
        <w:spacing w:before="120" w:after="120" w:line="360" w:lineRule="auto"/>
        <w:ind w:firstLine="709"/>
        <w:jc w:val="both"/>
        <w:rPr>
          <w:rFonts w:ascii="Times New Roman" w:eastAsia="Arial" w:hAnsi="Times New Roman" w:cs="Times New Roman"/>
          <w:color w:val="000000"/>
          <w:sz w:val="28"/>
          <w:szCs w:val="28"/>
          <w:lang w:eastAsia="ru-RU"/>
        </w:rPr>
      </w:pPr>
      <w:r w:rsidRPr="00B2456F">
        <w:rPr>
          <w:rFonts w:ascii="Times New Roman" w:eastAsia="Franklin Gothic Book" w:hAnsi="Times New Roman" w:cs="Times New Roman"/>
          <w:noProof/>
          <w:color w:val="000000"/>
          <w:szCs w:val="24"/>
          <w:u w:color="000000"/>
          <w:lang w:eastAsia="ru-RU"/>
        </w:rPr>
        <w:drawing>
          <wp:inline distT="0" distB="0" distL="0" distR="0" wp14:anchorId="2181C8A0" wp14:editId="0AFA5F0C">
            <wp:extent cx="6193155" cy="2898648"/>
            <wp:effectExtent l="0" t="0" r="0" b="0"/>
            <wp:docPr id="114" name="Диаграмма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B2456F" w:rsidRPr="003736FC" w:rsidRDefault="00B2456F" w:rsidP="003736FC">
      <w:pPr>
        <w:spacing w:after="0" w:line="360" w:lineRule="auto"/>
        <w:ind w:firstLine="708"/>
        <w:jc w:val="both"/>
        <w:rPr>
          <w:rFonts w:ascii="Times New Roman" w:eastAsia="Times New Roman" w:hAnsi="Times New Roman" w:cs="Times New Roman"/>
          <w:color w:val="000000"/>
          <w:sz w:val="24"/>
          <w:szCs w:val="24"/>
          <w:lang w:eastAsia="ru-RU"/>
        </w:rPr>
      </w:pPr>
      <w:r w:rsidRPr="00573C20">
        <w:rPr>
          <w:rFonts w:ascii="Times New Roman" w:eastAsia="Times New Roman" w:hAnsi="Times New Roman" w:cs="Times New Roman"/>
          <w:b/>
          <w:bCs/>
          <w:color w:val="000000"/>
          <w:sz w:val="24"/>
          <w:szCs w:val="24"/>
          <w:lang w:eastAsia="ru-RU"/>
        </w:rPr>
        <w:t>Сложность (количество) процедур подключения</w:t>
      </w:r>
      <w:r w:rsidRPr="00573C20">
        <w:rPr>
          <w:rFonts w:ascii="Times New Roman" w:eastAsia="Times New Roman" w:hAnsi="Times New Roman" w:cs="Times New Roman"/>
          <w:color w:val="000000"/>
          <w:sz w:val="24"/>
          <w:szCs w:val="24"/>
          <w:lang w:eastAsia="ru-RU"/>
        </w:rPr>
        <w:t xml:space="preserve"> к услугам естественных монополий остается неизменной на протяжении последних 5 лет, по мнению большинства опрошенных предпринимателей. Наибольшая доля оценок, свидетельствующих о позитивной динамике (уровень сложности снизился) характерна для услуг телефонной связи (20%), самая высокая доля негативных оценок (уровень сложности увеличился) отмечается по услугам электро</w:t>
      </w:r>
      <w:r w:rsidR="00573C20">
        <w:rPr>
          <w:rFonts w:ascii="Times New Roman" w:eastAsia="Times New Roman" w:hAnsi="Times New Roman" w:cs="Times New Roman"/>
          <w:color w:val="000000"/>
          <w:sz w:val="24"/>
          <w:szCs w:val="24"/>
          <w:lang w:eastAsia="ru-RU"/>
        </w:rPr>
        <w:t>снабжения (19%)</w:t>
      </w:r>
    </w:p>
    <w:p w:rsidR="00B2456F" w:rsidRPr="00B2456F" w:rsidRDefault="00B2456F" w:rsidP="00B2456F">
      <w:pPr>
        <w:spacing w:before="100" w:beforeAutospacing="1" w:after="100" w:afterAutospacing="1" w:line="240" w:lineRule="auto"/>
        <w:jc w:val="both"/>
        <w:rPr>
          <w:rFonts w:ascii="Times New Roman" w:eastAsia="Arial" w:hAnsi="Times New Roman" w:cs="Times New Roman"/>
          <w:color w:val="000000"/>
          <w:sz w:val="28"/>
          <w:szCs w:val="28"/>
          <w:lang w:eastAsia="ru-RU"/>
        </w:rPr>
      </w:pPr>
    </w:p>
    <w:p w:rsidR="00B2456F" w:rsidRPr="00B2456F" w:rsidRDefault="00B2456F" w:rsidP="003736FC">
      <w:pPr>
        <w:keepNext/>
        <w:keepLines/>
        <w:spacing w:before="120" w:after="120" w:line="240" w:lineRule="auto"/>
        <w:jc w:val="center"/>
        <w:rPr>
          <w:rFonts w:ascii="Times New Roman" w:eastAsia="Calibri" w:hAnsi="Times New Roman" w:cs="Times New Roman"/>
          <w:color w:val="000000"/>
          <w:sz w:val="24"/>
          <w:szCs w:val="24"/>
        </w:rPr>
      </w:pPr>
      <w:r w:rsidRPr="00B2456F">
        <w:rPr>
          <w:rFonts w:ascii="Times New Roman" w:eastAsia="Calibri" w:hAnsi="Times New Roman" w:cs="Times New Roman"/>
          <w:iCs/>
          <w:color w:val="000000"/>
          <w:sz w:val="24"/>
          <w:szCs w:val="28"/>
        </w:rPr>
        <w:t xml:space="preserve">Рисунок </w:t>
      </w:r>
      <w:r w:rsidR="003736FC">
        <w:rPr>
          <w:rFonts w:ascii="Times New Roman" w:eastAsia="Calibri" w:hAnsi="Times New Roman" w:cs="Times New Roman"/>
          <w:iCs/>
          <w:color w:val="000000"/>
          <w:sz w:val="24"/>
          <w:szCs w:val="28"/>
        </w:rPr>
        <w:t>35</w:t>
      </w:r>
      <w:r w:rsidRPr="00B2456F">
        <w:rPr>
          <w:rFonts w:ascii="Times New Roman" w:eastAsia="Calibri" w:hAnsi="Times New Roman" w:cs="Times New Roman"/>
          <w:iCs/>
          <w:color w:val="000000"/>
          <w:sz w:val="24"/>
          <w:szCs w:val="28"/>
        </w:rPr>
        <w:t xml:space="preserve">. </w:t>
      </w:r>
      <w:r w:rsidRPr="00B2456F">
        <w:rPr>
          <w:rFonts w:ascii="Times New Roman" w:eastAsia="Calibri" w:hAnsi="Times New Roman" w:cs="Times New Roman"/>
          <w:b/>
          <w:iCs/>
          <w:color w:val="000000"/>
          <w:sz w:val="24"/>
          <w:szCs w:val="28"/>
        </w:rPr>
        <w:t xml:space="preserve">Оцените характеристики услуг субъектов естественных монополий в Ленинградской области по следующим критериям </w:t>
      </w:r>
      <w:r w:rsidRPr="00B2456F">
        <w:rPr>
          <w:rFonts w:ascii="Times New Roman" w:eastAsia="Calibri" w:hAnsi="Times New Roman" w:cs="Times New Roman"/>
          <w:noProof/>
          <w:color w:val="000000"/>
          <w:sz w:val="24"/>
          <w:szCs w:val="24"/>
        </w:rPr>
        <w:t>(опрос предпринимателей, % от опрошенных без учета затруднившихся ответить):</w:t>
      </w:r>
    </w:p>
    <w:p w:rsidR="00B2456F" w:rsidRPr="00B2456F" w:rsidRDefault="00B2456F" w:rsidP="00B2456F">
      <w:pPr>
        <w:keepNext/>
        <w:keepLines/>
        <w:spacing w:before="120" w:after="120" w:line="240" w:lineRule="auto"/>
        <w:jc w:val="both"/>
        <w:rPr>
          <w:rFonts w:ascii="Times New Roman" w:eastAsia="Times New Roman" w:hAnsi="Times New Roman" w:cs="Times New Roman"/>
          <w:i/>
          <w:color w:val="000000"/>
          <w:lang w:eastAsia="ru-RU"/>
        </w:rPr>
      </w:pPr>
      <w:r w:rsidRPr="00B2456F">
        <w:rPr>
          <w:rFonts w:ascii="Times New Roman" w:eastAsia="Times New Roman" w:hAnsi="Times New Roman" w:cs="Times New Roman"/>
          <w:i/>
          <w:color w:val="000000"/>
          <w:lang w:eastAsia="ru-RU"/>
        </w:rPr>
        <w:t>Сроки получения доступа</w:t>
      </w:r>
    </w:p>
    <w:p w:rsidR="00B2456F" w:rsidRPr="00B2456F" w:rsidRDefault="00B2456F" w:rsidP="00B2456F">
      <w:pPr>
        <w:spacing w:before="120" w:after="120" w:line="360" w:lineRule="auto"/>
        <w:ind w:firstLine="709"/>
        <w:jc w:val="both"/>
        <w:rPr>
          <w:rFonts w:ascii="Times New Roman" w:eastAsia="Arial" w:hAnsi="Times New Roman" w:cs="Times New Roman"/>
          <w:color w:val="000000"/>
          <w:sz w:val="28"/>
          <w:szCs w:val="28"/>
          <w:lang w:eastAsia="ru-RU"/>
        </w:rPr>
      </w:pPr>
      <w:r w:rsidRPr="00B2456F">
        <w:rPr>
          <w:rFonts w:ascii="Times New Roman" w:eastAsia="Franklin Gothic Book" w:hAnsi="Times New Roman" w:cs="Times New Roman"/>
          <w:noProof/>
          <w:color w:val="000000"/>
          <w:szCs w:val="24"/>
          <w:u w:color="000000"/>
          <w:lang w:eastAsia="ru-RU"/>
        </w:rPr>
        <w:drawing>
          <wp:inline distT="0" distB="0" distL="0" distR="0" wp14:anchorId="056EB129" wp14:editId="028F2812">
            <wp:extent cx="6193155" cy="3291840"/>
            <wp:effectExtent l="0" t="0" r="0" b="3810"/>
            <wp:docPr id="116" name="Диаграмма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B2456F" w:rsidRPr="003736FC" w:rsidRDefault="00B2456F" w:rsidP="003736FC">
      <w:pPr>
        <w:spacing w:after="0" w:line="360" w:lineRule="auto"/>
        <w:ind w:firstLine="709"/>
        <w:jc w:val="both"/>
        <w:rPr>
          <w:rFonts w:ascii="Times New Roman" w:eastAsia="Times New Roman" w:hAnsi="Times New Roman" w:cs="Times New Roman"/>
          <w:color w:val="000000"/>
          <w:sz w:val="24"/>
          <w:szCs w:val="24"/>
          <w:lang w:eastAsia="ru-RU"/>
        </w:rPr>
      </w:pPr>
      <w:r w:rsidRPr="003736FC">
        <w:rPr>
          <w:rFonts w:ascii="Times New Roman" w:eastAsia="Times New Roman" w:hAnsi="Times New Roman" w:cs="Times New Roman"/>
          <w:color w:val="000000"/>
          <w:sz w:val="24"/>
          <w:szCs w:val="24"/>
          <w:lang w:eastAsia="ru-RU"/>
        </w:rPr>
        <w:t xml:space="preserve">Оценивая </w:t>
      </w:r>
      <w:r w:rsidRPr="003736FC">
        <w:rPr>
          <w:rFonts w:ascii="Times New Roman" w:eastAsia="Times New Roman" w:hAnsi="Times New Roman" w:cs="Times New Roman"/>
          <w:b/>
          <w:bCs/>
          <w:color w:val="000000"/>
          <w:sz w:val="24"/>
          <w:szCs w:val="24"/>
          <w:lang w:eastAsia="ru-RU"/>
        </w:rPr>
        <w:t>сроки получения доступа</w:t>
      </w:r>
      <w:r w:rsidRPr="003736FC">
        <w:rPr>
          <w:rFonts w:ascii="Times New Roman" w:eastAsia="Times New Roman" w:hAnsi="Times New Roman" w:cs="Times New Roman"/>
          <w:color w:val="000000"/>
          <w:sz w:val="24"/>
          <w:szCs w:val="24"/>
          <w:lang w:eastAsia="ru-RU"/>
        </w:rPr>
        <w:t xml:space="preserve"> к услугам естественных монополий, большинство предпринимателей демонстрируют удовлетворенность данным параметром. Сроки подключения к услугам телефонной связи оценивались наиболее высоко (90% предпринимателей в той или иной степени удовлетворены). Самый низкий уровень удовлетворенности сроками получения доступа отмечается по таким услугам, как водоочистка и газоснабжение (по 70% довольных). </w:t>
      </w:r>
    </w:p>
    <w:p w:rsidR="002A7F7F" w:rsidRPr="002A7F7F" w:rsidRDefault="002A7F7F" w:rsidP="003736FC">
      <w:pPr>
        <w:keepNext/>
        <w:keepLines/>
        <w:spacing w:before="120" w:after="120" w:line="240" w:lineRule="auto"/>
        <w:jc w:val="center"/>
        <w:rPr>
          <w:rFonts w:ascii="Times New Roman" w:eastAsia="Calibri" w:hAnsi="Times New Roman" w:cs="Times New Roman"/>
          <w:color w:val="000000"/>
          <w:sz w:val="24"/>
          <w:szCs w:val="24"/>
        </w:rPr>
      </w:pPr>
      <w:r w:rsidRPr="002A7F7F">
        <w:rPr>
          <w:rFonts w:ascii="Times New Roman" w:eastAsia="Calibri" w:hAnsi="Times New Roman" w:cs="Times New Roman"/>
          <w:iCs/>
          <w:color w:val="000000"/>
          <w:sz w:val="24"/>
          <w:szCs w:val="28"/>
        </w:rPr>
        <w:t xml:space="preserve">Рисунок </w:t>
      </w:r>
      <w:r w:rsidR="003736FC">
        <w:rPr>
          <w:rFonts w:ascii="Times New Roman" w:eastAsia="Calibri" w:hAnsi="Times New Roman" w:cs="Times New Roman"/>
          <w:iCs/>
          <w:color w:val="000000"/>
          <w:sz w:val="24"/>
          <w:szCs w:val="28"/>
        </w:rPr>
        <w:t>36</w:t>
      </w:r>
      <w:r w:rsidRPr="002A7F7F">
        <w:rPr>
          <w:rFonts w:ascii="Times New Roman" w:eastAsia="Calibri" w:hAnsi="Times New Roman" w:cs="Times New Roman"/>
          <w:iCs/>
          <w:color w:val="000000"/>
          <w:sz w:val="24"/>
          <w:szCs w:val="28"/>
        </w:rPr>
        <w:t xml:space="preserve">. </w:t>
      </w:r>
      <w:r w:rsidRPr="002A7F7F">
        <w:rPr>
          <w:rFonts w:ascii="Times New Roman" w:eastAsia="Calibri" w:hAnsi="Times New Roman" w:cs="Times New Roman"/>
          <w:b/>
          <w:iCs/>
          <w:color w:val="000000"/>
          <w:sz w:val="24"/>
          <w:szCs w:val="28"/>
        </w:rPr>
        <w:t>С какими проблемами Вы столкнулись при взаимодействии с субъектами естественных монополий?</w:t>
      </w:r>
      <w:r w:rsidRPr="002A7F7F">
        <w:rPr>
          <w:rFonts w:ascii="Times New Roman" w:eastAsia="Calibri" w:hAnsi="Times New Roman" w:cs="Times New Roman"/>
          <w:noProof/>
          <w:color w:val="000000"/>
          <w:sz w:val="24"/>
          <w:szCs w:val="24"/>
        </w:rPr>
        <w:t xml:space="preserve"> (опрос потребителей, </w:t>
      </w:r>
      <w:r w:rsidRPr="002A7F7F">
        <w:rPr>
          <w:rFonts w:ascii="Times New Roman" w:eastAsia="Calibri" w:hAnsi="Times New Roman" w:cs="Times New Roman"/>
          <w:noProof/>
          <w:color w:val="000000"/>
          <w:sz w:val="24"/>
          <w:szCs w:val="24"/>
          <w:lang w:val="en-US"/>
        </w:rPr>
        <w:t>n</w:t>
      </w:r>
      <w:r w:rsidRPr="002A7F7F">
        <w:rPr>
          <w:rFonts w:ascii="Times New Roman" w:eastAsia="Calibri" w:hAnsi="Times New Roman" w:cs="Times New Roman"/>
          <w:noProof/>
          <w:color w:val="000000"/>
          <w:sz w:val="24"/>
          <w:szCs w:val="24"/>
        </w:rPr>
        <w:t>=1200)</w:t>
      </w:r>
    </w:p>
    <w:p w:rsidR="002A7F7F" w:rsidRPr="002A7F7F" w:rsidRDefault="002A7F7F" w:rsidP="002A7F7F">
      <w:pPr>
        <w:spacing w:before="120" w:after="120" w:line="360" w:lineRule="auto"/>
        <w:ind w:firstLine="709"/>
        <w:jc w:val="both"/>
        <w:rPr>
          <w:rFonts w:ascii="Times New Roman" w:eastAsia="Arial" w:hAnsi="Times New Roman" w:cs="Times New Roman"/>
          <w:color w:val="000000"/>
          <w:sz w:val="28"/>
          <w:szCs w:val="28"/>
          <w:lang w:eastAsia="ru-RU"/>
        </w:rPr>
      </w:pPr>
      <w:r w:rsidRPr="002A7F7F">
        <w:rPr>
          <w:rFonts w:ascii="Times New Roman" w:eastAsia="Calibri" w:hAnsi="Times New Roman" w:cs="Times New Roman"/>
          <w:noProof/>
          <w:color w:val="000000"/>
          <w:lang w:eastAsia="ru-RU"/>
        </w:rPr>
        <w:drawing>
          <wp:inline distT="0" distB="0" distL="0" distR="0" wp14:anchorId="41138645" wp14:editId="2512CBF3">
            <wp:extent cx="5280025" cy="4419600"/>
            <wp:effectExtent l="0" t="0" r="0" b="0"/>
            <wp:docPr id="119" name="Диаграмма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2A7F7F" w:rsidRPr="003736FC" w:rsidRDefault="002A7F7F" w:rsidP="002A7F7F">
      <w:pPr>
        <w:spacing w:after="0" w:line="360" w:lineRule="auto"/>
        <w:ind w:firstLine="708"/>
        <w:jc w:val="both"/>
        <w:rPr>
          <w:rFonts w:ascii="Times New Roman" w:eastAsia="Times New Roman" w:hAnsi="Times New Roman" w:cs="Times New Roman"/>
          <w:color w:val="000000"/>
          <w:sz w:val="24"/>
          <w:szCs w:val="24"/>
          <w:lang w:eastAsia="ru-RU"/>
        </w:rPr>
      </w:pPr>
      <w:r w:rsidRPr="003736FC">
        <w:rPr>
          <w:rFonts w:ascii="Times New Roman" w:eastAsia="Times New Roman" w:hAnsi="Times New Roman" w:cs="Times New Roman"/>
          <w:color w:val="000000"/>
          <w:sz w:val="24"/>
          <w:szCs w:val="24"/>
          <w:lang w:eastAsia="ru-RU"/>
        </w:rPr>
        <w:t xml:space="preserve">Среди проблем, возникающих у потребителей при взаимодействии с субъектами естественных монополий, самые распространенные – это навязывание дополнительных услуг (столкнулись 36% респондентов) и взимание дополнительной платы (столкнулись 30% респондентов). Заметно реже потребители встречались с проблемой с заменой приборов учета (9%) и требованием заказать необходимые работы у подконтрольных коммерческих структур (8%). С отказом в установке приборов учета столкнулись всего 3% респондентов. </w:t>
      </w:r>
    </w:p>
    <w:p w:rsidR="00B2456F" w:rsidRPr="003736FC" w:rsidRDefault="002A7F7F" w:rsidP="003736FC">
      <w:pPr>
        <w:spacing w:after="0" w:line="360" w:lineRule="auto"/>
        <w:ind w:firstLine="708"/>
        <w:jc w:val="both"/>
        <w:rPr>
          <w:rFonts w:ascii="Times New Roman" w:eastAsia="Times New Roman" w:hAnsi="Times New Roman" w:cs="Times New Roman"/>
          <w:color w:val="000000"/>
          <w:sz w:val="24"/>
          <w:szCs w:val="24"/>
          <w:lang w:eastAsia="ru-RU"/>
        </w:rPr>
      </w:pPr>
      <w:r w:rsidRPr="003736FC">
        <w:rPr>
          <w:rFonts w:ascii="Times New Roman" w:eastAsia="Times New Roman" w:hAnsi="Times New Roman" w:cs="Times New Roman"/>
          <w:color w:val="000000"/>
          <w:sz w:val="24"/>
          <w:szCs w:val="24"/>
          <w:lang w:eastAsia="ru-RU"/>
        </w:rPr>
        <w:t>39% опрошенных потребителей ни сталкивались с проблемами при взаимодействии с субъектами естественных монополий.</w:t>
      </w:r>
    </w:p>
    <w:p w:rsidR="00B2456F" w:rsidRPr="00B2456F" w:rsidRDefault="00B2456F" w:rsidP="003736FC">
      <w:pPr>
        <w:keepNext/>
        <w:keepLines/>
        <w:spacing w:before="120" w:after="120" w:line="240" w:lineRule="auto"/>
        <w:jc w:val="center"/>
        <w:rPr>
          <w:rFonts w:ascii="Times New Roman" w:eastAsia="Calibri" w:hAnsi="Times New Roman" w:cs="Times New Roman"/>
          <w:color w:val="000000"/>
          <w:sz w:val="24"/>
          <w:szCs w:val="24"/>
        </w:rPr>
      </w:pPr>
      <w:r w:rsidRPr="00B2456F">
        <w:rPr>
          <w:rFonts w:ascii="Times New Roman" w:eastAsia="Calibri" w:hAnsi="Times New Roman" w:cs="Times New Roman"/>
          <w:iCs/>
          <w:color w:val="000000"/>
          <w:sz w:val="24"/>
          <w:szCs w:val="28"/>
        </w:rPr>
        <w:t xml:space="preserve">Рисунок </w:t>
      </w:r>
      <w:r w:rsidR="003736FC">
        <w:rPr>
          <w:rFonts w:ascii="Times New Roman" w:eastAsia="Calibri" w:hAnsi="Times New Roman" w:cs="Times New Roman"/>
          <w:iCs/>
          <w:color w:val="000000"/>
          <w:sz w:val="24"/>
          <w:szCs w:val="28"/>
        </w:rPr>
        <w:t>37</w:t>
      </w:r>
      <w:r w:rsidRPr="00B2456F">
        <w:rPr>
          <w:rFonts w:ascii="Times New Roman" w:eastAsia="Calibri" w:hAnsi="Times New Roman" w:cs="Times New Roman"/>
          <w:iCs/>
          <w:color w:val="000000"/>
          <w:sz w:val="24"/>
          <w:szCs w:val="28"/>
        </w:rPr>
        <w:t xml:space="preserve">. </w:t>
      </w:r>
      <w:r w:rsidRPr="00B2456F">
        <w:rPr>
          <w:rFonts w:ascii="Times New Roman" w:eastAsia="Calibri" w:hAnsi="Times New Roman" w:cs="Times New Roman"/>
          <w:b/>
          <w:iCs/>
          <w:color w:val="000000"/>
          <w:sz w:val="24"/>
          <w:szCs w:val="28"/>
        </w:rPr>
        <w:t xml:space="preserve">Оцените качество услуг субъектов естественных монополий в Вашем городе/районе </w:t>
      </w:r>
      <w:r w:rsidRPr="00B2456F">
        <w:rPr>
          <w:rFonts w:ascii="Times New Roman" w:eastAsia="Calibri" w:hAnsi="Times New Roman" w:cs="Times New Roman"/>
          <w:noProof/>
          <w:color w:val="000000"/>
          <w:sz w:val="24"/>
          <w:szCs w:val="24"/>
        </w:rPr>
        <w:t>(опрос потребителей, % от опрошенных без учета затруднившихся ответить):</w:t>
      </w:r>
    </w:p>
    <w:p w:rsidR="00B2456F" w:rsidRPr="00B2456F" w:rsidRDefault="00B2456F" w:rsidP="00B2456F">
      <w:pPr>
        <w:spacing w:before="120" w:after="120" w:line="360" w:lineRule="auto"/>
        <w:ind w:firstLine="709"/>
        <w:jc w:val="both"/>
        <w:rPr>
          <w:rFonts w:ascii="Times New Roman" w:eastAsia="Arial" w:hAnsi="Times New Roman" w:cs="Times New Roman"/>
          <w:color w:val="000000"/>
          <w:sz w:val="28"/>
          <w:szCs w:val="28"/>
          <w:lang w:eastAsia="ru-RU"/>
        </w:rPr>
      </w:pPr>
      <w:r w:rsidRPr="00B2456F">
        <w:rPr>
          <w:rFonts w:ascii="Times New Roman" w:eastAsia="Franklin Gothic Book" w:hAnsi="Times New Roman" w:cs="Times New Roman"/>
          <w:noProof/>
          <w:color w:val="000000"/>
          <w:szCs w:val="24"/>
          <w:u w:color="000000"/>
          <w:lang w:eastAsia="ru-RU"/>
        </w:rPr>
        <w:drawing>
          <wp:inline distT="0" distB="0" distL="0" distR="0" wp14:anchorId="6E233BB7" wp14:editId="58B6C7D3">
            <wp:extent cx="6193155" cy="3698240"/>
            <wp:effectExtent l="0" t="0" r="0" b="0"/>
            <wp:docPr id="118" name="Диаграмма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B2456F" w:rsidRPr="003736FC" w:rsidRDefault="00B2456F" w:rsidP="003736FC">
      <w:pPr>
        <w:spacing w:after="0" w:line="360" w:lineRule="auto"/>
        <w:ind w:firstLine="709"/>
        <w:jc w:val="both"/>
        <w:rPr>
          <w:rFonts w:ascii="Times New Roman" w:eastAsia="Times New Roman" w:hAnsi="Times New Roman" w:cs="Times New Roman"/>
          <w:color w:val="000000"/>
          <w:sz w:val="24"/>
          <w:szCs w:val="24"/>
          <w:lang w:eastAsia="ru-RU"/>
        </w:rPr>
      </w:pPr>
      <w:r w:rsidRPr="003736FC">
        <w:rPr>
          <w:rFonts w:ascii="Times New Roman" w:eastAsia="Times New Roman" w:hAnsi="Times New Roman" w:cs="Times New Roman"/>
          <w:b/>
          <w:bCs/>
          <w:color w:val="000000"/>
          <w:sz w:val="24"/>
          <w:szCs w:val="24"/>
          <w:lang w:eastAsia="ru-RU"/>
        </w:rPr>
        <w:t>Качество услуг</w:t>
      </w:r>
      <w:r w:rsidRPr="003736FC">
        <w:rPr>
          <w:rFonts w:ascii="Times New Roman" w:eastAsia="Times New Roman" w:hAnsi="Times New Roman" w:cs="Times New Roman"/>
          <w:color w:val="000000"/>
          <w:sz w:val="24"/>
          <w:szCs w:val="24"/>
          <w:lang w:eastAsia="ru-RU"/>
        </w:rPr>
        <w:t xml:space="preserve"> субъектов естественных монополий оценивается потребителями в целом чаще положительно, однако есть существенные отличия в оценках разных услуг. Так, наименьше всего нареканий у потребителей вызывают качество газоснабжения и электроснабжения (85% и 84% удовлетворены ими в той или иной степени соответственно), при этом услуги водоочистки с точки зрения качества позитивно оценили только 52% потребителей.</w:t>
      </w:r>
    </w:p>
    <w:p w:rsidR="005A40E5" w:rsidRPr="003736FC" w:rsidRDefault="005A40E5" w:rsidP="005A40E5">
      <w:pPr>
        <w:spacing w:before="100" w:beforeAutospacing="1" w:after="100" w:afterAutospacing="1" w:line="360" w:lineRule="auto"/>
        <w:ind w:firstLine="709"/>
        <w:jc w:val="both"/>
        <w:rPr>
          <w:rFonts w:ascii="Times New Roman" w:eastAsia="Times New Roman" w:hAnsi="Times New Roman" w:cs="Times New Roman"/>
          <w:b/>
          <w:color w:val="000000"/>
          <w:sz w:val="24"/>
          <w:szCs w:val="24"/>
          <w:lang w:eastAsia="ru-RU"/>
        </w:rPr>
      </w:pPr>
      <w:r w:rsidRPr="003736FC">
        <w:rPr>
          <w:rFonts w:ascii="Times New Roman" w:eastAsia="Times New Roman" w:hAnsi="Times New Roman" w:cs="Times New Roman"/>
          <w:b/>
          <w:color w:val="000000"/>
          <w:sz w:val="24"/>
          <w:szCs w:val="24"/>
          <w:lang w:eastAsia="ru-RU"/>
        </w:rPr>
        <w:t>3.4.4. О причинах нарушений субъектами естественных монополий установленных тарифов в соответствующих сферах регулирования (электроэнергетика, теплоснабжение, водоснабжение и водоотведение, газоснабжение), с учетом тарифов на технологическое подключение к указанным видам инфраструктуры, и динамике таких нарушений</w:t>
      </w:r>
    </w:p>
    <w:p w:rsidR="005A40E5" w:rsidRPr="003736FC" w:rsidRDefault="005A40E5" w:rsidP="003736FC">
      <w:pPr>
        <w:spacing w:after="0" w:line="360" w:lineRule="auto"/>
        <w:ind w:firstLine="709"/>
        <w:jc w:val="both"/>
        <w:rPr>
          <w:rFonts w:ascii="Times New Roman" w:eastAsia="Times New Roman" w:hAnsi="Times New Roman" w:cs="Times New Roman"/>
          <w:color w:val="000000"/>
          <w:sz w:val="24"/>
          <w:szCs w:val="24"/>
          <w:lang w:eastAsia="ru-RU"/>
        </w:rPr>
      </w:pPr>
      <w:r w:rsidRPr="003736FC">
        <w:rPr>
          <w:rFonts w:ascii="Times New Roman" w:eastAsia="Times New Roman" w:hAnsi="Times New Roman" w:cs="Times New Roman"/>
          <w:color w:val="000000"/>
          <w:sz w:val="24"/>
          <w:szCs w:val="24"/>
          <w:lang w:eastAsia="ru-RU"/>
        </w:rPr>
        <w:t xml:space="preserve">Комитет по тарифам и ценовой политике Ленинградской области в рамках своей компетенции рассматривает </w:t>
      </w:r>
      <w:r w:rsidRPr="003736FC">
        <w:rPr>
          <w:rFonts w:ascii="Times New Roman" w:eastAsia="Times New Roman" w:hAnsi="Times New Roman" w:cs="Times New Roman"/>
          <w:b/>
          <w:color w:val="000000"/>
          <w:sz w:val="24"/>
          <w:szCs w:val="24"/>
          <w:lang w:eastAsia="ru-RU"/>
        </w:rPr>
        <w:t>обращения граждан и представителей юридических лиц</w:t>
      </w:r>
      <w:r w:rsidRPr="003736FC">
        <w:rPr>
          <w:rFonts w:ascii="Times New Roman" w:eastAsia="Times New Roman" w:hAnsi="Times New Roman" w:cs="Times New Roman"/>
          <w:color w:val="000000"/>
          <w:sz w:val="24"/>
          <w:szCs w:val="24"/>
          <w:lang w:eastAsia="ru-RU"/>
        </w:rPr>
        <w:t xml:space="preserve"> по вопросам установления и применения тарифов на коммунальные ресурсы для потребителей Ленинградской области.</w:t>
      </w:r>
    </w:p>
    <w:p w:rsidR="005A40E5" w:rsidRPr="003736FC" w:rsidRDefault="005A40E5" w:rsidP="003736FC">
      <w:pPr>
        <w:spacing w:after="0" w:line="360" w:lineRule="auto"/>
        <w:ind w:firstLine="709"/>
        <w:jc w:val="both"/>
        <w:rPr>
          <w:rFonts w:ascii="Times New Roman" w:eastAsia="Times New Roman" w:hAnsi="Times New Roman" w:cs="Times New Roman"/>
          <w:color w:val="000000"/>
          <w:sz w:val="24"/>
          <w:szCs w:val="24"/>
          <w:lang w:eastAsia="ru-RU"/>
        </w:rPr>
      </w:pPr>
      <w:r w:rsidRPr="003736FC">
        <w:rPr>
          <w:rFonts w:ascii="Times New Roman" w:eastAsia="Times New Roman" w:hAnsi="Times New Roman" w:cs="Times New Roman"/>
          <w:color w:val="000000"/>
          <w:sz w:val="24"/>
          <w:szCs w:val="24"/>
          <w:lang w:eastAsia="ru-RU"/>
        </w:rPr>
        <w:t>В 2022 г. в рамках рассмотрения обращений граждан были даны разъяснения по вопросам формирования и применения тарифов на электрическую энергию, тепловую энергию, холодное водоснабжение, водоотведение, обращения с ТКО, соблюдения индексов роста платы граждан за коммунальные услуги, а также платы за технологическое присоединение к электрическим сетям.</w:t>
      </w:r>
    </w:p>
    <w:p w:rsidR="005A40E5" w:rsidRPr="003736FC" w:rsidRDefault="005A40E5" w:rsidP="003736FC">
      <w:pPr>
        <w:spacing w:after="0" w:line="360" w:lineRule="auto"/>
        <w:ind w:firstLine="709"/>
        <w:jc w:val="both"/>
        <w:rPr>
          <w:rFonts w:ascii="Times New Roman" w:eastAsia="Times New Roman" w:hAnsi="Times New Roman" w:cs="Times New Roman"/>
          <w:color w:val="000000"/>
          <w:sz w:val="24"/>
          <w:szCs w:val="24"/>
          <w:lang w:eastAsia="ru-RU"/>
        </w:rPr>
      </w:pPr>
      <w:r w:rsidRPr="003736FC">
        <w:rPr>
          <w:rFonts w:ascii="Times New Roman" w:eastAsia="Times New Roman" w:hAnsi="Times New Roman" w:cs="Times New Roman"/>
          <w:color w:val="000000"/>
          <w:sz w:val="24"/>
          <w:szCs w:val="24"/>
          <w:lang w:eastAsia="ru-RU"/>
        </w:rPr>
        <w:t xml:space="preserve">Так, с января по октябрь 2022 г. в Комитет по тарифам и ценовой политике Ленинградской области поступило 477 обращений посредством системы электронного документооборота. </w:t>
      </w:r>
    </w:p>
    <w:p w:rsidR="005A40E5" w:rsidRPr="003736FC" w:rsidRDefault="005A40E5" w:rsidP="003736FC">
      <w:pPr>
        <w:spacing w:after="0" w:line="360" w:lineRule="auto"/>
        <w:ind w:firstLine="709"/>
        <w:jc w:val="both"/>
        <w:rPr>
          <w:rFonts w:ascii="Times New Roman" w:eastAsia="Times New Roman" w:hAnsi="Times New Roman" w:cs="Times New Roman"/>
          <w:color w:val="000000"/>
          <w:sz w:val="24"/>
          <w:szCs w:val="24"/>
          <w:lang w:eastAsia="ru-RU"/>
        </w:rPr>
      </w:pPr>
      <w:r w:rsidRPr="003736FC">
        <w:rPr>
          <w:rFonts w:ascii="Times New Roman" w:eastAsia="Times New Roman" w:hAnsi="Times New Roman" w:cs="Times New Roman"/>
          <w:color w:val="000000"/>
          <w:sz w:val="24"/>
          <w:szCs w:val="24"/>
          <w:lang w:eastAsia="ru-RU"/>
        </w:rPr>
        <w:t>По данным официального сайта, в 2020 и 2021 гг. количество обращений значительно превосходило (826 и 866 соответственно) указанный показатель за 2022 г.</w:t>
      </w:r>
    </w:p>
    <w:p w:rsidR="005A40E5" w:rsidRPr="003736FC" w:rsidRDefault="005A40E5" w:rsidP="003736FC">
      <w:pPr>
        <w:spacing w:after="0" w:line="360" w:lineRule="auto"/>
        <w:ind w:firstLine="709"/>
        <w:jc w:val="both"/>
        <w:rPr>
          <w:rFonts w:ascii="Times New Roman" w:eastAsia="Times New Roman" w:hAnsi="Times New Roman" w:cs="Times New Roman"/>
          <w:color w:val="000000"/>
          <w:sz w:val="24"/>
          <w:szCs w:val="24"/>
          <w:lang w:eastAsia="ru-RU"/>
        </w:rPr>
      </w:pPr>
      <w:r w:rsidRPr="003736FC">
        <w:rPr>
          <w:rFonts w:ascii="Times New Roman" w:eastAsia="Times New Roman" w:hAnsi="Times New Roman" w:cs="Times New Roman"/>
          <w:color w:val="000000"/>
          <w:sz w:val="24"/>
          <w:szCs w:val="24"/>
          <w:lang w:eastAsia="ru-RU"/>
        </w:rPr>
        <w:t>Основными вопросами граждан в обращениях, направляемых на рассмотрение в Комитет по тарифам и ценовой политике Ленинградской области, являлись:</w:t>
      </w:r>
    </w:p>
    <w:p w:rsidR="005A40E5" w:rsidRPr="003736FC" w:rsidRDefault="005A40E5" w:rsidP="003736FC">
      <w:pPr>
        <w:numPr>
          <w:ilvl w:val="0"/>
          <w:numId w:val="26"/>
        </w:numPr>
        <w:spacing w:after="0" w:line="360" w:lineRule="auto"/>
        <w:ind w:left="0" w:firstLine="709"/>
        <w:jc w:val="both"/>
        <w:rPr>
          <w:rFonts w:ascii="Times New Roman" w:eastAsia="Times New Roman" w:hAnsi="Times New Roman" w:cs="Times New Roman"/>
          <w:color w:val="000000"/>
          <w:sz w:val="24"/>
          <w:szCs w:val="24"/>
          <w:lang w:eastAsia="ru-RU"/>
        </w:rPr>
      </w:pPr>
      <w:r w:rsidRPr="003736FC">
        <w:rPr>
          <w:rFonts w:ascii="Times New Roman" w:eastAsia="Times New Roman" w:hAnsi="Times New Roman" w:cs="Times New Roman"/>
          <w:color w:val="000000"/>
          <w:sz w:val="24"/>
          <w:szCs w:val="24"/>
          <w:lang w:eastAsia="ru-RU"/>
        </w:rPr>
        <w:t>порядок формирования тарифов на коммунальные услуги;</w:t>
      </w:r>
    </w:p>
    <w:p w:rsidR="005A40E5" w:rsidRPr="003736FC" w:rsidRDefault="005A40E5" w:rsidP="003736FC">
      <w:pPr>
        <w:numPr>
          <w:ilvl w:val="0"/>
          <w:numId w:val="26"/>
        </w:numPr>
        <w:spacing w:after="0" w:line="360" w:lineRule="auto"/>
        <w:ind w:left="0" w:firstLine="709"/>
        <w:jc w:val="both"/>
        <w:rPr>
          <w:rFonts w:ascii="Times New Roman" w:eastAsia="Times New Roman" w:hAnsi="Times New Roman" w:cs="Times New Roman"/>
          <w:color w:val="000000"/>
          <w:sz w:val="24"/>
          <w:szCs w:val="24"/>
          <w:lang w:eastAsia="ru-RU"/>
        </w:rPr>
      </w:pPr>
      <w:r w:rsidRPr="003736FC">
        <w:rPr>
          <w:rFonts w:ascii="Times New Roman" w:eastAsia="Times New Roman" w:hAnsi="Times New Roman" w:cs="Times New Roman"/>
          <w:color w:val="000000"/>
          <w:sz w:val="24"/>
          <w:szCs w:val="24"/>
          <w:lang w:eastAsia="ru-RU"/>
        </w:rPr>
        <w:t>изменение и рост тарифов на коммунальные услуги;</w:t>
      </w:r>
    </w:p>
    <w:p w:rsidR="005A40E5" w:rsidRPr="003736FC" w:rsidRDefault="005A40E5" w:rsidP="003736FC">
      <w:pPr>
        <w:numPr>
          <w:ilvl w:val="0"/>
          <w:numId w:val="26"/>
        </w:numPr>
        <w:spacing w:after="0" w:line="360" w:lineRule="auto"/>
        <w:ind w:left="0" w:firstLine="709"/>
        <w:jc w:val="both"/>
        <w:rPr>
          <w:rFonts w:ascii="Times New Roman" w:eastAsia="Times New Roman" w:hAnsi="Times New Roman" w:cs="Times New Roman"/>
          <w:color w:val="000000"/>
          <w:sz w:val="24"/>
          <w:szCs w:val="24"/>
          <w:lang w:eastAsia="ru-RU"/>
        </w:rPr>
      </w:pPr>
      <w:r w:rsidRPr="003736FC">
        <w:rPr>
          <w:rFonts w:ascii="Times New Roman" w:eastAsia="Times New Roman" w:hAnsi="Times New Roman" w:cs="Times New Roman"/>
          <w:color w:val="000000"/>
          <w:sz w:val="24"/>
          <w:szCs w:val="24"/>
          <w:lang w:eastAsia="ru-RU"/>
        </w:rPr>
        <w:t>ограничение роста платы граждан за коммунальные услуги;</w:t>
      </w:r>
    </w:p>
    <w:p w:rsidR="005A40E5" w:rsidRPr="003736FC" w:rsidRDefault="005A40E5" w:rsidP="003736FC">
      <w:pPr>
        <w:numPr>
          <w:ilvl w:val="0"/>
          <w:numId w:val="26"/>
        </w:numPr>
        <w:spacing w:after="0" w:line="360" w:lineRule="auto"/>
        <w:ind w:left="0" w:firstLine="709"/>
        <w:jc w:val="both"/>
        <w:rPr>
          <w:rFonts w:ascii="Times New Roman" w:eastAsia="Times New Roman" w:hAnsi="Times New Roman" w:cs="Times New Roman"/>
          <w:color w:val="000000"/>
          <w:sz w:val="24"/>
          <w:szCs w:val="24"/>
          <w:lang w:eastAsia="ru-RU"/>
        </w:rPr>
      </w:pPr>
      <w:r w:rsidRPr="003736FC">
        <w:rPr>
          <w:rFonts w:ascii="Times New Roman" w:eastAsia="Times New Roman" w:hAnsi="Times New Roman" w:cs="Times New Roman"/>
          <w:color w:val="000000"/>
          <w:sz w:val="24"/>
          <w:szCs w:val="24"/>
          <w:lang w:eastAsia="ru-RU"/>
        </w:rPr>
        <w:t>применение тарифов организациями при начислении платы за коммунальные услуги;</w:t>
      </w:r>
    </w:p>
    <w:p w:rsidR="005A40E5" w:rsidRPr="003736FC" w:rsidRDefault="005A40E5" w:rsidP="003736FC">
      <w:pPr>
        <w:numPr>
          <w:ilvl w:val="0"/>
          <w:numId w:val="26"/>
        </w:numPr>
        <w:spacing w:after="0" w:line="360" w:lineRule="auto"/>
        <w:ind w:left="0" w:firstLine="709"/>
        <w:jc w:val="both"/>
        <w:rPr>
          <w:rFonts w:ascii="Times New Roman" w:eastAsia="Times New Roman" w:hAnsi="Times New Roman" w:cs="Times New Roman"/>
          <w:color w:val="000000"/>
          <w:sz w:val="24"/>
          <w:szCs w:val="24"/>
          <w:lang w:eastAsia="ru-RU"/>
        </w:rPr>
      </w:pPr>
      <w:r w:rsidRPr="003736FC">
        <w:rPr>
          <w:rFonts w:ascii="Times New Roman" w:eastAsia="Times New Roman" w:hAnsi="Times New Roman" w:cs="Times New Roman"/>
          <w:color w:val="000000"/>
          <w:sz w:val="24"/>
          <w:szCs w:val="24"/>
          <w:lang w:eastAsia="ru-RU"/>
        </w:rPr>
        <w:t>плата за подключение (технологическое присоединение) к сетям инженерной инфраструктуры объектов капитального строительства;</w:t>
      </w:r>
    </w:p>
    <w:p w:rsidR="005A40E5" w:rsidRPr="003736FC" w:rsidRDefault="005A40E5" w:rsidP="003736FC">
      <w:pPr>
        <w:numPr>
          <w:ilvl w:val="0"/>
          <w:numId w:val="26"/>
        </w:numPr>
        <w:spacing w:after="0" w:line="360" w:lineRule="auto"/>
        <w:ind w:left="0" w:firstLine="709"/>
        <w:jc w:val="both"/>
        <w:rPr>
          <w:rFonts w:ascii="Times New Roman" w:eastAsia="Times New Roman" w:hAnsi="Times New Roman" w:cs="Times New Roman"/>
          <w:color w:val="000000"/>
          <w:sz w:val="24"/>
          <w:szCs w:val="24"/>
          <w:lang w:eastAsia="ru-RU"/>
        </w:rPr>
      </w:pPr>
      <w:r w:rsidRPr="003736FC">
        <w:rPr>
          <w:rFonts w:ascii="Times New Roman" w:eastAsia="Times New Roman" w:hAnsi="Times New Roman" w:cs="Times New Roman"/>
          <w:color w:val="000000"/>
          <w:sz w:val="24"/>
          <w:szCs w:val="24"/>
          <w:lang w:eastAsia="ru-RU"/>
        </w:rPr>
        <w:t>тарифы на перевозки пассажиров автомобильным транспортом по смежным межрегиональным и межмуниципальным маршрутам регулярных перевозок</w:t>
      </w:r>
      <w:r w:rsidR="003736FC">
        <w:rPr>
          <w:rFonts w:ascii="Times New Roman" w:eastAsia="Times New Roman" w:hAnsi="Times New Roman" w:cs="Times New Roman"/>
          <w:color w:val="000000"/>
          <w:sz w:val="24"/>
          <w:szCs w:val="24"/>
          <w:lang w:eastAsia="ru-RU"/>
        </w:rPr>
        <w:t>.</w:t>
      </w:r>
    </w:p>
    <w:p w:rsidR="007A7956" w:rsidRPr="007B1863" w:rsidRDefault="007A7956" w:rsidP="003736FC">
      <w:pPr>
        <w:shd w:val="clear" w:color="auto" w:fill="FFFFFF"/>
        <w:spacing w:after="0" w:line="360" w:lineRule="auto"/>
        <w:jc w:val="both"/>
        <w:rPr>
          <w:rFonts w:ascii="Times New Roman" w:hAnsi="Times New Roman" w:cs="Times New Roman"/>
          <w:sz w:val="24"/>
          <w:szCs w:val="24"/>
        </w:rPr>
      </w:pPr>
    </w:p>
    <w:p w:rsidR="00003F99" w:rsidRDefault="005A40E5" w:rsidP="007B1863">
      <w:pPr>
        <w:shd w:val="clear" w:color="auto" w:fill="FFFFFF"/>
        <w:spacing w:after="0" w:line="360" w:lineRule="auto"/>
        <w:ind w:firstLine="709"/>
        <w:jc w:val="center"/>
        <w:rPr>
          <w:rFonts w:ascii="Times New Roman" w:hAnsi="Times New Roman" w:cs="Times New Roman"/>
          <w:b/>
          <w:sz w:val="24"/>
          <w:szCs w:val="24"/>
        </w:rPr>
      </w:pPr>
      <w:r w:rsidRPr="005A40E5">
        <w:rPr>
          <w:rFonts w:ascii="Times New Roman" w:hAnsi="Times New Roman" w:cs="Times New Roman"/>
          <w:b/>
          <w:sz w:val="24"/>
          <w:szCs w:val="24"/>
        </w:rPr>
        <w:t xml:space="preserve">3.4.5. </w:t>
      </w:r>
      <w:r w:rsidR="00003F99" w:rsidRPr="005A40E5">
        <w:rPr>
          <w:rFonts w:ascii="Times New Roman" w:hAnsi="Times New Roman" w:cs="Times New Roman"/>
          <w:b/>
          <w:sz w:val="24"/>
          <w:szCs w:val="24"/>
        </w:rPr>
        <w:t>Сведения об эффективности реализации инвестиционных проектов субъектов естественных монополий на т</w:t>
      </w:r>
      <w:r w:rsidR="00F13850" w:rsidRPr="005A40E5">
        <w:rPr>
          <w:rFonts w:ascii="Times New Roman" w:hAnsi="Times New Roman" w:cs="Times New Roman"/>
          <w:b/>
          <w:sz w:val="24"/>
          <w:szCs w:val="24"/>
        </w:rPr>
        <w:t>ерритории Ленинградской области</w:t>
      </w:r>
    </w:p>
    <w:p w:rsidR="005A40E5" w:rsidRDefault="005A40E5" w:rsidP="005A40E5">
      <w:pPr>
        <w:spacing w:after="0" w:line="360" w:lineRule="auto"/>
        <w:ind w:firstLine="708"/>
        <w:jc w:val="both"/>
        <w:rPr>
          <w:rFonts w:ascii="Times New Roman" w:eastAsia="Times New Roman" w:hAnsi="Times New Roman" w:cs="Times New Roman"/>
          <w:color w:val="000000" w:themeColor="text1"/>
          <w:sz w:val="28"/>
          <w:szCs w:val="28"/>
          <w:lang w:eastAsia="ru-RU"/>
        </w:rPr>
      </w:pPr>
    </w:p>
    <w:p w:rsidR="005A40E5" w:rsidRPr="003736FC" w:rsidRDefault="005A40E5" w:rsidP="003736F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3736FC">
        <w:rPr>
          <w:rFonts w:ascii="Times New Roman" w:eastAsia="Times New Roman" w:hAnsi="Times New Roman" w:cs="Times New Roman"/>
          <w:color w:val="000000" w:themeColor="text1"/>
          <w:sz w:val="24"/>
          <w:szCs w:val="24"/>
          <w:lang w:eastAsia="ru-RU"/>
        </w:rPr>
        <w:t>В Ленинградской области Межотраслевым советом потребителей по вопросам деятельности субъектов естественных монополий при Губернаторе Ленинградской области (далее – Межотраслевой совет), действующим в соответствии с распоряжением Губернатора Ленинградской области от 31.08</w:t>
      </w:r>
      <w:r w:rsidR="00F71AD2">
        <w:rPr>
          <w:rFonts w:ascii="Times New Roman" w:eastAsia="Times New Roman" w:hAnsi="Times New Roman" w:cs="Times New Roman"/>
          <w:color w:val="000000" w:themeColor="text1"/>
          <w:sz w:val="24"/>
          <w:szCs w:val="24"/>
          <w:lang w:eastAsia="ru-RU"/>
        </w:rPr>
        <w:t>.2015</w:t>
      </w:r>
      <w:r w:rsidRPr="003736FC">
        <w:rPr>
          <w:rFonts w:ascii="Times New Roman" w:eastAsia="Times New Roman" w:hAnsi="Times New Roman" w:cs="Times New Roman"/>
          <w:color w:val="000000" w:themeColor="text1"/>
          <w:sz w:val="24"/>
          <w:szCs w:val="24"/>
          <w:lang w:eastAsia="ru-RU"/>
        </w:rPr>
        <w:t xml:space="preserve"> № 54-пг </w:t>
      </w:r>
      <w:r w:rsidR="00F71AD2">
        <w:rPr>
          <w:rFonts w:ascii="Times New Roman" w:eastAsia="Times New Roman" w:hAnsi="Times New Roman" w:cs="Times New Roman"/>
          <w:color w:val="000000" w:themeColor="text1"/>
          <w:sz w:val="24"/>
          <w:szCs w:val="24"/>
          <w:lang w:eastAsia="ru-RU"/>
        </w:rPr>
        <w:t>«</w:t>
      </w:r>
      <w:r w:rsidRPr="003736FC">
        <w:rPr>
          <w:rFonts w:ascii="Times New Roman" w:eastAsia="Times New Roman" w:hAnsi="Times New Roman" w:cs="Times New Roman"/>
          <w:color w:val="000000" w:themeColor="text1"/>
          <w:sz w:val="24"/>
          <w:szCs w:val="24"/>
          <w:lang w:eastAsia="ru-RU"/>
        </w:rPr>
        <w:t>О Межотраслевом совете потребителей по вопросам деятельности субъектов естественных монополий при Губернаторе Ленинградской области</w:t>
      </w:r>
      <w:r w:rsidR="00F71AD2">
        <w:rPr>
          <w:rFonts w:ascii="Times New Roman" w:eastAsia="Times New Roman" w:hAnsi="Times New Roman" w:cs="Times New Roman"/>
          <w:color w:val="000000" w:themeColor="text1"/>
          <w:sz w:val="24"/>
          <w:szCs w:val="24"/>
          <w:lang w:eastAsia="ru-RU"/>
        </w:rPr>
        <w:t>»</w:t>
      </w:r>
      <w:r w:rsidRPr="003736FC">
        <w:rPr>
          <w:rFonts w:ascii="Times New Roman" w:eastAsia="Times New Roman" w:hAnsi="Times New Roman" w:cs="Times New Roman"/>
          <w:color w:val="000000" w:themeColor="text1"/>
          <w:sz w:val="24"/>
          <w:szCs w:val="24"/>
          <w:lang w:eastAsia="ru-RU"/>
        </w:rPr>
        <w:t xml:space="preserve"> проводится контроль эффективности реализации инвестиционных программ и отдельных инвестиционных проектов субъектов естественных монополий на основании оценок, осуществляемых представителями потребителей товаров, работ, услуг, задействованными в механизмах общественного контроля за деятельностью субъектов естественных монополий.</w:t>
      </w:r>
    </w:p>
    <w:p w:rsidR="005A40E5" w:rsidRPr="003736FC" w:rsidRDefault="005A40E5" w:rsidP="003736F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3736FC">
        <w:rPr>
          <w:rFonts w:ascii="Times New Roman" w:eastAsia="Times New Roman" w:hAnsi="Times New Roman" w:cs="Times New Roman"/>
          <w:color w:val="000000" w:themeColor="text1"/>
          <w:sz w:val="24"/>
          <w:szCs w:val="24"/>
          <w:lang w:eastAsia="ru-RU"/>
        </w:rPr>
        <w:t>Последнее заседание Совета состоялось 20.06.2020, в 2021 мероприятий по оценке деятельности субъектов естественных монополий не проводилось. Однако общественное обсуждение проектов инвестиционных программ проводится на базе профильных комитетов. Так, Комитетом по топливно-энергетическому комплексу Ленинградской области в 2022 г. соответствии с Правилами утверждения инвестиционных программ субъектов электроэнергетики и правилами осуществления контроля за реализацией инвестиционных программ субъектов электроэнергетики, утвержденными Постановлением Правительства Российской Федерации</w:t>
      </w:r>
      <w:r w:rsidR="00F71AD2">
        <w:rPr>
          <w:rFonts w:ascii="Times New Roman" w:eastAsia="Times New Roman" w:hAnsi="Times New Roman" w:cs="Times New Roman"/>
          <w:color w:val="000000" w:themeColor="text1"/>
          <w:sz w:val="24"/>
          <w:szCs w:val="24"/>
          <w:lang w:eastAsia="ru-RU"/>
        </w:rPr>
        <w:br/>
      </w:r>
      <w:r w:rsidRPr="003736FC">
        <w:rPr>
          <w:rFonts w:ascii="Times New Roman" w:eastAsia="Times New Roman" w:hAnsi="Times New Roman" w:cs="Times New Roman"/>
          <w:color w:val="000000" w:themeColor="text1"/>
          <w:sz w:val="24"/>
          <w:szCs w:val="24"/>
          <w:lang w:eastAsia="ru-RU"/>
        </w:rPr>
        <w:t xml:space="preserve">от 01.12.2009 № 977, а также стандартами раскрытия информации субъектами оптового и розничных рынков электрической энергии, утвержденными Постановлением Правительства Российской Федерации от 21.01.2004 № 24 проведены общественные слушания по следующим позициям: </w:t>
      </w:r>
    </w:p>
    <w:p w:rsidR="005A40E5" w:rsidRPr="003736FC" w:rsidRDefault="005A40E5" w:rsidP="003736FC">
      <w:pPr>
        <w:pStyle w:val="a4"/>
        <w:numPr>
          <w:ilvl w:val="0"/>
          <w:numId w:val="18"/>
        </w:numPr>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3736FC">
        <w:rPr>
          <w:rFonts w:ascii="Times New Roman" w:eastAsia="Times New Roman" w:hAnsi="Times New Roman" w:cs="Times New Roman"/>
          <w:color w:val="000000" w:themeColor="text1"/>
          <w:sz w:val="24"/>
          <w:szCs w:val="24"/>
          <w:lang w:eastAsia="ru-RU"/>
        </w:rPr>
        <w:t>Проект изменений</w:t>
      </w:r>
      <w:r w:rsidR="002440F7">
        <w:rPr>
          <w:rFonts w:ascii="Times New Roman" w:eastAsia="Times New Roman" w:hAnsi="Times New Roman" w:cs="Times New Roman"/>
          <w:color w:val="000000" w:themeColor="text1"/>
          <w:sz w:val="24"/>
          <w:szCs w:val="24"/>
          <w:lang w:eastAsia="ru-RU"/>
        </w:rPr>
        <w:t xml:space="preserve"> в инвестиционную программу АО «</w:t>
      </w:r>
      <w:r w:rsidRPr="003736FC">
        <w:rPr>
          <w:rFonts w:ascii="Times New Roman" w:eastAsia="Times New Roman" w:hAnsi="Times New Roman" w:cs="Times New Roman"/>
          <w:color w:val="000000" w:themeColor="text1"/>
          <w:sz w:val="24"/>
          <w:szCs w:val="24"/>
          <w:lang w:eastAsia="ru-RU"/>
        </w:rPr>
        <w:t>ЛОЭСК</w:t>
      </w:r>
      <w:r w:rsidR="002440F7">
        <w:rPr>
          <w:rFonts w:ascii="Times New Roman" w:eastAsia="Times New Roman" w:hAnsi="Times New Roman" w:cs="Times New Roman"/>
          <w:color w:val="000000" w:themeColor="text1"/>
          <w:sz w:val="24"/>
          <w:szCs w:val="24"/>
          <w:lang w:eastAsia="ru-RU"/>
        </w:rPr>
        <w:t>»</w:t>
      </w:r>
      <w:r w:rsidRPr="003736FC">
        <w:rPr>
          <w:rFonts w:ascii="Times New Roman" w:eastAsia="Times New Roman" w:hAnsi="Times New Roman" w:cs="Times New Roman"/>
          <w:color w:val="000000" w:themeColor="text1"/>
          <w:sz w:val="24"/>
          <w:szCs w:val="24"/>
          <w:lang w:eastAsia="ru-RU"/>
        </w:rPr>
        <w:t xml:space="preserve"> на 2020-2024 гг. </w:t>
      </w:r>
    </w:p>
    <w:p w:rsidR="005A40E5" w:rsidRPr="003736FC" w:rsidRDefault="005A40E5" w:rsidP="003736FC">
      <w:pPr>
        <w:pStyle w:val="a4"/>
        <w:numPr>
          <w:ilvl w:val="0"/>
          <w:numId w:val="18"/>
        </w:numPr>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3736FC">
        <w:rPr>
          <w:rFonts w:ascii="Times New Roman" w:eastAsia="Times New Roman" w:hAnsi="Times New Roman" w:cs="Times New Roman"/>
          <w:color w:val="000000" w:themeColor="text1"/>
          <w:sz w:val="24"/>
          <w:szCs w:val="24"/>
          <w:lang w:eastAsia="ru-RU"/>
        </w:rPr>
        <w:t xml:space="preserve">Проект изменений в инвестиционную программу АО </w:t>
      </w:r>
      <w:r w:rsidR="002440F7">
        <w:rPr>
          <w:rFonts w:ascii="Times New Roman" w:eastAsia="Times New Roman" w:hAnsi="Times New Roman" w:cs="Times New Roman"/>
          <w:color w:val="000000" w:themeColor="text1"/>
          <w:sz w:val="24"/>
          <w:szCs w:val="24"/>
          <w:lang w:eastAsia="ru-RU"/>
        </w:rPr>
        <w:t>«</w:t>
      </w:r>
      <w:r w:rsidRPr="003736FC">
        <w:rPr>
          <w:rFonts w:ascii="Times New Roman" w:eastAsia="Times New Roman" w:hAnsi="Times New Roman" w:cs="Times New Roman"/>
          <w:color w:val="000000" w:themeColor="text1"/>
          <w:sz w:val="24"/>
          <w:szCs w:val="24"/>
          <w:lang w:eastAsia="ru-RU"/>
        </w:rPr>
        <w:t>КЭС</w:t>
      </w:r>
      <w:r w:rsidR="002440F7">
        <w:rPr>
          <w:rFonts w:ascii="Times New Roman" w:eastAsia="Times New Roman" w:hAnsi="Times New Roman" w:cs="Times New Roman"/>
          <w:color w:val="000000" w:themeColor="text1"/>
          <w:sz w:val="24"/>
          <w:szCs w:val="24"/>
          <w:lang w:eastAsia="ru-RU"/>
        </w:rPr>
        <w:t>»</w:t>
      </w:r>
      <w:r w:rsidRPr="003736FC">
        <w:rPr>
          <w:rFonts w:ascii="Times New Roman" w:eastAsia="Times New Roman" w:hAnsi="Times New Roman" w:cs="Times New Roman"/>
          <w:color w:val="000000" w:themeColor="text1"/>
          <w:sz w:val="24"/>
          <w:szCs w:val="24"/>
          <w:lang w:eastAsia="ru-RU"/>
        </w:rPr>
        <w:t xml:space="preserve"> на 2020-2024 гг. </w:t>
      </w:r>
    </w:p>
    <w:p w:rsidR="005A40E5" w:rsidRPr="003736FC" w:rsidRDefault="005A40E5" w:rsidP="003736FC">
      <w:pPr>
        <w:pStyle w:val="a4"/>
        <w:numPr>
          <w:ilvl w:val="0"/>
          <w:numId w:val="18"/>
        </w:numPr>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3736FC">
        <w:rPr>
          <w:rFonts w:ascii="Times New Roman" w:eastAsia="Times New Roman" w:hAnsi="Times New Roman" w:cs="Times New Roman"/>
          <w:color w:val="000000" w:themeColor="text1"/>
          <w:sz w:val="24"/>
          <w:szCs w:val="24"/>
          <w:lang w:eastAsia="ru-RU"/>
        </w:rPr>
        <w:t xml:space="preserve">Проект изменений в инвестиционную программу Октябрьской дирекции по энергообеспечению структурного подразделения Трансэнерго филиала АО </w:t>
      </w:r>
      <w:r w:rsidR="002440F7">
        <w:rPr>
          <w:rFonts w:ascii="Times New Roman" w:eastAsia="Times New Roman" w:hAnsi="Times New Roman" w:cs="Times New Roman"/>
          <w:color w:val="000000" w:themeColor="text1"/>
          <w:sz w:val="24"/>
          <w:szCs w:val="24"/>
          <w:lang w:eastAsia="ru-RU"/>
        </w:rPr>
        <w:t>«</w:t>
      </w:r>
      <w:r w:rsidRPr="003736FC">
        <w:rPr>
          <w:rFonts w:ascii="Times New Roman" w:eastAsia="Times New Roman" w:hAnsi="Times New Roman" w:cs="Times New Roman"/>
          <w:color w:val="000000" w:themeColor="text1"/>
          <w:sz w:val="24"/>
          <w:szCs w:val="24"/>
          <w:lang w:eastAsia="ru-RU"/>
        </w:rPr>
        <w:t>РЖД</w:t>
      </w:r>
      <w:r w:rsidR="002440F7">
        <w:rPr>
          <w:rFonts w:ascii="Times New Roman" w:eastAsia="Times New Roman" w:hAnsi="Times New Roman" w:cs="Times New Roman"/>
          <w:color w:val="000000" w:themeColor="text1"/>
          <w:sz w:val="24"/>
          <w:szCs w:val="24"/>
          <w:lang w:eastAsia="ru-RU"/>
        </w:rPr>
        <w:t>»</w:t>
      </w:r>
      <w:r w:rsidRPr="003736FC">
        <w:rPr>
          <w:rFonts w:ascii="Times New Roman" w:eastAsia="Times New Roman" w:hAnsi="Times New Roman" w:cs="Times New Roman"/>
          <w:color w:val="000000" w:themeColor="text1"/>
          <w:sz w:val="24"/>
          <w:szCs w:val="24"/>
          <w:lang w:eastAsia="ru-RU"/>
        </w:rPr>
        <w:t xml:space="preserve"> на 2020-2024 гг. </w:t>
      </w:r>
    </w:p>
    <w:p w:rsidR="005A40E5" w:rsidRPr="003736FC" w:rsidRDefault="005A40E5" w:rsidP="003736FC">
      <w:pPr>
        <w:pStyle w:val="a4"/>
        <w:numPr>
          <w:ilvl w:val="0"/>
          <w:numId w:val="18"/>
        </w:numPr>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3736FC">
        <w:rPr>
          <w:rFonts w:ascii="Times New Roman" w:eastAsia="Times New Roman" w:hAnsi="Times New Roman" w:cs="Times New Roman"/>
          <w:color w:val="000000" w:themeColor="text1"/>
          <w:sz w:val="24"/>
          <w:szCs w:val="24"/>
          <w:lang w:eastAsia="ru-RU"/>
        </w:rPr>
        <w:t xml:space="preserve">Проект инвестиционной программы ООО </w:t>
      </w:r>
      <w:r w:rsidR="002440F7">
        <w:rPr>
          <w:rFonts w:ascii="Times New Roman" w:eastAsia="Times New Roman" w:hAnsi="Times New Roman" w:cs="Times New Roman"/>
          <w:color w:val="000000" w:themeColor="text1"/>
          <w:sz w:val="24"/>
          <w:szCs w:val="24"/>
          <w:lang w:eastAsia="ru-RU"/>
        </w:rPr>
        <w:t>«</w:t>
      </w:r>
      <w:r w:rsidRPr="003736FC">
        <w:rPr>
          <w:rFonts w:ascii="Times New Roman" w:eastAsia="Times New Roman" w:hAnsi="Times New Roman" w:cs="Times New Roman"/>
          <w:color w:val="000000" w:themeColor="text1"/>
          <w:sz w:val="24"/>
          <w:szCs w:val="24"/>
          <w:lang w:eastAsia="ru-RU"/>
        </w:rPr>
        <w:t xml:space="preserve">СП </w:t>
      </w:r>
      <w:r w:rsidR="002440F7">
        <w:rPr>
          <w:rFonts w:ascii="Times New Roman" w:eastAsia="Times New Roman" w:hAnsi="Times New Roman" w:cs="Times New Roman"/>
          <w:color w:val="000000" w:themeColor="text1"/>
          <w:sz w:val="24"/>
          <w:szCs w:val="24"/>
          <w:lang w:eastAsia="ru-RU"/>
        </w:rPr>
        <w:t>«</w:t>
      </w:r>
      <w:r w:rsidRPr="003736FC">
        <w:rPr>
          <w:rFonts w:ascii="Times New Roman" w:eastAsia="Times New Roman" w:hAnsi="Times New Roman" w:cs="Times New Roman"/>
          <w:color w:val="000000" w:themeColor="text1"/>
          <w:sz w:val="24"/>
          <w:szCs w:val="24"/>
          <w:lang w:eastAsia="ru-RU"/>
        </w:rPr>
        <w:t>Росэнерго</w:t>
      </w:r>
      <w:r w:rsidR="002440F7">
        <w:rPr>
          <w:rFonts w:ascii="Times New Roman" w:eastAsia="Times New Roman" w:hAnsi="Times New Roman" w:cs="Times New Roman"/>
          <w:color w:val="000000" w:themeColor="text1"/>
          <w:sz w:val="24"/>
          <w:szCs w:val="24"/>
          <w:lang w:eastAsia="ru-RU"/>
        </w:rPr>
        <w:t xml:space="preserve">» </w:t>
      </w:r>
      <w:r w:rsidRPr="003736FC">
        <w:rPr>
          <w:rFonts w:ascii="Times New Roman" w:eastAsia="Times New Roman" w:hAnsi="Times New Roman" w:cs="Times New Roman"/>
          <w:color w:val="000000" w:themeColor="text1"/>
          <w:sz w:val="24"/>
          <w:szCs w:val="24"/>
          <w:lang w:eastAsia="ru-RU"/>
        </w:rPr>
        <w:t xml:space="preserve"> на 2023-2027 гг. и изменений в инвестиционную программу на 2021-2022 гг.</w:t>
      </w:r>
    </w:p>
    <w:p w:rsidR="005A40E5" w:rsidRPr="003736FC" w:rsidRDefault="005A40E5" w:rsidP="003736FC">
      <w:pPr>
        <w:pStyle w:val="a4"/>
        <w:numPr>
          <w:ilvl w:val="0"/>
          <w:numId w:val="18"/>
        </w:numPr>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3736FC">
        <w:rPr>
          <w:rFonts w:ascii="Times New Roman" w:eastAsia="Times New Roman" w:hAnsi="Times New Roman" w:cs="Times New Roman"/>
          <w:color w:val="000000" w:themeColor="text1"/>
          <w:sz w:val="24"/>
          <w:szCs w:val="24"/>
          <w:lang w:eastAsia="ru-RU"/>
        </w:rPr>
        <w:t xml:space="preserve">Проект изменений в инвестиционную программу МП </w:t>
      </w:r>
      <w:r w:rsidR="002440F7">
        <w:rPr>
          <w:rFonts w:ascii="Times New Roman" w:eastAsia="Times New Roman" w:hAnsi="Times New Roman" w:cs="Times New Roman"/>
          <w:color w:val="000000" w:themeColor="text1"/>
          <w:sz w:val="24"/>
          <w:szCs w:val="24"/>
          <w:lang w:eastAsia="ru-RU"/>
        </w:rPr>
        <w:t>«</w:t>
      </w:r>
      <w:r w:rsidRPr="003736FC">
        <w:rPr>
          <w:rFonts w:ascii="Times New Roman" w:eastAsia="Times New Roman" w:hAnsi="Times New Roman" w:cs="Times New Roman"/>
          <w:color w:val="000000" w:themeColor="text1"/>
          <w:sz w:val="24"/>
          <w:szCs w:val="24"/>
          <w:lang w:eastAsia="ru-RU"/>
        </w:rPr>
        <w:t>ВПЭС</w:t>
      </w:r>
      <w:r w:rsidR="002440F7">
        <w:rPr>
          <w:rFonts w:ascii="Times New Roman" w:eastAsia="Times New Roman" w:hAnsi="Times New Roman" w:cs="Times New Roman"/>
          <w:color w:val="000000" w:themeColor="text1"/>
          <w:sz w:val="24"/>
          <w:szCs w:val="24"/>
          <w:lang w:eastAsia="ru-RU"/>
        </w:rPr>
        <w:t>»</w:t>
      </w:r>
      <w:r w:rsidRPr="003736FC">
        <w:rPr>
          <w:rFonts w:ascii="Times New Roman" w:eastAsia="Times New Roman" w:hAnsi="Times New Roman" w:cs="Times New Roman"/>
          <w:color w:val="000000" w:themeColor="text1"/>
          <w:sz w:val="24"/>
          <w:szCs w:val="24"/>
          <w:lang w:eastAsia="ru-RU"/>
        </w:rPr>
        <w:t xml:space="preserve"> на 2020-2024 гг.</w:t>
      </w:r>
    </w:p>
    <w:p w:rsidR="005A40E5" w:rsidRPr="003736FC" w:rsidRDefault="005A40E5" w:rsidP="003736FC">
      <w:pPr>
        <w:pStyle w:val="a4"/>
        <w:numPr>
          <w:ilvl w:val="0"/>
          <w:numId w:val="18"/>
        </w:numPr>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3736FC">
        <w:rPr>
          <w:rFonts w:ascii="Times New Roman" w:eastAsia="Times New Roman" w:hAnsi="Times New Roman" w:cs="Times New Roman"/>
          <w:color w:val="000000" w:themeColor="text1"/>
          <w:sz w:val="24"/>
          <w:szCs w:val="24"/>
          <w:lang w:eastAsia="ru-RU"/>
        </w:rPr>
        <w:t xml:space="preserve">Проект изменений в инвестиционную программу Северо-Западного филиала АО </w:t>
      </w:r>
      <w:r w:rsidR="002440F7">
        <w:rPr>
          <w:rFonts w:ascii="Times New Roman" w:eastAsia="Times New Roman" w:hAnsi="Times New Roman" w:cs="Times New Roman"/>
          <w:color w:val="000000" w:themeColor="text1"/>
          <w:sz w:val="24"/>
          <w:szCs w:val="24"/>
          <w:lang w:eastAsia="ru-RU"/>
        </w:rPr>
        <w:t>«</w:t>
      </w:r>
      <w:r w:rsidRPr="003736FC">
        <w:rPr>
          <w:rFonts w:ascii="Times New Roman" w:eastAsia="Times New Roman" w:hAnsi="Times New Roman" w:cs="Times New Roman"/>
          <w:color w:val="000000" w:themeColor="text1"/>
          <w:sz w:val="24"/>
          <w:szCs w:val="24"/>
          <w:lang w:eastAsia="ru-RU"/>
        </w:rPr>
        <w:t>Оборонэнерго</w:t>
      </w:r>
      <w:r w:rsidR="002440F7">
        <w:rPr>
          <w:rFonts w:ascii="Times New Roman" w:eastAsia="Times New Roman" w:hAnsi="Times New Roman" w:cs="Times New Roman"/>
          <w:color w:val="000000" w:themeColor="text1"/>
          <w:sz w:val="24"/>
          <w:szCs w:val="24"/>
          <w:lang w:eastAsia="ru-RU"/>
        </w:rPr>
        <w:t>»</w:t>
      </w:r>
      <w:r w:rsidRPr="003736FC">
        <w:rPr>
          <w:rFonts w:ascii="Times New Roman" w:eastAsia="Times New Roman" w:hAnsi="Times New Roman" w:cs="Times New Roman"/>
          <w:color w:val="000000" w:themeColor="text1"/>
          <w:sz w:val="24"/>
          <w:szCs w:val="24"/>
          <w:lang w:eastAsia="ru-RU"/>
        </w:rPr>
        <w:t xml:space="preserve"> на 2020-2024 гг. </w:t>
      </w:r>
    </w:p>
    <w:p w:rsidR="005A40E5" w:rsidRPr="003736FC" w:rsidRDefault="005A40E5" w:rsidP="003736FC">
      <w:pPr>
        <w:shd w:val="clear" w:color="auto" w:fill="FFFFFF"/>
        <w:spacing w:after="0" w:line="360" w:lineRule="auto"/>
        <w:ind w:firstLine="709"/>
        <w:rPr>
          <w:rFonts w:ascii="Times New Roman" w:hAnsi="Times New Roman" w:cs="Times New Roman"/>
          <w:sz w:val="24"/>
          <w:szCs w:val="24"/>
        </w:rPr>
      </w:pPr>
      <w:r w:rsidRPr="003736FC">
        <w:rPr>
          <w:rFonts w:ascii="Times New Roman" w:eastAsia="Times New Roman" w:hAnsi="Times New Roman" w:cs="Times New Roman"/>
          <w:color w:val="000000" w:themeColor="text1"/>
          <w:sz w:val="24"/>
          <w:szCs w:val="24"/>
        </w:rPr>
        <w:t xml:space="preserve">(источник: </w:t>
      </w:r>
      <w:hyperlink r:id="rId76" w:history="1">
        <w:r w:rsidRPr="003736FC">
          <w:rPr>
            <w:rStyle w:val="a6"/>
            <w:rFonts w:ascii="Times New Roman" w:eastAsia="Times New Roman" w:hAnsi="Times New Roman" w:cs="Times New Roman"/>
            <w:color w:val="000000" w:themeColor="text1"/>
            <w:sz w:val="24"/>
            <w:szCs w:val="24"/>
          </w:rPr>
          <w:t>https://power.lenobl.ru/ru/deiatelnost/osnovnye_napravleniya/elektroenergetika-i-tehnologicheskoe-prisoedinenie-k-elektricheskim-se/investicionnye-programmy-subektov-elektroenergetiki/provedenie-obshestvennyh-obsuzhdenij-proektov-ipr/</w:t>
        </w:r>
      </w:hyperlink>
      <w:r w:rsidR="00F71AD2">
        <w:rPr>
          <w:rStyle w:val="a6"/>
          <w:rFonts w:ascii="Times New Roman" w:eastAsia="Times New Roman" w:hAnsi="Times New Roman" w:cs="Times New Roman"/>
          <w:color w:val="000000" w:themeColor="text1"/>
          <w:sz w:val="24"/>
          <w:szCs w:val="24"/>
        </w:rPr>
        <w:t>).</w:t>
      </w:r>
    </w:p>
    <w:p w:rsidR="00EF0409" w:rsidRPr="003736FC" w:rsidRDefault="00EF0409" w:rsidP="00EF0409">
      <w:pPr>
        <w:keepNext/>
        <w:keepLines/>
        <w:spacing w:before="40" w:after="240" w:line="240" w:lineRule="auto"/>
        <w:jc w:val="center"/>
        <w:outlineLvl w:val="2"/>
        <w:rPr>
          <w:rFonts w:ascii="Times New Roman" w:eastAsia="Arial" w:hAnsi="Times New Roman" w:cs="Times New Roman"/>
          <w:b/>
          <w:color w:val="000000"/>
          <w:sz w:val="24"/>
          <w:szCs w:val="24"/>
          <w:lang w:eastAsia="ru-RU"/>
        </w:rPr>
      </w:pPr>
      <w:bookmarkStart w:id="33" w:name="_Toc122720244"/>
      <w:r w:rsidRPr="003736FC">
        <w:rPr>
          <w:rFonts w:ascii="Times New Roman" w:eastAsia="Arial" w:hAnsi="Times New Roman" w:cs="Times New Roman"/>
          <w:b/>
          <w:color w:val="000000"/>
          <w:sz w:val="24"/>
          <w:szCs w:val="24"/>
          <w:lang w:eastAsia="ru-RU"/>
        </w:rPr>
        <w:t>3.4.6. О количестве и динамике количества ресурсоснабжающих организаций, функционирующих на территории Ленинградской области, за последние три года</w:t>
      </w:r>
      <w:bookmarkEnd w:id="33"/>
    </w:p>
    <w:p w:rsidR="00EF0409" w:rsidRPr="00694448" w:rsidRDefault="00EF0409" w:rsidP="00EF0409">
      <w:pPr>
        <w:spacing w:after="0" w:line="360" w:lineRule="auto"/>
        <w:ind w:firstLine="708"/>
        <w:jc w:val="both"/>
        <w:rPr>
          <w:rFonts w:ascii="Times New Roman" w:eastAsia="Times New Roman" w:hAnsi="Times New Roman" w:cs="Times New Roman"/>
          <w:color w:val="000000"/>
          <w:sz w:val="24"/>
          <w:szCs w:val="24"/>
          <w:lang w:eastAsia="ru-RU"/>
        </w:rPr>
      </w:pPr>
      <w:r w:rsidRPr="003736FC">
        <w:rPr>
          <w:rFonts w:ascii="Times New Roman" w:eastAsia="Times New Roman" w:hAnsi="Times New Roman" w:cs="Times New Roman"/>
          <w:color w:val="000000"/>
          <w:sz w:val="24"/>
          <w:szCs w:val="24"/>
          <w:lang w:eastAsia="ru-RU"/>
        </w:rPr>
        <w:t xml:space="preserve">Согласно данным Росстата, количество учтенных в Статистическом регистре Росстата организаций и индивидуальных предпринимателей Ленинградской области с фактическим видом деятельности, относящимся к ресурсоснабжению в соответствии с Постановлением Правительства РФ от 06.05.2011 № 354 (ред. от 23.09.2022) на 01.11.2022 г. составляет 751, в том числе 639 юридических лиц, филиалов, территориальных обособленных структурных подразделений (далее – юридические лица) и 112 </w:t>
      </w:r>
      <w:r w:rsidRPr="00694448">
        <w:rPr>
          <w:rFonts w:ascii="Times New Roman" w:eastAsia="Times New Roman" w:hAnsi="Times New Roman" w:cs="Times New Roman"/>
          <w:color w:val="000000"/>
          <w:sz w:val="24"/>
          <w:szCs w:val="24"/>
          <w:lang w:eastAsia="ru-RU"/>
        </w:rPr>
        <w:t xml:space="preserve">индивидуальных предпринимателей (Таблица </w:t>
      </w:r>
      <w:r w:rsidR="00694448" w:rsidRPr="00694448">
        <w:rPr>
          <w:rFonts w:ascii="Times New Roman" w:eastAsia="Times New Roman" w:hAnsi="Times New Roman" w:cs="Times New Roman"/>
          <w:color w:val="000000"/>
          <w:sz w:val="24"/>
          <w:szCs w:val="24"/>
          <w:lang w:eastAsia="ru-RU"/>
        </w:rPr>
        <w:t>23</w:t>
      </w:r>
      <w:r w:rsidRPr="00694448">
        <w:rPr>
          <w:rFonts w:ascii="Times New Roman" w:eastAsia="Times New Roman" w:hAnsi="Times New Roman" w:cs="Times New Roman"/>
          <w:color w:val="000000"/>
          <w:sz w:val="24"/>
          <w:szCs w:val="24"/>
          <w:lang w:eastAsia="ru-RU"/>
        </w:rPr>
        <w:t>).</w:t>
      </w:r>
    </w:p>
    <w:p w:rsidR="00EF0409" w:rsidRPr="003736FC" w:rsidRDefault="00EF0409" w:rsidP="00EF0409">
      <w:pPr>
        <w:spacing w:after="0" w:line="360" w:lineRule="auto"/>
        <w:ind w:firstLine="708"/>
        <w:jc w:val="both"/>
        <w:rPr>
          <w:rFonts w:ascii="Times New Roman" w:eastAsia="Times New Roman" w:hAnsi="Times New Roman" w:cs="Times New Roman"/>
          <w:color w:val="000000"/>
          <w:sz w:val="24"/>
          <w:szCs w:val="24"/>
          <w:lang w:eastAsia="ru-RU"/>
        </w:rPr>
      </w:pPr>
      <w:r w:rsidRPr="00694448">
        <w:rPr>
          <w:rFonts w:ascii="Times New Roman" w:eastAsia="Times New Roman" w:hAnsi="Times New Roman" w:cs="Times New Roman"/>
          <w:color w:val="000000"/>
          <w:sz w:val="24"/>
          <w:szCs w:val="24"/>
          <w:lang w:eastAsia="ru-RU"/>
        </w:rPr>
        <w:t xml:space="preserve">Как видно из Таблицы </w:t>
      </w:r>
      <w:r w:rsidR="00694448" w:rsidRPr="00694448">
        <w:rPr>
          <w:rFonts w:ascii="Times New Roman" w:eastAsia="Times New Roman" w:hAnsi="Times New Roman" w:cs="Times New Roman"/>
          <w:color w:val="000000"/>
          <w:sz w:val="24"/>
          <w:szCs w:val="24"/>
          <w:lang w:eastAsia="ru-RU"/>
        </w:rPr>
        <w:t>23</w:t>
      </w:r>
      <w:r w:rsidRPr="00694448">
        <w:rPr>
          <w:rFonts w:ascii="Times New Roman" w:eastAsia="Times New Roman" w:hAnsi="Times New Roman" w:cs="Times New Roman"/>
          <w:color w:val="000000"/>
          <w:sz w:val="24"/>
          <w:szCs w:val="24"/>
          <w:lang w:eastAsia="ru-RU"/>
        </w:rPr>
        <w:t>,</w:t>
      </w:r>
      <w:r w:rsidRPr="003736FC">
        <w:rPr>
          <w:rFonts w:ascii="Times New Roman" w:eastAsia="Times New Roman" w:hAnsi="Times New Roman" w:cs="Times New Roman"/>
          <w:color w:val="000000"/>
          <w:sz w:val="24"/>
          <w:szCs w:val="24"/>
          <w:lang w:eastAsia="ru-RU"/>
        </w:rPr>
        <w:t xml:space="preserve"> за календарный год общее количество организаций уменьшилось на 32, число индивидуальных предпринимателей увеличилось на 4. При этом положительная динамика отмечается по виду деятельности сбор и обработка сточных вод (86 ед. в 2022 г., +6 субъектов предпринимательства, +7,5% к 2021 г.). В сфере обращения с отходами произошло увеличение количества организаций и индивидуальных предпринимателей, занятых обработкой и утилизацией неопасных отходов, с одновременным уменьшением показателя в части сбора отходов (137 ед., +2 субъекта суммарно, +1,5%). В остальных сферах зафиксирована отрицательная динамика. Наиболее заметное уменьшение игроков наблюдается в части горячего водоснабжения (185 ед., -25 хозяйствующих субъектов, -11,9%), основной отток в производстве и распределении пара и горячей воды (тепловой энергии). Также в торговле топливом хозяйствующих субъектов стало меньше (10 ед., -3 ед., -23,0%). В электроэнергетике, как и в холодном водоснабжении, уменьшение составило по 2,5% (154 ед., -4 ед. и 118 ед., -3 ед. соответственно), в газоснабжении –1,6% (61 ед., -1 хозяйствующий субъект). </w:t>
      </w:r>
    </w:p>
    <w:p w:rsidR="00EF0409" w:rsidRPr="00EF0409" w:rsidRDefault="00EF0409" w:rsidP="003736FC">
      <w:pPr>
        <w:keepNext/>
        <w:keepLines/>
        <w:spacing w:before="120" w:after="120" w:line="240" w:lineRule="auto"/>
        <w:jc w:val="center"/>
        <w:rPr>
          <w:rFonts w:ascii="Times New Roman" w:eastAsia="Times New Roman" w:hAnsi="Times New Roman" w:cs="Times New Roman"/>
          <w:color w:val="000000"/>
          <w:sz w:val="24"/>
          <w:szCs w:val="24"/>
          <w:lang w:eastAsia="ru-RU"/>
        </w:rPr>
      </w:pPr>
      <w:r w:rsidRPr="00EF0409">
        <w:rPr>
          <w:rFonts w:ascii="Times New Roman" w:eastAsia="Times New Roman" w:hAnsi="Times New Roman" w:cs="Times New Roman"/>
          <w:color w:val="000000"/>
          <w:sz w:val="24"/>
          <w:szCs w:val="24"/>
          <w:lang w:eastAsia="ru-RU"/>
        </w:rPr>
        <w:t xml:space="preserve">Таблица </w:t>
      </w:r>
      <w:r w:rsidR="003736FC">
        <w:rPr>
          <w:rFonts w:ascii="Times New Roman" w:eastAsia="Times New Roman" w:hAnsi="Times New Roman" w:cs="Times New Roman"/>
          <w:color w:val="000000"/>
          <w:sz w:val="24"/>
          <w:szCs w:val="24"/>
          <w:lang w:eastAsia="ru-RU"/>
        </w:rPr>
        <w:t>23</w:t>
      </w:r>
      <w:r w:rsidRPr="00EF0409">
        <w:rPr>
          <w:rFonts w:ascii="Times New Roman" w:eastAsia="Times New Roman" w:hAnsi="Times New Roman" w:cs="Times New Roman"/>
          <w:color w:val="000000"/>
          <w:sz w:val="24"/>
          <w:szCs w:val="24"/>
          <w:lang w:eastAsia="ru-RU"/>
        </w:rPr>
        <w:t>. Количество организаций в разрезе видов деятельности по Общероссийскому классификатору видов экономической деятельности ОК 029-2014 (КДЕС Ред.2) за 2021 и 2022 гг.</w:t>
      </w:r>
    </w:p>
    <w:tbl>
      <w:tblPr>
        <w:tblW w:w="10053" w:type="dxa"/>
        <w:tblLook w:val="04A0" w:firstRow="1" w:lastRow="0" w:firstColumn="1" w:lastColumn="0" w:noHBand="0" w:noVBand="1"/>
      </w:tblPr>
      <w:tblGrid>
        <w:gridCol w:w="6336"/>
        <w:gridCol w:w="1206"/>
        <w:gridCol w:w="692"/>
        <w:gridCol w:w="1206"/>
        <w:gridCol w:w="665"/>
      </w:tblGrid>
      <w:tr w:rsidR="00EF0409" w:rsidRPr="00EF0409" w:rsidTr="00EF0409">
        <w:trPr>
          <w:trHeight w:val="280"/>
          <w:tblHeader/>
        </w:trPr>
        <w:tc>
          <w:tcPr>
            <w:tcW w:w="63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b/>
                <w:bCs/>
                <w:color w:val="000000"/>
                <w:lang w:eastAsia="ru-RU"/>
              </w:rPr>
            </w:pPr>
            <w:r w:rsidRPr="00EF0409">
              <w:rPr>
                <w:rFonts w:ascii="Times New Roman" w:eastAsia="Times New Roman" w:hAnsi="Times New Roman" w:cs="Times New Roman"/>
                <w:b/>
                <w:bCs/>
                <w:color w:val="000000"/>
                <w:lang w:eastAsia="ru-RU"/>
              </w:rPr>
              <w:t>Виды экономической деятельности</w:t>
            </w:r>
          </w:p>
        </w:tc>
        <w:tc>
          <w:tcPr>
            <w:tcW w:w="3717" w:type="dxa"/>
            <w:gridSpan w:val="4"/>
            <w:tcBorders>
              <w:top w:val="single" w:sz="4" w:space="0" w:color="auto"/>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b/>
                <w:bCs/>
                <w:color w:val="000000"/>
                <w:lang w:eastAsia="ru-RU"/>
              </w:rPr>
            </w:pPr>
            <w:r w:rsidRPr="00EF0409">
              <w:rPr>
                <w:rFonts w:ascii="Times New Roman" w:eastAsia="Times New Roman" w:hAnsi="Times New Roman" w:cs="Times New Roman"/>
                <w:b/>
                <w:bCs/>
                <w:color w:val="000000"/>
                <w:lang w:eastAsia="ru-RU"/>
              </w:rPr>
              <w:t>Количество, ед.</w:t>
            </w:r>
          </w:p>
        </w:tc>
      </w:tr>
      <w:tr w:rsidR="00EF0409" w:rsidRPr="00EF0409" w:rsidTr="00EF0409">
        <w:trPr>
          <w:trHeight w:val="534"/>
          <w:tblHeader/>
        </w:trPr>
        <w:tc>
          <w:tcPr>
            <w:tcW w:w="6336" w:type="dxa"/>
            <w:vMerge/>
            <w:tcBorders>
              <w:top w:val="single" w:sz="4" w:space="0" w:color="auto"/>
              <w:left w:val="single" w:sz="4" w:space="0" w:color="auto"/>
              <w:bottom w:val="single" w:sz="4" w:space="0" w:color="auto"/>
              <w:right w:val="single" w:sz="4" w:space="0" w:color="auto"/>
            </w:tcBorders>
            <w:vAlign w:val="center"/>
            <w:hideMark/>
          </w:tcPr>
          <w:p w:rsidR="00EF0409" w:rsidRPr="00EF0409" w:rsidRDefault="00EF0409" w:rsidP="00EF0409">
            <w:pPr>
              <w:spacing w:after="0" w:line="240" w:lineRule="auto"/>
              <w:rPr>
                <w:rFonts w:ascii="Times New Roman" w:eastAsia="Times New Roman" w:hAnsi="Times New Roman" w:cs="Times New Roman"/>
                <w:b/>
                <w:bCs/>
                <w:color w:val="000000"/>
                <w:lang w:eastAsia="ru-RU"/>
              </w:rPr>
            </w:pPr>
          </w:p>
        </w:tc>
        <w:tc>
          <w:tcPr>
            <w:tcW w:w="1872" w:type="dxa"/>
            <w:gridSpan w:val="2"/>
            <w:tcBorders>
              <w:top w:val="single" w:sz="4" w:space="0" w:color="auto"/>
              <w:left w:val="nil"/>
              <w:bottom w:val="single" w:sz="4" w:space="0" w:color="auto"/>
              <w:right w:val="single" w:sz="4" w:space="0" w:color="000000"/>
            </w:tcBorders>
            <w:shd w:val="clear" w:color="auto" w:fill="auto"/>
            <w:vAlign w:val="center"/>
            <w:hideMark/>
          </w:tcPr>
          <w:p w:rsidR="00EF0409" w:rsidRPr="00EF0409" w:rsidRDefault="00EF0409" w:rsidP="00EF0409">
            <w:pPr>
              <w:spacing w:after="0" w:line="240" w:lineRule="auto"/>
              <w:jc w:val="center"/>
              <w:rPr>
                <w:rFonts w:ascii="Times New Roman" w:eastAsia="Times New Roman" w:hAnsi="Times New Roman" w:cs="Times New Roman"/>
                <w:b/>
                <w:bCs/>
                <w:color w:val="000000"/>
                <w:lang w:eastAsia="ru-RU"/>
              </w:rPr>
            </w:pPr>
            <w:r w:rsidRPr="00EF0409">
              <w:rPr>
                <w:rFonts w:ascii="Times New Roman" w:eastAsia="Times New Roman" w:hAnsi="Times New Roman" w:cs="Times New Roman"/>
                <w:b/>
                <w:bCs/>
                <w:color w:val="000000"/>
                <w:lang w:eastAsia="ru-RU"/>
              </w:rPr>
              <w:t>по состоянию на 01.11.2021</w:t>
            </w:r>
          </w:p>
        </w:tc>
        <w:tc>
          <w:tcPr>
            <w:tcW w:w="1845" w:type="dxa"/>
            <w:gridSpan w:val="2"/>
            <w:tcBorders>
              <w:top w:val="single" w:sz="4" w:space="0" w:color="auto"/>
              <w:left w:val="nil"/>
              <w:bottom w:val="single" w:sz="4" w:space="0" w:color="auto"/>
              <w:right w:val="single" w:sz="4" w:space="0" w:color="000000"/>
            </w:tcBorders>
            <w:shd w:val="clear" w:color="auto" w:fill="auto"/>
            <w:vAlign w:val="center"/>
            <w:hideMark/>
          </w:tcPr>
          <w:p w:rsidR="00EF0409" w:rsidRPr="00EF0409" w:rsidRDefault="00EF0409" w:rsidP="00EF0409">
            <w:pPr>
              <w:spacing w:after="0" w:line="240" w:lineRule="auto"/>
              <w:jc w:val="center"/>
              <w:rPr>
                <w:rFonts w:ascii="Times New Roman" w:eastAsia="Times New Roman" w:hAnsi="Times New Roman" w:cs="Times New Roman"/>
                <w:b/>
                <w:bCs/>
                <w:color w:val="000000"/>
                <w:lang w:eastAsia="ru-RU"/>
              </w:rPr>
            </w:pPr>
            <w:r w:rsidRPr="00EF0409">
              <w:rPr>
                <w:rFonts w:ascii="Times New Roman" w:eastAsia="Times New Roman" w:hAnsi="Times New Roman" w:cs="Times New Roman"/>
                <w:b/>
                <w:bCs/>
                <w:color w:val="000000"/>
                <w:lang w:eastAsia="ru-RU"/>
              </w:rPr>
              <w:t>по состоянию на 01.11.2022</w:t>
            </w:r>
          </w:p>
        </w:tc>
      </w:tr>
      <w:tr w:rsidR="00EF0409" w:rsidRPr="00EF0409" w:rsidTr="00EF0409">
        <w:trPr>
          <w:trHeight w:val="842"/>
          <w:tblHeader/>
        </w:trPr>
        <w:tc>
          <w:tcPr>
            <w:tcW w:w="6336" w:type="dxa"/>
            <w:vMerge/>
            <w:tcBorders>
              <w:top w:val="single" w:sz="4" w:space="0" w:color="auto"/>
              <w:left w:val="single" w:sz="4" w:space="0" w:color="auto"/>
              <w:bottom w:val="single" w:sz="4" w:space="0" w:color="auto"/>
              <w:right w:val="single" w:sz="4" w:space="0" w:color="auto"/>
            </w:tcBorders>
            <w:vAlign w:val="center"/>
            <w:hideMark/>
          </w:tcPr>
          <w:p w:rsidR="00EF0409" w:rsidRPr="00EF0409" w:rsidRDefault="00EF0409" w:rsidP="00EF0409">
            <w:pPr>
              <w:spacing w:after="0" w:line="240" w:lineRule="auto"/>
              <w:rPr>
                <w:rFonts w:ascii="Times New Roman" w:eastAsia="Times New Roman" w:hAnsi="Times New Roman" w:cs="Times New Roman"/>
                <w:b/>
                <w:bCs/>
                <w:color w:val="000000"/>
                <w:lang w:eastAsia="ru-RU"/>
              </w:rPr>
            </w:pPr>
          </w:p>
        </w:tc>
        <w:tc>
          <w:tcPr>
            <w:tcW w:w="1180" w:type="dxa"/>
            <w:tcBorders>
              <w:top w:val="nil"/>
              <w:left w:val="nil"/>
              <w:bottom w:val="single" w:sz="4" w:space="0" w:color="auto"/>
              <w:right w:val="single" w:sz="4" w:space="0" w:color="auto"/>
            </w:tcBorders>
            <w:shd w:val="clear" w:color="auto" w:fill="auto"/>
            <w:vAlign w:val="center"/>
            <w:hideMark/>
          </w:tcPr>
          <w:p w:rsidR="00EF0409" w:rsidRPr="00EF0409" w:rsidRDefault="00EF0409" w:rsidP="00EF0409">
            <w:pPr>
              <w:spacing w:after="0" w:line="240" w:lineRule="auto"/>
              <w:jc w:val="center"/>
              <w:rPr>
                <w:rFonts w:ascii="Times New Roman" w:eastAsia="Times New Roman" w:hAnsi="Times New Roman" w:cs="Times New Roman"/>
                <w:b/>
                <w:bCs/>
                <w:color w:val="000000"/>
                <w:lang w:eastAsia="ru-RU"/>
              </w:rPr>
            </w:pPr>
            <w:r w:rsidRPr="00EF0409">
              <w:rPr>
                <w:rFonts w:ascii="Times New Roman" w:eastAsia="Times New Roman" w:hAnsi="Times New Roman" w:cs="Times New Roman"/>
                <w:b/>
                <w:bCs/>
                <w:color w:val="000000"/>
                <w:lang w:eastAsia="ru-RU"/>
              </w:rPr>
              <w:t>ЮЛ, филиалы, ТОСП</w:t>
            </w:r>
          </w:p>
        </w:tc>
        <w:tc>
          <w:tcPr>
            <w:tcW w:w="692"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b/>
                <w:bCs/>
                <w:color w:val="000000"/>
                <w:lang w:eastAsia="ru-RU"/>
              </w:rPr>
            </w:pPr>
            <w:r w:rsidRPr="00EF0409">
              <w:rPr>
                <w:rFonts w:ascii="Times New Roman" w:eastAsia="Times New Roman" w:hAnsi="Times New Roman" w:cs="Times New Roman"/>
                <w:b/>
                <w:bCs/>
                <w:color w:val="000000"/>
                <w:lang w:eastAsia="ru-RU"/>
              </w:rPr>
              <w:t>ИП</w:t>
            </w:r>
          </w:p>
        </w:tc>
        <w:tc>
          <w:tcPr>
            <w:tcW w:w="1180" w:type="dxa"/>
            <w:tcBorders>
              <w:top w:val="nil"/>
              <w:left w:val="nil"/>
              <w:bottom w:val="single" w:sz="4" w:space="0" w:color="auto"/>
              <w:right w:val="single" w:sz="4" w:space="0" w:color="auto"/>
            </w:tcBorders>
            <w:shd w:val="clear" w:color="auto" w:fill="auto"/>
            <w:vAlign w:val="center"/>
            <w:hideMark/>
          </w:tcPr>
          <w:p w:rsidR="00EF0409" w:rsidRPr="00EF0409" w:rsidRDefault="00EF0409" w:rsidP="00EF0409">
            <w:pPr>
              <w:spacing w:after="0" w:line="240" w:lineRule="auto"/>
              <w:jc w:val="center"/>
              <w:rPr>
                <w:rFonts w:ascii="Times New Roman" w:eastAsia="Times New Roman" w:hAnsi="Times New Roman" w:cs="Times New Roman"/>
                <w:b/>
                <w:bCs/>
                <w:color w:val="000000"/>
                <w:lang w:eastAsia="ru-RU"/>
              </w:rPr>
            </w:pPr>
            <w:r w:rsidRPr="00EF0409">
              <w:rPr>
                <w:rFonts w:ascii="Times New Roman" w:eastAsia="Times New Roman" w:hAnsi="Times New Roman" w:cs="Times New Roman"/>
                <w:b/>
                <w:bCs/>
                <w:color w:val="000000"/>
                <w:lang w:eastAsia="ru-RU"/>
              </w:rPr>
              <w:t>ЮЛ, филиалы, ТОСП</w:t>
            </w:r>
          </w:p>
        </w:tc>
        <w:tc>
          <w:tcPr>
            <w:tcW w:w="665"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b/>
                <w:bCs/>
                <w:color w:val="000000"/>
                <w:lang w:eastAsia="ru-RU"/>
              </w:rPr>
            </w:pPr>
            <w:r w:rsidRPr="00EF0409">
              <w:rPr>
                <w:rFonts w:ascii="Times New Roman" w:eastAsia="Times New Roman" w:hAnsi="Times New Roman" w:cs="Times New Roman"/>
                <w:b/>
                <w:bCs/>
                <w:color w:val="000000"/>
                <w:lang w:eastAsia="ru-RU"/>
              </w:rPr>
              <w:t>ИП</w:t>
            </w:r>
          </w:p>
        </w:tc>
      </w:tr>
      <w:tr w:rsidR="00EF0409" w:rsidRPr="00EF0409" w:rsidTr="00EF0409">
        <w:trPr>
          <w:trHeight w:val="280"/>
        </w:trPr>
        <w:tc>
          <w:tcPr>
            <w:tcW w:w="6336" w:type="dxa"/>
            <w:tcBorders>
              <w:top w:val="nil"/>
              <w:left w:val="single" w:sz="4" w:space="0" w:color="auto"/>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rPr>
                <w:rFonts w:ascii="Times New Roman" w:eastAsia="Times New Roman" w:hAnsi="Times New Roman" w:cs="Times New Roman"/>
                <w:b/>
                <w:bCs/>
                <w:color w:val="000000"/>
                <w:lang w:eastAsia="ru-RU"/>
              </w:rPr>
            </w:pPr>
            <w:r w:rsidRPr="00EF0409">
              <w:rPr>
                <w:rFonts w:ascii="Times New Roman" w:eastAsia="Times New Roman" w:hAnsi="Times New Roman" w:cs="Times New Roman"/>
                <w:b/>
                <w:bCs/>
                <w:color w:val="000000"/>
                <w:lang w:eastAsia="ru-RU"/>
              </w:rPr>
              <w:t>ВСЕГО</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b/>
                <w:bCs/>
                <w:color w:val="000000"/>
                <w:lang w:eastAsia="ru-RU"/>
              </w:rPr>
            </w:pPr>
            <w:r w:rsidRPr="00EF0409">
              <w:rPr>
                <w:rFonts w:ascii="Times New Roman" w:eastAsia="Times New Roman" w:hAnsi="Times New Roman" w:cs="Times New Roman"/>
                <w:b/>
                <w:bCs/>
                <w:color w:val="000000"/>
                <w:lang w:eastAsia="ru-RU"/>
              </w:rPr>
              <w:t>671</w:t>
            </w:r>
          </w:p>
        </w:tc>
        <w:tc>
          <w:tcPr>
            <w:tcW w:w="692"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b/>
                <w:bCs/>
                <w:color w:val="000000"/>
                <w:lang w:eastAsia="ru-RU"/>
              </w:rPr>
            </w:pPr>
            <w:r w:rsidRPr="00EF0409">
              <w:rPr>
                <w:rFonts w:ascii="Times New Roman" w:eastAsia="Times New Roman" w:hAnsi="Times New Roman" w:cs="Times New Roman"/>
                <w:b/>
                <w:bCs/>
                <w:color w:val="000000"/>
                <w:lang w:eastAsia="ru-RU"/>
              </w:rPr>
              <w:t>108</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b/>
                <w:bCs/>
                <w:color w:val="000000"/>
                <w:lang w:eastAsia="ru-RU"/>
              </w:rPr>
            </w:pPr>
            <w:r w:rsidRPr="00EF0409">
              <w:rPr>
                <w:rFonts w:ascii="Times New Roman" w:eastAsia="Times New Roman" w:hAnsi="Times New Roman" w:cs="Times New Roman"/>
                <w:b/>
                <w:bCs/>
                <w:color w:val="000000"/>
                <w:lang w:eastAsia="ru-RU"/>
              </w:rPr>
              <w:t>639</w:t>
            </w:r>
          </w:p>
        </w:tc>
        <w:tc>
          <w:tcPr>
            <w:tcW w:w="665"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b/>
                <w:bCs/>
                <w:color w:val="000000"/>
                <w:lang w:eastAsia="ru-RU"/>
              </w:rPr>
            </w:pPr>
            <w:r w:rsidRPr="00EF0409">
              <w:rPr>
                <w:rFonts w:ascii="Times New Roman" w:eastAsia="Times New Roman" w:hAnsi="Times New Roman" w:cs="Times New Roman"/>
                <w:b/>
                <w:bCs/>
                <w:color w:val="000000"/>
                <w:lang w:eastAsia="ru-RU"/>
              </w:rPr>
              <w:t>112</w:t>
            </w:r>
          </w:p>
        </w:tc>
      </w:tr>
      <w:tr w:rsidR="00EF0409" w:rsidRPr="00EF0409" w:rsidTr="00EF0409">
        <w:trPr>
          <w:trHeight w:val="579"/>
        </w:trPr>
        <w:tc>
          <w:tcPr>
            <w:tcW w:w="6336" w:type="dxa"/>
            <w:tcBorders>
              <w:top w:val="nil"/>
              <w:left w:val="single" w:sz="4" w:space="0" w:color="auto"/>
              <w:bottom w:val="single" w:sz="4" w:space="0" w:color="auto"/>
              <w:right w:val="single" w:sz="4" w:space="0" w:color="auto"/>
            </w:tcBorders>
            <w:shd w:val="clear" w:color="auto" w:fill="auto"/>
            <w:vAlign w:val="center"/>
            <w:hideMark/>
          </w:tcPr>
          <w:p w:rsidR="00EF0409" w:rsidRPr="00EF0409" w:rsidRDefault="00EF0409" w:rsidP="00EF0409">
            <w:pPr>
              <w:spacing w:after="0" w:line="240" w:lineRule="auto"/>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Передача электроэнергии и технологическое присоединение к распределительным электросетям</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13</w:t>
            </w:r>
          </w:p>
        </w:tc>
        <w:tc>
          <w:tcPr>
            <w:tcW w:w="692"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3</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14</w:t>
            </w:r>
          </w:p>
        </w:tc>
        <w:tc>
          <w:tcPr>
            <w:tcW w:w="665"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4</w:t>
            </w:r>
          </w:p>
        </w:tc>
      </w:tr>
      <w:tr w:rsidR="00EF0409" w:rsidRPr="00EF0409" w:rsidTr="00EF0409">
        <w:trPr>
          <w:trHeight w:val="280"/>
        </w:trPr>
        <w:tc>
          <w:tcPr>
            <w:tcW w:w="6336" w:type="dxa"/>
            <w:tcBorders>
              <w:top w:val="nil"/>
              <w:left w:val="single" w:sz="4" w:space="0" w:color="auto"/>
              <w:bottom w:val="single" w:sz="4" w:space="0" w:color="auto"/>
              <w:right w:val="single" w:sz="4" w:space="0" w:color="auto"/>
            </w:tcBorders>
            <w:shd w:val="clear" w:color="auto" w:fill="auto"/>
            <w:vAlign w:val="center"/>
            <w:hideMark/>
          </w:tcPr>
          <w:p w:rsidR="00EF0409" w:rsidRPr="00EF0409" w:rsidRDefault="00EF0409" w:rsidP="00EF0409">
            <w:pPr>
              <w:spacing w:after="0" w:line="240" w:lineRule="auto"/>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Передача электроэнергии</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81</w:t>
            </w:r>
          </w:p>
        </w:tc>
        <w:tc>
          <w:tcPr>
            <w:tcW w:w="692"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0</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77</w:t>
            </w:r>
          </w:p>
        </w:tc>
        <w:tc>
          <w:tcPr>
            <w:tcW w:w="665"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0</w:t>
            </w:r>
          </w:p>
        </w:tc>
      </w:tr>
      <w:tr w:rsidR="00EF0409" w:rsidRPr="00EF0409" w:rsidTr="00EF0409">
        <w:trPr>
          <w:trHeight w:val="280"/>
        </w:trPr>
        <w:tc>
          <w:tcPr>
            <w:tcW w:w="6336" w:type="dxa"/>
            <w:tcBorders>
              <w:top w:val="nil"/>
              <w:left w:val="single" w:sz="4" w:space="0" w:color="auto"/>
              <w:bottom w:val="single" w:sz="4" w:space="0" w:color="auto"/>
              <w:right w:val="single" w:sz="4" w:space="0" w:color="auto"/>
            </w:tcBorders>
            <w:shd w:val="clear" w:color="auto" w:fill="auto"/>
            <w:vAlign w:val="center"/>
            <w:hideMark/>
          </w:tcPr>
          <w:p w:rsidR="00EF0409" w:rsidRPr="00EF0409" w:rsidRDefault="00EF0409" w:rsidP="00EF0409">
            <w:pPr>
              <w:spacing w:after="0" w:line="240" w:lineRule="auto"/>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Технологическое присоединение к распределительным электросетям</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2</w:t>
            </w:r>
          </w:p>
        </w:tc>
        <w:tc>
          <w:tcPr>
            <w:tcW w:w="692"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3</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2</w:t>
            </w:r>
          </w:p>
        </w:tc>
        <w:tc>
          <w:tcPr>
            <w:tcW w:w="665"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2</w:t>
            </w:r>
          </w:p>
        </w:tc>
      </w:tr>
      <w:tr w:rsidR="00EF0409" w:rsidRPr="00EF0409" w:rsidTr="00EF0409">
        <w:trPr>
          <w:trHeight w:val="280"/>
        </w:trPr>
        <w:tc>
          <w:tcPr>
            <w:tcW w:w="6336" w:type="dxa"/>
            <w:tcBorders>
              <w:top w:val="nil"/>
              <w:left w:val="single" w:sz="4" w:space="0" w:color="auto"/>
              <w:bottom w:val="single" w:sz="4" w:space="0" w:color="auto"/>
              <w:right w:val="single" w:sz="4" w:space="0" w:color="auto"/>
            </w:tcBorders>
            <w:shd w:val="clear" w:color="auto" w:fill="auto"/>
            <w:vAlign w:val="center"/>
            <w:hideMark/>
          </w:tcPr>
          <w:p w:rsidR="00EF0409" w:rsidRPr="00EF0409" w:rsidRDefault="00EF0409" w:rsidP="00EF0409">
            <w:pPr>
              <w:spacing w:after="0" w:line="240" w:lineRule="auto"/>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Распределение электроэнергии</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11</w:t>
            </w:r>
          </w:p>
        </w:tc>
        <w:tc>
          <w:tcPr>
            <w:tcW w:w="692"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4</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12</w:t>
            </w:r>
          </w:p>
        </w:tc>
        <w:tc>
          <w:tcPr>
            <w:tcW w:w="665"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5</w:t>
            </w:r>
          </w:p>
        </w:tc>
      </w:tr>
      <w:tr w:rsidR="00EF0409" w:rsidRPr="00EF0409" w:rsidTr="00EF0409">
        <w:trPr>
          <w:trHeight w:val="280"/>
        </w:trPr>
        <w:tc>
          <w:tcPr>
            <w:tcW w:w="6336" w:type="dxa"/>
            <w:tcBorders>
              <w:top w:val="nil"/>
              <w:left w:val="single" w:sz="4" w:space="0" w:color="auto"/>
              <w:bottom w:val="single" w:sz="4" w:space="0" w:color="auto"/>
              <w:right w:val="single" w:sz="4" w:space="0" w:color="auto"/>
            </w:tcBorders>
            <w:shd w:val="clear" w:color="auto" w:fill="auto"/>
            <w:vAlign w:val="center"/>
            <w:hideMark/>
          </w:tcPr>
          <w:p w:rsidR="00EF0409" w:rsidRPr="00EF0409" w:rsidRDefault="00EF0409" w:rsidP="00EF0409">
            <w:pPr>
              <w:spacing w:after="0" w:line="240" w:lineRule="auto"/>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Торговля электроэнергией</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41</w:t>
            </w:r>
          </w:p>
        </w:tc>
        <w:tc>
          <w:tcPr>
            <w:tcW w:w="692"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0</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38</w:t>
            </w:r>
          </w:p>
        </w:tc>
        <w:tc>
          <w:tcPr>
            <w:tcW w:w="665"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0</w:t>
            </w:r>
          </w:p>
        </w:tc>
      </w:tr>
      <w:tr w:rsidR="00EF0409" w:rsidRPr="00EF0409" w:rsidTr="00EF0409">
        <w:trPr>
          <w:trHeight w:val="280"/>
        </w:trPr>
        <w:tc>
          <w:tcPr>
            <w:tcW w:w="6336" w:type="dxa"/>
            <w:tcBorders>
              <w:top w:val="nil"/>
              <w:left w:val="single" w:sz="4" w:space="0" w:color="auto"/>
              <w:bottom w:val="single" w:sz="4" w:space="0" w:color="auto"/>
              <w:right w:val="single" w:sz="4" w:space="0" w:color="auto"/>
            </w:tcBorders>
            <w:shd w:val="clear" w:color="auto" w:fill="auto"/>
            <w:vAlign w:val="center"/>
            <w:hideMark/>
          </w:tcPr>
          <w:p w:rsidR="00EF0409" w:rsidRPr="00EF0409" w:rsidRDefault="00EF0409" w:rsidP="00EF0409">
            <w:pPr>
              <w:spacing w:after="0" w:line="240" w:lineRule="auto"/>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Распределение газообразного топлива по газораспределительным сетям</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22</w:t>
            </w:r>
          </w:p>
        </w:tc>
        <w:tc>
          <w:tcPr>
            <w:tcW w:w="692"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0</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21</w:t>
            </w:r>
          </w:p>
        </w:tc>
        <w:tc>
          <w:tcPr>
            <w:tcW w:w="665"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0</w:t>
            </w:r>
          </w:p>
        </w:tc>
      </w:tr>
      <w:tr w:rsidR="00EF0409" w:rsidRPr="00EF0409" w:rsidTr="00EF0409">
        <w:trPr>
          <w:trHeight w:val="561"/>
        </w:trPr>
        <w:tc>
          <w:tcPr>
            <w:tcW w:w="6336" w:type="dxa"/>
            <w:tcBorders>
              <w:top w:val="nil"/>
              <w:left w:val="single" w:sz="4" w:space="0" w:color="auto"/>
              <w:bottom w:val="single" w:sz="4" w:space="0" w:color="auto"/>
              <w:right w:val="single" w:sz="4" w:space="0" w:color="auto"/>
            </w:tcBorders>
            <w:shd w:val="clear" w:color="auto" w:fill="auto"/>
            <w:vAlign w:val="center"/>
            <w:hideMark/>
          </w:tcPr>
          <w:p w:rsidR="00EF0409" w:rsidRPr="00EF0409" w:rsidRDefault="00EF0409" w:rsidP="00EF0409">
            <w:pPr>
              <w:spacing w:after="0" w:line="240" w:lineRule="auto"/>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Распределение природного, сухого (отбензиненного) газа по газораспределительным сетям по тарифам, регулируемым государством</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37</w:t>
            </w:r>
          </w:p>
        </w:tc>
        <w:tc>
          <w:tcPr>
            <w:tcW w:w="692"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0</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37</w:t>
            </w:r>
          </w:p>
        </w:tc>
        <w:tc>
          <w:tcPr>
            <w:tcW w:w="665"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0</w:t>
            </w:r>
          </w:p>
        </w:tc>
      </w:tr>
      <w:tr w:rsidR="00EF0409" w:rsidRPr="00EF0409" w:rsidTr="00EF0409">
        <w:trPr>
          <w:trHeight w:val="561"/>
        </w:trPr>
        <w:tc>
          <w:tcPr>
            <w:tcW w:w="6336" w:type="dxa"/>
            <w:tcBorders>
              <w:top w:val="nil"/>
              <w:left w:val="single" w:sz="4" w:space="0" w:color="auto"/>
              <w:bottom w:val="single" w:sz="4" w:space="0" w:color="auto"/>
              <w:right w:val="single" w:sz="4" w:space="0" w:color="auto"/>
            </w:tcBorders>
            <w:shd w:val="clear" w:color="auto" w:fill="auto"/>
            <w:vAlign w:val="center"/>
            <w:hideMark/>
          </w:tcPr>
          <w:p w:rsidR="00EF0409" w:rsidRPr="00EF0409" w:rsidRDefault="00EF0409" w:rsidP="00EF0409">
            <w:pPr>
              <w:spacing w:after="0" w:line="240" w:lineRule="auto"/>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Распределение сжиженных углеводородных газов по газораспределительным сетям по тарифам, регулируемым государством</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1</w:t>
            </w:r>
          </w:p>
        </w:tc>
        <w:tc>
          <w:tcPr>
            <w:tcW w:w="692"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0</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1</w:t>
            </w:r>
          </w:p>
        </w:tc>
        <w:tc>
          <w:tcPr>
            <w:tcW w:w="665"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0</w:t>
            </w:r>
          </w:p>
        </w:tc>
      </w:tr>
      <w:tr w:rsidR="00EF0409" w:rsidRPr="00EF0409" w:rsidTr="00EF0409">
        <w:trPr>
          <w:trHeight w:val="280"/>
        </w:trPr>
        <w:tc>
          <w:tcPr>
            <w:tcW w:w="6336" w:type="dxa"/>
            <w:tcBorders>
              <w:top w:val="nil"/>
              <w:left w:val="single" w:sz="4" w:space="0" w:color="auto"/>
              <w:bottom w:val="single" w:sz="4" w:space="0" w:color="auto"/>
              <w:right w:val="single" w:sz="4" w:space="0" w:color="auto"/>
            </w:tcBorders>
            <w:shd w:val="clear" w:color="auto" w:fill="auto"/>
            <w:vAlign w:val="center"/>
            <w:hideMark/>
          </w:tcPr>
          <w:p w:rsidR="00EF0409" w:rsidRPr="00EF0409" w:rsidRDefault="00EF0409" w:rsidP="00EF0409">
            <w:pPr>
              <w:spacing w:after="0" w:line="240" w:lineRule="auto"/>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Торговля газообразным топливом, подаваемым по распределительным сетям</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2</w:t>
            </w:r>
          </w:p>
        </w:tc>
        <w:tc>
          <w:tcPr>
            <w:tcW w:w="692"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0</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2</w:t>
            </w:r>
          </w:p>
        </w:tc>
        <w:tc>
          <w:tcPr>
            <w:tcW w:w="665"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0</w:t>
            </w:r>
          </w:p>
        </w:tc>
      </w:tr>
      <w:tr w:rsidR="00EF0409" w:rsidRPr="00EF0409" w:rsidTr="00EF0409">
        <w:trPr>
          <w:trHeight w:val="280"/>
        </w:trPr>
        <w:tc>
          <w:tcPr>
            <w:tcW w:w="6336" w:type="dxa"/>
            <w:tcBorders>
              <w:top w:val="nil"/>
              <w:left w:val="single" w:sz="4" w:space="0" w:color="auto"/>
              <w:bottom w:val="single" w:sz="4" w:space="0" w:color="auto"/>
              <w:right w:val="single" w:sz="4" w:space="0" w:color="auto"/>
            </w:tcBorders>
            <w:shd w:val="clear" w:color="auto" w:fill="auto"/>
            <w:vAlign w:val="center"/>
            <w:hideMark/>
          </w:tcPr>
          <w:p w:rsidR="00EF0409" w:rsidRPr="00EF0409" w:rsidRDefault="00EF0409" w:rsidP="00EF0409">
            <w:pPr>
              <w:spacing w:after="0" w:line="240" w:lineRule="auto"/>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Производство пара и горячей воды (тепловой энергии) котельными</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151</w:t>
            </w:r>
          </w:p>
        </w:tc>
        <w:tc>
          <w:tcPr>
            <w:tcW w:w="692"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0</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130</w:t>
            </w:r>
          </w:p>
        </w:tc>
        <w:tc>
          <w:tcPr>
            <w:tcW w:w="665"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0</w:t>
            </w:r>
          </w:p>
        </w:tc>
      </w:tr>
      <w:tr w:rsidR="00EF0409" w:rsidRPr="00EF0409" w:rsidTr="00EF0409">
        <w:trPr>
          <w:trHeight w:val="280"/>
        </w:trPr>
        <w:tc>
          <w:tcPr>
            <w:tcW w:w="6336" w:type="dxa"/>
            <w:tcBorders>
              <w:top w:val="nil"/>
              <w:left w:val="single" w:sz="4" w:space="0" w:color="auto"/>
              <w:bottom w:val="single" w:sz="4" w:space="0" w:color="auto"/>
              <w:right w:val="single" w:sz="4" w:space="0" w:color="auto"/>
            </w:tcBorders>
            <w:shd w:val="clear" w:color="auto" w:fill="auto"/>
            <w:vAlign w:val="center"/>
            <w:hideMark/>
          </w:tcPr>
          <w:p w:rsidR="00EF0409" w:rsidRPr="00EF0409" w:rsidRDefault="00EF0409" w:rsidP="00EF0409">
            <w:pPr>
              <w:spacing w:after="0" w:line="240" w:lineRule="auto"/>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Передача пара и горячей воды (тепловой энергии)</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5</w:t>
            </w:r>
          </w:p>
        </w:tc>
        <w:tc>
          <w:tcPr>
            <w:tcW w:w="692"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0</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6</w:t>
            </w:r>
          </w:p>
        </w:tc>
        <w:tc>
          <w:tcPr>
            <w:tcW w:w="665"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0</w:t>
            </w:r>
          </w:p>
        </w:tc>
      </w:tr>
      <w:tr w:rsidR="00EF0409" w:rsidRPr="00EF0409" w:rsidTr="00EF0409">
        <w:trPr>
          <w:trHeight w:val="280"/>
        </w:trPr>
        <w:tc>
          <w:tcPr>
            <w:tcW w:w="6336" w:type="dxa"/>
            <w:tcBorders>
              <w:top w:val="nil"/>
              <w:left w:val="single" w:sz="4" w:space="0" w:color="auto"/>
              <w:bottom w:val="single" w:sz="4" w:space="0" w:color="auto"/>
              <w:right w:val="single" w:sz="4" w:space="0" w:color="auto"/>
            </w:tcBorders>
            <w:shd w:val="clear" w:color="auto" w:fill="auto"/>
            <w:vAlign w:val="center"/>
            <w:hideMark/>
          </w:tcPr>
          <w:p w:rsidR="00EF0409" w:rsidRPr="00EF0409" w:rsidRDefault="00EF0409" w:rsidP="00EF0409">
            <w:pPr>
              <w:spacing w:after="0" w:line="240" w:lineRule="auto"/>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Распределение пара и горячей воды (тепловой энергии)</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8</w:t>
            </w:r>
          </w:p>
        </w:tc>
        <w:tc>
          <w:tcPr>
            <w:tcW w:w="692"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0</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4</w:t>
            </w:r>
          </w:p>
        </w:tc>
        <w:tc>
          <w:tcPr>
            <w:tcW w:w="665"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0</w:t>
            </w:r>
          </w:p>
        </w:tc>
      </w:tr>
      <w:tr w:rsidR="00EF0409" w:rsidRPr="00EF0409" w:rsidTr="00EF0409">
        <w:trPr>
          <w:trHeight w:val="280"/>
        </w:trPr>
        <w:tc>
          <w:tcPr>
            <w:tcW w:w="6336" w:type="dxa"/>
            <w:tcBorders>
              <w:top w:val="nil"/>
              <w:left w:val="single" w:sz="4" w:space="0" w:color="auto"/>
              <w:bottom w:val="single" w:sz="4" w:space="0" w:color="auto"/>
              <w:right w:val="single" w:sz="4" w:space="0" w:color="auto"/>
            </w:tcBorders>
            <w:shd w:val="clear" w:color="auto" w:fill="auto"/>
            <w:vAlign w:val="center"/>
            <w:hideMark/>
          </w:tcPr>
          <w:p w:rsidR="00EF0409" w:rsidRPr="00EF0409" w:rsidRDefault="00EF0409" w:rsidP="00EF0409">
            <w:pPr>
              <w:spacing w:after="0" w:line="240" w:lineRule="auto"/>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Обеспечение работоспособности котельных</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17</w:t>
            </w:r>
          </w:p>
        </w:tc>
        <w:tc>
          <w:tcPr>
            <w:tcW w:w="692"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10</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19</w:t>
            </w:r>
          </w:p>
        </w:tc>
        <w:tc>
          <w:tcPr>
            <w:tcW w:w="665"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10</w:t>
            </w:r>
          </w:p>
        </w:tc>
      </w:tr>
      <w:tr w:rsidR="00EF0409" w:rsidRPr="00EF0409" w:rsidTr="00EF0409">
        <w:trPr>
          <w:trHeight w:val="280"/>
        </w:trPr>
        <w:tc>
          <w:tcPr>
            <w:tcW w:w="6336" w:type="dxa"/>
            <w:tcBorders>
              <w:top w:val="nil"/>
              <w:left w:val="single" w:sz="4" w:space="0" w:color="auto"/>
              <w:bottom w:val="single" w:sz="4" w:space="0" w:color="auto"/>
              <w:right w:val="single" w:sz="4" w:space="0" w:color="auto"/>
            </w:tcBorders>
            <w:shd w:val="clear" w:color="auto" w:fill="auto"/>
            <w:vAlign w:val="center"/>
            <w:hideMark/>
          </w:tcPr>
          <w:p w:rsidR="00EF0409" w:rsidRPr="00EF0409" w:rsidRDefault="00EF0409" w:rsidP="00EF0409">
            <w:pPr>
              <w:spacing w:after="0" w:line="240" w:lineRule="auto"/>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Обеспечение работоспособности тепловых сетей</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9</w:t>
            </w:r>
          </w:p>
        </w:tc>
        <w:tc>
          <w:tcPr>
            <w:tcW w:w="692"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10</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8</w:t>
            </w:r>
          </w:p>
        </w:tc>
        <w:tc>
          <w:tcPr>
            <w:tcW w:w="665"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8</w:t>
            </w:r>
          </w:p>
        </w:tc>
      </w:tr>
      <w:tr w:rsidR="00EF0409" w:rsidRPr="00EF0409" w:rsidTr="00EF0409">
        <w:trPr>
          <w:trHeight w:val="280"/>
        </w:trPr>
        <w:tc>
          <w:tcPr>
            <w:tcW w:w="6336" w:type="dxa"/>
            <w:tcBorders>
              <w:top w:val="nil"/>
              <w:left w:val="single" w:sz="4" w:space="0" w:color="auto"/>
              <w:bottom w:val="single" w:sz="4" w:space="0" w:color="auto"/>
              <w:right w:val="single" w:sz="4" w:space="0" w:color="auto"/>
            </w:tcBorders>
            <w:shd w:val="clear" w:color="auto" w:fill="auto"/>
            <w:vAlign w:val="center"/>
            <w:hideMark/>
          </w:tcPr>
          <w:p w:rsidR="00EF0409" w:rsidRPr="00EF0409" w:rsidRDefault="00EF0409" w:rsidP="00EF0409">
            <w:pPr>
              <w:spacing w:after="0" w:line="240" w:lineRule="auto"/>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Забор, очистка и распределение воды</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35</w:t>
            </w:r>
          </w:p>
        </w:tc>
        <w:tc>
          <w:tcPr>
            <w:tcW w:w="692"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7</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35</w:t>
            </w:r>
          </w:p>
        </w:tc>
        <w:tc>
          <w:tcPr>
            <w:tcW w:w="665"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7</w:t>
            </w:r>
          </w:p>
        </w:tc>
      </w:tr>
      <w:tr w:rsidR="00EF0409" w:rsidRPr="00EF0409" w:rsidTr="00EF0409">
        <w:trPr>
          <w:trHeight w:val="280"/>
        </w:trPr>
        <w:tc>
          <w:tcPr>
            <w:tcW w:w="6336" w:type="dxa"/>
            <w:tcBorders>
              <w:top w:val="nil"/>
              <w:left w:val="single" w:sz="4" w:space="0" w:color="auto"/>
              <w:bottom w:val="single" w:sz="4" w:space="0" w:color="auto"/>
              <w:right w:val="single" w:sz="4" w:space="0" w:color="auto"/>
            </w:tcBorders>
            <w:shd w:val="clear" w:color="auto" w:fill="auto"/>
            <w:vAlign w:val="center"/>
            <w:hideMark/>
          </w:tcPr>
          <w:p w:rsidR="00EF0409" w:rsidRPr="00EF0409" w:rsidRDefault="00EF0409" w:rsidP="00EF0409">
            <w:pPr>
              <w:spacing w:after="0" w:line="240" w:lineRule="auto"/>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Забор и очистка воды для питьевых и промышленных нужд</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42</w:t>
            </w:r>
          </w:p>
        </w:tc>
        <w:tc>
          <w:tcPr>
            <w:tcW w:w="692"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0</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44</w:t>
            </w:r>
          </w:p>
        </w:tc>
        <w:tc>
          <w:tcPr>
            <w:tcW w:w="665"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1</w:t>
            </w:r>
          </w:p>
        </w:tc>
      </w:tr>
      <w:tr w:rsidR="00EF0409" w:rsidRPr="00EF0409" w:rsidTr="00EF0409">
        <w:trPr>
          <w:trHeight w:val="280"/>
        </w:trPr>
        <w:tc>
          <w:tcPr>
            <w:tcW w:w="6336" w:type="dxa"/>
            <w:tcBorders>
              <w:top w:val="nil"/>
              <w:left w:val="single" w:sz="4" w:space="0" w:color="auto"/>
              <w:bottom w:val="single" w:sz="4" w:space="0" w:color="auto"/>
              <w:right w:val="single" w:sz="4" w:space="0" w:color="auto"/>
            </w:tcBorders>
            <w:shd w:val="clear" w:color="auto" w:fill="auto"/>
            <w:vAlign w:val="center"/>
            <w:hideMark/>
          </w:tcPr>
          <w:p w:rsidR="00EF0409" w:rsidRPr="00EF0409" w:rsidRDefault="00EF0409" w:rsidP="00EF0409">
            <w:pPr>
              <w:spacing w:after="0" w:line="240" w:lineRule="auto"/>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Распределение воды для питьевых и промышленных нужд</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37</w:t>
            </w:r>
          </w:p>
        </w:tc>
        <w:tc>
          <w:tcPr>
            <w:tcW w:w="692"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0</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31</w:t>
            </w:r>
          </w:p>
        </w:tc>
        <w:tc>
          <w:tcPr>
            <w:tcW w:w="665"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0</w:t>
            </w:r>
          </w:p>
        </w:tc>
      </w:tr>
      <w:tr w:rsidR="00EF0409" w:rsidRPr="00EF0409" w:rsidTr="00EF0409">
        <w:trPr>
          <w:trHeight w:val="280"/>
        </w:trPr>
        <w:tc>
          <w:tcPr>
            <w:tcW w:w="6336" w:type="dxa"/>
            <w:tcBorders>
              <w:top w:val="nil"/>
              <w:left w:val="single" w:sz="4" w:space="0" w:color="auto"/>
              <w:bottom w:val="single" w:sz="4" w:space="0" w:color="auto"/>
              <w:right w:val="single" w:sz="4" w:space="0" w:color="auto"/>
            </w:tcBorders>
            <w:shd w:val="clear" w:color="auto" w:fill="auto"/>
            <w:vAlign w:val="center"/>
            <w:hideMark/>
          </w:tcPr>
          <w:p w:rsidR="00EF0409" w:rsidRPr="00EF0409" w:rsidRDefault="00EF0409" w:rsidP="00EF0409">
            <w:pPr>
              <w:spacing w:after="0" w:line="240" w:lineRule="auto"/>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Сбор и обработка сточных вод</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52</w:t>
            </w:r>
          </w:p>
        </w:tc>
        <w:tc>
          <w:tcPr>
            <w:tcW w:w="692"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28</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54</w:t>
            </w:r>
          </w:p>
        </w:tc>
        <w:tc>
          <w:tcPr>
            <w:tcW w:w="665"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32</w:t>
            </w:r>
          </w:p>
        </w:tc>
      </w:tr>
      <w:tr w:rsidR="00EF0409" w:rsidRPr="00EF0409" w:rsidTr="00EF0409">
        <w:trPr>
          <w:trHeight w:val="280"/>
        </w:trPr>
        <w:tc>
          <w:tcPr>
            <w:tcW w:w="6336" w:type="dxa"/>
            <w:tcBorders>
              <w:top w:val="nil"/>
              <w:left w:val="single" w:sz="4" w:space="0" w:color="auto"/>
              <w:bottom w:val="single" w:sz="4" w:space="0" w:color="auto"/>
              <w:right w:val="single" w:sz="4" w:space="0" w:color="auto"/>
            </w:tcBorders>
            <w:shd w:val="clear" w:color="auto" w:fill="auto"/>
            <w:vAlign w:val="center"/>
            <w:hideMark/>
          </w:tcPr>
          <w:p w:rsidR="00EF0409" w:rsidRPr="00EF0409" w:rsidRDefault="00EF0409" w:rsidP="00EF0409">
            <w:pPr>
              <w:spacing w:after="0" w:line="240" w:lineRule="auto"/>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Сбор неопасных отходов</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83</w:t>
            </w:r>
          </w:p>
        </w:tc>
        <w:tc>
          <w:tcPr>
            <w:tcW w:w="692"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27</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80</w:t>
            </w:r>
          </w:p>
        </w:tc>
        <w:tc>
          <w:tcPr>
            <w:tcW w:w="665"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25</w:t>
            </w:r>
          </w:p>
        </w:tc>
      </w:tr>
      <w:tr w:rsidR="00EF0409" w:rsidRPr="00EF0409" w:rsidTr="00EF0409">
        <w:trPr>
          <w:trHeight w:val="280"/>
        </w:trPr>
        <w:tc>
          <w:tcPr>
            <w:tcW w:w="6336" w:type="dxa"/>
            <w:tcBorders>
              <w:top w:val="nil"/>
              <w:left w:val="single" w:sz="4" w:space="0" w:color="auto"/>
              <w:bottom w:val="single" w:sz="4" w:space="0" w:color="auto"/>
              <w:right w:val="single" w:sz="4" w:space="0" w:color="auto"/>
            </w:tcBorders>
            <w:shd w:val="clear" w:color="auto" w:fill="auto"/>
            <w:vAlign w:val="center"/>
            <w:hideMark/>
          </w:tcPr>
          <w:p w:rsidR="00EF0409" w:rsidRPr="00EF0409" w:rsidRDefault="00EF0409" w:rsidP="00EF0409">
            <w:pPr>
              <w:spacing w:after="0" w:line="240" w:lineRule="auto"/>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Обработка и утилизация неопасных отходов</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14</w:t>
            </w:r>
          </w:p>
        </w:tc>
        <w:tc>
          <w:tcPr>
            <w:tcW w:w="692"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11</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17</w:t>
            </w:r>
          </w:p>
        </w:tc>
        <w:tc>
          <w:tcPr>
            <w:tcW w:w="665"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15</w:t>
            </w:r>
          </w:p>
        </w:tc>
      </w:tr>
      <w:tr w:rsidR="00EF0409" w:rsidRPr="00EF0409" w:rsidTr="00EF0409">
        <w:trPr>
          <w:trHeight w:val="549"/>
        </w:trPr>
        <w:tc>
          <w:tcPr>
            <w:tcW w:w="6336" w:type="dxa"/>
            <w:tcBorders>
              <w:top w:val="nil"/>
              <w:left w:val="single" w:sz="4" w:space="0" w:color="auto"/>
              <w:bottom w:val="single" w:sz="4" w:space="0" w:color="auto"/>
              <w:right w:val="single" w:sz="4" w:space="0" w:color="auto"/>
            </w:tcBorders>
            <w:shd w:val="clear" w:color="auto" w:fill="auto"/>
            <w:vAlign w:val="center"/>
            <w:hideMark/>
          </w:tcPr>
          <w:p w:rsidR="00EF0409" w:rsidRPr="00EF0409" w:rsidRDefault="00EF0409" w:rsidP="00EF0409">
            <w:pPr>
              <w:spacing w:after="0" w:line="240" w:lineRule="auto"/>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Торговля розничная бытовым жидким котельным топливом, газом в баллонах, углем, древесным топливом, топливным торфом в специализированных магазинах</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8</w:t>
            </w:r>
          </w:p>
        </w:tc>
        <w:tc>
          <w:tcPr>
            <w:tcW w:w="692"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3</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7</w:t>
            </w:r>
          </w:p>
        </w:tc>
        <w:tc>
          <w:tcPr>
            <w:tcW w:w="665"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2</w:t>
            </w:r>
          </w:p>
        </w:tc>
      </w:tr>
      <w:tr w:rsidR="00EF0409" w:rsidRPr="00EF0409" w:rsidTr="00EF0409">
        <w:trPr>
          <w:trHeight w:val="561"/>
        </w:trPr>
        <w:tc>
          <w:tcPr>
            <w:tcW w:w="6336" w:type="dxa"/>
            <w:tcBorders>
              <w:top w:val="nil"/>
              <w:left w:val="single" w:sz="4" w:space="0" w:color="auto"/>
              <w:bottom w:val="single" w:sz="4" w:space="0" w:color="auto"/>
              <w:right w:val="single" w:sz="4" w:space="0" w:color="auto"/>
            </w:tcBorders>
            <w:shd w:val="clear" w:color="auto" w:fill="auto"/>
            <w:vAlign w:val="center"/>
            <w:hideMark/>
          </w:tcPr>
          <w:p w:rsidR="00EF0409" w:rsidRPr="00EF0409" w:rsidRDefault="00EF0409" w:rsidP="00EF0409">
            <w:pPr>
              <w:spacing w:after="0" w:line="240" w:lineRule="auto"/>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Торговля розничная бытовым жидким котельным топливом, углем, древесным топливом, топливным торфом в специализированных магазинах</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0</w:t>
            </w:r>
          </w:p>
        </w:tc>
        <w:tc>
          <w:tcPr>
            <w:tcW w:w="692"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2</w:t>
            </w:r>
          </w:p>
        </w:tc>
        <w:tc>
          <w:tcPr>
            <w:tcW w:w="1180"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0</w:t>
            </w:r>
          </w:p>
        </w:tc>
        <w:tc>
          <w:tcPr>
            <w:tcW w:w="665" w:type="dxa"/>
            <w:tcBorders>
              <w:top w:val="nil"/>
              <w:left w:val="nil"/>
              <w:bottom w:val="single" w:sz="4" w:space="0" w:color="auto"/>
              <w:right w:val="single" w:sz="4" w:space="0" w:color="auto"/>
            </w:tcBorders>
            <w:shd w:val="clear" w:color="auto" w:fill="auto"/>
            <w:noWrap/>
            <w:vAlign w:val="center"/>
            <w:hideMark/>
          </w:tcPr>
          <w:p w:rsidR="00EF0409" w:rsidRPr="00EF0409" w:rsidRDefault="00EF0409" w:rsidP="00EF0409">
            <w:pPr>
              <w:spacing w:after="0" w:line="240" w:lineRule="auto"/>
              <w:jc w:val="center"/>
              <w:rPr>
                <w:rFonts w:ascii="Times New Roman" w:eastAsia="Times New Roman" w:hAnsi="Times New Roman" w:cs="Times New Roman"/>
                <w:color w:val="000000"/>
                <w:lang w:eastAsia="ru-RU"/>
              </w:rPr>
            </w:pPr>
            <w:r w:rsidRPr="00EF0409">
              <w:rPr>
                <w:rFonts w:ascii="Times New Roman" w:eastAsia="Times New Roman" w:hAnsi="Times New Roman" w:cs="Times New Roman"/>
                <w:color w:val="000000"/>
                <w:lang w:eastAsia="ru-RU"/>
              </w:rPr>
              <w:t>1</w:t>
            </w:r>
          </w:p>
        </w:tc>
      </w:tr>
    </w:tbl>
    <w:p w:rsidR="00EF0409" w:rsidRPr="00EF0409" w:rsidRDefault="00EF0409" w:rsidP="00EF0409">
      <w:pPr>
        <w:spacing w:after="0" w:line="360" w:lineRule="auto"/>
        <w:ind w:firstLine="708"/>
        <w:jc w:val="both"/>
        <w:rPr>
          <w:rFonts w:ascii="Times New Roman" w:eastAsia="Times New Roman" w:hAnsi="Times New Roman" w:cs="Times New Roman"/>
          <w:color w:val="000000"/>
          <w:sz w:val="28"/>
          <w:szCs w:val="28"/>
          <w:lang w:eastAsia="ru-RU"/>
        </w:rPr>
      </w:pPr>
    </w:p>
    <w:p w:rsidR="00EF0409" w:rsidRPr="003736FC" w:rsidRDefault="00EF0409" w:rsidP="00EF0409">
      <w:pPr>
        <w:spacing w:after="0" w:line="360" w:lineRule="auto"/>
        <w:ind w:firstLine="708"/>
        <w:jc w:val="both"/>
        <w:rPr>
          <w:rFonts w:ascii="Times New Roman" w:eastAsia="Times New Roman" w:hAnsi="Times New Roman" w:cs="Times New Roman"/>
          <w:color w:val="000000"/>
          <w:sz w:val="24"/>
          <w:szCs w:val="24"/>
          <w:lang w:eastAsia="ru-RU"/>
        </w:rPr>
      </w:pPr>
      <w:r w:rsidRPr="003736FC">
        <w:rPr>
          <w:rFonts w:ascii="Times New Roman" w:eastAsia="Times New Roman" w:hAnsi="Times New Roman" w:cs="Times New Roman"/>
          <w:color w:val="000000"/>
          <w:sz w:val="24"/>
          <w:szCs w:val="24"/>
          <w:lang w:eastAsia="ru-RU"/>
        </w:rPr>
        <w:t>В разрезе организационно-правовых форм организаций, в 2022 г. наибольшее количество хозяйствующих субъектов, учтенных в Статистическом регистре Росстата с фактическим видом деятельности, относящимся к ресурсоснабжению, являются структурными подразделениями обособленных подразделений юридических лиц (283 ед.) Вторая по числу субъектов форма – общества с ограниченной ответственностью (247 ед.)</w:t>
      </w:r>
      <w:r w:rsidR="00F71AD2">
        <w:rPr>
          <w:rFonts w:ascii="Times New Roman" w:eastAsia="Times New Roman" w:hAnsi="Times New Roman" w:cs="Times New Roman"/>
          <w:color w:val="000000"/>
          <w:sz w:val="24"/>
          <w:szCs w:val="24"/>
          <w:lang w:eastAsia="ru-RU"/>
        </w:rPr>
        <w:t>.</w:t>
      </w:r>
      <w:r w:rsidRPr="003736FC">
        <w:rPr>
          <w:rFonts w:ascii="Times New Roman" w:eastAsia="Times New Roman" w:hAnsi="Times New Roman" w:cs="Times New Roman"/>
          <w:color w:val="000000"/>
          <w:sz w:val="24"/>
          <w:szCs w:val="24"/>
          <w:lang w:eastAsia="ru-RU"/>
        </w:rPr>
        <w:t xml:space="preserve"> Замыкают тройку лидеров индивидуальные предприниматели (112 ед.)</w:t>
      </w:r>
    </w:p>
    <w:p w:rsidR="00EF0409" w:rsidRPr="003736FC" w:rsidRDefault="00EF0409" w:rsidP="00EF0409">
      <w:pPr>
        <w:spacing w:after="0" w:line="360" w:lineRule="auto"/>
        <w:ind w:firstLine="708"/>
        <w:jc w:val="both"/>
        <w:rPr>
          <w:rFonts w:ascii="Times New Roman" w:eastAsia="Times New Roman" w:hAnsi="Times New Roman" w:cs="Times New Roman"/>
          <w:color w:val="000000"/>
          <w:sz w:val="24"/>
          <w:szCs w:val="24"/>
          <w:lang w:eastAsia="ru-RU"/>
        </w:rPr>
      </w:pPr>
      <w:r w:rsidRPr="003736FC">
        <w:rPr>
          <w:rFonts w:ascii="Times New Roman" w:eastAsia="Times New Roman" w:hAnsi="Times New Roman" w:cs="Times New Roman"/>
          <w:color w:val="000000"/>
          <w:sz w:val="24"/>
          <w:szCs w:val="24"/>
          <w:lang w:eastAsia="ru-RU"/>
        </w:rPr>
        <w:t xml:space="preserve">В динамике в ноябре 2022 к ноябрю 2021 отмечается сокращение количества структурных подразделений обособленных подразделений юридических лиц (-25 ед.) и обществ с ограниченной ответственностью (-5 ед.). Число индивидуальных предпринимателей увеличилось на (+4 ед.) </w:t>
      </w:r>
    </w:p>
    <w:p w:rsidR="00EF0409" w:rsidRPr="00EF0409" w:rsidRDefault="00EF0409" w:rsidP="003736FC">
      <w:pPr>
        <w:keepNext/>
        <w:keepLines/>
        <w:spacing w:before="120" w:after="120" w:line="240" w:lineRule="auto"/>
        <w:jc w:val="center"/>
        <w:rPr>
          <w:rFonts w:ascii="Times New Roman" w:eastAsia="Times New Roman" w:hAnsi="Times New Roman" w:cs="Times New Roman"/>
          <w:color w:val="000000"/>
          <w:sz w:val="24"/>
          <w:szCs w:val="24"/>
          <w:lang w:eastAsia="ru-RU"/>
        </w:rPr>
      </w:pPr>
      <w:r w:rsidRPr="00EF0409">
        <w:rPr>
          <w:rFonts w:ascii="Times New Roman" w:eastAsia="Times New Roman" w:hAnsi="Times New Roman" w:cs="Times New Roman"/>
          <w:color w:val="000000"/>
          <w:sz w:val="24"/>
          <w:szCs w:val="24"/>
          <w:lang w:eastAsia="ru-RU"/>
        </w:rPr>
        <w:t xml:space="preserve">Рисунок </w:t>
      </w:r>
      <w:r w:rsidR="003736FC">
        <w:rPr>
          <w:rFonts w:ascii="Times New Roman" w:eastAsia="Times New Roman" w:hAnsi="Times New Roman" w:cs="Times New Roman"/>
          <w:color w:val="000000"/>
          <w:sz w:val="24"/>
          <w:szCs w:val="24"/>
          <w:lang w:eastAsia="ru-RU"/>
        </w:rPr>
        <w:t>38</w:t>
      </w:r>
      <w:r w:rsidRPr="00EF0409">
        <w:rPr>
          <w:rFonts w:ascii="Times New Roman" w:eastAsia="Times New Roman" w:hAnsi="Times New Roman" w:cs="Times New Roman"/>
          <w:color w:val="000000"/>
          <w:sz w:val="24"/>
          <w:szCs w:val="24"/>
          <w:lang w:eastAsia="ru-RU"/>
        </w:rPr>
        <w:t>. Количество учтенных в Статистическом регистре Росстата организаций и индивидуальных предпринимателей Ленинградской области с фактическим видом деятельности, относящимся к ресурсоснабжению в соответствии с Постановлением Правительства РФ от 06.05.2011 № 354 (ред. от 23.09.2022) в разрезе организационно-правовых форм</w:t>
      </w:r>
    </w:p>
    <w:p w:rsidR="00EF0409" w:rsidRPr="00EF0409" w:rsidRDefault="00EF0409" w:rsidP="00EF0409">
      <w:pPr>
        <w:spacing w:after="0" w:line="360" w:lineRule="auto"/>
        <w:ind w:firstLine="708"/>
        <w:jc w:val="both"/>
        <w:rPr>
          <w:rFonts w:ascii="Times New Roman" w:eastAsia="Times New Roman" w:hAnsi="Times New Roman" w:cs="Times New Roman"/>
          <w:color w:val="000000"/>
          <w:sz w:val="28"/>
          <w:szCs w:val="28"/>
          <w:lang w:eastAsia="ru-RU"/>
        </w:rPr>
      </w:pPr>
      <w:r w:rsidRPr="00EF0409">
        <w:rPr>
          <w:rFonts w:ascii="Times New Roman" w:eastAsia="Times New Roman" w:hAnsi="Times New Roman" w:cs="Times New Roman"/>
          <w:noProof/>
          <w:color w:val="000000"/>
          <w:sz w:val="28"/>
          <w:szCs w:val="28"/>
          <w:lang w:eastAsia="ru-RU"/>
        </w:rPr>
        <w:drawing>
          <wp:inline distT="0" distB="0" distL="0" distR="0" wp14:anchorId="46C35836" wp14:editId="4F1BE170">
            <wp:extent cx="5913120" cy="5577840"/>
            <wp:effectExtent l="0" t="0" r="0" b="3810"/>
            <wp:docPr id="120" name="Диаграмма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EF0409" w:rsidRPr="00EF0409" w:rsidRDefault="00EF0409" w:rsidP="00EF0409">
      <w:pPr>
        <w:spacing w:after="0" w:line="360" w:lineRule="auto"/>
        <w:ind w:firstLine="708"/>
        <w:jc w:val="both"/>
        <w:rPr>
          <w:rFonts w:ascii="Times New Roman" w:eastAsia="Times New Roman" w:hAnsi="Times New Roman" w:cs="Times New Roman"/>
          <w:color w:val="000000"/>
          <w:sz w:val="28"/>
          <w:szCs w:val="28"/>
          <w:lang w:eastAsia="ru-RU"/>
        </w:rPr>
      </w:pPr>
    </w:p>
    <w:p w:rsidR="00EF0409" w:rsidRPr="003736FC" w:rsidRDefault="00EF0409" w:rsidP="00EF0409">
      <w:pPr>
        <w:spacing w:after="0" w:line="360" w:lineRule="auto"/>
        <w:ind w:firstLine="708"/>
        <w:jc w:val="both"/>
        <w:rPr>
          <w:rFonts w:ascii="Times New Roman" w:eastAsia="Times New Roman" w:hAnsi="Times New Roman" w:cs="Times New Roman"/>
          <w:color w:val="000000"/>
          <w:sz w:val="24"/>
          <w:szCs w:val="24"/>
          <w:lang w:eastAsia="ru-RU"/>
        </w:rPr>
      </w:pPr>
      <w:r w:rsidRPr="003736FC">
        <w:rPr>
          <w:rFonts w:ascii="Times New Roman" w:eastAsia="Times New Roman" w:hAnsi="Times New Roman" w:cs="Times New Roman"/>
          <w:color w:val="000000"/>
          <w:sz w:val="24"/>
          <w:szCs w:val="24"/>
          <w:lang w:eastAsia="ru-RU"/>
        </w:rPr>
        <w:t xml:space="preserve">Действующим законодательством утверждены Стандарты раскрытия информации, устанавливающие состав, порядок, сроки и периодичность предоставления информации, подлежащей раскрытию. </w:t>
      </w:r>
    </w:p>
    <w:p w:rsidR="00EF0409" w:rsidRPr="003736FC" w:rsidRDefault="00EF0409" w:rsidP="00EF0409">
      <w:pPr>
        <w:spacing w:after="0" w:line="360" w:lineRule="auto"/>
        <w:ind w:firstLine="708"/>
        <w:jc w:val="both"/>
        <w:rPr>
          <w:rFonts w:ascii="Times New Roman" w:eastAsia="Times New Roman" w:hAnsi="Times New Roman" w:cs="Times New Roman"/>
          <w:color w:val="1F497D"/>
          <w:sz w:val="24"/>
          <w:szCs w:val="24"/>
          <w:lang w:eastAsia="ru-RU"/>
        </w:rPr>
      </w:pPr>
      <w:r w:rsidRPr="003736FC">
        <w:rPr>
          <w:rFonts w:ascii="Times New Roman" w:eastAsia="Times New Roman" w:hAnsi="Times New Roman" w:cs="Times New Roman"/>
          <w:color w:val="000000"/>
          <w:sz w:val="24"/>
          <w:szCs w:val="24"/>
          <w:lang w:eastAsia="ru-RU"/>
        </w:rPr>
        <w:t xml:space="preserve">В Ленинградской области раскрытие информации в сферах теплоснабжения, водоснабжения и водоотведения осуществляется посредством передачи информации из региональных информационных систем Ленинградской области. Региональная информационная система Ленинградской области размещена на сайте Комитета по тарифам и ценовой политики Ленинградской области в информационно-телекоммуникационной сети </w:t>
      </w:r>
      <w:r w:rsidR="00F71AD2">
        <w:rPr>
          <w:rFonts w:ascii="Times New Roman" w:eastAsia="Times New Roman" w:hAnsi="Times New Roman" w:cs="Times New Roman"/>
          <w:color w:val="000000"/>
          <w:sz w:val="24"/>
          <w:szCs w:val="24"/>
          <w:lang w:eastAsia="ru-RU"/>
        </w:rPr>
        <w:t>«</w:t>
      </w:r>
      <w:r w:rsidRPr="003736FC">
        <w:rPr>
          <w:rFonts w:ascii="Times New Roman" w:eastAsia="Times New Roman" w:hAnsi="Times New Roman" w:cs="Times New Roman"/>
          <w:color w:val="000000"/>
          <w:sz w:val="24"/>
          <w:szCs w:val="24"/>
          <w:lang w:eastAsia="ru-RU"/>
        </w:rPr>
        <w:t>Интернет</w:t>
      </w:r>
      <w:r w:rsidR="00F71AD2">
        <w:rPr>
          <w:rFonts w:ascii="Times New Roman" w:eastAsia="Times New Roman" w:hAnsi="Times New Roman" w:cs="Times New Roman"/>
          <w:color w:val="000000"/>
          <w:sz w:val="24"/>
          <w:szCs w:val="24"/>
          <w:lang w:eastAsia="ru-RU"/>
        </w:rPr>
        <w:t>»</w:t>
      </w:r>
      <w:r w:rsidRPr="003736FC">
        <w:rPr>
          <w:rFonts w:ascii="Times New Roman" w:eastAsia="Times New Roman" w:hAnsi="Times New Roman" w:cs="Times New Roman"/>
          <w:color w:val="000000"/>
          <w:sz w:val="24"/>
          <w:szCs w:val="24"/>
          <w:lang w:eastAsia="ru-RU"/>
        </w:rPr>
        <w:t xml:space="preserve"> (</w:t>
      </w:r>
      <w:hyperlink r:id="rId78" w:tgtFrame="_blank" w:history="1">
        <w:r w:rsidRPr="003736FC">
          <w:rPr>
            <w:rFonts w:ascii="Times New Roman" w:eastAsia="Times New Roman" w:hAnsi="Times New Roman" w:cs="Times New Roman"/>
            <w:color w:val="0000FF"/>
            <w:sz w:val="24"/>
            <w:szCs w:val="24"/>
            <w:u w:val="single"/>
            <w:lang w:eastAsia="ru-RU"/>
          </w:rPr>
          <w:t>https://tarif.lenreg.ru/RI2/</w:t>
        </w:r>
      </w:hyperlink>
      <w:r w:rsidRPr="003736FC">
        <w:rPr>
          <w:rFonts w:ascii="Times New Roman" w:eastAsia="Times New Roman" w:hAnsi="Times New Roman" w:cs="Times New Roman"/>
          <w:color w:val="000000"/>
          <w:sz w:val="24"/>
          <w:szCs w:val="24"/>
          <w:lang w:eastAsia="ru-RU"/>
        </w:rPr>
        <w:t>)</w:t>
      </w:r>
      <w:r w:rsidR="00F71AD2">
        <w:rPr>
          <w:rFonts w:ascii="Times New Roman" w:eastAsia="Times New Roman" w:hAnsi="Times New Roman" w:cs="Times New Roman"/>
          <w:color w:val="000000"/>
          <w:sz w:val="24"/>
          <w:szCs w:val="24"/>
          <w:lang w:eastAsia="ru-RU"/>
        </w:rPr>
        <w:t>.</w:t>
      </w:r>
    </w:p>
    <w:p w:rsidR="00EF0409" w:rsidRPr="003736FC" w:rsidRDefault="00EF0409" w:rsidP="00EF0409">
      <w:pPr>
        <w:spacing w:after="0" w:line="360" w:lineRule="auto"/>
        <w:ind w:firstLine="708"/>
        <w:jc w:val="both"/>
        <w:rPr>
          <w:rFonts w:ascii="Times New Roman" w:eastAsia="Times New Roman" w:hAnsi="Times New Roman" w:cs="Times New Roman"/>
          <w:color w:val="000000"/>
          <w:sz w:val="24"/>
          <w:szCs w:val="24"/>
          <w:lang w:eastAsia="ru-RU"/>
        </w:rPr>
      </w:pPr>
      <w:r w:rsidRPr="003736FC">
        <w:rPr>
          <w:rFonts w:ascii="Times New Roman" w:eastAsia="Times New Roman" w:hAnsi="Times New Roman" w:cs="Times New Roman"/>
          <w:color w:val="000000"/>
          <w:sz w:val="24"/>
          <w:szCs w:val="24"/>
          <w:lang w:eastAsia="ru-RU"/>
        </w:rPr>
        <w:t>В соответствии со стандартами раскрытия информации в электроэнергетике и газоснабжении, информация раскрывается путем опубликования в печатных изданиях, в электронных средствах массовой информации, предоставления по письменному запросу заинтересованных лиц и направлении сведений о месте опубликования информации, подлежащей раскрытию, в орган государственной власти, осуществляющий государственный контроль (надзор) в части соблюдения стандартов раскрытия соответствующей информации.</w:t>
      </w:r>
    </w:p>
    <w:p w:rsidR="00EF0409" w:rsidRPr="003736FC" w:rsidRDefault="00EF0409" w:rsidP="00EF0409">
      <w:pPr>
        <w:spacing w:after="0" w:line="360" w:lineRule="auto"/>
        <w:ind w:firstLine="708"/>
        <w:jc w:val="both"/>
        <w:rPr>
          <w:rFonts w:ascii="Times New Roman" w:eastAsia="Times New Roman" w:hAnsi="Times New Roman" w:cs="Times New Roman"/>
          <w:color w:val="000000"/>
          <w:sz w:val="24"/>
          <w:szCs w:val="24"/>
          <w:lang w:eastAsia="ru-RU"/>
        </w:rPr>
      </w:pPr>
      <w:r w:rsidRPr="003736FC">
        <w:rPr>
          <w:rFonts w:ascii="Times New Roman" w:eastAsia="Times New Roman" w:hAnsi="Times New Roman" w:cs="Times New Roman"/>
          <w:color w:val="000000"/>
          <w:sz w:val="24"/>
          <w:szCs w:val="24"/>
          <w:lang w:eastAsia="ru-RU"/>
        </w:rPr>
        <w:t>Организации, осуществляющие деятельность в электроэнергетике и газоснабжении, направляют в Комитет по тарифам и ценовой политики Ленинградской области сведения о месте опубликования информации, подлежащей раскрытию.</w:t>
      </w:r>
    </w:p>
    <w:p w:rsidR="00EF0409" w:rsidRPr="003736FC" w:rsidRDefault="00EF0409" w:rsidP="00EF0409">
      <w:pPr>
        <w:spacing w:after="0" w:line="360" w:lineRule="auto"/>
        <w:ind w:firstLine="708"/>
        <w:jc w:val="both"/>
        <w:rPr>
          <w:rFonts w:ascii="Times New Roman" w:eastAsia="Times New Roman" w:hAnsi="Times New Roman" w:cs="Times New Roman"/>
          <w:color w:val="000000"/>
          <w:sz w:val="24"/>
          <w:szCs w:val="24"/>
          <w:lang w:eastAsia="ru-RU"/>
        </w:rPr>
      </w:pPr>
      <w:r w:rsidRPr="003736FC">
        <w:rPr>
          <w:rFonts w:ascii="Times New Roman" w:eastAsia="Times New Roman" w:hAnsi="Times New Roman" w:cs="Times New Roman"/>
          <w:color w:val="000000"/>
          <w:sz w:val="24"/>
          <w:szCs w:val="24"/>
          <w:lang w:eastAsia="ru-RU"/>
        </w:rPr>
        <w:t xml:space="preserve">На портале публикации сведений, подлежащих свободному доступу (портал раскрытия информации содержатся данные о раскрытии хозяйствующими субъектами, ведущими деятельность в сферах водоснабжения, водоотведения, теплоснабжения, обращения с отходами, информации о тарифах и плановых показателях. </w:t>
      </w:r>
      <w:hyperlink r:id="rId79" w:history="1">
        <w:r w:rsidRPr="003736FC">
          <w:rPr>
            <w:rFonts w:ascii="Times New Roman" w:eastAsia="Times New Roman" w:hAnsi="Times New Roman" w:cs="Times New Roman"/>
            <w:color w:val="0000FF"/>
            <w:sz w:val="24"/>
            <w:szCs w:val="24"/>
            <w:u w:val="single"/>
            <w:lang w:eastAsia="ru-RU"/>
          </w:rPr>
          <w:t>https://tarif.lenreg.ru/RI2/Discl/PublicDisclosureInfo.aspx?reg=RU.4.47&amp;razdel=Plan&amp;sphere=TS&amp;year=2022</w:t>
        </w:r>
      </w:hyperlink>
    </w:p>
    <w:p w:rsidR="00EF0409" w:rsidRPr="003736FC" w:rsidRDefault="003736FC" w:rsidP="00EF0409">
      <w:pPr>
        <w:spacing w:after="0" w:line="36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Как видно из рисунка 39</w:t>
      </w:r>
      <w:r w:rsidR="00EF0409" w:rsidRPr="003736FC">
        <w:rPr>
          <w:rFonts w:ascii="Times New Roman" w:eastAsia="Times New Roman" w:hAnsi="Times New Roman" w:cs="Times New Roman"/>
          <w:color w:val="000000"/>
          <w:sz w:val="24"/>
          <w:szCs w:val="24"/>
          <w:lang w:eastAsia="ru-RU"/>
        </w:rPr>
        <w:t xml:space="preserve">, в таких сферах, как холодное водоснабжение и водоотведение в последние три года происходит уменьшение количества организаций: водоснабжение от 117 ед. в 2020 г. до 107 ед. в 2022 г. (112 ед. в 2021 г.), водоотведение от 123 ед. в 2020 г. до 110 ед. в 2022 г. (114 ед. в 2021 г.) В теплоснабжении, наоборот, прослеживается увеличение количества хозяйствующих субъектов. В сфере горячего водоснабжения отмечается небольшой прирост количества организаций в 2022 г. по сравнению с 2020 г. (87 ед. против 85 ед. соответственно), однако, показатель 2021 г. был выше (90 ед.) </w:t>
      </w:r>
    </w:p>
    <w:p w:rsidR="00EF0409" w:rsidRPr="00EF0409" w:rsidRDefault="00EF0409" w:rsidP="003736FC">
      <w:pPr>
        <w:keepNext/>
        <w:keepLines/>
        <w:spacing w:before="120" w:after="120" w:line="240" w:lineRule="auto"/>
        <w:jc w:val="center"/>
        <w:rPr>
          <w:rFonts w:ascii="Times New Roman" w:eastAsia="Times New Roman" w:hAnsi="Times New Roman" w:cs="Times New Roman"/>
          <w:color w:val="000000"/>
          <w:sz w:val="24"/>
          <w:szCs w:val="24"/>
          <w:lang w:eastAsia="ru-RU"/>
        </w:rPr>
      </w:pPr>
      <w:r w:rsidRPr="00EF0409">
        <w:rPr>
          <w:rFonts w:ascii="Times New Roman" w:eastAsia="Times New Roman" w:hAnsi="Times New Roman" w:cs="Times New Roman"/>
          <w:color w:val="000000"/>
          <w:sz w:val="24"/>
          <w:szCs w:val="24"/>
          <w:lang w:eastAsia="ru-RU"/>
        </w:rPr>
        <w:t xml:space="preserve">Рисунок </w:t>
      </w:r>
      <w:r w:rsidR="003736FC">
        <w:rPr>
          <w:rFonts w:ascii="Times New Roman" w:eastAsia="Times New Roman" w:hAnsi="Times New Roman" w:cs="Times New Roman"/>
          <w:color w:val="000000"/>
          <w:sz w:val="24"/>
          <w:szCs w:val="24"/>
          <w:lang w:eastAsia="ru-RU"/>
        </w:rPr>
        <w:t>39</w:t>
      </w:r>
      <w:r w:rsidRPr="00EF0409">
        <w:rPr>
          <w:rFonts w:ascii="Times New Roman" w:eastAsia="Times New Roman" w:hAnsi="Times New Roman" w:cs="Times New Roman"/>
          <w:color w:val="000000"/>
          <w:sz w:val="24"/>
          <w:szCs w:val="24"/>
          <w:lang w:eastAsia="ru-RU"/>
        </w:rPr>
        <w:t>. Количество организаций, данные о раскрытии информации которыми находятся на портале раскрытия информации Комитета по тарифам и ценовой политики Ленинградской области</w:t>
      </w:r>
    </w:p>
    <w:p w:rsidR="00EF0409" w:rsidRPr="00EF0409" w:rsidRDefault="00EF0409" w:rsidP="00EF0409">
      <w:pPr>
        <w:spacing w:after="0" w:line="360" w:lineRule="auto"/>
        <w:jc w:val="both"/>
        <w:rPr>
          <w:rFonts w:ascii="Times New Roman" w:eastAsia="Times New Roman" w:hAnsi="Times New Roman" w:cs="Times New Roman"/>
          <w:color w:val="000000"/>
          <w:sz w:val="28"/>
          <w:szCs w:val="28"/>
          <w:lang w:eastAsia="ru-RU"/>
        </w:rPr>
      </w:pPr>
      <w:r w:rsidRPr="00EF0409">
        <w:rPr>
          <w:rFonts w:ascii="Times New Roman" w:eastAsia="Times New Roman" w:hAnsi="Times New Roman" w:cs="Times New Roman"/>
          <w:noProof/>
          <w:color w:val="000000"/>
          <w:sz w:val="28"/>
          <w:szCs w:val="28"/>
          <w:lang w:eastAsia="ru-RU"/>
        </w:rPr>
        <w:drawing>
          <wp:inline distT="0" distB="0" distL="0" distR="0" wp14:anchorId="7BA46D03" wp14:editId="6DF6F86F">
            <wp:extent cx="6423660" cy="3200400"/>
            <wp:effectExtent l="0" t="0" r="0" b="0"/>
            <wp:docPr id="121" name="Диаграмма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EF0409" w:rsidRPr="00EF0409" w:rsidRDefault="00EF0409" w:rsidP="00D4338E">
      <w:pPr>
        <w:spacing w:after="0" w:line="360" w:lineRule="auto"/>
        <w:jc w:val="both"/>
        <w:rPr>
          <w:rFonts w:ascii="Times New Roman" w:eastAsia="Times New Roman" w:hAnsi="Times New Roman" w:cs="Times New Roman"/>
          <w:color w:val="000000"/>
          <w:sz w:val="28"/>
          <w:szCs w:val="28"/>
          <w:lang w:eastAsia="ru-RU"/>
        </w:rPr>
      </w:pPr>
    </w:p>
    <w:p w:rsidR="00EF0409" w:rsidRPr="00EF0409" w:rsidRDefault="00EF0409" w:rsidP="003736FC">
      <w:pPr>
        <w:keepNext/>
        <w:keepLines/>
        <w:spacing w:before="120" w:after="120" w:line="240" w:lineRule="auto"/>
        <w:jc w:val="center"/>
        <w:rPr>
          <w:rFonts w:ascii="Times New Roman" w:eastAsia="Times New Roman" w:hAnsi="Times New Roman" w:cs="Times New Roman"/>
          <w:b/>
          <w:color w:val="000000"/>
          <w:sz w:val="24"/>
          <w:szCs w:val="24"/>
        </w:rPr>
      </w:pPr>
      <w:r w:rsidRPr="00EF0409">
        <w:rPr>
          <w:rFonts w:ascii="Times New Roman" w:eastAsia="Times New Roman" w:hAnsi="Times New Roman" w:cs="Times New Roman"/>
          <w:color w:val="000000"/>
          <w:sz w:val="24"/>
          <w:szCs w:val="24"/>
          <w:lang w:eastAsia="ru-RU"/>
        </w:rPr>
        <w:t xml:space="preserve">Таблица </w:t>
      </w:r>
      <w:r w:rsidR="003736FC">
        <w:rPr>
          <w:rFonts w:ascii="Times New Roman" w:eastAsia="Times New Roman" w:hAnsi="Times New Roman" w:cs="Times New Roman"/>
          <w:color w:val="000000"/>
          <w:sz w:val="24"/>
          <w:szCs w:val="24"/>
          <w:lang w:eastAsia="ru-RU"/>
        </w:rPr>
        <w:t>24</w:t>
      </w:r>
      <w:r w:rsidRPr="00EF0409">
        <w:rPr>
          <w:rFonts w:ascii="Times New Roman" w:eastAsia="Times New Roman" w:hAnsi="Times New Roman" w:cs="Times New Roman"/>
          <w:color w:val="000000"/>
          <w:sz w:val="24"/>
          <w:szCs w:val="24"/>
          <w:lang w:eastAsia="ru-RU"/>
        </w:rPr>
        <w:t xml:space="preserve">. Ресурсоснабжающие организации, ответственные за предоставление услуг по подключению к сетям инженерно-технического обеспечения </w:t>
      </w:r>
      <w:r w:rsidRPr="00EF0409">
        <w:rPr>
          <w:rFonts w:ascii="Times New Roman" w:eastAsia="Times New Roman" w:hAnsi="Times New Roman" w:cs="Times New Roman"/>
          <w:color w:val="000000"/>
          <w:sz w:val="24"/>
          <w:szCs w:val="24"/>
        </w:rPr>
        <w:t xml:space="preserve">(по данным сайта: </w:t>
      </w:r>
      <w:hyperlink r:id="rId81" w:history="1">
        <w:r w:rsidRPr="00EF0409">
          <w:rPr>
            <w:rFonts w:ascii="Times New Roman" w:eastAsia="Times New Roman" w:hAnsi="Times New Roman" w:cs="Times New Roman"/>
            <w:color w:val="000000"/>
            <w:sz w:val="24"/>
            <w:szCs w:val="24"/>
          </w:rPr>
          <w:t>https://gkh.lenobl.ru/ru/deiatelnost/osnovnye-napravleniya/podklyuchenie-k-setyam/</w:t>
        </w:r>
      </w:hyperlink>
      <w:r w:rsidRPr="00EF0409">
        <w:rPr>
          <w:rFonts w:ascii="Times New Roman" w:eastAsia="Times New Roman" w:hAnsi="Times New Roman" w:cs="Times New Roman"/>
          <w:color w:val="000000"/>
          <w:sz w:val="24"/>
          <w:szCs w:val="24"/>
        </w:rPr>
        <w:t>)</w:t>
      </w:r>
    </w:p>
    <w:tbl>
      <w:tblPr>
        <w:tblStyle w:val="250"/>
        <w:tblW w:w="10207" w:type="dxa"/>
        <w:tblInd w:w="-34" w:type="dxa"/>
        <w:tblLayout w:type="fixed"/>
        <w:tblLook w:val="04A0" w:firstRow="1" w:lastRow="0" w:firstColumn="1" w:lastColumn="0" w:noHBand="0" w:noVBand="1"/>
      </w:tblPr>
      <w:tblGrid>
        <w:gridCol w:w="2410"/>
        <w:gridCol w:w="3119"/>
        <w:gridCol w:w="4678"/>
      </w:tblGrid>
      <w:tr w:rsidR="00EF0409" w:rsidRPr="00EF0409" w:rsidTr="002440F7">
        <w:tc>
          <w:tcPr>
            <w:tcW w:w="2410" w:type="dxa"/>
            <w:vAlign w:val="center"/>
          </w:tcPr>
          <w:p w:rsidR="00EF0409" w:rsidRPr="0088268B" w:rsidRDefault="00EF0409" w:rsidP="002440F7">
            <w:pPr>
              <w:tabs>
                <w:tab w:val="left" w:pos="1965"/>
              </w:tabs>
              <w:jc w:val="center"/>
              <w:rPr>
                <w:rFonts w:ascii="Times New Roman" w:eastAsia="Times New Roman" w:hAnsi="Times New Roman" w:cs="Times New Roman"/>
                <w:b/>
                <w:lang w:eastAsia="ru-RU"/>
              </w:rPr>
            </w:pPr>
            <w:r w:rsidRPr="0088268B">
              <w:rPr>
                <w:rFonts w:ascii="Times New Roman" w:eastAsia="Times New Roman" w:hAnsi="Times New Roman" w:cs="Times New Roman"/>
                <w:b/>
                <w:lang w:eastAsia="ru-RU"/>
              </w:rPr>
              <w:t>Наименование РСО</w:t>
            </w:r>
          </w:p>
        </w:tc>
        <w:tc>
          <w:tcPr>
            <w:tcW w:w="3119" w:type="dxa"/>
            <w:vAlign w:val="center"/>
          </w:tcPr>
          <w:p w:rsidR="00EF0409" w:rsidRPr="0088268B" w:rsidRDefault="00EF0409" w:rsidP="002440F7">
            <w:pPr>
              <w:jc w:val="center"/>
              <w:rPr>
                <w:rFonts w:ascii="Times New Roman" w:eastAsia="Times New Roman" w:hAnsi="Times New Roman" w:cs="Times New Roman"/>
                <w:b/>
                <w:lang w:eastAsia="ru-RU"/>
              </w:rPr>
            </w:pPr>
            <w:r w:rsidRPr="0088268B">
              <w:rPr>
                <w:rFonts w:ascii="Times New Roman" w:eastAsia="Times New Roman" w:hAnsi="Times New Roman" w:cs="Times New Roman"/>
                <w:b/>
                <w:lang w:eastAsia="ru-RU"/>
              </w:rPr>
              <w:t>Наличие информации о подключении на сайте РСО</w:t>
            </w:r>
          </w:p>
        </w:tc>
        <w:tc>
          <w:tcPr>
            <w:tcW w:w="4678" w:type="dxa"/>
            <w:vAlign w:val="center"/>
          </w:tcPr>
          <w:p w:rsidR="00EF0409" w:rsidRPr="0088268B" w:rsidRDefault="00EF0409" w:rsidP="002440F7">
            <w:pPr>
              <w:jc w:val="center"/>
              <w:rPr>
                <w:rFonts w:ascii="Times New Roman" w:eastAsia="Times New Roman" w:hAnsi="Times New Roman" w:cs="Times New Roman"/>
                <w:b/>
                <w:lang w:eastAsia="ru-RU"/>
              </w:rPr>
            </w:pPr>
            <w:r w:rsidRPr="0088268B">
              <w:rPr>
                <w:rFonts w:ascii="Times New Roman" w:eastAsia="Times New Roman" w:hAnsi="Times New Roman" w:cs="Times New Roman"/>
                <w:b/>
                <w:lang w:eastAsia="ru-RU"/>
              </w:rPr>
              <w:t>Наличие калькулятора на сайте РСО</w:t>
            </w:r>
          </w:p>
        </w:tc>
      </w:tr>
      <w:tr w:rsidR="00EF0409" w:rsidRPr="00EF0409" w:rsidTr="002440F7">
        <w:tc>
          <w:tcPr>
            <w:tcW w:w="2410" w:type="dxa"/>
            <w:vAlign w:val="center"/>
          </w:tcPr>
          <w:p w:rsidR="00EF0409" w:rsidRPr="0088268B" w:rsidRDefault="00EF0409" w:rsidP="002440F7">
            <w:pPr>
              <w:jc w:val="center"/>
              <w:rPr>
                <w:rFonts w:ascii="Times New Roman" w:eastAsia="Times New Roman" w:hAnsi="Times New Roman" w:cs="Times New Roman"/>
                <w:lang w:eastAsia="ru-RU"/>
              </w:rPr>
            </w:pPr>
            <w:r w:rsidRPr="0088268B">
              <w:rPr>
                <w:rFonts w:ascii="Times New Roman" w:eastAsia="Times New Roman" w:hAnsi="Times New Roman" w:cs="Times New Roman"/>
                <w:lang w:eastAsia="ru-RU"/>
              </w:rPr>
              <w:t>ГУП «Леноблводоканал»</w:t>
            </w:r>
          </w:p>
        </w:tc>
        <w:tc>
          <w:tcPr>
            <w:tcW w:w="3119" w:type="dxa"/>
            <w:vAlign w:val="center"/>
          </w:tcPr>
          <w:p w:rsidR="00EF0409" w:rsidRPr="0088268B" w:rsidRDefault="008C32C6" w:rsidP="002440F7">
            <w:pPr>
              <w:jc w:val="center"/>
              <w:rPr>
                <w:rFonts w:ascii="Times New Roman" w:eastAsia="Times New Roman" w:hAnsi="Times New Roman" w:cs="Times New Roman"/>
                <w:highlight w:val="yellow"/>
                <w:lang w:eastAsia="ru-RU"/>
              </w:rPr>
            </w:pPr>
            <w:hyperlink r:id="rId82" w:history="1">
              <w:r w:rsidR="00EF0409" w:rsidRPr="0088268B">
                <w:rPr>
                  <w:rFonts w:ascii="Times New Roman" w:eastAsia="Times New Roman" w:hAnsi="Times New Roman" w:cs="Times New Roman"/>
                  <w:u w:val="single"/>
                  <w:lang w:eastAsia="ru-RU"/>
                </w:rPr>
                <w:t>http://www.vodokanal-lo.ru/uslugi/podklyuchenie-k-seti/istochniki-vodosnabzheniya/</w:t>
              </w:r>
            </w:hyperlink>
          </w:p>
        </w:tc>
        <w:tc>
          <w:tcPr>
            <w:tcW w:w="4678" w:type="dxa"/>
            <w:vAlign w:val="center"/>
          </w:tcPr>
          <w:p w:rsidR="00EF0409" w:rsidRPr="0088268B" w:rsidRDefault="00EF0409" w:rsidP="002440F7">
            <w:pPr>
              <w:jc w:val="center"/>
              <w:rPr>
                <w:rFonts w:ascii="Times New Roman" w:eastAsia="Times New Roman" w:hAnsi="Times New Roman" w:cs="Times New Roman"/>
                <w:u w:val="single"/>
                <w:lang w:eastAsia="ru-RU"/>
              </w:rPr>
            </w:pPr>
            <w:r w:rsidRPr="0088268B">
              <w:rPr>
                <w:rFonts w:ascii="Times New Roman" w:eastAsia="Times New Roman" w:hAnsi="Times New Roman" w:cs="Times New Roman"/>
                <w:u w:val="single"/>
                <w:lang w:eastAsia="ru-RU"/>
              </w:rPr>
              <w:t>http://www.vodokanal-lo.ru/uslugi/kalkulyator-stoimosti-podklyucheniya/</w:t>
            </w:r>
          </w:p>
        </w:tc>
      </w:tr>
      <w:tr w:rsidR="00EF0409" w:rsidRPr="00EF0409" w:rsidTr="002440F7">
        <w:tc>
          <w:tcPr>
            <w:tcW w:w="2410" w:type="dxa"/>
            <w:vAlign w:val="center"/>
          </w:tcPr>
          <w:p w:rsidR="00EF0409" w:rsidRPr="0088268B" w:rsidRDefault="00EF0409" w:rsidP="002440F7">
            <w:pPr>
              <w:jc w:val="center"/>
              <w:rPr>
                <w:rFonts w:ascii="Times New Roman" w:eastAsia="Times New Roman" w:hAnsi="Times New Roman" w:cs="Times New Roman"/>
                <w:lang w:eastAsia="ru-RU"/>
              </w:rPr>
            </w:pPr>
            <w:r w:rsidRPr="0088268B">
              <w:rPr>
                <w:rFonts w:ascii="Times New Roman" w:eastAsia="Times New Roman" w:hAnsi="Times New Roman" w:cs="Times New Roman"/>
                <w:lang w:eastAsia="ru-RU"/>
              </w:rPr>
              <w:t>ОАО «Всеволожские тепловые сети»</w:t>
            </w:r>
          </w:p>
        </w:tc>
        <w:tc>
          <w:tcPr>
            <w:tcW w:w="3119" w:type="dxa"/>
            <w:vAlign w:val="center"/>
          </w:tcPr>
          <w:p w:rsidR="00EF0409" w:rsidRPr="0088268B" w:rsidRDefault="008C32C6" w:rsidP="002440F7">
            <w:pPr>
              <w:jc w:val="center"/>
              <w:rPr>
                <w:rFonts w:ascii="Times New Roman" w:eastAsia="Times New Roman" w:hAnsi="Times New Roman" w:cs="Times New Roman"/>
                <w:highlight w:val="yellow"/>
                <w:lang w:eastAsia="ru-RU"/>
              </w:rPr>
            </w:pPr>
            <w:hyperlink r:id="rId83" w:history="1">
              <w:r w:rsidR="00EF0409" w:rsidRPr="0088268B">
                <w:rPr>
                  <w:rFonts w:ascii="Times New Roman" w:eastAsia="Times New Roman" w:hAnsi="Times New Roman" w:cs="Times New Roman"/>
                  <w:u w:val="single"/>
                  <w:lang w:eastAsia="ru-RU"/>
                </w:rPr>
                <w:t>https://v-ts.org/index.php/informatsiya-o-dostupnoj-moshchnosti/ob-ekty-vodosnabzheniya-i-vodootvedeniya</w:t>
              </w:r>
            </w:hyperlink>
          </w:p>
        </w:tc>
        <w:tc>
          <w:tcPr>
            <w:tcW w:w="4678" w:type="dxa"/>
            <w:vAlign w:val="center"/>
          </w:tcPr>
          <w:p w:rsidR="00EF0409" w:rsidRPr="0088268B" w:rsidRDefault="00EF0409" w:rsidP="002440F7">
            <w:pPr>
              <w:jc w:val="center"/>
              <w:rPr>
                <w:rFonts w:ascii="Times New Roman" w:eastAsia="Times New Roman" w:hAnsi="Times New Roman" w:cs="Times New Roman"/>
                <w:u w:val="single"/>
                <w:lang w:eastAsia="ru-RU"/>
              </w:rPr>
            </w:pPr>
            <w:r w:rsidRPr="0088268B">
              <w:rPr>
                <w:rFonts w:ascii="Times New Roman" w:eastAsia="Times New Roman" w:hAnsi="Times New Roman" w:cs="Times New Roman"/>
                <w:u w:val="single"/>
                <w:lang w:eastAsia="ru-RU"/>
              </w:rPr>
              <w:t>https://v-ts.org/index.php/informatsiya-o-dostupnoj-moshchnosti/ob-ekty-vodosnabzheniya-i-vodootvedeniya</w:t>
            </w:r>
          </w:p>
        </w:tc>
      </w:tr>
      <w:tr w:rsidR="00EF0409" w:rsidRPr="00EF0409" w:rsidTr="002440F7">
        <w:tc>
          <w:tcPr>
            <w:tcW w:w="2410" w:type="dxa"/>
            <w:vAlign w:val="center"/>
          </w:tcPr>
          <w:p w:rsidR="00EF0409" w:rsidRPr="0088268B" w:rsidRDefault="00EF0409" w:rsidP="002440F7">
            <w:pPr>
              <w:jc w:val="center"/>
              <w:rPr>
                <w:rFonts w:ascii="Times New Roman" w:eastAsia="Times New Roman" w:hAnsi="Times New Roman" w:cs="Times New Roman"/>
                <w:lang w:eastAsia="ru-RU"/>
              </w:rPr>
            </w:pPr>
            <w:r w:rsidRPr="0088268B">
              <w:rPr>
                <w:rFonts w:ascii="Times New Roman" w:eastAsia="Times New Roman" w:hAnsi="Times New Roman" w:cs="Times New Roman"/>
                <w:lang w:eastAsia="ru-RU"/>
              </w:rPr>
              <w:t>МУП «Водоканал г. Гатчина»</w:t>
            </w:r>
          </w:p>
        </w:tc>
        <w:tc>
          <w:tcPr>
            <w:tcW w:w="3119" w:type="dxa"/>
            <w:vAlign w:val="center"/>
          </w:tcPr>
          <w:p w:rsidR="00EF0409" w:rsidRPr="0088268B" w:rsidRDefault="008C32C6" w:rsidP="002440F7">
            <w:pPr>
              <w:jc w:val="center"/>
              <w:rPr>
                <w:rFonts w:ascii="Times New Roman" w:eastAsia="Times New Roman" w:hAnsi="Times New Roman" w:cs="Times New Roman"/>
                <w:highlight w:val="yellow"/>
                <w:lang w:eastAsia="ru-RU"/>
              </w:rPr>
            </w:pPr>
            <w:hyperlink r:id="rId84" w:history="1">
              <w:r w:rsidR="00EF0409" w:rsidRPr="0088268B">
                <w:rPr>
                  <w:rFonts w:ascii="Times New Roman" w:eastAsia="Times New Roman" w:hAnsi="Times New Roman" w:cs="Times New Roman"/>
                  <w:u w:val="single"/>
                  <w:lang w:eastAsia="ru-RU"/>
                </w:rPr>
                <w:t>http://vodokanal.gtn.ru/object/54601</w:t>
              </w:r>
            </w:hyperlink>
          </w:p>
        </w:tc>
        <w:tc>
          <w:tcPr>
            <w:tcW w:w="4678" w:type="dxa"/>
            <w:vAlign w:val="center"/>
          </w:tcPr>
          <w:p w:rsidR="00EF0409" w:rsidRPr="0088268B" w:rsidRDefault="00EF0409" w:rsidP="002440F7">
            <w:pPr>
              <w:jc w:val="center"/>
              <w:rPr>
                <w:rFonts w:ascii="Times New Roman" w:eastAsia="Times New Roman" w:hAnsi="Times New Roman" w:cs="Times New Roman"/>
                <w:u w:val="single"/>
                <w:lang w:eastAsia="ru-RU"/>
              </w:rPr>
            </w:pPr>
            <w:r w:rsidRPr="0088268B">
              <w:rPr>
                <w:rFonts w:ascii="Times New Roman" w:eastAsia="Times New Roman" w:hAnsi="Times New Roman" w:cs="Times New Roman"/>
                <w:u w:val="single"/>
                <w:lang w:eastAsia="ru-RU"/>
              </w:rPr>
              <w:t>http://vodokanal.gtn.ru/object/64825</w:t>
            </w:r>
          </w:p>
        </w:tc>
      </w:tr>
      <w:tr w:rsidR="00EF0409" w:rsidRPr="00EF0409" w:rsidTr="002440F7">
        <w:tc>
          <w:tcPr>
            <w:tcW w:w="2410" w:type="dxa"/>
            <w:vAlign w:val="center"/>
          </w:tcPr>
          <w:p w:rsidR="00EF0409" w:rsidRPr="0088268B" w:rsidRDefault="00EF0409" w:rsidP="002440F7">
            <w:pPr>
              <w:jc w:val="center"/>
              <w:rPr>
                <w:rFonts w:ascii="Times New Roman" w:eastAsia="Times New Roman" w:hAnsi="Times New Roman" w:cs="Times New Roman"/>
                <w:lang w:eastAsia="ru-RU"/>
              </w:rPr>
            </w:pPr>
            <w:r w:rsidRPr="0088268B">
              <w:rPr>
                <w:rFonts w:ascii="Times New Roman" w:eastAsia="Times New Roman" w:hAnsi="Times New Roman" w:cs="Times New Roman"/>
                <w:lang w:eastAsia="ru-RU"/>
              </w:rPr>
              <w:t>МП «Управление водопроводно-канализационного хозяйства» г. Кириши</w:t>
            </w:r>
          </w:p>
        </w:tc>
        <w:tc>
          <w:tcPr>
            <w:tcW w:w="3119" w:type="dxa"/>
            <w:vAlign w:val="center"/>
          </w:tcPr>
          <w:p w:rsidR="00EF0409" w:rsidRPr="0088268B" w:rsidRDefault="008C32C6" w:rsidP="002440F7">
            <w:pPr>
              <w:jc w:val="center"/>
              <w:rPr>
                <w:rFonts w:ascii="Times New Roman" w:eastAsia="Times New Roman" w:hAnsi="Times New Roman" w:cs="Times New Roman"/>
                <w:highlight w:val="yellow"/>
                <w:lang w:eastAsia="ru-RU"/>
              </w:rPr>
            </w:pPr>
            <w:hyperlink r:id="rId85" w:history="1">
              <w:r w:rsidR="00EF0409" w:rsidRPr="0088268B">
                <w:rPr>
                  <w:rFonts w:ascii="Times New Roman" w:eastAsia="Times New Roman" w:hAnsi="Times New Roman" w:cs="Times New Roman"/>
                  <w:u w:val="single"/>
                  <w:lang w:eastAsia="ru-RU"/>
                </w:rPr>
                <w:t>http://kirvoda.ru/index.php/features/overview/zony-dejstviya-istochnikov-vodosnabzheniya-i-zony-dejstviya-sistemy-vodootvedeniya</w:t>
              </w:r>
            </w:hyperlink>
          </w:p>
        </w:tc>
        <w:tc>
          <w:tcPr>
            <w:tcW w:w="4678" w:type="dxa"/>
            <w:vAlign w:val="center"/>
          </w:tcPr>
          <w:p w:rsidR="00EF0409" w:rsidRPr="0088268B" w:rsidRDefault="00EF0409" w:rsidP="002440F7">
            <w:pPr>
              <w:jc w:val="center"/>
              <w:rPr>
                <w:rFonts w:ascii="Times New Roman" w:eastAsia="Times New Roman" w:hAnsi="Times New Roman" w:cs="Times New Roman"/>
                <w:u w:val="single"/>
                <w:lang w:eastAsia="ru-RU"/>
              </w:rPr>
            </w:pPr>
            <w:r w:rsidRPr="0088268B">
              <w:rPr>
                <w:rFonts w:ascii="Times New Roman" w:eastAsia="Times New Roman" w:hAnsi="Times New Roman" w:cs="Times New Roman"/>
                <w:u w:val="single"/>
                <w:lang w:eastAsia="ru-RU"/>
              </w:rPr>
              <w:t>http://kirvoda.ru/index.php/features/overview</w:t>
            </w:r>
          </w:p>
        </w:tc>
      </w:tr>
      <w:tr w:rsidR="00EF0409" w:rsidRPr="00EF0409" w:rsidTr="002440F7">
        <w:tc>
          <w:tcPr>
            <w:tcW w:w="2410" w:type="dxa"/>
            <w:vAlign w:val="center"/>
          </w:tcPr>
          <w:p w:rsidR="00EF0409" w:rsidRPr="0088268B" w:rsidRDefault="00EF0409" w:rsidP="002440F7">
            <w:pPr>
              <w:jc w:val="center"/>
              <w:rPr>
                <w:rFonts w:ascii="Times New Roman" w:eastAsia="Times New Roman" w:hAnsi="Times New Roman" w:cs="Times New Roman"/>
                <w:lang w:eastAsia="ru-RU"/>
              </w:rPr>
            </w:pPr>
            <w:r w:rsidRPr="0088268B">
              <w:rPr>
                <w:rFonts w:ascii="Times New Roman" w:eastAsia="Times New Roman" w:hAnsi="Times New Roman" w:cs="Times New Roman"/>
                <w:lang w:eastAsia="ru-RU"/>
              </w:rPr>
              <w:t>СМУП «Водоканал» г. Сосновый Бор</w:t>
            </w:r>
          </w:p>
        </w:tc>
        <w:tc>
          <w:tcPr>
            <w:tcW w:w="3119" w:type="dxa"/>
            <w:vAlign w:val="center"/>
          </w:tcPr>
          <w:p w:rsidR="00EF0409" w:rsidRPr="0088268B" w:rsidRDefault="008C32C6" w:rsidP="002440F7">
            <w:pPr>
              <w:jc w:val="center"/>
              <w:rPr>
                <w:rFonts w:ascii="Times New Roman" w:eastAsia="Times New Roman" w:hAnsi="Times New Roman" w:cs="Times New Roman"/>
                <w:highlight w:val="yellow"/>
                <w:lang w:eastAsia="ru-RU"/>
              </w:rPr>
            </w:pPr>
            <w:hyperlink r:id="rId86" w:history="1">
              <w:r w:rsidR="00EF0409" w:rsidRPr="0088268B">
                <w:rPr>
                  <w:rFonts w:ascii="Times New Roman" w:eastAsia="Times New Roman" w:hAnsi="Times New Roman" w:cs="Times New Roman"/>
                  <w:u w:val="single"/>
                  <w:lang w:eastAsia="ru-RU"/>
                </w:rPr>
                <w:t>http://www.vodokanal.sbor.ru/web/html/index-8.html</w:t>
              </w:r>
            </w:hyperlink>
          </w:p>
        </w:tc>
        <w:tc>
          <w:tcPr>
            <w:tcW w:w="4678" w:type="dxa"/>
            <w:vAlign w:val="center"/>
          </w:tcPr>
          <w:p w:rsidR="00EF0409" w:rsidRPr="0088268B" w:rsidRDefault="00EF0409" w:rsidP="002440F7">
            <w:pPr>
              <w:jc w:val="center"/>
              <w:rPr>
                <w:rFonts w:ascii="Times New Roman" w:eastAsia="Times New Roman" w:hAnsi="Times New Roman" w:cs="Times New Roman"/>
                <w:u w:val="single"/>
                <w:lang w:eastAsia="ru-RU"/>
              </w:rPr>
            </w:pPr>
            <w:r w:rsidRPr="0088268B">
              <w:rPr>
                <w:rFonts w:ascii="Times New Roman" w:eastAsia="Times New Roman" w:hAnsi="Times New Roman" w:cs="Times New Roman"/>
                <w:u w:val="single"/>
                <w:lang w:eastAsia="ru-RU"/>
              </w:rPr>
              <w:t>http://www.vodokanal.sbor.ru/web/html/index-calc.html</w:t>
            </w:r>
          </w:p>
        </w:tc>
      </w:tr>
      <w:tr w:rsidR="00EF0409" w:rsidRPr="00EF0409" w:rsidTr="002440F7">
        <w:tc>
          <w:tcPr>
            <w:tcW w:w="2410" w:type="dxa"/>
            <w:vAlign w:val="center"/>
          </w:tcPr>
          <w:p w:rsidR="00EF0409" w:rsidRPr="0088268B" w:rsidRDefault="00EF0409" w:rsidP="002440F7">
            <w:pPr>
              <w:jc w:val="center"/>
              <w:rPr>
                <w:rFonts w:ascii="Times New Roman" w:eastAsia="Times New Roman" w:hAnsi="Times New Roman" w:cs="Times New Roman"/>
                <w:lang w:eastAsia="ru-RU"/>
              </w:rPr>
            </w:pPr>
            <w:r w:rsidRPr="0088268B">
              <w:rPr>
                <w:rFonts w:ascii="Times New Roman" w:eastAsia="Times New Roman" w:hAnsi="Times New Roman" w:cs="Times New Roman"/>
                <w:lang w:eastAsia="ru-RU"/>
              </w:rPr>
              <w:t>ООО «Сертоловские коммунальные системы»</w:t>
            </w:r>
          </w:p>
        </w:tc>
        <w:tc>
          <w:tcPr>
            <w:tcW w:w="3119" w:type="dxa"/>
            <w:vAlign w:val="center"/>
          </w:tcPr>
          <w:p w:rsidR="00EF0409" w:rsidRPr="0088268B" w:rsidRDefault="008C32C6" w:rsidP="002440F7">
            <w:pPr>
              <w:jc w:val="center"/>
              <w:rPr>
                <w:rFonts w:ascii="Times New Roman" w:eastAsia="Times New Roman" w:hAnsi="Times New Roman" w:cs="Times New Roman"/>
                <w:highlight w:val="yellow"/>
                <w:lang w:eastAsia="ru-RU"/>
              </w:rPr>
            </w:pPr>
            <w:hyperlink r:id="rId87" w:history="1">
              <w:r w:rsidR="00EF0409" w:rsidRPr="0088268B">
                <w:rPr>
                  <w:rFonts w:ascii="Times New Roman" w:eastAsia="Times New Roman" w:hAnsi="Times New Roman" w:cs="Times New Roman"/>
                  <w:u w:val="single"/>
                  <w:lang w:eastAsia="ru-RU"/>
                </w:rPr>
                <w:t>http://www.sertolovo-ks.ru/podklyuchenie/opredelit-vozmozhnost-podklyucheniya/</w:t>
              </w:r>
            </w:hyperlink>
          </w:p>
        </w:tc>
        <w:tc>
          <w:tcPr>
            <w:tcW w:w="4678" w:type="dxa"/>
            <w:vAlign w:val="center"/>
          </w:tcPr>
          <w:p w:rsidR="00EF0409" w:rsidRPr="0088268B" w:rsidRDefault="00EF0409" w:rsidP="002440F7">
            <w:pPr>
              <w:jc w:val="center"/>
              <w:rPr>
                <w:rFonts w:ascii="Times New Roman" w:eastAsia="Times New Roman" w:hAnsi="Times New Roman" w:cs="Times New Roman"/>
                <w:u w:val="single"/>
                <w:lang w:eastAsia="ru-RU"/>
              </w:rPr>
            </w:pPr>
            <w:r w:rsidRPr="0088268B">
              <w:rPr>
                <w:rFonts w:ascii="Times New Roman" w:eastAsia="Times New Roman" w:hAnsi="Times New Roman" w:cs="Times New Roman"/>
                <w:u w:val="single"/>
                <w:lang w:eastAsia="ru-RU"/>
              </w:rPr>
              <w:t>http://www.sertolovo-ks.ru/podklyuchenie/kalkulyator/</w:t>
            </w:r>
          </w:p>
        </w:tc>
      </w:tr>
      <w:tr w:rsidR="00EF0409" w:rsidRPr="00EF0409" w:rsidTr="002440F7">
        <w:tc>
          <w:tcPr>
            <w:tcW w:w="2410" w:type="dxa"/>
            <w:vAlign w:val="center"/>
          </w:tcPr>
          <w:p w:rsidR="00EF0409" w:rsidRPr="0088268B" w:rsidRDefault="00EF0409" w:rsidP="002440F7">
            <w:pPr>
              <w:jc w:val="center"/>
              <w:rPr>
                <w:rFonts w:ascii="Times New Roman" w:eastAsia="Times New Roman" w:hAnsi="Times New Roman" w:cs="Times New Roman"/>
                <w:u w:val="single"/>
                <w:lang w:eastAsia="ru-RU"/>
              </w:rPr>
            </w:pPr>
            <w:r w:rsidRPr="0088268B">
              <w:rPr>
                <w:rFonts w:ascii="Times New Roman" w:eastAsia="Times New Roman" w:hAnsi="Times New Roman" w:cs="Times New Roman"/>
                <w:lang w:eastAsia="ru-RU"/>
              </w:rPr>
              <w:t>ООО «СЗИ»</w:t>
            </w:r>
          </w:p>
        </w:tc>
        <w:tc>
          <w:tcPr>
            <w:tcW w:w="3119" w:type="dxa"/>
            <w:vAlign w:val="center"/>
          </w:tcPr>
          <w:p w:rsidR="00EF0409" w:rsidRPr="0088268B" w:rsidRDefault="008C32C6" w:rsidP="002440F7">
            <w:pPr>
              <w:jc w:val="center"/>
              <w:rPr>
                <w:rFonts w:ascii="Times New Roman" w:eastAsia="Times New Roman" w:hAnsi="Times New Roman" w:cs="Times New Roman"/>
                <w:u w:val="single"/>
                <w:lang w:eastAsia="ru-RU"/>
              </w:rPr>
            </w:pPr>
            <w:hyperlink r:id="rId88" w:history="1">
              <w:r w:rsidR="00EF0409" w:rsidRPr="0088268B">
                <w:rPr>
                  <w:rFonts w:ascii="Times New Roman" w:eastAsia="Times New Roman" w:hAnsi="Times New Roman" w:cs="Times New Roman"/>
                  <w:lang w:eastAsia="ru-RU"/>
                </w:rPr>
                <w:t>http://sze-lo.ru/abonentam/podkljuchenie/</w:t>
              </w:r>
            </w:hyperlink>
          </w:p>
        </w:tc>
        <w:tc>
          <w:tcPr>
            <w:tcW w:w="4678" w:type="dxa"/>
            <w:vAlign w:val="center"/>
          </w:tcPr>
          <w:p w:rsidR="00EF0409" w:rsidRPr="0088268B" w:rsidRDefault="00EF0409" w:rsidP="002440F7">
            <w:pPr>
              <w:jc w:val="center"/>
              <w:rPr>
                <w:rFonts w:ascii="Times New Roman" w:eastAsia="Times New Roman" w:hAnsi="Times New Roman" w:cs="Times New Roman"/>
                <w:u w:val="single"/>
                <w:lang w:eastAsia="ru-RU"/>
              </w:rPr>
            </w:pPr>
            <w:r w:rsidRPr="0088268B">
              <w:rPr>
                <w:rFonts w:ascii="Times New Roman" w:eastAsia="Times New Roman" w:hAnsi="Times New Roman" w:cs="Times New Roman"/>
                <w:u w:val="single"/>
                <w:lang w:eastAsia="ru-RU"/>
              </w:rPr>
              <w:t>http://sze-lo.ru/abonentam/kalkuljator-stoimosti/</w:t>
            </w:r>
          </w:p>
        </w:tc>
      </w:tr>
    </w:tbl>
    <w:p w:rsidR="005A40E5" w:rsidRDefault="005A40E5" w:rsidP="007B1863">
      <w:pPr>
        <w:shd w:val="clear" w:color="auto" w:fill="FFFFFF"/>
        <w:spacing w:after="0" w:line="360" w:lineRule="auto"/>
        <w:ind w:firstLine="709"/>
        <w:jc w:val="both"/>
        <w:rPr>
          <w:rFonts w:ascii="Times New Roman" w:hAnsi="Times New Roman" w:cs="Times New Roman"/>
          <w:sz w:val="24"/>
          <w:szCs w:val="24"/>
        </w:rPr>
      </w:pPr>
    </w:p>
    <w:p w:rsidR="007A7956" w:rsidRPr="007B1863" w:rsidRDefault="007A7956" w:rsidP="007B1863">
      <w:pPr>
        <w:shd w:val="clear" w:color="auto" w:fill="FFFFFF"/>
        <w:spacing w:after="0" w:line="360" w:lineRule="auto"/>
        <w:ind w:firstLine="709"/>
        <w:jc w:val="both"/>
        <w:rPr>
          <w:rFonts w:ascii="Times New Roman" w:hAnsi="Times New Roman" w:cs="Times New Roman"/>
          <w:sz w:val="24"/>
          <w:szCs w:val="24"/>
        </w:rPr>
      </w:pPr>
    </w:p>
    <w:p w:rsidR="00CA6047" w:rsidRPr="003736FC" w:rsidRDefault="003736FC" w:rsidP="00CA6047">
      <w:pPr>
        <w:shd w:val="clear" w:color="auto" w:fill="FFFFFF"/>
        <w:spacing w:after="0" w:line="360" w:lineRule="auto"/>
        <w:ind w:firstLine="709"/>
        <w:jc w:val="center"/>
        <w:rPr>
          <w:rFonts w:ascii="Times New Roman" w:hAnsi="Times New Roman" w:cs="Times New Roman"/>
          <w:b/>
          <w:sz w:val="24"/>
          <w:szCs w:val="24"/>
        </w:rPr>
      </w:pPr>
      <w:r w:rsidRPr="003736FC">
        <w:rPr>
          <w:rFonts w:ascii="Times New Roman" w:hAnsi="Times New Roman" w:cs="Times New Roman"/>
          <w:b/>
          <w:sz w:val="24"/>
          <w:szCs w:val="24"/>
        </w:rPr>
        <w:t xml:space="preserve">3.4.7. </w:t>
      </w:r>
      <w:r w:rsidR="00CA6047" w:rsidRPr="003736FC">
        <w:rPr>
          <w:rFonts w:ascii="Times New Roman" w:hAnsi="Times New Roman" w:cs="Times New Roman"/>
          <w:b/>
          <w:sz w:val="24"/>
          <w:szCs w:val="24"/>
        </w:rPr>
        <w:t>О динамике оказываемых ресурсоснабжающими организациями и субъектами естественных монополий услуг по подключению к сетям инженерно-технического обеспечения на базе многофункциональных центров предоставления государственных и муниципальных услуг.</w:t>
      </w:r>
    </w:p>
    <w:p w:rsidR="00CA6047" w:rsidRPr="00CA6047" w:rsidRDefault="00CA6047" w:rsidP="00CA6047">
      <w:pPr>
        <w:shd w:val="clear" w:color="auto" w:fill="FFFFFF"/>
        <w:spacing w:after="0" w:line="360" w:lineRule="auto"/>
        <w:ind w:firstLine="709"/>
        <w:jc w:val="both"/>
        <w:rPr>
          <w:rFonts w:ascii="Times New Roman" w:hAnsi="Times New Roman" w:cs="Times New Roman"/>
          <w:sz w:val="24"/>
          <w:szCs w:val="24"/>
        </w:rPr>
      </w:pPr>
    </w:p>
    <w:p w:rsidR="00CA6047" w:rsidRPr="005A1797" w:rsidRDefault="00CA6047" w:rsidP="008A134A">
      <w:pPr>
        <w:shd w:val="clear" w:color="auto" w:fill="FFFFFF"/>
        <w:spacing w:after="0" w:line="360" w:lineRule="auto"/>
        <w:ind w:firstLine="709"/>
        <w:jc w:val="both"/>
        <w:rPr>
          <w:rFonts w:ascii="Times New Roman" w:hAnsi="Times New Roman" w:cs="Times New Roman"/>
          <w:sz w:val="24"/>
          <w:szCs w:val="24"/>
        </w:rPr>
      </w:pPr>
      <w:r w:rsidRPr="00CA6047">
        <w:rPr>
          <w:rFonts w:ascii="Times New Roman" w:hAnsi="Times New Roman" w:cs="Times New Roman"/>
          <w:sz w:val="24"/>
          <w:szCs w:val="24"/>
        </w:rPr>
        <w:t>Согласно данным ГБУ ЛО «Многофункциональный центр предоставления государственных и муниципальных услуг» в 202</w:t>
      </w:r>
      <w:r w:rsidR="003736FC">
        <w:rPr>
          <w:rFonts w:ascii="Times New Roman" w:hAnsi="Times New Roman" w:cs="Times New Roman"/>
          <w:sz w:val="24"/>
          <w:szCs w:val="24"/>
        </w:rPr>
        <w:t>2</w:t>
      </w:r>
      <w:r w:rsidRPr="00CA6047">
        <w:rPr>
          <w:rFonts w:ascii="Times New Roman" w:hAnsi="Times New Roman" w:cs="Times New Roman"/>
          <w:sz w:val="24"/>
          <w:szCs w:val="24"/>
        </w:rPr>
        <w:t xml:space="preserve"> году действует 2 агентских договора на предоставление услуг по подключению к сетям инженерно-технического обеспечения на базе центра с компанией АО «Энергосервисная компания «Ленэнерго» и с Муниципальным предприятием «Жилищное хозяйство» муниципального образования Киришского муниципального района.</w:t>
      </w:r>
    </w:p>
    <w:p w:rsidR="00CA6047" w:rsidRPr="000C4269" w:rsidRDefault="00CA6047" w:rsidP="00CA6047">
      <w:pPr>
        <w:shd w:val="clear" w:color="auto" w:fill="FFFFFF"/>
        <w:spacing w:after="0" w:line="360" w:lineRule="auto"/>
        <w:ind w:firstLine="709"/>
        <w:jc w:val="both"/>
        <w:rPr>
          <w:rFonts w:ascii="Times New Roman" w:hAnsi="Times New Roman" w:cs="Times New Roman"/>
          <w:sz w:val="24"/>
          <w:szCs w:val="24"/>
          <w:highlight w:val="yellow"/>
        </w:rPr>
      </w:pPr>
      <w:r w:rsidRPr="000C4269">
        <w:rPr>
          <w:rFonts w:ascii="Times New Roman" w:hAnsi="Times New Roman" w:cs="Times New Roman"/>
          <w:sz w:val="24"/>
          <w:szCs w:val="24"/>
          <w:highlight w:val="yellow"/>
        </w:rPr>
        <w:t>Количество принятых заявлений составило:</w:t>
      </w:r>
    </w:p>
    <w:p w:rsidR="00CA6047" w:rsidRPr="000C4269" w:rsidRDefault="00CA6047" w:rsidP="00CA6047">
      <w:pPr>
        <w:shd w:val="clear" w:color="auto" w:fill="FFFFFF"/>
        <w:spacing w:after="0" w:line="360" w:lineRule="auto"/>
        <w:ind w:firstLine="709"/>
        <w:jc w:val="both"/>
        <w:rPr>
          <w:rFonts w:ascii="Times New Roman" w:hAnsi="Times New Roman" w:cs="Times New Roman"/>
          <w:sz w:val="24"/>
          <w:szCs w:val="24"/>
          <w:highlight w:val="yellow"/>
        </w:rPr>
      </w:pPr>
      <w:r w:rsidRPr="000C4269">
        <w:rPr>
          <w:rFonts w:ascii="Times New Roman" w:hAnsi="Times New Roman" w:cs="Times New Roman"/>
          <w:sz w:val="24"/>
          <w:szCs w:val="24"/>
          <w:highlight w:val="yellow"/>
        </w:rPr>
        <w:t>2017 г. – 35</w:t>
      </w:r>
    </w:p>
    <w:p w:rsidR="00CA6047" w:rsidRPr="000C4269" w:rsidRDefault="00CA6047" w:rsidP="00CA6047">
      <w:pPr>
        <w:shd w:val="clear" w:color="auto" w:fill="FFFFFF"/>
        <w:spacing w:after="0" w:line="360" w:lineRule="auto"/>
        <w:ind w:firstLine="709"/>
        <w:jc w:val="both"/>
        <w:rPr>
          <w:rFonts w:ascii="Times New Roman" w:hAnsi="Times New Roman" w:cs="Times New Roman"/>
          <w:sz w:val="24"/>
          <w:szCs w:val="24"/>
          <w:highlight w:val="yellow"/>
        </w:rPr>
      </w:pPr>
      <w:r w:rsidRPr="000C4269">
        <w:rPr>
          <w:rFonts w:ascii="Times New Roman" w:hAnsi="Times New Roman" w:cs="Times New Roman"/>
          <w:sz w:val="24"/>
          <w:szCs w:val="24"/>
          <w:highlight w:val="yellow"/>
        </w:rPr>
        <w:t>2018 г. – 1384;</w:t>
      </w:r>
    </w:p>
    <w:p w:rsidR="00CA6047" w:rsidRPr="000C4269" w:rsidRDefault="00CA6047" w:rsidP="00CA6047">
      <w:pPr>
        <w:shd w:val="clear" w:color="auto" w:fill="FFFFFF"/>
        <w:spacing w:after="0" w:line="360" w:lineRule="auto"/>
        <w:ind w:firstLine="709"/>
        <w:jc w:val="both"/>
        <w:rPr>
          <w:rFonts w:ascii="Times New Roman" w:hAnsi="Times New Roman" w:cs="Times New Roman"/>
          <w:sz w:val="24"/>
          <w:szCs w:val="24"/>
          <w:highlight w:val="yellow"/>
        </w:rPr>
      </w:pPr>
      <w:r w:rsidRPr="000C4269">
        <w:rPr>
          <w:rFonts w:ascii="Times New Roman" w:hAnsi="Times New Roman" w:cs="Times New Roman"/>
          <w:sz w:val="24"/>
          <w:szCs w:val="24"/>
          <w:highlight w:val="yellow"/>
        </w:rPr>
        <w:t>2019 г. – 2129;</w:t>
      </w:r>
    </w:p>
    <w:p w:rsidR="00CA6047" w:rsidRPr="000C4269" w:rsidRDefault="00CA6047" w:rsidP="00CA6047">
      <w:pPr>
        <w:shd w:val="clear" w:color="auto" w:fill="FFFFFF"/>
        <w:spacing w:after="0" w:line="360" w:lineRule="auto"/>
        <w:ind w:firstLine="709"/>
        <w:jc w:val="both"/>
        <w:rPr>
          <w:rFonts w:ascii="Times New Roman" w:hAnsi="Times New Roman" w:cs="Times New Roman"/>
          <w:sz w:val="24"/>
          <w:szCs w:val="24"/>
          <w:highlight w:val="yellow"/>
        </w:rPr>
      </w:pPr>
      <w:r w:rsidRPr="000C4269">
        <w:rPr>
          <w:rFonts w:ascii="Times New Roman" w:hAnsi="Times New Roman" w:cs="Times New Roman"/>
          <w:sz w:val="24"/>
          <w:szCs w:val="24"/>
          <w:highlight w:val="yellow"/>
        </w:rPr>
        <w:t>2020 г. – 649;</w:t>
      </w:r>
    </w:p>
    <w:p w:rsidR="00CA6047" w:rsidRDefault="003736FC" w:rsidP="00CA6047">
      <w:pPr>
        <w:shd w:val="clear" w:color="auto" w:fill="FFFFFF"/>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highlight w:val="yellow"/>
        </w:rPr>
        <w:t>2021г. – 837</w:t>
      </w:r>
    </w:p>
    <w:p w:rsidR="003736FC" w:rsidRDefault="003736FC" w:rsidP="00CA6047">
      <w:pPr>
        <w:shd w:val="clear" w:color="auto" w:fill="FFFFFF"/>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2022г. – 940.</w:t>
      </w:r>
    </w:p>
    <w:p w:rsidR="003736FC" w:rsidRPr="005A1797" w:rsidRDefault="003736FC" w:rsidP="008A134A">
      <w:pPr>
        <w:shd w:val="clear" w:color="auto" w:fill="FFFFFF"/>
        <w:spacing w:after="0" w:line="360" w:lineRule="auto"/>
        <w:jc w:val="both"/>
        <w:rPr>
          <w:rFonts w:ascii="Times New Roman" w:hAnsi="Times New Roman" w:cs="Times New Roman"/>
          <w:sz w:val="24"/>
          <w:szCs w:val="24"/>
        </w:rPr>
      </w:pPr>
    </w:p>
    <w:p w:rsidR="000824A7" w:rsidRPr="00D4338E" w:rsidRDefault="0055762B" w:rsidP="00080A73">
      <w:pPr>
        <w:pStyle w:val="a4"/>
        <w:widowControl w:val="0"/>
        <w:numPr>
          <w:ilvl w:val="1"/>
          <w:numId w:val="30"/>
        </w:numPr>
        <w:tabs>
          <w:tab w:val="left" w:pos="0"/>
          <w:tab w:val="center" w:pos="142"/>
        </w:tabs>
        <w:spacing w:after="0" w:line="360" w:lineRule="auto"/>
        <w:ind w:left="0" w:firstLine="0"/>
        <w:jc w:val="center"/>
        <w:rPr>
          <w:rFonts w:ascii="Times New Roman" w:eastAsia="Times New Roman" w:hAnsi="Times New Roman" w:cs="Times New Roman"/>
          <w:b/>
          <w:color w:val="000000"/>
          <w:sz w:val="24"/>
          <w:szCs w:val="24"/>
          <w:lang w:eastAsia="ru-RU" w:bidi="ru-RU"/>
        </w:rPr>
      </w:pPr>
      <w:bookmarkStart w:id="34" w:name="_Hlk53609811"/>
      <w:bookmarkEnd w:id="34"/>
      <w:r w:rsidRPr="00D4338E">
        <w:rPr>
          <w:rFonts w:ascii="Times New Roman" w:eastAsia="Times New Roman" w:hAnsi="Times New Roman" w:cs="Times New Roman"/>
          <w:b/>
          <w:color w:val="000000"/>
          <w:sz w:val="24"/>
          <w:szCs w:val="24"/>
          <w:lang w:eastAsia="ru-RU" w:bidi="ru-RU"/>
        </w:rPr>
        <w:t>Результаты</w:t>
      </w:r>
      <w:r w:rsidR="000824A7" w:rsidRPr="00D4338E">
        <w:rPr>
          <w:rFonts w:ascii="Times New Roman" w:eastAsia="Times New Roman" w:hAnsi="Times New Roman" w:cs="Times New Roman"/>
          <w:b/>
          <w:color w:val="000000"/>
          <w:sz w:val="24"/>
          <w:szCs w:val="24"/>
          <w:lang w:eastAsia="ru-RU" w:bidi="ru-RU"/>
        </w:rPr>
        <w:t xml:space="preserve"> мониторинга деятельности хозяйствующих субъектов, доля участия субъекта Российской Федерации или муниципального образования в которых составляет 50 и более проц</w:t>
      </w:r>
      <w:r w:rsidR="00D4338E" w:rsidRPr="00D4338E">
        <w:rPr>
          <w:rFonts w:ascii="Times New Roman" w:eastAsia="Times New Roman" w:hAnsi="Times New Roman" w:cs="Times New Roman"/>
          <w:b/>
          <w:color w:val="000000"/>
          <w:sz w:val="24"/>
          <w:szCs w:val="24"/>
          <w:lang w:eastAsia="ru-RU" w:bidi="ru-RU"/>
        </w:rPr>
        <w:t>ентов размещены</w:t>
      </w:r>
    </w:p>
    <w:p w:rsidR="00933AF2" w:rsidRPr="007B1863" w:rsidRDefault="00933AF2" w:rsidP="007B1863">
      <w:pPr>
        <w:spacing w:after="0" w:line="360" w:lineRule="auto"/>
        <w:ind w:firstLine="709"/>
        <w:jc w:val="both"/>
        <w:rPr>
          <w:rFonts w:ascii="Times New Roman" w:eastAsia="Calibri" w:hAnsi="Times New Roman" w:cs="Times New Roman"/>
          <w:sz w:val="24"/>
          <w:szCs w:val="24"/>
        </w:rPr>
      </w:pPr>
      <w:r w:rsidRPr="007B1863">
        <w:rPr>
          <w:rFonts w:ascii="Times New Roman" w:eastAsia="Calibri" w:hAnsi="Times New Roman" w:cs="Times New Roman"/>
          <w:sz w:val="24"/>
          <w:szCs w:val="24"/>
        </w:rPr>
        <w:t>В целях определения эффективности хозяйствующих субъектов с долей участия Ленинградской области или муниципального образования Ленинградской области 50 и более процентов проведен мониторинг деятельности предварительных данных субъектов за 202</w:t>
      </w:r>
      <w:r w:rsidR="00CA6047">
        <w:rPr>
          <w:rFonts w:ascii="Times New Roman" w:eastAsia="Calibri" w:hAnsi="Times New Roman" w:cs="Times New Roman"/>
          <w:sz w:val="24"/>
          <w:szCs w:val="24"/>
        </w:rPr>
        <w:t>1</w:t>
      </w:r>
      <w:r w:rsidRPr="007B1863">
        <w:rPr>
          <w:rFonts w:ascii="Times New Roman" w:eastAsia="Calibri" w:hAnsi="Times New Roman" w:cs="Times New Roman"/>
          <w:sz w:val="24"/>
          <w:szCs w:val="24"/>
        </w:rPr>
        <w:t xml:space="preserve"> год.</w:t>
      </w:r>
    </w:p>
    <w:p w:rsidR="00933AF2" w:rsidRPr="007B1863" w:rsidRDefault="00933AF2" w:rsidP="007B1863">
      <w:pPr>
        <w:spacing w:after="0" w:line="360" w:lineRule="auto"/>
        <w:ind w:firstLine="709"/>
        <w:jc w:val="both"/>
        <w:rPr>
          <w:rFonts w:ascii="Times New Roman" w:eastAsia="Calibri" w:hAnsi="Times New Roman" w:cs="Times New Roman"/>
          <w:sz w:val="24"/>
          <w:szCs w:val="24"/>
        </w:rPr>
      </w:pPr>
      <w:r w:rsidRPr="007B1863">
        <w:rPr>
          <w:rFonts w:ascii="Times New Roman" w:eastAsia="Calibri" w:hAnsi="Times New Roman" w:cs="Times New Roman"/>
          <w:sz w:val="24"/>
          <w:szCs w:val="24"/>
        </w:rPr>
        <w:t>Мониторинг включает в себя анализ выполнения основных показателей планов финансово-хозяйственной деятельности хозяйствующих субъектов.</w:t>
      </w:r>
    </w:p>
    <w:p w:rsidR="00933AF2" w:rsidRPr="007B1863" w:rsidRDefault="00933AF2" w:rsidP="007B1863">
      <w:pPr>
        <w:spacing w:after="0" w:line="360" w:lineRule="auto"/>
        <w:ind w:firstLine="709"/>
        <w:jc w:val="both"/>
        <w:rPr>
          <w:rFonts w:ascii="Times New Roman" w:eastAsia="Calibri" w:hAnsi="Times New Roman" w:cs="Times New Roman"/>
          <w:sz w:val="24"/>
          <w:szCs w:val="24"/>
        </w:rPr>
      </w:pPr>
      <w:r w:rsidRPr="007B1863">
        <w:rPr>
          <w:rFonts w:ascii="Times New Roman" w:eastAsia="Calibri" w:hAnsi="Times New Roman" w:cs="Times New Roman"/>
          <w:sz w:val="24"/>
          <w:szCs w:val="24"/>
        </w:rPr>
        <w:t xml:space="preserve">По результатам проведенного мониторинга сформирован реестр (перечень) хозяйствующих субъектов, доля участия Ленинградской области или муниципального образования Ленинградской области в которых составляет 50 и более процентов, осуществляющих свою деятельность на территории Ленинградской области с указанием рынка присутствия (в соответствии с ОКВЭД). </w:t>
      </w:r>
    </w:p>
    <w:p w:rsidR="00933AF2" w:rsidRDefault="00933AF2" w:rsidP="007B1863">
      <w:pPr>
        <w:spacing w:after="0" w:line="360" w:lineRule="auto"/>
        <w:ind w:firstLine="709"/>
        <w:jc w:val="both"/>
        <w:rPr>
          <w:rFonts w:ascii="Times New Roman" w:eastAsia="Calibri" w:hAnsi="Times New Roman" w:cs="Times New Roman"/>
          <w:sz w:val="24"/>
          <w:szCs w:val="24"/>
        </w:rPr>
      </w:pPr>
      <w:r w:rsidRPr="007B1863">
        <w:rPr>
          <w:rFonts w:ascii="Times New Roman" w:eastAsia="Calibri" w:hAnsi="Times New Roman" w:cs="Times New Roman"/>
          <w:sz w:val="24"/>
          <w:szCs w:val="24"/>
        </w:rPr>
        <w:t>Сформированный реестр включает в себя рынок присутствия каждого хозяйствующего субъекта, доли занимаемого каждым хозяйствующим субъектом рынка (как в стоимостном, так и в натуральном выражении), объем финансирования каждого хозяйствующего субъекта из бюджета субъекта РФ и бюджетов муниципальных образований.</w:t>
      </w:r>
    </w:p>
    <w:p w:rsidR="00D4338E" w:rsidRDefault="008C32C6" w:rsidP="007B1863">
      <w:pPr>
        <w:spacing w:after="0" w:line="360" w:lineRule="auto"/>
        <w:ind w:firstLine="709"/>
        <w:jc w:val="both"/>
        <w:rPr>
          <w:rFonts w:ascii="Times New Roman" w:eastAsia="Times New Roman" w:hAnsi="Times New Roman" w:cs="Times New Roman"/>
          <w:color w:val="000000"/>
          <w:sz w:val="24"/>
          <w:szCs w:val="24"/>
          <w:lang w:eastAsia="ru-RU" w:bidi="ru-RU"/>
        </w:rPr>
      </w:pPr>
      <w:hyperlink r:id="rId89" w:history="1">
        <w:r w:rsidR="00D4338E" w:rsidRPr="0077268B">
          <w:rPr>
            <w:rStyle w:val="a6"/>
            <w:rFonts w:ascii="Times New Roman" w:eastAsia="Times New Roman" w:hAnsi="Times New Roman" w:cs="Times New Roman"/>
            <w:sz w:val="24"/>
            <w:szCs w:val="24"/>
            <w:lang w:eastAsia="ru-RU" w:bidi="ru-RU"/>
          </w:rPr>
          <w:t>https://econ.lenobl.ru/ru/budget/competition/standard/monitoringa-sostoyaniya-i-razvitiya-konkurentnoj-sredy-na-rynkah-tovar/</w:t>
        </w:r>
      </w:hyperlink>
    </w:p>
    <w:p w:rsidR="00D4338E" w:rsidRPr="007B1863" w:rsidRDefault="00D4338E" w:rsidP="007B1863">
      <w:pPr>
        <w:spacing w:after="0" w:line="360" w:lineRule="auto"/>
        <w:ind w:firstLine="709"/>
        <w:jc w:val="both"/>
        <w:rPr>
          <w:rFonts w:ascii="Times New Roman" w:eastAsia="Times New Roman" w:hAnsi="Times New Roman" w:cs="Times New Roman"/>
          <w:color w:val="000000"/>
          <w:sz w:val="24"/>
          <w:szCs w:val="24"/>
          <w:lang w:eastAsia="ru-RU" w:bidi="ru-RU"/>
        </w:rPr>
      </w:pPr>
    </w:p>
    <w:p w:rsidR="000824A7" w:rsidRPr="00D4338E" w:rsidRDefault="00933AF2" w:rsidP="00080A73">
      <w:pPr>
        <w:pStyle w:val="a4"/>
        <w:widowControl w:val="0"/>
        <w:numPr>
          <w:ilvl w:val="1"/>
          <w:numId w:val="31"/>
        </w:numPr>
        <w:tabs>
          <w:tab w:val="left" w:pos="0"/>
          <w:tab w:val="center" w:pos="142"/>
        </w:tabs>
        <w:spacing w:after="0" w:line="360" w:lineRule="auto"/>
        <w:ind w:left="0" w:firstLine="0"/>
        <w:jc w:val="center"/>
        <w:rPr>
          <w:rFonts w:ascii="Times New Roman" w:eastAsia="Times New Roman" w:hAnsi="Times New Roman" w:cs="Times New Roman"/>
          <w:b/>
          <w:color w:val="000000"/>
          <w:sz w:val="24"/>
          <w:szCs w:val="24"/>
          <w:lang w:eastAsia="ru-RU" w:bidi="ru-RU"/>
        </w:rPr>
      </w:pPr>
      <w:r w:rsidRPr="00D4338E">
        <w:rPr>
          <w:rFonts w:ascii="Times New Roman" w:eastAsia="Times New Roman" w:hAnsi="Times New Roman" w:cs="Times New Roman"/>
          <w:b/>
          <w:color w:val="000000"/>
          <w:sz w:val="24"/>
          <w:szCs w:val="24"/>
          <w:lang w:eastAsia="ru-RU" w:bidi="ru-RU"/>
        </w:rPr>
        <w:t xml:space="preserve">Результаты мониторинга </w:t>
      </w:r>
      <w:r w:rsidR="000824A7" w:rsidRPr="00D4338E">
        <w:rPr>
          <w:rFonts w:ascii="Times New Roman" w:eastAsia="Times New Roman" w:hAnsi="Times New Roman" w:cs="Times New Roman"/>
          <w:b/>
          <w:color w:val="000000"/>
          <w:sz w:val="24"/>
          <w:szCs w:val="24"/>
          <w:lang w:eastAsia="ru-RU" w:bidi="ru-RU"/>
        </w:rPr>
        <w:t>удовлетворенности населения и субъектов малого и среднего предпринимательства деятельностью в сфере финансовых услуг, осуществляемой на территори</w:t>
      </w:r>
      <w:r w:rsidR="0014600C" w:rsidRPr="00D4338E">
        <w:rPr>
          <w:rFonts w:ascii="Times New Roman" w:eastAsia="Times New Roman" w:hAnsi="Times New Roman" w:cs="Times New Roman"/>
          <w:b/>
          <w:color w:val="000000"/>
          <w:sz w:val="24"/>
          <w:szCs w:val="24"/>
          <w:lang w:eastAsia="ru-RU" w:bidi="ru-RU"/>
        </w:rPr>
        <w:t>и субъекта Российской Федерации</w:t>
      </w:r>
    </w:p>
    <w:p w:rsidR="00D4338E" w:rsidRDefault="00D4338E" w:rsidP="000F4C84">
      <w:pPr>
        <w:pStyle w:val="a4"/>
        <w:widowControl w:val="0"/>
        <w:tabs>
          <w:tab w:val="left" w:pos="0"/>
          <w:tab w:val="center" w:pos="142"/>
        </w:tabs>
        <w:spacing w:after="0" w:line="360" w:lineRule="auto"/>
        <w:ind w:left="0"/>
        <w:rPr>
          <w:rFonts w:ascii="Times New Roman" w:eastAsia="Times New Roman" w:hAnsi="Times New Roman" w:cs="Times New Roman"/>
          <w:color w:val="000000"/>
          <w:sz w:val="24"/>
          <w:szCs w:val="24"/>
          <w:u w:val="single"/>
          <w:lang w:eastAsia="ru-RU" w:bidi="ru-RU"/>
        </w:rPr>
      </w:pPr>
    </w:p>
    <w:p w:rsidR="000F4C84" w:rsidRPr="008A134A" w:rsidRDefault="000F4C84" w:rsidP="000F4C84">
      <w:pPr>
        <w:keepNext/>
        <w:keepLines/>
        <w:spacing w:before="40" w:after="240" w:line="240" w:lineRule="auto"/>
        <w:jc w:val="center"/>
        <w:outlineLvl w:val="2"/>
        <w:rPr>
          <w:rFonts w:ascii="Times New Roman" w:eastAsia="Arial" w:hAnsi="Times New Roman" w:cs="Times New Roman"/>
          <w:b/>
          <w:color w:val="000000"/>
          <w:sz w:val="24"/>
          <w:szCs w:val="24"/>
          <w:lang w:eastAsia="ru-RU"/>
        </w:rPr>
      </w:pPr>
      <w:bookmarkStart w:id="35" w:name="_Toc119695544"/>
      <w:bookmarkStart w:id="36" w:name="_Toc122720247"/>
      <w:r w:rsidRPr="008A134A">
        <w:rPr>
          <w:rFonts w:ascii="Times New Roman" w:eastAsia="Arial" w:hAnsi="Times New Roman" w:cs="Times New Roman"/>
          <w:b/>
          <w:color w:val="000000"/>
          <w:sz w:val="24"/>
          <w:szCs w:val="24"/>
          <w:lang w:eastAsia="ru-RU"/>
        </w:rPr>
        <w:t>3.6.1. Об уровне удовлетворенности населения доступным ему выбором финансовых организаций, осуществляющих деятельность в Ленинградской области</w:t>
      </w:r>
      <w:bookmarkEnd w:id="35"/>
      <w:bookmarkEnd w:id="36"/>
    </w:p>
    <w:p w:rsidR="000F4C84" w:rsidRPr="008A134A" w:rsidRDefault="000F4C84" w:rsidP="000F4C84">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8A134A">
        <w:rPr>
          <w:rFonts w:ascii="Times New Roman" w:eastAsia="Times New Roman" w:hAnsi="Times New Roman" w:cs="Times New Roman"/>
          <w:color w:val="000000"/>
          <w:sz w:val="24"/>
          <w:szCs w:val="24"/>
          <w:lang w:eastAsia="ru-RU"/>
        </w:rPr>
        <w:t>Уровень востребованности услуг различных финансовых организаций среди населения Ленинградской области неравномерен. Наиболее активно жители пользуются услугами банков (87% от числа опрошенных) и субъектов страхового дела (49%). Менее всего востребованы услуги брокеров (24% от числа опрошенных).</w:t>
      </w:r>
    </w:p>
    <w:p w:rsidR="000F4C84" w:rsidRPr="000F4C84" w:rsidRDefault="000F4C84" w:rsidP="008A134A">
      <w:pPr>
        <w:keepNext/>
        <w:keepLines/>
        <w:spacing w:before="120" w:after="120" w:line="240" w:lineRule="auto"/>
        <w:jc w:val="center"/>
        <w:rPr>
          <w:rFonts w:ascii="Times New Roman" w:eastAsia="Calibri" w:hAnsi="Times New Roman" w:cs="Times New Roman"/>
          <w:b/>
          <w:iCs/>
          <w:color w:val="000000"/>
          <w:sz w:val="24"/>
          <w:szCs w:val="28"/>
        </w:rPr>
      </w:pPr>
      <w:r w:rsidRPr="000F4C84">
        <w:rPr>
          <w:rFonts w:ascii="Times New Roman" w:eastAsia="Calibri" w:hAnsi="Times New Roman" w:cs="Times New Roman"/>
          <w:iCs/>
          <w:color w:val="000000"/>
          <w:sz w:val="24"/>
          <w:szCs w:val="28"/>
        </w:rPr>
        <w:t xml:space="preserve">Рисунок </w:t>
      </w:r>
      <w:r w:rsidR="008A134A">
        <w:rPr>
          <w:rFonts w:ascii="Times New Roman" w:eastAsia="Calibri" w:hAnsi="Times New Roman" w:cs="Times New Roman"/>
          <w:iCs/>
          <w:color w:val="000000"/>
          <w:sz w:val="24"/>
          <w:szCs w:val="28"/>
        </w:rPr>
        <w:t>40</w:t>
      </w:r>
      <w:r w:rsidRPr="000F4C84">
        <w:rPr>
          <w:rFonts w:ascii="Times New Roman" w:eastAsia="Calibri" w:hAnsi="Times New Roman" w:cs="Times New Roman"/>
          <w:iCs/>
          <w:color w:val="000000"/>
          <w:sz w:val="24"/>
          <w:szCs w:val="28"/>
        </w:rPr>
        <w:t xml:space="preserve">. </w:t>
      </w:r>
      <w:r w:rsidRPr="000F4C84">
        <w:rPr>
          <w:rFonts w:ascii="Times New Roman" w:eastAsia="Calibri" w:hAnsi="Times New Roman" w:cs="Times New Roman"/>
          <w:b/>
          <w:iCs/>
          <w:color w:val="000000"/>
          <w:sz w:val="24"/>
          <w:szCs w:val="28"/>
        </w:rPr>
        <w:t xml:space="preserve">Если говорить о Вашем населенном пункте, насколько Вы удовлетворены имеющимся у Вас выбором следующих финансовых организаций для получения необходимых Вам услуг...? </w:t>
      </w:r>
      <w:r w:rsidRPr="000F4C84">
        <w:rPr>
          <w:rFonts w:ascii="Times New Roman" w:eastAsia="Calibri" w:hAnsi="Times New Roman" w:cs="Times New Roman"/>
          <w:noProof/>
          <w:color w:val="000000"/>
          <w:sz w:val="24"/>
          <w:szCs w:val="24"/>
        </w:rPr>
        <w:t xml:space="preserve">(опрос населения, </w:t>
      </w:r>
      <w:r w:rsidRPr="000F4C84">
        <w:rPr>
          <w:rFonts w:ascii="Times New Roman" w:eastAsia="Calibri" w:hAnsi="Times New Roman" w:cs="Times New Roman"/>
          <w:color w:val="000000"/>
          <w:sz w:val="24"/>
          <w:szCs w:val="24"/>
        </w:rPr>
        <w:t>n=1200)</w:t>
      </w:r>
    </w:p>
    <w:p w:rsidR="000F4C84" w:rsidRPr="000F4C84" w:rsidRDefault="000F4C84" w:rsidP="000F4C84">
      <w:pPr>
        <w:spacing w:before="120" w:after="120" w:line="360" w:lineRule="auto"/>
        <w:jc w:val="both"/>
        <w:rPr>
          <w:rFonts w:ascii="Times New Roman" w:eastAsia="Arial" w:hAnsi="Times New Roman" w:cs="Times New Roman"/>
          <w:color w:val="000000"/>
          <w:sz w:val="28"/>
          <w:szCs w:val="28"/>
          <w:lang w:eastAsia="ru-RU"/>
        </w:rPr>
      </w:pPr>
      <w:r w:rsidRPr="000F4C84">
        <w:rPr>
          <w:rFonts w:ascii="Times New Roman" w:eastAsia="Franklin Gothic Book" w:hAnsi="Times New Roman" w:cs="Times New Roman"/>
          <w:noProof/>
          <w:color w:val="000000"/>
          <w:szCs w:val="24"/>
          <w:u w:color="000000"/>
          <w:lang w:eastAsia="ru-RU"/>
        </w:rPr>
        <w:drawing>
          <wp:inline distT="0" distB="0" distL="0" distR="0" wp14:anchorId="6D218E24" wp14:editId="3B56EACC">
            <wp:extent cx="6193155" cy="5362575"/>
            <wp:effectExtent l="0" t="0" r="0" b="0"/>
            <wp:docPr id="122" name="Диаграмма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0F4C84" w:rsidRPr="008A134A" w:rsidRDefault="000F4C84" w:rsidP="000F4C84">
      <w:pPr>
        <w:spacing w:after="0" w:line="360" w:lineRule="auto"/>
        <w:ind w:firstLine="709"/>
        <w:jc w:val="both"/>
        <w:rPr>
          <w:rFonts w:ascii="Times New Roman" w:eastAsia="Times New Roman" w:hAnsi="Times New Roman" w:cs="Times New Roman"/>
          <w:color w:val="000000"/>
          <w:sz w:val="24"/>
          <w:szCs w:val="24"/>
          <w:lang w:eastAsia="ru-RU"/>
        </w:rPr>
      </w:pPr>
      <w:r w:rsidRPr="008A134A">
        <w:rPr>
          <w:rFonts w:ascii="Times New Roman" w:eastAsia="Times New Roman" w:hAnsi="Times New Roman" w:cs="Times New Roman"/>
          <w:color w:val="000000"/>
          <w:sz w:val="24"/>
          <w:szCs w:val="24"/>
          <w:lang w:eastAsia="ru-RU"/>
        </w:rPr>
        <w:t>Уровень удовлетворенности населения доступным выбором финансовых организаций, осуществляющих деятельность в Ленинградской области, по каждому типу финансовых организаций рассчитан от числа сталкивавшихся с рассматриваемым финансовыми структурами</w:t>
      </w:r>
      <w:r w:rsidR="008A134A">
        <w:rPr>
          <w:rFonts w:ascii="Times New Roman" w:eastAsia="Times New Roman" w:hAnsi="Times New Roman" w:cs="Times New Roman"/>
          <w:color w:val="000000"/>
          <w:sz w:val="24"/>
          <w:szCs w:val="24"/>
          <w:lang w:eastAsia="ru-RU"/>
        </w:rPr>
        <w:t xml:space="preserve"> и представлен на рисунке 41.</w:t>
      </w:r>
    </w:p>
    <w:p w:rsidR="000F4C84" w:rsidRPr="000F4C84" w:rsidRDefault="000F4C84" w:rsidP="000F4C84">
      <w:pPr>
        <w:keepNext/>
        <w:keepLines/>
        <w:spacing w:before="120" w:after="120" w:line="240" w:lineRule="auto"/>
        <w:jc w:val="both"/>
        <w:rPr>
          <w:rFonts w:ascii="Times New Roman" w:eastAsia="Calibri" w:hAnsi="Times New Roman" w:cs="Times New Roman"/>
          <w:b/>
          <w:iCs/>
          <w:color w:val="000000"/>
          <w:sz w:val="24"/>
          <w:szCs w:val="28"/>
        </w:rPr>
      </w:pPr>
      <w:r w:rsidRPr="000F4C84">
        <w:rPr>
          <w:rFonts w:ascii="Times New Roman" w:eastAsia="Calibri" w:hAnsi="Times New Roman" w:cs="Times New Roman"/>
          <w:iCs/>
          <w:color w:val="000000"/>
          <w:sz w:val="24"/>
          <w:szCs w:val="28"/>
        </w:rPr>
        <w:t xml:space="preserve">Рисунок </w:t>
      </w:r>
      <w:r w:rsidR="008A134A">
        <w:rPr>
          <w:rFonts w:ascii="Times New Roman" w:eastAsia="Calibri" w:hAnsi="Times New Roman" w:cs="Times New Roman"/>
          <w:iCs/>
          <w:color w:val="000000"/>
          <w:sz w:val="24"/>
          <w:szCs w:val="28"/>
        </w:rPr>
        <w:t>41</w:t>
      </w:r>
      <w:r w:rsidRPr="000F4C84">
        <w:rPr>
          <w:rFonts w:ascii="Times New Roman" w:eastAsia="Calibri" w:hAnsi="Times New Roman" w:cs="Times New Roman"/>
          <w:iCs/>
          <w:color w:val="000000"/>
          <w:sz w:val="24"/>
          <w:szCs w:val="28"/>
        </w:rPr>
        <w:t xml:space="preserve">. </w:t>
      </w:r>
      <w:r w:rsidRPr="000F4C84">
        <w:rPr>
          <w:rFonts w:ascii="Times New Roman" w:eastAsia="Calibri" w:hAnsi="Times New Roman" w:cs="Times New Roman"/>
          <w:b/>
          <w:iCs/>
          <w:color w:val="000000"/>
          <w:sz w:val="24"/>
          <w:szCs w:val="28"/>
        </w:rPr>
        <w:t xml:space="preserve">Если говорить о Вашем населенном пункте, насколько Вы удовлетворены имеющимся у Вас выбором следующих финансовых организаций для получения необходимых Вам услуг...? </w:t>
      </w:r>
      <w:r w:rsidRPr="000F4C84">
        <w:rPr>
          <w:rFonts w:ascii="Times New Roman" w:eastAsia="Calibri" w:hAnsi="Times New Roman" w:cs="Times New Roman"/>
          <w:noProof/>
          <w:color w:val="000000"/>
          <w:sz w:val="24"/>
          <w:szCs w:val="24"/>
        </w:rPr>
        <w:t xml:space="preserve">(опрос населения, </w:t>
      </w:r>
      <w:r w:rsidRPr="000F4C84">
        <w:rPr>
          <w:rFonts w:ascii="Times New Roman" w:eastAsia="Calibri" w:hAnsi="Times New Roman" w:cs="Times New Roman"/>
          <w:color w:val="000000"/>
          <w:sz w:val="24"/>
          <w:szCs w:val="24"/>
        </w:rPr>
        <w:t>% от числа сталкивавшихся (по каждому типу организаций))</w:t>
      </w:r>
    </w:p>
    <w:p w:rsidR="000F4C84" w:rsidRPr="000F4C84" w:rsidRDefault="000F4C84" w:rsidP="000F4C84">
      <w:pPr>
        <w:spacing w:before="120" w:after="120" w:line="360" w:lineRule="auto"/>
        <w:jc w:val="both"/>
        <w:rPr>
          <w:rFonts w:ascii="Times New Roman" w:eastAsia="Arial" w:hAnsi="Times New Roman" w:cs="Times New Roman"/>
          <w:color w:val="000000"/>
          <w:sz w:val="28"/>
          <w:szCs w:val="28"/>
          <w:lang w:eastAsia="ru-RU"/>
        </w:rPr>
      </w:pPr>
      <w:r w:rsidRPr="000F4C84">
        <w:rPr>
          <w:rFonts w:ascii="Times New Roman" w:eastAsia="Franklin Gothic Book" w:hAnsi="Times New Roman" w:cs="Times New Roman"/>
          <w:noProof/>
          <w:color w:val="000000"/>
          <w:szCs w:val="24"/>
          <w:u w:color="000000"/>
          <w:lang w:eastAsia="ru-RU"/>
        </w:rPr>
        <w:drawing>
          <wp:inline distT="0" distB="0" distL="0" distR="0" wp14:anchorId="107A675C" wp14:editId="42DBE054">
            <wp:extent cx="6193155" cy="5610225"/>
            <wp:effectExtent l="0" t="0" r="0" b="0"/>
            <wp:docPr id="123" name="Диаграмма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0F4C84" w:rsidRPr="008A134A" w:rsidRDefault="000F4C84" w:rsidP="000F4C84">
      <w:pPr>
        <w:spacing w:after="0" w:line="360" w:lineRule="auto"/>
        <w:ind w:firstLine="709"/>
        <w:jc w:val="both"/>
        <w:rPr>
          <w:rFonts w:ascii="Times New Roman" w:eastAsia="Times New Roman" w:hAnsi="Times New Roman" w:cs="Times New Roman"/>
          <w:color w:val="000000"/>
          <w:sz w:val="24"/>
          <w:szCs w:val="24"/>
          <w:lang w:eastAsia="ru-RU"/>
        </w:rPr>
      </w:pPr>
      <w:r w:rsidRPr="008A134A">
        <w:rPr>
          <w:rFonts w:ascii="Times New Roman" w:eastAsia="Times New Roman" w:hAnsi="Times New Roman" w:cs="Times New Roman"/>
          <w:color w:val="000000"/>
          <w:sz w:val="24"/>
          <w:szCs w:val="24"/>
          <w:lang w:eastAsia="ru-RU"/>
        </w:rPr>
        <w:t xml:space="preserve">Наиболее позитивно получатели услуг оценивают возможность выбора таких финансовых организаций, как банки и субъекты страхового дела. Уровень удовлетворенности по этим структурам составил 68% и 66% соответственно. В отношении иных финансовых организаций отмечается значительно более низкий показатель удовлетворенности: 48% по услугам брокеров, 47% по небанковским кредитным структурам, и 45% по негосударственным пенсионным фондам. </w:t>
      </w:r>
    </w:p>
    <w:p w:rsidR="00851FF9" w:rsidRPr="008A134A" w:rsidRDefault="00851FF9" w:rsidP="00851FF9">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134A">
        <w:rPr>
          <w:rFonts w:ascii="Times New Roman" w:eastAsia="Times New Roman" w:hAnsi="Times New Roman" w:cs="Times New Roman"/>
          <w:color w:val="000000" w:themeColor="text1"/>
          <w:sz w:val="24"/>
          <w:szCs w:val="24"/>
          <w:lang w:eastAsia="ru-RU"/>
        </w:rPr>
        <w:t xml:space="preserve">В разрезе по социальному статусу участников опроса обращает на себя внимание, что студенты и самозанятые наиболее позитивно оценивают доступность выбора практически всех рассматриваемых финансовых структур. Так, данные категории населения выше других оценивают возможность выбора банковских организаций (по 81%). Также они и лица, ведущие домашнее хозяйство, выше всех оценивают доступность выбора микрофинансовых организаций, ломбардов, кредитных потребительских кооперативов и сельскохозяйственных кредитных потребительских кооперативов (61%, 59% и 59% соответственно). </w:t>
      </w:r>
    </w:p>
    <w:p w:rsidR="00851FF9" w:rsidRPr="008A134A" w:rsidRDefault="00851FF9" w:rsidP="00851FF9">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134A">
        <w:rPr>
          <w:rFonts w:ascii="Times New Roman" w:eastAsia="Times New Roman" w:hAnsi="Times New Roman" w:cs="Times New Roman"/>
          <w:color w:val="000000" w:themeColor="text1"/>
          <w:sz w:val="24"/>
          <w:szCs w:val="24"/>
          <w:lang w:eastAsia="ru-RU"/>
        </w:rPr>
        <w:t xml:space="preserve">Показатель удовлетворенности доступностью выбора субъектов страхового дела выше всего среди самозанятых (81%), а доступностью негосударственных пенсионных фондов и брокеров наиболее довольны студенты (72% и 69% соответственно). </w:t>
      </w:r>
    </w:p>
    <w:p w:rsidR="00851FF9" w:rsidRPr="008A134A" w:rsidRDefault="00851FF9" w:rsidP="00851FF9">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134A">
        <w:rPr>
          <w:rFonts w:ascii="Times New Roman" w:eastAsia="Times New Roman" w:hAnsi="Times New Roman" w:cs="Times New Roman"/>
          <w:color w:val="000000" w:themeColor="text1"/>
          <w:sz w:val="24"/>
          <w:szCs w:val="24"/>
          <w:lang w:eastAsia="ru-RU"/>
        </w:rPr>
        <w:t xml:space="preserve">Пенсионеры наиболее сдержанно оценивают возможность выбора как банковских, так и небанковских кредитных организаций (62% и 30% соответственно). </w:t>
      </w:r>
    </w:p>
    <w:p w:rsidR="00851FF9" w:rsidRPr="008A134A" w:rsidRDefault="00851FF9" w:rsidP="00851FF9">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134A">
        <w:rPr>
          <w:rFonts w:ascii="Times New Roman" w:eastAsia="Times New Roman" w:hAnsi="Times New Roman" w:cs="Times New Roman"/>
          <w:color w:val="000000" w:themeColor="text1"/>
          <w:sz w:val="24"/>
          <w:szCs w:val="24"/>
          <w:lang w:eastAsia="ru-RU"/>
        </w:rPr>
        <w:t xml:space="preserve">Студенты реже других положительно оценивали возможность выбора субъектов страхового дела (38%), а безработные – негосударственных пенсионных фондов (37%). </w:t>
      </w:r>
    </w:p>
    <w:p w:rsidR="00851FF9" w:rsidRPr="008A134A" w:rsidRDefault="00851FF9" w:rsidP="00851FF9">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134A">
        <w:rPr>
          <w:rFonts w:ascii="Times New Roman" w:eastAsia="Times New Roman" w:hAnsi="Times New Roman" w:cs="Times New Roman"/>
          <w:color w:val="000000" w:themeColor="text1"/>
          <w:sz w:val="24"/>
          <w:szCs w:val="24"/>
          <w:lang w:eastAsia="ru-RU"/>
        </w:rPr>
        <w:t>Уровень удовлетворенности жителей Ленинградской области такими параметрами, как количество и удобство расположения финансовых организаций представлен на рисунке ниже.</w:t>
      </w:r>
    </w:p>
    <w:p w:rsidR="00851FF9" w:rsidRPr="00250D73" w:rsidRDefault="00851FF9" w:rsidP="008A134A">
      <w:pPr>
        <w:keepNext/>
        <w:keepLines/>
        <w:spacing w:before="120" w:after="120" w:line="240" w:lineRule="auto"/>
        <w:jc w:val="center"/>
        <w:rPr>
          <w:rFonts w:ascii="Times New Roman" w:hAnsi="Times New Roman" w:cs="Times New Roman"/>
          <w:b/>
          <w:iCs/>
          <w:color w:val="000000" w:themeColor="text1"/>
          <w:sz w:val="24"/>
          <w:szCs w:val="28"/>
        </w:rPr>
      </w:pPr>
      <w:r w:rsidRPr="00250D73">
        <w:rPr>
          <w:rFonts w:ascii="Times New Roman" w:hAnsi="Times New Roman" w:cs="Times New Roman"/>
          <w:iCs/>
          <w:color w:val="000000" w:themeColor="text1"/>
          <w:sz w:val="24"/>
          <w:szCs w:val="28"/>
        </w:rPr>
        <w:t>Рисунок</w:t>
      </w:r>
      <w:r w:rsidR="008A134A">
        <w:rPr>
          <w:rFonts w:ascii="Times New Roman" w:hAnsi="Times New Roman" w:cs="Times New Roman"/>
          <w:iCs/>
          <w:color w:val="000000" w:themeColor="text1"/>
          <w:sz w:val="24"/>
          <w:szCs w:val="28"/>
        </w:rPr>
        <w:t xml:space="preserve"> 42</w:t>
      </w:r>
      <w:r w:rsidRPr="00250D73">
        <w:rPr>
          <w:rFonts w:ascii="Times New Roman" w:hAnsi="Times New Roman" w:cs="Times New Roman"/>
          <w:iCs/>
          <w:color w:val="000000" w:themeColor="text1"/>
          <w:sz w:val="24"/>
          <w:szCs w:val="28"/>
        </w:rPr>
        <w:t xml:space="preserve">. </w:t>
      </w:r>
      <w:r w:rsidRPr="00250D73">
        <w:rPr>
          <w:rFonts w:ascii="Times New Roman" w:hAnsi="Times New Roman" w:cs="Times New Roman"/>
          <w:b/>
          <w:iCs/>
          <w:color w:val="000000" w:themeColor="text1"/>
          <w:sz w:val="24"/>
          <w:szCs w:val="28"/>
        </w:rPr>
        <w:t xml:space="preserve">Если говорить о Вашем населенном пункте, насколько Вы удовлетворены количеством и удобством расположения следующих финансовых организаций для получения необходимых Вам услуг...? </w:t>
      </w:r>
      <w:r w:rsidRPr="00250D73">
        <w:rPr>
          <w:rFonts w:ascii="Times New Roman" w:hAnsi="Times New Roman" w:cs="Times New Roman"/>
          <w:noProof/>
          <w:color w:val="000000" w:themeColor="text1"/>
          <w:sz w:val="24"/>
          <w:szCs w:val="24"/>
        </w:rPr>
        <w:t xml:space="preserve">(опрос населения, </w:t>
      </w:r>
      <w:r w:rsidRPr="00250D73">
        <w:rPr>
          <w:rFonts w:ascii="Times New Roman" w:hAnsi="Times New Roman" w:cs="Times New Roman"/>
          <w:color w:val="000000" w:themeColor="text1"/>
          <w:sz w:val="24"/>
          <w:szCs w:val="24"/>
        </w:rPr>
        <w:t>n=1200)</w:t>
      </w:r>
    </w:p>
    <w:p w:rsidR="00851FF9" w:rsidRPr="00250D73" w:rsidRDefault="00851FF9" w:rsidP="00851FF9">
      <w:pPr>
        <w:spacing w:before="120" w:after="120" w:line="360" w:lineRule="auto"/>
        <w:jc w:val="both"/>
        <w:rPr>
          <w:rFonts w:ascii="Times New Roman" w:eastAsia="Arial" w:hAnsi="Times New Roman" w:cs="Times New Roman"/>
          <w:color w:val="000000" w:themeColor="text1"/>
          <w:sz w:val="28"/>
          <w:szCs w:val="28"/>
          <w:lang w:eastAsia="ru-RU"/>
        </w:rPr>
      </w:pPr>
      <w:r w:rsidRPr="00250D73">
        <w:rPr>
          <w:rFonts w:ascii="Times New Roman" w:eastAsia="Franklin Gothic Book" w:hAnsi="Times New Roman" w:cs="Times New Roman"/>
          <w:noProof/>
          <w:color w:val="000000" w:themeColor="text1"/>
          <w:szCs w:val="24"/>
          <w:u w:color="000000"/>
          <w:lang w:eastAsia="ru-RU"/>
        </w:rPr>
        <w:drawing>
          <wp:inline distT="0" distB="0" distL="0" distR="0" wp14:anchorId="29993C77" wp14:editId="76B1791E">
            <wp:extent cx="6193155" cy="5353050"/>
            <wp:effectExtent l="0" t="0" r="0" b="0"/>
            <wp:docPr id="2461" name="Диаграмма 246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851FF9" w:rsidRPr="00250D73" w:rsidRDefault="00851FF9" w:rsidP="00851FF9">
      <w:pPr>
        <w:spacing w:after="160" w:line="259" w:lineRule="auto"/>
        <w:rPr>
          <w:rFonts w:ascii="Times New Roman" w:eastAsia="Arial" w:hAnsi="Times New Roman" w:cs="Times New Roman"/>
          <w:color w:val="000000" w:themeColor="text1"/>
          <w:sz w:val="28"/>
          <w:szCs w:val="28"/>
          <w:lang w:eastAsia="ru-RU"/>
        </w:rPr>
      </w:pPr>
      <w:r w:rsidRPr="00250D73">
        <w:rPr>
          <w:rFonts w:ascii="Times New Roman" w:eastAsia="Arial" w:hAnsi="Times New Roman" w:cs="Times New Roman"/>
          <w:color w:val="000000" w:themeColor="text1"/>
          <w:sz w:val="28"/>
          <w:szCs w:val="28"/>
          <w:lang w:eastAsia="ru-RU"/>
        </w:rPr>
        <w:br w:type="page"/>
      </w:r>
    </w:p>
    <w:p w:rsidR="00851FF9" w:rsidRPr="008A134A" w:rsidRDefault="00851FF9" w:rsidP="00851FF9">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8A134A">
        <w:rPr>
          <w:rFonts w:ascii="Times New Roman" w:eastAsia="Times New Roman" w:hAnsi="Times New Roman" w:cs="Times New Roman"/>
          <w:color w:val="000000" w:themeColor="text1"/>
          <w:sz w:val="24"/>
          <w:szCs w:val="24"/>
          <w:lang w:eastAsia="ru-RU"/>
        </w:rPr>
        <w:t>В расчете от доли респондентов, сталкивавшихся с услугами рассматриваемых финансовых организаций, наиболее высокий уровень удовлетворенности населения количеством и удобством их расположения вновь фиксируется по банкам и субъектам страхового дела (68% и 66% соответственно). В наименьшей степени жители области довольны количеством и удобством расположения негосударственных пенсионных фондов (45% довольны, 55% - нет).</w:t>
      </w:r>
    </w:p>
    <w:p w:rsidR="000F4C84" w:rsidRDefault="000F4C84" w:rsidP="000F4C84">
      <w:pPr>
        <w:pStyle w:val="a4"/>
        <w:widowControl w:val="0"/>
        <w:tabs>
          <w:tab w:val="left" w:pos="0"/>
          <w:tab w:val="center" w:pos="142"/>
        </w:tabs>
        <w:spacing w:after="0" w:line="360" w:lineRule="auto"/>
        <w:ind w:left="0"/>
        <w:rPr>
          <w:rFonts w:ascii="Times New Roman" w:eastAsia="Times New Roman" w:hAnsi="Times New Roman" w:cs="Times New Roman"/>
          <w:color w:val="000000"/>
          <w:sz w:val="24"/>
          <w:szCs w:val="24"/>
          <w:u w:val="single"/>
          <w:lang w:eastAsia="ru-RU" w:bidi="ru-RU"/>
        </w:rPr>
      </w:pPr>
    </w:p>
    <w:p w:rsidR="00851FF9" w:rsidRPr="008A134A" w:rsidRDefault="00851FF9" w:rsidP="00851FF9">
      <w:pPr>
        <w:keepNext/>
        <w:keepLines/>
        <w:spacing w:before="40" w:after="240" w:line="240" w:lineRule="auto"/>
        <w:jc w:val="center"/>
        <w:outlineLvl w:val="2"/>
        <w:rPr>
          <w:rFonts w:ascii="Times New Roman" w:eastAsia="Arial" w:hAnsi="Times New Roman" w:cs="Times New Roman"/>
          <w:b/>
          <w:color w:val="000000"/>
          <w:sz w:val="24"/>
          <w:szCs w:val="24"/>
          <w:lang w:eastAsia="ru-RU"/>
        </w:rPr>
      </w:pPr>
      <w:bookmarkStart w:id="37" w:name="_Toc119695545"/>
      <w:bookmarkStart w:id="38" w:name="_Toc122720248"/>
      <w:r w:rsidRPr="008A134A">
        <w:rPr>
          <w:rFonts w:ascii="Times New Roman" w:eastAsia="Arial" w:hAnsi="Times New Roman" w:cs="Times New Roman"/>
          <w:b/>
          <w:color w:val="000000"/>
          <w:sz w:val="24"/>
          <w:szCs w:val="24"/>
          <w:lang w:eastAsia="ru-RU"/>
        </w:rPr>
        <w:t>3.6.2. Об уровне удовлетворенности населения работой различных типов финансовых организаций, осуществляющих деятельность в Ленинградской области</w:t>
      </w:r>
      <w:bookmarkEnd w:id="37"/>
      <w:bookmarkEnd w:id="38"/>
    </w:p>
    <w:p w:rsidR="00851FF9" w:rsidRPr="008A134A" w:rsidRDefault="00851FF9" w:rsidP="00851FF9">
      <w:pPr>
        <w:spacing w:after="0" w:line="360" w:lineRule="auto"/>
        <w:ind w:firstLine="709"/>
        <w:jc w:val="both"/>
        <w:rPr>
          <w:rFonts w:ascii="Times New Roman" w:eastAsia="Calibri" w:hAnsi="Times New Roman" w:cs="Times New Roman"/>
          <w:color w:val="000000"/>
          <w:sz w:val="24"/>
          <w:szCs w:val="24"/>
        </w:rPr>
      </w:pPr>
      <w:r w:rsidRPr="008A134A">
        <w:rPr>
          <w:rFonts w:ascii="Times New Roman" w:eastAsia="Calibri" w:hAnsi="Times New Roman" w:cs="Times New Roman"/>
          <w:color w:val="000000"/>
          <w:sz w:val="24"/>
          <w:szCs w:val="24"/>
        </w:rPr>
        <w:t>Население Ленинградской области демонстрирует неравномерный уровень востребованности услугами финансовых структур, рассматриваемых в ходе мониторинга. Наиболее высокие показатели у услуг банков - только 11% жителей заявили, что не сталкивались с данной финансовой организацией. Уровень востребованности услуг других финансовых структур значительно ниже. Реже всего жители области обращались к услугам сельскохозяйственных кредитных потребительских кооперативов (15% сталкивались с работой данной структуры, 85% - нет) и кредитных потребительских кооперативов (19% сталкивались, 81% - нет).</w:t>
      </w:r>
    </w:p>
    <w:p w:rsidR="00851FF9" w:rsidRPr="008A134A" w:rsidRDefault="00851FF9" w:rsidP="00851FF9">
      <w:pPr>
        <w:spacing w:after="0" w:line="360" w:lineRule="auto"/>
        <w:ind w:firstLine="709"/>
        <w:jc w:val="both"/>
        <w:rPr>
          <w:rFonts w:ascii="Times New Roman" w:eastAsia="Calibri" w:hAnsi="Times New Roman" w:cs="Times New Roman"/>
          <w:color w:val="000000"/>
          <w:sz w:val="24"/>
          <w:szCs w:val="24"/>
        </w:rPr>
      </w:pPr>
      <w:r w:rsidRPr="008A134A">
        <w:rPr>
          <w:rFonts w:ascii="Times New Roman" w:eastAsia="Calibri" w:hAnsi="Times New Roman" w:cs="Times New Roman"/>
          <w:color w:val="000000"/>
          <w:sz w:val="24"/>
          <w:szCs w:val="24"/>
        </w:rPr>
        <w:t xml:space="preserve">Уровень удовлетворенности работой различных финансовых организаций по выборке в целом представлен на рисунке </w:t>
      </w:r>
      <w:r w:rsidR="008A134A">
        <w:rPr>
          <w:rFonts w:ascii="Times New Roman" w:eastAsia="Calibri" w:hAnsi="Times New Roman" w:cs="Times New Roman"/>
          <w:color w:val="000000"/>
          <w:sz w:val="24"/>
          <w:szCs w:val="24"/>
        </w:rPr>
        <w:t>43</w:t>
      </w:r>
      <w:r w:rsidRPr="008A134A">
        <w:rPr>
          <w:rFonts w:ascii="Times New Roman" w:eastAsia="Calibri" w:hAnsi="Times New Roman" w:cs="Times New Roman"/>
          <w:color w:val="000000"/>
          <w:sz w:val="24"/>
          <w:szCs w:val="24"/>
        </w:rPr>
        <w:t>.</w:t>
      </w:r>
    </w:p>
    <w:p w:rsidR="00851FF9" w:rsidRPr="00851FF9" w:rsidRDefault="00851FF9" w:rsidP="008A134A">
      <w:pPr>
        <w:keepNext/>
        <w:keepLines/>
        <w:spacing w:before="120" w:after="120" w:line="240" w:lineRule="auto"/>
        <w:jc w:val="center"/>
        <w:rPr>
          <w:rFonts w:ascii="Times New Roman" w:eastAsia="Calibri" w:hAnsi="Times New Roman" w:cs="Times New Roman"/>
          <w:b/>
          <w:iCs/>
          <w:color w:val="000000"/>
          <w:sz w:val="24"/>
          <w:szCs w:val="28"/>
        </w:rPr>
      </w:pPr>
      <w:r w:rsidRPr="00851FF9">
        <w:rPr>
          <w:rFonts w:ascii="Times New Roman" w:eastAsia="Calibri" w:hAnsi="Times New Roman" w:cs="Times New Roman"/>
          <w:iCs/>
          <w:color w:val="000000"/>
          <w:sz w:val="24"/>
          <w:szCs w:val="28"/>
        </w:rPr>
        <w:t xml:space="preserve">Рисунок </w:t>
      </w:r>
      <w:r w:rsidR="008A134A">
        <w:rPr>
          <w:rFonts w:ascii="Times New Roman" w:eastAsia="Calibri" w:hAnsi="Times New Roman" w:cs="Times New Roman"/>
          <w:iCs/>
          <w:color w:val="000000"/>
          <w:sz w:val="24"/>
          <w:szCs w:val="28"/>
        </w:rPr>
        <w:t>43</w:t>
      </w:r>
      <w:r w:rsidRPr="00851FF9">
        <w:rPr>
          <w:rFonts w:ascii="Times New Roman" w:eastAsia="Calibri" w:hAnsi="Times New Roman" w:cs="Times New Roman"/>
          <w:iCs/>
          <w:color w:val="000000"/>
          <w:sz w:val="24"/>
          <w:szCs w:val="28"/>
        </w:rPr>
        <w:t xml:space="preserve">. </w:t>
      </w:r>
      <w:r w:rsidRPr="00851FF9">
        <w:rPr>
          <w:rFonts w:ascii="Times New Roman" w:eastAsia="Calibri" w:hAnsi="Times New Roman" w:cs="Times New Roman"/>
          <w:b/>
          <w:iCs/>
          <w:color w:val="000000"/>
          <w:sz w:val="24"/>
          <w:szCs w:val="28"/>
        </w:rPr>
        <w:t xml:space="preserve">Насколько Вы удовлетворены работой/сервисом следующих финансовых организаций при оформлении и/или использовании финансовых услуг или в любых других случаях, когда Вы сталкивались с ними...? </w:t>
      </w:r>
      <w:r w:rsidRPr="00851FF9">
        <w:rPr>
          <w:rFonts w:ascii="Times New Roman" w:eastAsia="Calibri" w:hAnsi="Times New Roman" w:cs="Times New Roman"/>
          <w:noProof/>
          <w:color w:val="000000"/>
          <w:sz w:val="24"/>
          <w:szCs w:val="24"/>
        </w:rPr>
        <w:t xml:space="preserve">(опрос населения, </w:t>
      </w:r>
      <w:r w:rsidRPr="00851FF9">
        <w:rPr>
          <w:rFonts w:ascii="Times New Roman" w:eastAsia="Calibri" w:hAnsi="Times New Roman" w:cs="Times New Roman"/>
          <w:color w:val="000000"/>
          <w:sz w:val="24"/>
          <w:szCs w:val="24"/>
        </w:rPr>
        <w:t>n=1200)</w:t>
      </w:r>
    </w:p>
    <w:p w:rsidR="00851FF9" w:rsidRPr="00851FF9" w:rsidRDefault="00851FF9" w:rsidP="00851FF9">
      <w:pPr>
        <w:spacing w:after="0" w:line="360" w:lineRule="auto"/>
        <w:jc w:val="both"/>
        <w:rPr>
          <w:rFonts w:ascii="Times New Roman" w:eastAsia="Times New Roman" w:hAnsi="Times New Roman" w:cs="Times New Roman"/>
          <w:color w:val="000000"/>
          <w:sz w:val="28"/>
          <w:szCs w:val="28"/>
          <w:lang w:eastAsia="ru-RU"/>
        </w:rPr>
      </w:pPr>
      <w:r w:rsidRPr="00851FF9">
        <w:rPr>
          <w:rFonts w:ascii="Times New Roman" w:eastAsia="Franklin Gothic Book" w:hAnsi="Times New Roman" w:cs="Times New Roman"/>
          <w:noProof/>
          <w:color w:val="000000"/>
          <w:szCs w:val="24"/>
          <w:u w:color="000000"/>
          <w:lang w:eastAsia="ru-RU"/>
        </w:rPr>
        <w:drawing>
          <wp:inline distT="0" distB="0" distL="0" distR="0" wp14:anchorId="4C70BC31" wp14:editId="1BF07DAE">
            <wp:extent cx="6193155" cy="5410200"/>
            <wp:effectExtent l="0" t="0" r="0" b="0"/>
            <wp:docPr id="124" name="Диаграмма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851FF9" w:rsidRPr="008A134A" w:rsidRDefault="00851FF9" w:rsidP="00851FF9">
      <w:pPr>
        <w:spacing w:before="120" w:after="0" w:line="360" w:lineRule="auto"/>
        <w:ind w:firstLine="709"/>
        <w:jc w:val="both"/>
        <w:rPr>
          <w:rFonts w:ascii="Times New Roman" w:eastAsia="Times New Roman" w:hAnsi="Times New Roman" w:cs="Times New Roman"/>
          <w:color w:val="000000"/>
          <w:sz w:val="24"/>
          <w:szCs w:val="24"/>
          <w:lang w:eastAsia="ru-RU"/>
        </w:rPr>
      </w:pPr>
      <w:r w:rsidRPr="008A134A">
        <w:rPr>
          <w:rFonts w:ascii="Times New Roman" w:eastAsia="Times New Roman" w:hAnsi="Times New Roman" w:cs="Times New Roman"/>
          <w:color w:val="000000"/>
          <w:sz w:val="24"/>
          <w:szCs w:val="24"/>
          <w:lang w:eastAsia="ru-RU"/>
        </w:rPr>
        <w:t>В расчете от доли респондентов, сталкивавшихся с услугами рассматриваемых финансовых организаций, наиболее высокий уровень удовлетворенности их работой/сервисом вновь фиксируется по банкам и субъектам страхового дела (79% и 59% соответственно). В наименьшей степени жители области довольны работой/сервисом микрофинансовых организаций (30% довольны, 70% - нет).</w:t>
      </w:r>
    </w:p>
    <w:p w:rsidR="00851FF9" w:rsidRPr="00851FF9" w:rsidRDefault="00851FF9" w:rsidP="008A134A">
      <w:pPr>
        <w:keepNext/>
        <w:keepLines/>
        <w:spacing w:before="120" w:after="120" w:line="240" w:lineRule="auto"/>
        <w:jc w:val="center"/>
        <w:rPr>
          <w:rFonts w:ascii="Times New Roman" w:eastAsia="Calibri" w:hAnsi="Times New Roman" w:cs="Times New Roman"/>
          <w:b/>
          <w:iCs/>
          <w:color w:val="000000"/>
          <w:sz w:val="24"/>
          <w:szCs w:val="28"/>
        </w:rPr>
      </w:pPr>
      <w:r w:rsidRPr="00851FF9">
        <w:rPr>
          <w:rFonts w:ascii="Times New Roman" w:eastAsia="Calibri" w:hAnsi="Times New Roman" w:cs="Times New Roman"/>
          <w:iCs/>
          <w:color w:val="000000"/>
          <w:sz w:val="24"/>
          <w:szCs w:val="28"/>
        </w:rPr>
        <w:t xml:space="preserve">Рисунок </w:t>
      </w:r>
      <w:r w:rsidR="008A134A">
        <w:rPr>
          <w:rFonts w:ascii="Times New Roman" w:eastAsia="Calibri" w:hAnsi="Times New Roman" w:cs="Times New Roman"/>
          <w:iCs/>
          <w:color w:val="000000"/>
          <w:sz w:val="24"/>
          <w:szCs w:val="28"/>
        </w:rPr>
        <w:t>44</w:t>
      </w:r>
      <w:r w:rsidRPr="00851FF9">
        <w:rPr>
          <w:rFonts w:ascii="Times New Roman" w:eastAsia="Calibri" w:hAnsi="Times New Roman" w:cs="Times New Roman"/>
          <w:iCs/>
          <w:color w:val="000000"/>
          <w:sz w:val="24"/>
          <w:szCs w:val="28"/>
        </w:rPr>
        <w:t xml:space="preserve">. </w:t>
      </w:r>
      <w:r w:rsidRPr="00851FF9">
        <w:rPr>
          <w:rFonts w:ascii="Times New Roman" w:eastAsia="Calibri" w:hAnsi="Times New Roman" w:cs="Times New Roman"/>
          <w:b/>
          <w:iCs/>
          <w:color w:val="000000"/>
          <w:sz w:val="24"/>
          <w:szCs w:val="28"/>
        </w:rPr>
        <w:t xml:space="preserve">Насколько Вы удовлетворены работой/сервисом следующих финансовых организаций при оформлении и/или использовании финансовых услуг или в любых других случаях, когда Вы сталкивались с ними...? </w:t>
      </w:r>
      <w:r w:rsidRPr="00851FF9">
        <w:rPr>
          <w:rFonts w:ascii="Times New Roman" w:eastAsia="Calibri" w:hAnsi="Times New Roman" w:cs="Times New Roman"/>
          <w:noProof/>
          <w:color w:val="000000"/>
          <w:sz w:val="24"/>
          <w:szCs w:val="24"/>
        </w:rPr>
        <w:t>(опрос населения, % от числа сталкивавшихся (по каждому типу организаций)</w:t>
      </w:r>
      <w:r w:rsidRPr="00851FF9">
        <w:rPr>
          <w:rFonts w:ascii="Times New Roman" w:eastAsia="Calibri" w:hAnsi="Times New Roman" w:cs="Times New Roman"/>
          <w:color w:val="000000"/>
          <w:sz w:val="24"/>
          <w:szCs w:val="24"/>
        </w:rPr>
        <w:t>)</w:t>
      </w:r>
    </w:p>
    <w:p w:rsidR="00851FF9" w:rsidRPr="00851FF9" w:rsidRDefault="00851FF9" w:rsidP="00851FF9">
      <w:pPr>
        <w:spacing w:before="120" w:after="120" w:line="360" w:lineRule="auto"/>
        <w:jc w:val="both"/>
        <w:rPr>
          <w:rFonts w:ascii="Times New Roman" w:eastAsia="Arial" w:hAnsi="Times New Roman" w:cs="Times New Roman"/>
          <w:color w:val="000000"/>
          <w:sz w:val="28"/>
          <w:szCs w:val="28"/>
          <w:lang w:eastAsia="ru-RU"/>
        </w:rPr>
      </w:pPr>
      <w:r w:rsidRPr="00851FF9">
        <w:rPr>
          <w:rFonts w:ascii="Times New Roman" w:eastAsia="Franklin Gothic Book" w:hAnsi="Times New Roman" w:cs="Times New Roman"/>
          <w:noProof/>
          <w:color w:val="000000"/>
          <w:szCs w:val="24"/>
          <w:u w:color="000000"/>
          <w:lang w:eastAsia="ru-RU"/>
        </w:rPr>
        <w:drawing>
          <wp:inline distT="0" distB="0" distL="0" distR="0" wp14:anchorId="74123E25" wp14:editId="7AE70BA5">
            <wp:extent cx="6193155" cy="5019675"/>
            <wp:effectExtent l="0" t="0" r="0" b="0"/>
            <wp:docPr id="126" name="Диаграмма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851FF9" w:rsidRPr="008A134A" w:rsidRDefault="00851FF9" w:rsidP="00851FF9">
      <w:pPr>
        <w:spacing w:after="0" w:line="360" w:lineRule="auto"/>
        <w:ind w:firstLine="709"/>
        <w:jc w:val="both"/>
        <w:rPr>
          <w:rFonts w:ascii="Times New Roman" w:eastAsia="Times New Roman" w:hAnsi="Times New Roman" w:cs="Times New Roman"/>
          <w:color w:val="000000"/>
          <w:sz w:val="24"/>
          <w:szCs w:val="24"/>
          <w:lang w:eastAsia="ru-RU"/>
        </w:rPr>
      </w:pPr>
      <w:r w:rsidRPr="008A134A">
        <w:rPr>
          <w:rFonts w:ascii="Times New Roman" w:eastAsia="Times New Roman" w:hAnsi="Times New Roman" w:cs="Times New Roman"/>
          <w:color w:val="000000"/>
          <w:sz w:val="24"/>
          <w:szCs w:val="24"/>
          <w:lang w:eastAsia="ru-RU"/>
        </w:rPr>
        <w:t xml:space="preserve">Выше всего сервисы банковских структур оценивают студенты – 96% отметили, что полностью или частично удовлетворены рассматриваемым параметром. Также студенты наиболее лояльны в оценках работы микрофинансовых организаций (63% довольны) и сельскохозяйственных кредитных потребительских кооперативов (46%). </w:t>
      </w:r>
    </w:p>
    <w:p w:rsidR="00851FF9" w:rsidRPr="008A134A" w:rsidRDefault="00851FF9" w:rsidP="00851FF9">
      <w:pPr>
        <w:spacing w:after="0" w:line="360" w:lineRule="auto"/>
        <w:ind w:firstLine="709"/>
        <w:jc w:val="both"/>
        <w:rPr>
          <w:rFonts w:ascii="Times New Roman" w:eastAsia="Times New Roman" w:hAnsi="Times New Roman" w:cs="Times New Roman"/>
          <w:color w:val="000000"/>
          <w:sz w:val="24"/>
          <w:szCs w:val="24"/>
          <w:lang w:eastAsia="ru-RU"/>
        </w:rPr>
      </w:pPr>
      <w:r w:rsidRPr="008A134A">
        <w:rPr>
          <w:rFonts w:ascii="Times New Roman" w:eastAsia="Times New Roman" w:hAnsi="Times New Roman" w:cs="Times New Roman"/>
          <w:color w:val="000000"/>
          <w:sz w:val="24"/>
          <w:szCs w:val="24"/>
          <w:lang w:eastAsia="ru-RU"/>
        </w:rPr>
        <w:t xml:space="preserve">Наиболее критичное поведение в оценке банковских сервисов демонстрируют предприниматели – только 55% дали положительную оценку по рассматриваемому параметру. При этом предприниматели выше других оценивают работу субъектов страхового дела (81% довольны) и негосударственных пенсионных фондов (67%). </w:t>
      </w:r>
    </w:p>
    <w:p w:rsidR="00851FF9" w:rsidRPr="008A134A" w:rsidRDefault="00851FF9" w:rsidP="00851FF9">
      <w:pPr>
        <w:spacing w:after="0" w:line="360" w:lineRule="auto"/>
        <w:ind w:firstLine="709"/>
        <w:jc w:val="both"/>
        <w:rPr>
          <w:rFonts w:ascii="Times New Roman" w:eastAsia="Times New Roman" w:hAnsi="Times New Roman" w:cs="Times New Roman"/>
          <w:color w:val="000000"/>
          <w:sz w:val="24"/>
          <w:szCs w:val="24"/>
          <w:lang w:eastAsia="ru-RU"/>
        </w:rPr>
      </w:pPr>
      <w:r w:rsidRPr="008A134A">
        <w:rPr>
          <w:rFonts w:ascii="Times New Roman" w:eastAsia="Times New Roman" w:hAnsi="Times New Roman" w:cs="Times New Roman"/>
          <w:color w:val="000000"/>
          <w:sz w:val="24"/>
          <w:szCs w:val="24"/>
          <w:lang w:eastAsia="ru-RU"/>
        </w:rPr>
        <w:t xml:space="preserve">Работу/сервисы НПФ также достаточно высоко оценивают пенсионеры (63% довольны) и работающее население (56%). </w:t>
      </w:r>
    </w:p>
    <w:p w:rsidR="00851FF9" w:rsidRPr="008A134A" w:rsidRDefault="00851FF9" w:rsidP="00851FF9">
      <w:pPr>
        <w:spacing w:after="0" w:line="360" w:lineRule="auto"/>
        <w:ind w:firstLine="709"/>
        <w:jc w:val="both"/>
        <w:rPr>
          <w:rFonts w:ascii="Times New Roman" w:eastAsia="Times New Roman" w:hAnsi="Times New Roman" w:cs="Times New Roman"/>
          <w:color w:val="000000"/>
          <w:sz w:val="24"/>
          <w:szCs w:val="24"/>
          <w:lang w:eastAsia="ru-RU"/>
        </w:rPr>
      </w:pPr>
      <w:r w:rsidRPr="008A134A">
        <w:rPr>
          <w:rFonts w:ascii="Times New Roman" w:eastAsia="Times New Roman" w:hAnsi="Times New Roman" w:cs="Times New Roman"/>
          <w:color w:val="000000"/>
          <w:sz w:val="24"/>
          <w:szCs w:val="24"/>
          <w:lang w:eastAsia="ru-RU"/>
        </w:rPr>
        <w:t>Качеством работы брокеров в наибольшей мере удовлетворены самозанятые (68%) и пенсионеры (64%). В наименьшей мере довольны сервисами брокеров домохозяйки/домохозяева (29%).</w:t>
      </w:r>
    </w:p>
    <w:p w:rsidR="00851FF9" w:rsidRPr="00851FF9" w:rsidRDefault="00851FF9" w:rsidP="00851FF9">
      <w:pPr>
        <w:spacing w:after="0" w:line="360" w:lineRule="auto"/>
        <w:jc w:val="both"/>
        <w:rPr>
          <w:rFonts w:ascii="Times New Roman" w:eastAsia="Times New Roman" w:hAnsi="Times New Roman" w:cs="Times New Roman"/>
          <w:color w:val="000000"/>
          <w:sz w:val="28"/>
          <w:szCs w:val="28"/>
          <w:lang w:eastAsia="ru-RU"/>
        </w:rPr>
      </w:pPr>
    </w:p>
    <w:p w:rsidR="00851FF9" w:rsidRPr="00851FF9" w:rsidRDefault="00851FF9" w:rsidP="00851FF9">
      <w:pPr>
        <w:spacing w:after="160" w:line="259" w:lineRule="auto"/>
        <w:rPr>
          <w:rFonts w:ascii="Times New Roman" w:eastAsia="Times New Roman" w:hAnsi="Times New Roman" w:cs="Times New Roman"/>
          <w:color w:val="000000"/>
          <w:sz w:val="28"/>
          <w:szCs w:val="28"/>
          <w:lang w:eastAsia="ru-RU"/>
        </w:rPr>
      </w:pPr>
      <w:r w:rsidRPr="00851FF9">
        <w:rPr>
          <w:rFonts w:ascii="Times New Roman" w:eastAsia="Times New Roman" w:hAnsi="Times New Roman" w:cs="Times New Roman"/>
          <w:color w:val="000000"/>
          <w:sz w:val="28"/>
          <w:szCs w:val="28"/>
          <w:lang w:eastAsia="ru-RU"/>
        </w:rPr>
        <w:br w:type="page"/>
      </w:r>
    </w:p>
    <w:p w:rsidR="00851FF9" w:rsidRPr="008A134A" w:rsidRDefault="00851FF9" w:rsidP="00851FF9">
      <w:pPr>
        <w:keepNext/>
        <w:keepLines/>
        <w:spacing w:before="40" w:after="240" w:line="240" w:lineRule="auto"/>
        <w:jc w:val="center"/>
        <w:outlineLvl w:val="2"/>
        <w:rPr>
          <w:rFonts w:ascii="Times New Roman" w:eastAsia="Arial" w:hAnsi="Times New Roman" w:cs="Times New Roman"/>
          <w:b/>
          <w:color w:val="000000"/>
          <w:sz w:val="24"/>
          <w:szCs w:val="24"/>
          <w:lang w:eastAsia="ru-RU"/>
        </w:rPr>
      </w:pPr>
      <w:bookmarkStart w:id="39" w:name="_Toc119695546"/>
      <w:bookmarkStart w:id="40" w:name="_Toc122720249"/>
      <w:r w:rsidRPr="008A134A">
        <w:rPr>
          <w:rFonts w:ascii="Times New Roman" w:eastAsia="Arial" w:hAnsi="Times New Roman" w:cs="Times New Roman"/>
          <w:b/>
          <w:color w:val="000000"/>
          <w:sz w:val="24"/>
          <w:szCs w:val="24"/>
          <w:lang w:eastAsia="ru-RU"/>
        </w:rPr>
        <w:t>3.6.3. Об уровне удовлетворенности населения различными финансовыми продуктами и услугами (в рамках кредитования, сбережения и размещения свободных денежных средств, оказания платежных услуг, услуг страхования, а также иных финансовых продуктов и услуг)</w:t>
      </w:r>
      <w:bookmarkEnd w:id="39"/>
      <w:bookmarkEnd w:id="40"/>
      <w:r w:rsidRPr="008A134A">
        <w:rPr>
          <w:rFonts w:ascii="Times New Roman" w:eastAsia="Arial" w:hAnsi="Times New Roman" w:cs="Times New Roman"/>
          <w:b/>
          <w:color w:val="000000"/>
          <w:sz w:val="24"/>
          <w:szCs w:val="24"/>
          <w:lang w:eastAsia="ru-RU"/>
        </w:rPr>
        <w:t xml:space="preserve"> </w:t>
      </w:r>
    </w:p>
    <w:p w:rsidR="00851FF9" w:rsidRDefault="00851FF9" w:rsidP="00851FF9">
      <w:pPr>
        <w:spacing w:after="0" w:line="240" w:lineRule="auto"/>
        <w:ind w:firstLine="709"/>
        <w:jc w:val="both"/>
        <w:rPr>
          <w:rFonts w:ascii="Times New Roman" w:eastAsia="Times New Roman" w:hAnsi="Times New Roman" w:cs="Times New Roman"/>
          <w:color w:val="000000"/>
          <w:sz w:val="24"/>
          <w:szCs w:val="24"/>
          <w:lang w:eastAsia="ru-RU"/>
        </w:rPr>
      </w:pPr>
      <w:r w:rsidRPr="008A134A">
        <w:rPr>
          <w:rFonts w:ascii="Times New Roman" w:eastAsia="Times New Roman" w:hAnsi="Times New Roman" w:cs="Times New Roman"/>
          <w:color w:val="000000"/>
          <w:sz w:val="24"/>
          <w:szCs w:val="24"/>
          <w:lang w:eastAsia="ru-RU"/>
        </w:rPr>
        <w:t>Оценки уровня удовлетворенности продуктами/услугами финансовых организаций при их оформлении и/или использовании или в любых других случаях, когда респонденты сталкивались с ними, представлены на рисунке</w:t>
      </w:r>
      <w:r w:rsidR="008A134A" w:rsidRPr="008A134A">
        <w:rPr>
          <w:rFonts w:ascii="Times New Roman" w:eastAsia="Times New Roman" w:hAnsi="Times New Roman" w:cs="Times New Roman"/>
          <w:color w:val="000000"/>
          <w:sz w:val="24"/>
          <w:szCs w:val="24"/>
          <w:lang w:eastAsia="ru-RU"/>
        </w:rPr>
        <w:t xml:space="preserve"> 45</w:t>
      </w:r>
      <w:r w:rsidRPr="008A134A">
        <w:rPr>
          <w:rFonts w:ascii="Times New Roman" w:eastAsia="Times New Roman" w:hAnsi="Times New Roman" w:cs="Times New Roman"/>
          <w:color w:val="000000"/>
          <w:sz w:val="24"/>
          <w:szCs w:val="24"/>
          <w:lang w:eastAsia="ru-RU"/>
        </w:rPr>
        <w:t>.</w:t>
      </w:r>
    </w:p>
    <w:p w:rsidR="008A134A" w:rsidRPr="008A134A" w:rsidRDefault="008A134A" w:rsidP="00851FF9">
      <w:pPr>
        <w:spacing w:after="0" w:line="240" w:lineRule="auto"/>
        <w:ind w:firstLine="709"/>
        <w:jc w:val="both"/>
        <w:rPr>
          <w:rFonts w:ascii="Times New Roman" w:eastAsia="Times New Roman" w:hAnsi="Times New Roman" w:cs="Times New Roman"/>
          <w:color w:val="000000"/>
          <w:sz w:val="24"/>
          <w:szCs w:val="24"/>
          <w:lang w:eastAsia="ru-RU"/>
        </w:rPr>
      </w:pPr>
    </w:p>
    <w:p w:rsidR="00851FF9" w:rsidRPr="008A134A" w:rsidRDefault="00851FF9" w:rsidP="008A134A">
      <w:pPr>
        <w:keepNext/>
        <w:keepLines/>
        <w:spacing w:before="120" w:after="120" w:line="240" w:lineRule="auto"/>
        <w:jc w:val="center"/>
        <w:rPr>
          <w:rFonts w:ascii="Times New Roman" w:eastAsia="Calibri" w:hAnsi="Times New Roman" w:cs="Times New Roman"/>
          <w:color w:val="000000"/>
          <w:sz w:val="24"/>
          <w:szCs w:val="24"/>
        </w:rPr>
      </w:pPr>
      <w:r w:rsidRPr="008A134A">
        <w:rPr>
          <w:rFonts w:ascii="Times New Roman" w:eastAsia="Calibri" w:hAnsi="Times New Roman" w:cs="Times New Roman"/>
          <w:iCs/>
          <w:color w:val="000000"/>
          <w:sz w:val="24"/>
          <w:szCs w:val="24"/>
        </w:rPr>
        <w:t xml:space="preserve">Рисунок </w:t>
      </w:r>
      <w:r w:rsidR="008A134A" w:rsidRPr="008A134A">
        <w:rPr>
          <w:rFonts w:ascii="Times New Roman" w:eastAsia="Calibri" w:hAnsi="Times New Roman" w:cs="Times New Roman"/>
          <w:iCs/>
          <w:color w:val="000000"/>
          <w:sz w:val="24"/>
          <w:szCs w:val="24"/>
        </w:rPr>
        <w:t>45</w:t>
      </w:r>
      <w:r w:rsidRPr="008A134A">
        <w:rPr>
          <w:rFonts w:ascii="Times New Roman" w:eastAsia="Calibri" w:hAnsi="Times New Roman" w:cs="Times New Roman"/>
          <w:iCs/>
          <w:color w:val="000000"/>
          <w:sz w:val="24"/>
          <w:szCs w:val="24"/>
        </w:rPr>
        <w:t xml:space="preserve">. </w:t>
      </w:r>
      <w:r w:rsidRPr="008A134A">
        <w:rPr>
          <w:rFonts w:ascii="Times New Roman" w:eastAsia="Calibri" w:hAnsi="Times New Roman" w:cs="Times New Roman"/>
          <w:b/>
          <w:iCs/>
          <w:color w:val="000000"/>
          <w:sz w:val="24"/>
          <w:szCs w:val="24"/>
        </w:rPr>
        <w:t xml:space="preserve">Насколько Вы удовлетворены следующими продуктами/услугами финансовых организаций при их оформлении и/или использовании или в любых других случаях, когда Вы сталкивались с ними...? </w:t>
      </w:r>
      <w:r w:rsidRPr="008A134A">
        <w:rPr>
          <w:rFonts w:ascii="Times New Roman" w:eastAsia="Calibri" w:hAnsi="Times New Roman" w:cs="Times New Roman"/>
          <w:noProof/>
          <w:color w:val="000000"/>
          <w:sz w:val="24"/>
          <w:szCs w:val="24"/>
        </w:rPr>
        <w:t xml:space="preserve">(опрос населения, </w:t>
      </w:r>
      <w:r w:rsidRPr="008A134A">
        <w:rPr>
          <w:rFonts w:ascii="Times New Roman" w:eastAsia="Calibri" w:hAnsi="Times New Roman" w:cs="Times New Roman"/>
          <w:color w:val="000000"/>
          <w:sz w:val="24"/>
          <w:szCs w:val="24"/>
        </w:rPr>
        <w:t>n=1200)</w:t>
      </w:r>
    </w:p>
    <w:p w:rsidR="008A134A" w:rsidRPr="008A134A" w:rsidRDefault="008A134A" w:rsidP="008A134A">
      <w:pPr>
        <w:keepNext/>
        <w:keepLines/>
        <w:spacing w:before="120" w:after="120" w:line="240" w:lineRule="auto"/>
        <w:jc w:val="center"/>
        <w:rPr>
          <w:rFonts w:ascii="Times New Roman" w:eastAsia="Calibri" w:hAnsi="Times New Roman" w:cs="Times New Roman"/>
          <w:b/>
          <w:iCs/>
          <w:color w:val="000000"/>
        </w:rPr>
      </w:pPr>
    </w:p>
    <w:tbl>
      <w:tblPr>
        <w:tblW w:w="0" w:type="auto"/>
        <w:tblInd w:w="3" w:type="dxa"/>
        <w:tblLayout w:type="fixed"/>
        <w:tblCellMar>
          <w:left w:w="0" w:type="dxa"/>
          <w:right w:w="0" w:type="dxa"/>
        </w:tblCellMar>
        <w:tblLook w:val="04A0" w:firstRow="1" w:lastRow="0" w:firstColumn="1" w:lastColumn="0" w:noHBand="0" w:noVBand="1"/>
      </w:tblPr>
      <w:tblGrid>
        <w:gridCol w:w="1693"/>
        <w:gridCol w:w="2410"/>
        <w:gridCol w:w="5944"/>
      </w:tblGrid>
      <w:tr w:rsidR="00851FF9" w:rsidRPr="00851FF9" w:rsidTr="003A1D5A">
        <w:trPr>
          <w:trHeight w:val="866"/>
        </w:trPr>
        <w:tc>
          <w:tcPr>
            <w:tcW w:w="1693" w:type="dxa"/>
            <w:vMerge w:val="restart"/>
            <w:tcBorders>
              <w:bottom w:val="single" w:sz="4" w:space="0" w:color="auto"/>
              <w:right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jc w:val="center"/>
              <w:rPr>
                <w:rFonts w:ascii="Times New Roman" w:eastAsia="Calibri" w:hAnsi="Times New Roman" w:cs="Times New Roman"/>
                <w:b/>
                <w:bCs/>
                <w:color w:val="000000"/>
              </w:rPr>
            </w:pPr>
            <w:bookmarkStart w:id="41" w:name="101520"/>
            <w:bookmarkEnd w:id="41"/>
            <w:r w:rsidRPr="00851FF9">
              <w:rPr>
                <w:rFonts w:ascii="Times New Roman" w:eastAsia="Calibri" w:hAnsi="Times New Roman" w:cs="Times New Roman"/>
                <w:b/>
                <w:bCs/>
                <w:color w:val="000000"/>
              </w:rPr>
              <w:t>Банки</w:t>
            </w:r>
          </w:p>
        </w:tc>
        <w:tc>
          <w:tcPr>
            <w:tcW w:w="2410" w:type="dxa"/>
            <w:tcBorders>
              <w:left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jc w:val="right"/>
              <w:rPr>
                <w:rFonts w:ascii="Times New Roman" w:eastAsia="Calibri" w:hAnsi="Times New Roman" w:cs="Times New Roman"/>
                <w:color w:val="000000"/>
                <w:sz w:val="20"/>
                <w:szCs w:val="20"/>
              </w:rPr>
            </w:pPr>
            <w:bookmarkStart w:id="42" w:name="101521"/>
            <w:bookmarkEnd w:id="42"/>
            <w:r w:rsidRPr="00851FF9">
              <w:rPr>
                <w:rFonts w:ascii="Times New Roman" w:eastAsia="Calibri" w:hAnsi="Times New Roman" w:cs="Times New Roman"/>
                <w:color w:val="000000"/>
                <w:sz w:val="20"/>
                <w:szCs w:val="20"/>
              </w:rPr>
              <w:t>Кредиты</w:t>
            </w:r>
          </w:p>
        </w:tc>
        <w:tc>
          <w:tcPr>
            <w:tcW w:w="5944" w:type="dxa"/>
            <w:vMerge w:val="restart"/>
            <w:tcBorders>
              <w:left w:val="nil"/>
            </w:tcBorders>
            <w:shd w:val="clear" w:color="auto" w:fill="auto"/>
            <w:tcMar>
              <w:top w:w="75" w:type="dxa"/>
              <w:left w:w="75" w:type="dxa"/>
              <w:bottom w:w="75" w:type="dxa"/>
              <w:right w:w="75" w:type="dxa"/>
            </w:tcMar>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Franklin Gothic Book" w:hAnsi="Times New Roman" w:cs="Times New Roman"/>
                <w:noProof/>
                <w:color w:val="000000"/>
                <w:szCs w:val="24"/>
                <w:u w:color="000000"/>
                <w:lang w:eastAsia="ru-RU"/>
              </w:rPr>
              <w:drawing>
                <wp:inline distT="0" distB="0" distL="0" distR="0" wp14:anchorId="32A95FA1" wp14:editId="26C67FF4">
                  <wp:extent cx="3905250" cy="3124200"/>
                  <wp:effectExtent l="0" t="0" r="0" b="0"/>
                  <wp:docPr id="1026" name="Диаграмма 10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tc>
      </w:tr>
      <w:tr w:rsidR="00851FF9" w:rsidRPr="00851FF9" w:rsidTr="003A1D5A">
        <w:trPr>
          <w:trHeight w:val="867"/>
        </w:trPr>
        <w:tc>
          <w:tcPr>
            <w:tcW w:w="1693" w:type="dxa"/>
            <w:vMerge/>
            <w:tcBorders>
              <w:bottom w:val="single" w:sz="4" w:space="0" w:color="auto"/>
              <w:right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rPr>
                <w:rFonts w:ascii="Times New Roman" w:eastAsia="Calibri" w:hAnsi="Times New Roman" w:cs="Times New Roman"/>
                <w:color w:val="000000"/>
              </w:rPr>
            </w:pPr>
          </w:p>
        </w:tc>
        <w:tc>
          <w:tcPr>
            <w:tcW w:w="2410" w:type="dxa"/>
            <w:tcBorders>
              <w:left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jc w:val="right"/>
              <w:rPr>
                <w:rFonts w:ascii="Times New Roman" w:eastAsia="Calibri" w:hAnsi="Times New Roman" w:cs="Times New Roman"/>
                <w:color w:val="000000"/>
                <w:sz w:val="20"/>
                <w:szCs w:val="20"/>
              </w:rPr>
            </w:pPr>
            <w:bookmarkStart w:id="43" w:name="101522"/>
            <w:bookmarkEnd w:id="43"/>
            <w:r w:rsidRPr="00851FF9">
              <w:rPr>
                <w:rFonts w:ascii="Times New Roman" w:eastAsia="Calibri" w:hAnsi="Times New Roman" w:cs="Times New Roman"/>
                <w:color w:val="000000"/>
                <w:sz w:val="20"/>
                <w:szCs w:val="20"/>
              </w:rPr>
              <w:t>Вклады</w:t>
            </w:r>
          </w:p>
        </w:tc>
        <w:tc>
          <w:tcPr>
            <w:tcW w:w="5944" w:type="dxa"/>
            <w:vMerge/>
            <w:tcBorders>
              <w:left w:val="nil"/>
            </w:tcBorders>
            <w:shd w:val="clear" w:color="auto" w:fill="auto"/>
            <w:tcMar>
              <w:top w:w="75" w:type="dxa"/>
              <w:left w:w="75" w:type="dxa"/>
              <w:bottom w:w="75" w:type="dxa"/>
              <w:right w:w="75" w:type="dxa"/>
            </w:tcMar>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p>
        </w:tc>
      </w:tr>
      <w:tr w:rsidR="00851FF9" w:rsidRPr="00851FF9" w:rsidTr="003A1D5A">
        <w:trPr>
          <w:trHeight w:val="867"/>
        </w:trPr>
        <w:tc>
          <w:tcPr>
            <w:tcW w:w="1693" w:type="dxa"/>
            <w:vMerge/>
            <w:tcBorders>
              <w:bottom w:val="single" w:sz="4" w:space="0" w:color="auto"/>
              <w:right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rPr>
                <w:rFonts w:ascii="Times New Roman" w:eastAsia="Calibri" w:hAnsi="Times New Roman" w:cs="Times New Roman"/>
                <w:color w:val="000000"/>
              </w:rPr>
            </w:pPr>
          </w:p>
        </w:tc>
        <w:tc>
          <w:tcPr>
            <w:tcW w:w="2410" w:type="dxa"/>
            <w:tcBorders>
              <w:left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jc w:val="right"/>
              <w:rPr>
                <w:rFonts w:ascii="Times New Roman" w:eastAsia="Calibri" w:hAnsi="Times New Roman" w:cs="Times New Roman"/>
                <w:color w:val="000000"/>
                <w:sz w:val="20"/>
                <w:szCs w:val="20"/>
              </w:rPr>
            </w:pPr>
            <w:bookmarkStart w:id="44" w:name="101523"/>
            <w:bookmarkEnd w:id="44"/>
            <w:r w:rsidRPr="00851FF9">
              <w:rPr>
                <w:rFonts w:ascii="Times New Roman" w:eastAsia="Calibri" w:hAnsi="Times New Roman" w:cs="Times New Roman"/>
                <w:color w:val="000000"/>
                <w:sz w:val="20"/>
                <w:szCs w:val="20"/>
              </w:rPr>
              <w:t>Расчетные (дебетовые) карты, включая зарплатные</w:t>
            </w:r>
          </w:p>
        </w:tc>
        <w:tc>
          <w:tcPr>
            <w:tcW w:w="5944" w:type="dxa"/>
            <w:vMerge/>
            <w:tcBorders>
              <w:left w:val="nil"/>
            </w:tcBorders>
            <w:shd w:val="clear" w:color="auto" w:fill="auto"/>
            <w:tcMar>
              <w:top w:w="75" w:type="dxa"/>
              <w:left w:w="75" w:type="dxa"/>
              <w:bottom w:w="75" w:type="dxa"/>
              <w:right w:w="75" w:type="dxa"/>
            </w:tcMar>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p>
        </w:tc>
      </w:tr>
      <w:tr w:rsidR="00851FF9" w:rsidRPr="00851FF9" w:rsidTr="003A1D5A">
        <w:trPr>
          <w:trHeight w:val="867"/>
        </w:trPr>
        <w:tc>
          <w:tcPr>
            <w:tcW w:w="1693" w:type="dxa"/>
            <w:vMerge/>
            <w:tcBorders>
              <w:bottom w:val="single" w:sz="4" w:space="0" w:color="auto"/>
              <w:right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rPr>
                <w:rFonts w:ascii="Times New Roman" w:eastAsia="Calibri" w:hAnsi="Times New Roman" w:cs="Times New Roman"/>
                <w:color w:val="000000"/>
              </w:rPr>
            </w:pPr>
          </w:p>
        </w:tc>
        <w:tc>
          <w:tcPr>
            <w:tcW w:w="2410" w:type="dxa"/>
            <w:tcBorders>
              <w:left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jc w:val="right"/>
              <w:rPr>
                <w:rFonts w:ascii="Times New Roman" w:eastAsia="Calibri" w:hAnsi="Times New Roman" w:cs="Times New Roman"/>
                <w:color w:val="000000"/>
                <w:sz w:val="20"/>
                <w:szCs w:val="20"/>
              </w:rPr>
            </w:pPr>
            <w:bookmarkStart w:id="45" w:name="101524"/>
            <w:bookmarkEnd w:id="45"/>
            <w:r w:rsidRPr="00851FF9">
              <w:rPr>
                <w:rFonts w:ascii="Times New Roman" w:eastAsia="Calibri" w:hAnsi="Times New Roman" w:cs="Times New Roman"/>
                <w:color w:val="000000"/>
                <w:sz w:val="20"/>
                <w:szCs w:val="20"/>
              </w:rPr>
              <w:t>Кредитные карты</w:t>
            </w:r>
          </w:p>
        </w:tc>
        <w:tc>
          <w:tcPr>
            <w:tcW w:w="5944" w:type="dxa"/>
            <w:vMerge/>
            <w:tcBorders>
              <w:left w:val="nil"/>
            </w:tcBorders>
            <w:shd w:val="clear" w:color="auto" w:fill="auto"/>
            <w:tcMar>
              <w:top w:w="75" w:type="dxa"/>
              <w:left w:w="75" w:type="dxa"/>
              <w:bottom w:w="75" w:type="dxa"/>
              <w:right w:w="75" w:type="dxa"/>
            </w:tcMar>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p>
        </w:tc>
      </w:tr>
      <w:tr w:rsidR="00851FF9" w:rsidRPr="00851FF9" w:rsidTr="003A1D5A">
        <w:trPr>
          <w:trHeight w:val="867"/>
        </w:trPr>
        <w:tc>
          <w:tcPr>
            <w:tcW w:w="1693" w:type="dxa"/>
            <w:vMerge/>
            <w:tcBorders>
              <w:bottom w:val="single" w:sz="4" w:space="0" w:color="auto"/>
              <w:right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rPr>
                <w:rFonts w:ascii="Times New Roman" w:eastAsia="Calibri" w:hAnsi="Times New Roman" w:cs="Times New Roman"/>
                <w:color w:val="000000"/>
              </w:rPr>
            </w:pPr>
          </w:p>
        </w:tc>
        <w:tc>
          <w:tcPr>
            <w:tcW w:w="2410" w:type="dxa"/>
            <w:tcBorders>
              <w:left w:val="single" w:sz="4" w:space="0" w:color="auto"/>
              <w:bottom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jc w:val="right"/>
              <w:rPr>
                <w:rFonts w:ascii="Times New Roman" w:eastAsia="Calibri" w:hAnsi="Times New Roman" w:cs="Times New Roman"/>
                <w:color w:val="000000"/>
                <w:sz w:val="20"/>
                <w:szCs w:val="20"/>
              </w:rPr>
            </w:pPr>
            <w:bookmarkStart w:id="46" w:name="101525"/>
            <w:bookmarkEnd w:id="46"/>
            <w:r w:rsidRPr="00851FF9">
              <w:rPr>
                <w:rFonts w:ascii="Times New Roman" w:eastAsia="Calibri" w:hAnsi="Times New Roman" w:cs="Times New Roman"/>
                <w:color w:val="000000"/>
                <w:sz w:val="20"/>
                <w:szCs w:val="20"/>
              </w:rPr>
              <w:t>Переводы и платежи</w:t>
            </w:r>
          </w:p>
        </w:tc>
        <w:tc>
          <w:tcPr>
            <w:tcW w:w="5944" w:type="dxa"/>
            <w:vMerge/>
            <w:tcBorders>
              <w:left w:val="nil"/>
              <w:bottom w:val="single" w:sz="6" w:space="0" w:color="000000"/>
            </w:tcBorders>
            <w:shd w:val="clear" w:color="auto" w:fill="auto"/>
            <w:tcMar>
              <w:top w:w="75" w:type="dxa"/>
              <w:left w:w="75" w:type="dxa"/>
              <w:bottom w:w="75" w:type="dxa"/>
              <w:right w:w="75" w:type="dxa"/>
            </w:tcMar>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p>
        </w:tc>
      </w:tr>
      <w:tr w:rsidR="00851FF9" w:rsidRPr="00851FF9" w:rsidTr="003A1D5A">
        <w:trPr>
          <w:trHeight w:val="866"/>
        </w:trPr>
        <w:tc>
          <w:tcPr>
            <w:tcW w:w="1693" w:type="dxa"/>
            <w:vMerge w:val="restart"/>
            <w:tcBorders>
              <w:top w:val="single" w:sz="4" w:space="0" w:color="auto"/>
              <w:bottom w:val="single" w:sz="6" w:space="0" w:color="000000"/>
              <w:right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jc w:val="center"/>
              <w:rPr>
                <w:rFonts w:ascii="Times New Roman" w:eastAsia="Calibri" w:hAnsi="Times New Roman" w:cs="Times New Roman"/>
                <w:b/>
                <w:bCs/>
                <w:color w:val="000000"/>
              </w:rPr>
            </w:pPr>
            <w:bookmarkStart w:id="47" w:name="101526"/>
            <w:bookmarkEnd w:id="47"/>
            <w:r w:rsidRPr="00851FF9">
              <w:rPr>
                <w:rFonts w:ascii="Times New Roman" w:eastAsia="Calibri" w:hAnsi="Times New Roman" w:cs="Times New Roman"/>
                <w:b/>
                <w:bCs/>
                <w:color w:val="000000"/>
              </w:rPr>
              <w:t>Микрофинансовые организации</w:t>
            </w:r>
          </w:p>
        </w:tc>
        <w:tc>
          <w:tcPr>
            <w:tcW w:w="2410" w:type="dxa"/>
            <w:tcBorders>
              <w:top w:val="single" w:sz="4" w:space="0" w:color="auto"/>
              <w:left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jc w:val="right"/>
              <w:rPr>
                <w:rFonts w:ascii="Times New Roman" w:eastAsia="Calibri" w:hAnsi="Times New Roman" w:cs="Times New Roman"/>
                <w:color w:val="000000"/>
                <w:sz w:val="20"/>
                <w:szCs w:val="20"/>
              </w:rPr>
            </w:pPr>
            <w:bookmarkStart w:id="48" w:name="101527"/>
            <w:bookmarkEnd w:id="48"/>
            <w:r w:rsidRPr="00851FF9">
              <w:rPr>
                <w:rFonts w:ascii="Times New Roman" w:eastAsia="Calibri" w:hAnsi="Times New Roman" w:cs="Times New Roman"/>
                <w:color w:val="000000"/>
                <w:sz w:val="20"/>
                <w:szCs w:val="20"/>
              </w:rPr>
              <w:t>Займы в микрофинансовых организациях</w:t>
            </w:r>
          </w:p>
        </w:tc>
        <w:tc>
          <w:tcPr>
            <w:tcW w:w="5944" w:type="dxa"/>
            <w:vMerge w:val="restart"/>
            <w:tcBorders>
              <w:top w:val="single" w:sz="6" w:space="0" w:color="000000"/>
              <w:left w:val="nil"/>
            </w:tcBorders>
            <w:shd w:val="clear" w:color="auto" w:fill="auto"/>
            <w:tcMar>
              <w:top w:w="75" w:type="dxa"/>
              <w:left w:w="75" w:type="dxa"/>
              <w:bottom w:w="75" w:type="dxa"/>
              <w:right w:w="75" w:type="dxa"/>
            </w:tcMar>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Franklin Gothic Book" w:hAnsi="Times New Roman" w:cs="Times New Roman"/>
                <w:noProof/>
                <w:color w:val="000000"/>
                <w:szCs w:val="24"/>
                <w:u w:color="000000"/>
                <w:lang w:eastAsia="ru-RU"/>
              </w:rPr>
              <w:drawing>
                <wp:inline distT="0" distB="0" distL="0" distR="0" wp14:anchorId="28276CAA" wp14:editId="0B807201">
                  <wp:extent cx="3888105" cy="1200150"/>
                  <wp:effectExtent l="0" t="0" r="0" b="0"/>
                  <wp:docPr id="1027" name="Диаграмма 10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tc>
      </w:tr>
      <w:tr w:rsidR="00851FF9" w:rsidRPr="00851FF9" w:rsidTr="003A1D5A">
        <w:trPr>
          <w:trHeight w:val="867"/>
        </w:trPr>
        <w:tc>
          <w:tcPr>
            <w:tcW w:w="1693" w:type="dxa"/>
            <w:vMerge/>
            <w:tcBorders>
              <w:bottom w:val="single" w:sz="6" w:space="0" w:color="000000"/>
              <w:right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rPr>
                <w:rFonts w:ascii="Times New Roman" w:eastAsia="Calibri" w:hAnsi="Times New Roman" w:cs="Times New Roman"/>
                <w:color w:val="000000"/>
              </w:rPr>
            </w:pPr>
          </w:p>
        </w:tc>
        <w:tc>
          <w:tcPr>
            <w:tcW w:w="2410" w:type="dxa"/>
            <w:tcBorders>
              <w:left w:val="single" w:sz="4" w:space="0" w:color="auto"/>
              <w:bottom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ind w:right="67"/>
              <w:jc w:val="right"/>
              <w:rPr>
                <w:rFonts w:ascii="Times New Roman" w:eastAsia="Calibri" w:hAnsi="Times New Roman" w:cs="Times New Roman"/>
                <w:color w:val="000000"/>
                <w:sz w:val="20"/>
                <w:szCs w:val="20"/>
              </w:rPr>
            </w:pPr>
            <w:bookmarkStart w:id="49" w:name="101528"/>
            <w:bookmarkEnd w:id="49"/>
            <w:r w:rsidRPr="00851FF9">
              <w:rPr>
                <w:rFonts w:ascii="Times New Roman" w:eastAsia="Calibri" w:hAnsi="Times New Roman" w:cs="Times New Roman"/>
                <w:color w:val="000000"/>
                <w:sz w:val="20"/>
                <w:szCs w:val="20"/>
              </w:rPr>
              <w:t xml:space="preserve">Размещение средств в форме договора займа в микрофин. организациях </w:t>
            </w:r>
          </w:p>
        </w:tc>
        <w:tc>
          <w:tcPr>
            <w:tcW w:w="5944" w:type="dxa"/>
            <w:vMerge/>
            <w:tcBorders>
              <w:left w:val="nil"/>
              <w:bottom w:val="single" w:sz="6" w:space="0" w:color="000000"/>
            </w:tcBorders>
            <w:shd w:val="clear" w:color="auto" w:fill="auto"/>
            <w:tcMar>
              <w:top w:w="75" w:type="dxa"/>
              <w:left w:w="75" w:type="dxa"/>
              <w:bottom w:w="75" w:type="dxa"/>
              <w:right w:w="75" w:type="dxa"/>
            </w:tcMar>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p>
        </w:tc>
      </w:tr>
      <w:tr w:rsidR="00851FF9" w:rsidRPr="00851FF9" w:rsidTr="003A1D5A">
        <w:trPr>
          <w:trHeight w:val="867"/>
        </w:trPr>
        <w:tc>
          <w:tcPr>
            <w:tcW w:w="1693" w:type="dxa"/>
            <w:vMerge w:val="restart"/>
            <w:tcBorders>
              <w:top w:val="single" w:sz="6" w:space="0" w:color="000000"/>
              <w:right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jc w:val="center"/>
              <w:rPr>
                <w:rFonts w:ascii="Times New Roman" w:eastAsia="Calibri" w:hAnsi="Times New Roman" w:cs="Times New Roman"/>
                <w:b/>
                <w:bCs/>
                <w:color w:val="000000"/>
              </w:rPr>
            </w:pPr>
            <w:bookmarkStart w:id="50" w:name="101529"/>
            <w:bookmarkEnd w:id="50"/>
            <w:r w:rsidRPr="00851FF9">
              <w:rPr>
                <w:rFonts w:ascii="Times New Roman" w:eastAsia="Calibri" w:hAnsi="Times New Roman" w:cs="Times New Roman"/>
                <w:b/>
                <w:bCs/>
                <w:color w:val="000000"/>
              </w:rPr>
              <w:t>Кредитные потребительские кооперативы (КПК)</w:t>
            </w:r>
          </w:p>
        </w:tc>
        <w:tc>
          <w:tcPr>
            <w:tcW w:w="2410" w:type="dxa"/>
            <w:tcBorders>
              <w:top w:val="single" w:sz="4" w:space="0" w:color="auto"/>
              <w:left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jc w:val="right"/>
              <w:rPr>
                <w:rFonts w:ascii="Times New Roman" w:eastAsia="Calibri" w:hAnsi="Times New Roman" w:cs="Times New Roman"/>
                <w:color w:val="000000"/>
                <w:sz w:val="20"/>
                <w:szCs w:val="20"/>
              </w:rPr>
            </w:pPr>
            <w:bookmarkStart w:id="51" w:name="101530"/>
            <w:bookmarkEnd w:id="51"/>
            <w:r w:rsidRPr="00851FF9">
              <w:rPr>
                <w:rFonts w:ascii="Times New Roman" w:eastAsia="Calibri" w:hAnsi="Times New Roman" w:cs="Times New Roman"/>
                <w:color w:val="000000"/>
                <w:sz w:val="20"/>
                <w:szCs w:val="20"/>
              </w:rPr>
              <w:t>Займы в кредитных потребительских кооперативах</w:t>
            </w:r>
          </w:p>
        </w:tc>
        <w:tc>
          <w:tcPr>
            <w:tcW w:w="5944" w:type="dxa"/>
            <w:vMerge w:val="restart"/>
            <w:tcBorders>
              <w:top w:val="single" w:sz="6" w:space="0" w:color="000000"/>
              <w:left w:val="nil"/>
            </w:tcBorders>
            <w:shd w:val="clear" w:color="auto" w:fill="auto"/>
            <w:tcMar>
              <w:top w:w="75" w:type="dxa"/>
              <w:left w:w="75" w:type="dxa"/>
              <w:bottom w:w="75" w:type="dxa"/>
              <w:right w:w="75" w:type="dxa"/>
            </w:tcMar>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Franklin Gothic Book" w:hAnsi="Times New Roman" w:cs="Times New Roman"/>
                <w:noProof/>
                <w:color w:val="000000"/>
                <w:szCs w:val="24"/>
                <w:u w:color="000000"/>
                <w:lang w:eastAsia="ru-RU"/>
              </w:rPr>
              <w:drawing>
                <wp:inline distT="0" distB="0" distL="0" distR="0" wp14:anchorId="59A24556" wp14:editId="414ADE31">
                  <wp:extent cx="3905250" cy="1990725"/>
                  <wp:effectExtent l="0" t="0" r="0" b="0"/>
                  <wp:docPr id="1029" name="Диаграмма 1029"/>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tc>
      </w:tr>
      <w:tr w:rsidR="00851FF9" w:rsidRPr="00851FF9" w:rsidTr="003A1D5A">
        <w:trPr>
          <w:trHeight w:val="867"/>
        </w:trPr>
        <w:tc>
          <w:tcPr>
            <w:tcW w:w="1693" w:type="dxa"/>
            <w:vMerge/>
            <w:tcBorders>
              <w:right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rPr>
                <w:rFonts w:ascii="Times New Roman" w:eastAsia="Calibri" w:hAnsi="Times New Roman" w:cs="Times New Roman"/>
                <w:color w:val="000000"/>
              </w:rPr>
            </w:pPr>
          </w:p>
        </w:tc>
        <w:tc>
          <w:tcPr>
            <w:tcW w:w="2410" w:type="dxa"/>
            <w:tcBorders>
              <w:left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jc w:val="right"/>
              <w:rPr>
                <w:rFonts w:ascii="Times New Roman" w:eastAsia="Calibri" w:hAnsi="Times New Roman" w:cs="Times New Roman"/>
                <w:color w:val="000000"/>
                <w:sz w:val="20"/>
                <w:szCs w:val="20"/>
              </w:rPr>
            </w:pPr>
            <w:bookmarkStart w:id="52" w:name="101531"/>
            <w:bookmarkEnd w:id="52"/>
            <w:r w:rsidRPr="00851FF9">
              <w:rPr>
                <w:rFonts w:ascii="Times New Roman" w:eastAsia="Calibri" w:hAnsi="Times New Roman" w:cs="Times New Roman"/>
                <w:color w:val="000000"/>
                <w:sz w:val="20"/>
                <w:szCs w:val="20"/>
              </w:rPr>
              <w:t>Размещение средств в форме договора займа в КПК</w:t>
            </w:r>
          </w:p>
        </w:tc>
        <w:tc>
          <w:tcPr>
            <w:tcW w:w="5944" w:type="dxa"/>
            <w:vMerge/>
            <w:tcBorders>
              <w:left w:val="nil"/>
            </w:tcBorders>
            <w:shd w:val="clear" w:color="auto" w:fill="auto"/>
            <w:tcMar>
              <w:top w:w="75" w:type="dxa"/>
              <w:left w:w="75" w:type="dxa"/>
              <w:bottom w:w="75" w:type="dxa"/>
              <w:right w:w="75" w:type="dxa"/>
            </w:tcMar>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p>
        </w:tc>
      </w:tr>
      <w:tr w:rsidR="00851FF9" w:rsidRPr="00851FF9" w:rsidTr="003A1D5A">
        <w:trPr>
          <w:trHeight w:val="1086"/>
        </w:trPr>
        <w:tc>
          <w:tcPr>
            <w:tcW w:w="1693" w:type="dxa"/>
            <w:vMerge/>
            <w:tcBorders>
              <w:right w:val="single" w:sz="4" w:space="0" w:color="auto"/>
            </w:tcBorders>
            <w:shd w:val="clear" w:color="auto" w:fill="auto"/>
            <w:tcMar>
              <w:top w:w="75" w:type="dxa"/>
              <w:left w:w="75" w:type="dxa"/>
              <w:bottom w:w="75" w:type="dxa"/>
              <w:right w:w="75" w:type="dxa"/>
            </w:tcMar>
            <w:vAlign w:val="center"/>
          </w:tcPr>
          <w:p w:rsidR="00851FF9" w:rsidRPr="00851FF9" w:rsidRDefault="00851FF9" w:rsidP="00851FF9">
            <w:pPr>
              <w:spacing w:after="0" w:line="240" w:lineRule="auto"/>
              <w:rPr>
                <w:rFonts w:ascii="Times New Roman" w:eastAsia="Calibri" w:hAnsi="Times New Roman" w:cs="Times New Roman"/>
                <w:color w:val="000000"/>
              </w:rPr>
            </w:pPr>
          </w:p>
        </w:tc>
        <w:tc>
          <w:tcPr>
            <w:tcW w:w="2410" w:type="dxa"/>
            <w:tcBorders>
              <w:left w:val="single" w:sz="4" w:space="0" w:color="auto"/>
            </w:tcBorders>
            <w:shd w:val="clear" w:color="auto" w:fill="auto"/>
            <w:tcMar>
              <w:top w:w="75" w:type="dxa"/>
              <w:left w:w="75" w:type="dxa"/>
              <w:bottom w:w="75" w:type="dxa"/>
              <w:right w:w="75" w:type="dxa"/>
            </w:tcMar>
            <w:vAlign w:val="center"/>
          </w:tcPr>
          <w:p w:rsidR="00851FF9" w:rsidRPr="00851FF9" w:rsidRDefault="00851FF9" w:rsidP="00851FF9">
            <w:pPr>
              <w:spacing w:after="0" w:line="240" w:lineRule="auto"/>
              <w:jc w:val="right"/>
              <w:rPr>
                <w:rFonts w:ascii="Times New Roman" w:eastAsia="Calibri" w:hAnsi="Times New Roman" w:cs="Times New Roman"/>
                <w:color w:val="000000"/>
                <w:sz w:val="20"/>
                <w:szCs w:val="20"/>
              </w:rPr>
            </w:pPr>
          </w:p>
        </w:tc>
        <w:tc>
          <w:tcPr>
            <w:tcW w:w="5944" w:type="dxa"/>
            <w:vMerge/>
            <w:tcBorders>
              <w:left w:val="nil"/>
            </w:tcBorders>
            <w:shd w:val="clear" w:color="auto" w:fill="auto"/>
            <w:tcMar>
              <w:top w:w="75" w:type="dxa"/>
              <w:left w:w="75" w:type="dxa"/>
              <w:bottom w:w="75" w:type="dxa"/>
              <w:right w:w="75" w:type="dxa"/>
            </w:tcMar>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p>
        </w:tc>
      </w:tr>
    </w:tbl>
    <w:p w:rsidR="00851FF9" w:rsidRPr="00851FF9" w:rsidRDefault="00851FF9" w:rsidP="008A134A">
      <w:pPr>
        <w:keepNext/>
        <w:keepLines/>
        <w:spacing w:before="120" w:after="120" w:line="240" w:lineRule="auto"/>
        <w:jc w:val="center"/>
        <w:rPr>
          <w:rFonts w:ascii="Times New Roman" w:eastAsia="Calibri" w:hAnsi="Times New Roman" w:cs="Times New Roman"/>
          <w:b/>
          <w:iCs/>
          <w:color w:val="000000"/>
          <w:sz w:val="24"/>
          <w:szCs w:val="28"/>
        </w:rPr>
      </w:pPr>
      <w:r w:rsidRPr="00851FF9">
        <w:rPr>
          <w:rFonts w:ascii="Times New Roman" w:eastAsia="Calibri" w:hAnsi="Times New Roman" w:cs="Times New Roman"/>
          <w:iCs/>
          <w:color w:val="000000"/>
          <w:sz w:val="24"/>
          <w:szCs w:val="28"/>
        </w:rPr>
        <w:t xml:space="preserve">Рисунок </w:t>
      </w:r>
      <w:r w:rsidR="008A134A">
        <w:rPr>
          <w:rFonts w:ascii="Times New Roman" w:eastAsia="Calibri" w:hAnsi="Times New Roman" w:cs="Times New Roman"/>
          <w:iCs/>
          <w:color w:val="000000"/>
          <w:sz w:val="24"/>
          <w:szCs w:val="28"/>
        </w:rPr>
        <w:t>45</w:t>
      </w:r>
      <w:r w:rsidRPr="00851FF9">
        <w:rPr>
          <w:rFonts w:ascii="Times New Roman" w:eastAsia="Calibri" w:hAnsi="Times New Roman" w:cs="Times New Roman"/>
          <w:iCs/>
          <w:color w:val="000000"/>
          <w:sz w:val="24"/>
          <w:szCs w:val="28"/>
        </w:rPr>
        <w:t xml:space="preserve">, продолжение. </w:t>
      </w:r>
      <w:r w:rsidRPr="00851FF9">
        <w:rPr>
          <w:rFonts w:ascii="Times New Roman" w:eastAsia="Calibri" w:hAnsi="Times New Roman" w:cs="Times New Roman"/>
          <w:b/>
          <w:iCs/>
          <w:color w:val="000000"/>
          <w:sz w:val="24"/>
          <w:szCs w:val="28"/>
        </w:rPr>
        <w:t xml:space="preserve">Насколько Вы удовлетворены следующими продуктами/услугами финансовых организаций при их оформлении и/или использовании или в любых других случаях, когда Вы сталкивались с ними...? </w:t>
      </w:r>
      <w:r w:rsidRPr="00851FF9">
        <w:rPr>
          <w:rFonts w:ascii="Times New Roman" w:eastAsia="Calibri" w:hAnsi="Times New Roman" w:cs="Times New Roman"/>
          <w:noProof/>
          <w:color w:val="000000"/>
          <w:sz w:val="24"/>
          <w:szCs w:val="24"/>
        </w:rPr>
        <w:t xml:space="preserve">(опрос населения, </w:t>
      </w:r>
      <w:r w:rsidRPr="00851FF9">
        <w:rPr>
          <w:rFonts w:ascii="Times New Roman" w:eastAsia="Calibri" w:hAnsi="Times New Roman" w:cs="Times New Roman"/>
          <w:color w:val="000000"/>
          <w:sz w:val="24"/>
          <w:szCs w:val="24"/>
        </w:rPr>
        <w:t>n=1200)</w:t>
      </w:r>
    </w:p>
    <w:tbl>
      <w:tblPr>
        <w:tblW w:w="0" w:type="auto"/>
        <w:tblLayout w:type="fixed"/>
        <w:tblCellMar>
          <w:left w:w="0" w:type="dxa"/>
          <w:right w:w="0" w:type="dxa"/>
        </w:tblCellMar>
        <w:tblLook w:val="04A0" w:firstRow="1" w:lastRow="0" w:firstColumn="1" w:lastColumn="0" w:noHBand="0" w:noVBand="1"/>
      </w:tblPr>
      <w:tblGrid>
        <w:gridCol w:w="1693"/>
        <w:gridCol w:w="2410"/>
        <w:gridCol w:w="5944"/>
      </w:tblGrid>
      <w:tr w:rsidR="00851FF9" w:rsidRPr="00851FF9" w:rsidTr="003A1D5A">
        <w:trPr>
          <w:trHeight w:val="900"/>
        </w:trPr>
        <w:tc>
          <w:tcPr>
            <w:tcW w:w="1693" w:type="dxa"/>
            <w:tcBorders>
              <w:bottom w:val="single" w:sz="6" w:space="0" w:color="000000"/>
              <w:right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jc w:val="center"/>
              <w:rPr>
                <w:rFonts w:ascii="Times New Roman" w:eastAsia="Calibri" w:hAnsi="Times New Roman" w:cs="Times New Roman"/>
                <w:b/>
                <w:bCs/>
                <w:color w:val="000000"/>
              </w:rPr>
            </w:pPr>
            <w:bookmarkStart w:id="53" w:name="101532"/>
            <w:bookmarkEnd w:id="53"/>
            <w:r w:rsidRPr="00851FF9">
              <w:rPr>
                <w:rFonts w:ascii="Times New Roman" w:eastAsia="Calibri" w:hAnsi="Times New Roman" w:cs="Times New Roman"/>
                <w:b/>
                <w:bCs/>
                <w:color w:val="000000"/>
              </w:rPr>
              <w:t>Ломбарды</w:t>
            </w:r>
          </w:p>
        </w:tc>
        <w:tc>
          <w:tcPr>
            <w:tcW w:w="2410" w:type="dxa"/>
            <w:tcBorders>
              <w:left w:val="single" w:sz="4" w:space="0" w:color="auto"/>
              <w:bottom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jc w:val="right"/>
              <w:rPr>
                <w:rFonts w:ascii="Times New Roman" w:eastAsia="Calibri" w:hAnsi="Times New Roman" w:cs="Times New Roman"/>
                <w:color w:val="000000"/>
              </w:rPr>
            </w:pPr>
            <w:bookmarkStart w:id="54" w:name="101533"/>
            <w:bookmarkEnd w:id="54"/>
            <w:r w:rsidRPr="00851FF9">
              <w:rPr>
                <w:rFonts w:ascii="Times New Roman" w:eastAsia="Calibri" w:hAnsi="Times New Roman" w:cs="Times New Roman"/>
                <w:color w:val="000000"/>
                <w:sz w:val="20"/>
              </w:rPr>
              <w:t>Займы в ломбардах</w:t>
            </w:r>
          </w:p>
        </w:tc>
        <w:tc>
          <w:tcPr>
            <w:tcW w:w="5944" w:type="dxa"/>
            <w:tcBorders>
              <w:left w:val="nil"/>
              <w:bottom w:val="single" w:sz="6" w:space="0" w:color="000000"/>
            </w:tcBorders>
            <w:shd w:val="clear" w:color="auto" w:fill="auto"/>
            <w:tcMar>
              <w:top w:w="75" w:type="dxa"/>
              <w:left w:w="75" w:type="dxa"/>
              <w:bottom w:w="75" w:type="dxa"/>
              <w:right w:w="75" w:type="dxa"/>
            </w:tcMar>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Franklin Gothic Book" w:hAnsi="Times New Roman" w:cs="Times New Roman"/>
                <w:noProof/>
                <w:color w:val="000000"/>
                <w:szCs w:val="24"/>
                <w:u w:color="000000"/>
                <w:lang w:eastAsia="ru-RU"/>
              </w:rPr>
              <w:drawing>
                <wp:inline distT="0" distB="0" distL="0" distR="0" wp14:anchorId="3A9BD8E2" wp14:editId="07DC2D19">
                  <wp:extent cx="3888105" cy="571500"/>
                  <wp:effectExtent l="0" t="0" r="0" b="0"/>
                  <wp:docPr id="1030" name="Диаграмма 10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tc>
      </w:tr>
      <w:tr w:rsidR="00851FF9" w:rsidRPr="00851FF9" w:rsidTr="003A1D5A">
        <w:trPr>
          <w:trHeight w:val="900"/>
        </w:trPr>
        <w:tc>
          <w:tcPr>
            <w:tcW w:w="1693" w:type="dxa"/>
            <w:vMerge w:val="restart"/>
            <w:tcBorders>
              <w:top w:val="single" w:sz="6" w:space="0" w:color="000000"/>
              <w:bottom w:val="single" w:sz="6" w:space="0" w:color="000000"/>
              <w:right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jc w:val="center"/>
              <w:rPr>
                <w:rFonts w:ascii="Times New Roman" w:eastAsia="Calibri" w:hAnsi="Times New Roman" w:cs="Times New Roman"/>
                <w:b/>
                <w:bCs/>
                <w:color w:val="000000"/>
              </w:rPr>
            </w:pPr>
            <w:bookmarkStart w:id="55" w:name="101534"/>
            <w:bookmarkEnd w:id="55"/>
            <w:r w:rsidRPr="00851FF9">
              <w:rPr>
                <w:rFonts w:ascii="Times New Roman" w:eastAsia="Calibri" w:hAnsi="Times New Roman" w:cs="Times New Roman"/>
                <w:b/>
                <w:bCs/>
                <w:color w:val="000000"/>
              </w:rPr>
              <w:t>Субъекты страхового дела</w:t>
            </w:r>
          </w:p>
        </w:tc>
        <w:tc>
          <w:tcPr>
            <w:tcW w:w="2410" w:type="dxa"/>
            <w:tcBorders>
              <w:top w:val="single" w:sz="4" w:space="0" w:color="auto"/>
              <w:left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jc w:val="right"/>
              <w:rPr>
                <w:rFonts w:ascii="Times New Roman" w:eastAsia="Calibri" w:hAnsi="Times New Roman" w:cs="Times New Roman"/>
                <w:color w:val="000000"/>
                <w:sz w:val="20"/>
              </w:rPr>
            </w:pPr>
            <w:bookmarkStart w:id="56" w:name="101535"/>
            <w:bookmarkEnd w:id="56"/>
            <w:r w:rsidRPr="00851FF9">
              <w:rPr>
                <w:rFonts w:ascii="Times New Roman" w:eastAsia="Calibri" w:hAnsi="Times New Roman" w:cs="Times New Roman"/>
                <w:color w:val="000000"/>
                <w:sz w:val="20"/>
              </w:rPr>
              <w:t>Добровольное страхование жизни</w:t>
            </w:r>
          </w:p>
        </w:tc>
        <w:tc>
          <w:tcPr>
            <w:tcW w:w="5944" w:type="dxa"/>
            <w:vMerge w:val="restart"/>
            <w:tcBorders>
              <w:top w:val="single" w:sz="6" w:space="0" w:color="000000"/>
              <w:left w:val="nil"/>
            </w:tcBorders>
            <w:shd w:val="clear" w:color="auto" w:fill="auto"/>
            <w:tcMar>
              <w:top w:w="75" w:type="dxa"/>
              <w:left w:w="75" w:type="dxa"/>
              <w:bottom w:w="75" w:type="dxa"/>
              <w:right w:w="75" w:type="dxa"/>
            </w:tcMar>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Franklin Gothic Book" w:hAnsi="Times New Roman" w:cs="Times New Roman"/>
                <w:noProof/>
                <w:color w:val="000000"/>
                <w:szCs w:val="24"/>
                <w:u w:color="000000"/>
                <w:lang w:eastAsia="ru-RU"/>
              </w:rPr>
              <w:drawing>
                <wp:inline distT="0" distB="0" distL="0" distR="0" wp14:anchorId="24BAC724" wp14:editId="2C766641">
                  <wp:extent cx="3905250" cy="2476500"/>
                  <wp:effectExtent l="0" t="0" r="0" b="0"/>
                  <wp:docPr id="1031" name="Диаграмма 103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tc>
      </w:tr>
      <w:tr w:rsidR="00851FF9" w:rsidRPr="00851FF9" w:rsidTr="003A1D5A">
        <w:trPr>
          <w:trHeight w:val="900"/>
        </w:trPr>
        <w:tc>
          <w:tcPr>
            <w:tcW w:w="1693" w:type="dxa"/>
            <w:vMerge/>
            <w:tcBorders>
              <w:bottom w:val="single" w:sz="6" w:space="0" w:color="000000"/>
              <w:right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rPr>
                <w:rFonts w:ascii="Times New Roman" w:eastAsia="Calibri" w:hAnsi="Times New Roman" w:cs="Times New Roman"/>
                <w:color w:val="000000"/>
              </w:rPr>
            </w:pPr>
          </w:p>
        </w:tc>
        <w:tc>
          <w:tcPr>
            <w:tcW w:w="2410" w:type="dxa"/>
            <w:tcBorders>
              <w:left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jc w:val="right"/>
              <w:rPr>
                <w:rFonts w:ascii="Times New Roman" w:eastAsia="Calibri" w:hAnsi="Times New Roman" w:cs="Times New Roman"/>
                <w:color w:val="000000"/>
                <w:sz w:val="20"/>
              </w:rPr>
            </w:pPr>
            <w:bookmarkStart w:id="57" w:name="101536"/>
            <w:bookmarkEnd w:id="57"/>
            <w:r w:rsidRPr="00851FF9">
              <w:rPr>
                <w:rFonts w:ascii="Times New Roman" w:eastAsia="Calibri" w:hAnsi="Times New Roman" w:cs="Times New Roman"/>
                <w:color w:val="000000"/>
                <w:sz w:val="20"/>
              </w:rPr>
              <w:t>Другое добровольное страхование</w:t>
            </w:r>
          </w:p>
        </w:tc>
        <w:tc>
          <w:tcPr>
            <w:tcW w:w="5944" w:type="dxa"/>
            <w:vMerge/>
            <w:tcBorders>
              <w:left w:val="nil"/>
            </w:tcBorders>
            <w:shd w:val="clear" w:color="auto" w:fill="auto"/>
            <w:tcMar>
              <w:top w:w="75" w:type="dxa"/>
              <w:left w:w="75" w:type="dxa"/>
              <w:bottom w:w="75" w:type="dxa"/>
              <w:right w:w="75" w:type="dxa"/>
            </w:tcMar>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p>
        </w:tc>
      </w:tr>
      <w:tr w:rsidR="00851FF9" w:rsidRPr="00851FF9" w:rsidTr="003A1D5A">
        <w:trPr>
          <w:trHeight w:val="900"/>
        </w:trPr>
        <w:tc>
          <w:tcPr>
            <w:tcW w:w="1693" w:type="dxa"/>
            <w:vMerge/>
            <w:tcBorders>
              <w:bottom w:val="single" w:sz="6" w:space="0" w:color="000000"/>
              <w:right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rPr>
                <w:rFonts w:ascii="Times New Roman" w:eastAsia="Calibri" w:hAnsi="Times New Roman" w:cs="Times New Roman"/>
                <w:color w:val="000000"/>
              </w:rPr>
            </w:pPr>
          </w:p>
        </w:tc>
        <w:tc>
          <w:tcPr>
            <w:tcW w:w="2410" w:type="dxa"/>
            <w:tcBorders>
              <w:left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jc w:val="right"/>
              <w:rPr>
                <w:rFonts w:ascii="Times New Roman" w:eastAsia="Calibri" w:hAnsi="Times New Roman" w:cs="Times New Roman"/>
                <w:color w:val="000000"/>
                <w:sz w:val="20"/>
              </w:rPr>
            </w:pPr>
            <w:bookmarkStart w:id="58" w:name="101537"/>
            <w:bookmarkEnd w:id="58"/>
            <w:r w:rsidRPr="00851FF9">
              <w:rPr>
                <w:rFonts w:ascii="Times New Roman" w:eastAsia="Calibri" w:hAnsi="Times New Roman" w:cs="Times New Roman"/>
                <w:color w:val="000000"/>
                <w:sz w:val="20"/>
              </w:rPr>
              <w:t>Обязательное медицинское страхование</w:t>
            </w:r>
          </w:p>
        </w:tc>
        <w:tc>
          <w:tcPr>
            <w:tcW w:w="5944" w:type="dxa"/>
            <w:vMerge/>
            <w:tcBorders>
              <w:left w:val="nil"/>
            </w:tcBorders>
            <w:shd w:val="clear" w:color="auto" w:fill="auto"/>
            <w:tcMar>
              <w:top w:w="75" w:type="dxa"/>
              <w:left w:w="75" w:type="dxa"/>
              <w:bottom w:w="75" w:type="dxa"/>
              <w:right w:w="75" w:type="dxa"/>
            </w:tcMar>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p>
        </w:tc>
      </w:tr>
      <w:tr w:rsidR="00851FF9" w:rsidRPr="00851FF9" w:rsidTr="003A1D5A">
        <w:trPr>
          <w:trHeight w:val="900"/>
        </w:trPr>
        <w:tc>
          <w:tcPr>
            <w:tcW w:w="1693" w:type="dxa"/>
            <w:vMerge/>
            <w:tcBorders>
              <w:bottom w:val="single" w:sz="6" w:space="0" w:color="000000"/>
              <w:right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rPr>
                <w:rFonts w:ascii="Times New Roman" w:eastAsia="Calibri" w:hAnsi="Times New Roman" w:cs="Times New Roman"/>
                <w:color w:val="000000"/>
              </w:rPr>
            </w:pPr>
          </w:p>
        </w:tc>
        <w:tc>
          <w:tcPr>
            <w:tcW w:w="2410" w:type="dxa"/>
            <w:tcBorders>
              <w:left w:val="single" w:sz="4" w:space="0" w:color="auto"/>
              <w:bottom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jc w:val="right"/>
              <w:rPr>
                <w:rFonts w:ascii="Times New Roman" w:eastAsia="Calibri" w:hAnsi="Times New Roman" w:cs="Times New Roman"/>
                <w:color w:val="000000"/>
                <w:sz w:val="20"/>
              </w:rPr>
            </w:pPr>
            <w:bookmarkStart w:id="59" w:name="101538"/>
            <w:bookmarkEnd w:id="59"/>
            <w:r w:rsidRPr="00851FF9">
              <w:rPr>
                <w:rFonts w:ascii="Times New Roman" w:eastAsia="Calibri" w:hAnsi="Times New Roman" w:cs="Times New Roman"/>
                <w:color w:val="000000"/>
                <w:sz w:val="20"/>
              </w:rPr>
              <w:t>Другое обязательное страхование</w:t>
            </w:r>
          </w:p>
        </w:tc>
        <w:tc>
          <w:tcPr>
            <w:tcW w:w="5944" w:type="dxa"/>
            <w:vMerge/>
            <w:tcBorders>
              <w:left w:val="nil"/>
              <w:bottom w:val="single" w:sz="6" w:space="0" w:color="000000"/>
            </w:tcBorders>
            <w:shd w:val="clear" w:color="auto" w:fill="auto"/>
            <w:tcMar>
              <w:top w:w="75" w:type="dxa"/>
              <w:left w:w="75" w:type="dxa"/>
              <w:bottom w:w="75" w:type="dxa"/>
              <w:right w:w="75" w:type="dxa"/>
            </w:tcMar>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p>
        </w:tc>
      </w:tr>
      <w:tr w:rsidR="00851FF9" w:rsidRPr="00851FF9" w:rsidTr="003A1D5A">
        <w:trPr>
          <w:trHeight w:val="900"/>
        </w:trPr>
        <w:tc>
          <w:tcPr>
            <w:tcW w:w="1693" w:type="dxa"/>
            <w:vMerge w:val="restart"/>
            <w:tcBorders>
              <w:top w:val="single" w:sz="6" w:space="0" w:color="000000"/>
              <w:bottom w:val="single" w:sz="6" w:space="0" w:color="000000"/>
              <w:right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jc w:val="center"/>
              <w:rPr>
                <w:rFonts w:ascii="Times New Roman" w:eastAsia="Calibri" w:hAnsi="Times New Roman" w:cs="Times New Roman"/>
                <w:b/>
                <w:bCs/>
                <w:color w:val="000000"/>
              </w:rPr>
            </w:pPr>
            <w:bookmarkStart w:id="60" w:name="101539"/>
            <w:bookmarkEnd w:id="60"/>
            <w:r w:rsidRPr="00851FF9">
              <w:rPr>
                <w:rFonts w:ascii="Times New Roman" w:eastAsia="Calibri" w:hAnsi="Times New Roman" w:cs="Times New Roman"/>
                <w:b/>
                <w:bCs/>
                <w:color w:val="000000"/>
              </w:rPr>
              <w:t>Сельскохозяйственные кредитные потребительские кооперативы (СКПК)</w:t>
            </w:r>
          </w:p>
        </w:tc>
        <w:tc>
          <w:tcPr>
            <w:tcW w:w="2410" w:type="dxa"/>
            <w:tcBorders>
              <w:top w:val="single" w:sz="4" w:space="0" w:color="auto"/>
              <w:left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jc w:val="right"/>
              <w:rPr>
                <w:rFonts w:ascii="Times New Roman" w:eastAsia="Calibri" w:hAnsi="Times New Roman" w:cs="Times New Roman"/>
                <w:color w:val="000000"/>
                <w:sz w:val="20"/>
              </w:rPr>
            </w:pPr>
            <w:bookmarkStart w:id="61" w:name="101540"/>
            <w:bookmarkEnd w:id="61"/>
            <w:r w:rsidRPr="00851FF9">
              <w:rPr>
                <w:rFonts w:ascii="Times New Roman" w:eastAsia="Calibri" w:hAnsi="Times New Roman" w:cs="Times New Roman"/>
                <w:color w:val="000000"/>
                <w:sz w:val="20"/>
              </w:rPr>
              <w:t>Займы в СКПК</w:t>
            </w:r>
          </w:p>
        </w:tc>
        <w:tc>
          <w:tcPr>
            <w:tcW w:w="5944" w:type="dxa"/>
            <w:vMerge w:val="restart"/>
            <w:tcBorders>
              <w:top w:val="single" w:sz="6" w:space="0" w:color="000000"/>
              <w:left w:val="nil"/>
            </w:tcBorders>
            <w:shd w:val="clear" w:color="auto" w:fill="auto"/>
            <w:tcMar>
              <w:top w:w="75" w:type="dxa"/>
              <w:left w:w="75" w:type="dxa"/>
              <w:bottom w:w="75" w:type="dxa"/>
              <w:right w:w="75" w:type="dxa"/>
            </w:tcMar>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Franklin Gothic Book" w:hAnsi="Times New Roman" w:cs="Times New Roman"/>
                <w:noProof/>
                <w:color w:val="000000"/>
                <w:szCs w:val="24"/>
                <w:u w:color="000000"/>
                <w:lang w:eastAsia="ru-RU"/>
              </w:rPr>
              <w:drawing>
                <wp:inline distT="0" distB="0" distL="0" distR="0" wp14:anchorId="553D8B9A" wp14:editId="3521716E">
                  <wp:extent cx="3888105" cy="1200150"/>
                  <wp:effectExtent l="0" t="0" r="0" b="0"/>
                  <wp:docPr id="1052" name="Диаграмма 10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tc>
      </w:tr>
      <w:tr w:rsidR="00851FF9" w:rsidRPr="00851FF9" w:rsidTr="003A1D5A">
        <w:trPr>
          <w:trHeight w:val="900"/>
        </w:trPr>
        <w:tc>
          <w:tcPr>
            <w:tcW w:w="1693" w:type="dxa"/>
            <w:vMerge/>
            <w:tcBorders>
              <w:bottom w:val="single" w:sz="6" w:space="0" w:color="000000"/>
              <w:right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rPr>
                <w:rFonts w:ascii="Times New Roman" w:eastAsia="Calibri" w:hAnsi="Times New Roman" w:cs="Times New Roman"/>
                <w:color w:val="000000"/>
              </w:rPr>
            </w:pPr>
          </w:p>
        </w:tc>
        <w:tc>
          <w:tcPr>
            <w:tcW w:w="2410" w:type="dxa"/>
            <w:tcBorders>
              <w:left w:val="single" w:sz="4" w:space="0" w:color="auto"/>
              <w:bottom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jc w:val="right"/>
              <w:rPr>
                <w:rFonts w:ascii="Times New Roman" w:eastAsia="Calibri" w:hAnsi="Times New Roman" w:cs="Times New Roman"/>
                <w:color w:val="000000"/>
                <w:sz w:val="20"/>
              </w:rPr>
            </w:pPr>
            <w:bookmarkStart w:id="62" w:name="101541"/>
            <w:bookmarkEnd w:id="62"/>
            <w:r w:rsidRPr="00851FF9">
              <w:rPr>
                <w:rFonts w:ascii="Times New Roman" w:eastAsia="Calibri" w:hAnsi="Times New Roman" w:cs="Times New Roman"/>
                <w:color w:val="000000"/>
                <w:sz w:val="20"/>
              </w:rPr>
              <w:t>Размещение средств в форме договора займа в СКПК</w:t>
            </w:r>
          </w:p>
        </w:tc>
        <w:tc>
          <w:tcPr>
            <w:tcW w:w="5944" w:type="dxa"/>
            <w:vMerge/>
            <w:tcBorders>
              <w:left w:val="nil"/>
              <w:bottom w:val="single" w:sz="6" w:space="0" w:color="000000"/>
            </w:tcBorders>
            <w:shd w:val="clear" w:color="auto" w:fill="auto"/>
            <w:tcMar>
              <w:top w:w="75" w:type="dxa"/>
              <w:left w:w="75" w:type="dxa"/>
              <w:bottom w:w="75" w:type="dxa"/>
              <w:right w:w="75" w:type="dxa"/>
            </w:tcMar>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p>
        </w:tc>
      </w:tr>
      <w:tr w:rsidR="00851FF9" w:rsidRPr="00851FF9" w:rsidTr="003A1D5A">
        <w:trPr>
          <w:trHeight w:val="900"/>
        </w:trPr>
        <w:tc>
          <w:tcPr>
            <w:tcW w:w="1693" w:type="dxa"/>
            <w:vMerge w:val="restart"/>
            <w:tcBorders>
              <w:top w:val="single" w:sz="6" w:space="0" w:color="000000"/>
              <w:bottom w:val="single" w:sz="6" w:space="0" w:color="000000"/>
              <w:right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jc w:val="center"/>
              <w:rPr>
                <w:rFonts w:ascii="Times New Roman" w:eastAsia="Calibri" w:hAnsi="Times New Roman" w:cs="Times New Roman"/>
                <w:b/>
                <w:bCs/>
                <w:color w:val="000000"/>
              </w:rPr>
            </w:pPr>
            <w:bookmarkStart w:id="63" w:name="101542"/>
            <w:bookmarkEnd w:id="63"/>
            <w:r w:rsidRPr="00851FF9">
              <w:rPr>
                <w:rFonts w:ascii="Times New Roman" w:eastAsia="Calibri" w:hAnsi="Times New Roman" w:cs="Times New Roman"/>
                <w:b/>
                <w:bCs/>
                <w:color w:val="000000"/>
              </w:rPr>
              <w:t>Негосударственные пенсионные фонды</w:t>
            </w:r>
          </w:p>
        </w:tc>
        <w:tc>
          <w:tcPr>
            <w:tcW w:w="2410" w:type="dxa"/>
            <w:tcBorders>
              <w:top w:val="single" w:sz="4" w:space="0" w:color="auto"/>
              <w:left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jc w:val="right"/>
              <w:rPr>
                <w:rFonts w:ascii="Times New Roman" w:eastAsia="Calibri" w:hAnsi="Times New Roman" w:cs="Times New Roman"/>
                <w:color w:val="000000"/>
                <w:sz w:val="20"/>
              </w:rPr>
            </w:pPr>
            <w:bookmarkStart w:id="64" w:name="101543"/>
            <w:bookmarkEnd w:id="64"/>
            <w:r w:rsidRPr="00851FF9">
              <w:rPr>
                <w:rFonts w:ascii="Times New Roman" w:eastAsia="Calibri" w:hAnsi="Times New Roman" w:cs="Times New Roman"/>
                <w:color w:val="000000"/>
                <w:sz w:val="20"/>
              </w:rPr>
              <w:t>Обязательное пенсионное страхование </w:t>
            </w:r>
          </w:p>
        </w:tc>
        <w:tc>
          <w:tcPr>
            <w:tcW w:w="5944" w:type="dxa"/>
            <w:vMerge w:val="restart"/>
            <w:tcBorders>
              <w:top w:val="single" w:sz="6" w:space="0" w:color="000000"/>
              <w:left w:val="nil"/>
            </w:tcBorders>
            <w:shd w:val="clear" w:color="auto" w:fill="auto"/>
            <w:tcMar>
              <w:top w:w="75" w:type="dxa"/>
              <w:left w:w="75" w:type="dxa"/>
              <w:bottom w:w="75" w:type="dxa"/>
              <w:right w:w="75" w:type="dxa"/>
            </w:tcMar>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Franklin Gothic Book" w:hAnsi="Times New Roman" w:cs="Times New Roman"/>
                <w:noProof/>
                <w:color w:val="000000"/>
                <w:szCs w:val="24"/>
                <w:u w:color="000000"/>
                <w:lang w:eastAsia="ru-RU"/>
              </w:rPr>
              <w:drawing>
                <wp:inline distT="0" distB="0" distL="0" distR="0" wp14:anchorId="5F0964AC" wp14:editId="066800EA">
                  <wp:extent cx="3888105" cy="1200150"/>
                  <wp:effectExtent l="0" t="0" r="0" b="0"/>
                  <wp:docPr id="1053" name="Диаграмма 10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tc>
      </w:tr>
      <w:tr w:rsidR="00851FF9" w:rsidRPr="00851FF9" w:rsidTr="003A1D5A">
        <w:trPr>
          <w:trHeight w:val="900"/>
        </w:trPr>
        <w:tc>
          <w:tcPr>
            <w:tcW w:w="1693" w:type="dxa"/>
            <w:vMerge/>
            <w:tcBorders>
              <w:bottom w:val="single" w:sz="6" w:space="0" w:color="000000"/>
              <w:right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rPr>
                <w:rFonts w:ascii="Times New Roman" w:eastAsia="Calibri" w:hAnsi="Times New Roman" w:cs="Times New Roman"/>
                <w:color w:val="000000"/>
              </w:rPr>
            </w:pPr>
          </w:p>
        </w:tc>
        <w:tc>
          <w:tcPr>
            <w:tcW w:w="2410" w:type="dxa"/>
            <w:tcBorders>
              <w:left w:val="single" w:sz="4" w:space="0" w:color="auto"/>
              <w:bottom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jc w:val="right"/>
              <w:rPr>
                <w:rFonts w:ascii="Times New Roman" w:eastAsia="Calibri" w:hAnsi="Times New Roman" w:cs="Times New Roman"/>
                <w:color w:val="000000"/>
                <w:sz w:val="20"/>
              </w:rPr>
            </w:pPr>
            <w:r w:rsidRPr="00851FF9">
              <w:rPr>
                <w:rFonts w:ascii="Times New Roman" w:eastAsia="Calibri" w:hAnsi="Times New Roman" w:cs="Times New Roman"/>
                <w:color w:val="000000"/>
                <w:sz w:val="20"/>
              </w:rPr>
              <w:t>Негосударственное пенсионное обеспечение </w:t>
            </w:r>
          </w:p>
        </w:tc>
        <w:tc>
          <w:tcPr>
            <w:tcW w:w="5944" w:type="dxa"/>
            <w:vMerge/>
            <w:tcBorders>
              <w:left w:val="nil"/>
              <w:bottom w:val="single" w:sz="6" w:space="0" w:color="000000"/>
            </w:tcBorders>
            <w:shd w:val="clear" w:color="auto" w:fill="auto"/>
            <w:tcMar>
              <w:top w:w="75" w:type="dxa"/>
              <w:left w:w="75" w:type="dxa"/>
              <w:bottom w:w="75" w:type="dxa"/>
              <w:right w:w="75" w:type="dxa"/>
            </w:tcMar>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p>
        </w:tc>
      </w:tr>
      <w:tr w:rsidR="00851FF9" w:rsidRPr="00851FF9" w:rsidTr="003A1D5A">
        <w:trPr>
          <w:trHeight w:val="900"/>
        </w:trPr>
        <w:tc>
          <w:tcPr>
            <w:tcW w:w="1693" w:type="dxa"/>
            <w:vMerge w:val="restart"/>
            <w:tcBorders>
              <w:top w:val="single" w:sz="6" w:space="0" w:color="000000"/>
              <w:bottom w:val="single" w:sz="6" w:space="0" w:color="000000"/>
              <w:right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jc w:val="center"/>
              <w:rPr>
                <w:rFonts w:ascii="Times New Roman" w:eastAsia="Calibri" w:hAnsi="Times New Roman" w:cs="Times New Roman"/>
                <w:b/>
                <w:bCs/>
                <w:color w:val="000000"/>
              </w:rPr>
            </w:pPr>
            <w:bookmarkStart w:id="65" w:name="101545"/>
            <w:bookmarkEnd w:id="65"/>
            <w:r w:rsidRPr="00851FF9">
              <w:rPr>
                <w:rFonts w:ascii="Times New Roman" w:eastAsia="Calibri" w:hAnsi="Times New Roman" w:cs="Times New Roman"/>
                <w:b/>
                <w:bCs/>
                <w:color w:val="000000"/>
              </w:rPr>
              <w:t>Брокеры</w:t>
            </w:r>
          </w:p>
        </w:tc>
        <w:tc>
          <w:tcPr>
            <w:tcW w:w="2410" w:type="dxa"/>
            <w:tcBorders>
              <w:top w:val="single" w:sz="4" w:space="0" w:color="auto"/>
              <w:left w:val="single" w:sz="4" w:space="0" w:color="auto"/>
            </w:tcBorders>
            <w:shd w:val="clear" w:color="auto" w:fill="auto"/>
            <w:tcMar>
              <w:top w:w="75" w:type="dxa"/>
              <w:left w:w="75" w:type="dxa"/>
              <w:bottom w:w="75" w:type="dxa"/>
              <w:right w:w="75" w:type="dxa"/>
            </w:tcMar>
            <w:vAlign w:val="center"/>
            <w:hideMark/>
          </w:tcPr>
          <w:p w:rsidR="00851FF9" w:rsidRPr="00851FF9" w:rsidRDefault="00851FF9" w:rsidP="00851FF9">
            <w:pPr>
              <w:spacing w:after="0" w:line="240" w:lineRule="auto"/>
              <w:jc w:val="right"/>
              <w:rPr>
                <w:rFonts w:ascii="Times New Roman" w:eastAsia="Calibri" w:hAnsi="Times New Roman" w:cs="Times New Roman"/>
                <w:color w:val="000000"/>
                <w:sz w:val="20"/>
              </w:rPr>
            </w:pPr>
            <w:bookmarkStart w:id="66" w:name="101546"/>
            <w:bookmarkEnd w:id="66"/>
            <w:r w:rsidRPr="00851FF9">
              <w:rPr>
                <w:rFonts w:ascii="Times New Roman" w:eastAsia="Calibri" w:hAnsi="Times New Roman" w:cs="Times New Roman"/>
                <w:color w:val="000000"/>
                <w:sz w:val="20"/>
              </w:rPr>
              <w:t>Индивидуальные инвестиционные счета</w:t>
            </w:r>
          </w:p>
        </w:tc>
        <w:tc>
          <w:tcPr>
            <w:tcW w:w="5944" w:type="dxa"/>
            <w:vMerge w:val="restart"/>
            <w:tcBorders>
              <w:top w:val="single" w:sz="6" w:space="0" w:color="000000"/>
              <w:left w:val="nil"/>
            </w:tcBorders>
            <w:shd w:val="clear" w:color="auto" w:fill="auto"/>
            <w:tcMar>
              <w:top w:w="75" w:type="dxa"/>
              <w:left w:w="75" w:type="dxa"/>
              <w:bottom w:w="75" w:type="dxa"/>
              <w:right w:w="75" w:type="dxa"/>
            </w:tcMar>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Franklin Gothic Book" w:hAnsi="Times New Roman" w:cs="Times New Roman"/>
                <w:noProof/>
                <w:color w:val="000000"/>
                <w:szCs w:val="24"/>
                <w:u w:color="000000"/>
                <w:lang w:eastAsia="ru-RU"/>
              </w:rPr>
              <w:drawing>
                <wp:inline distT="0" distB="0" distL="0" distR="0" wp14:anchorId="5EF7D019" wp14:editId="63F726AC">
                  <wp:extent cx="3829050" cy="1181100"/>
                  <wp:effectExtent l="0" t="0" r="0" b="0"/>
                  <wp:docPr id="1054" name="Диаграмма 10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tc>
      </w:tr>
      <w:tr w:rsidR="00851FF9" w:rsidRPr="00851FF9" w:rsidTr="003A1D5A">
        <w:trPr>
          <w:trHeight w:val="900"/>
        </w:trPr>
        <w:tc>
          <w:tcPr>
            <w:tcW w:w="1693" w:type="dxa"/>
            <w:vMerge/>
            <w:tcBorders>
              <w:right w:val="single" w:sz="4" w:space="0" w:color="auto"/>
            </w:tcBorders>
            <w:shd w:val="clear" w:color="auto" w:fill="auto"/>
            <w:tcMar>
              <w:top w:w="75" w:type="dxa"/>
              <w:left w:w="75" w:type="dxa"/>
              <w:bottom w:w="75" w:type="dxa"/>
              <w:right w:w="75" w:type="dxa"/>
            </w:tcMar>
            <w:vAlign w:val="center"/>
          </w:tcPr>
          <w:p w:rsidR="00851FF9" w:rsidRPr="00851FF9" w:rsidRDefault="00851FF9" w:rsidP="00851FF9">
            <w:pPr>
              <w:spacing w:after="0" w:line="240" w:lineRule="auto"/>
              <w:jc w:val="center"/>
              <w:rPr>
                <w:rFonts w:ascii="Times New Roman" w:eastAsia="Calibri" w:hAnsi="Times New Roman" w:cs="Times New Roman"/>
                <w:b/>
                <w:bCs/>
                <w:color w:val="000000"/>
              </w:rPr>
            </w:pPr>
          </w:p>
        </w:tc>
        <w:tc>
          <w:tcPr>
            <w:tcW w:w="2410" w:type="dxa"/>
            <w:tcBorders>
              <w:left w:val="single" w:sz="4" w:space="0" w:color="auto"/>
            </w:tcBorders>
            <w:shd w:val="clear" w:color="auto" w:fill="auto"/>
            <w:tcMar>
              <w:top w:w="75" w:type="dxa"/>
              <w:left w:w="75" w:type="dxa"/>
              <w:bottom w:w="75" w:type="dxa"/>
              <w:right w:w="75" w:type="dxa"/>
            </w:tcMar>
            <w:vAlign w:val="center"/>
          </w:tcPr>
          <w:p w:rsidR="00851FF9" w:rsidRPr="00851FF9" w:rsidRDefault="00851FF9" w:rsidP="00851FF9">
            <w:pPr>
              <w:spacing w:after="0" w:line="240" w:lineRule="auto"/>
              <w:jc w:val="right"/>
              <w:rPr>
                <w:rFonts w:ascii="Times New Roman" w:eastAsia="Calibri" w:hAnsi="Times New Roman" w:cs="Times New Roman"/>
                <w:color w:val="000000"/>
                <w:sz w:val="20"/>
              </w:rPr>
            </w:pPr>
          </w:p>
        </w:tc>
        <w:tc>
          <w:tcPr>
            <w:tcW w:w="5944" w:type="dxa"/>
            <w:vMerge/>
            <w:tcBorders>
              <w:left w:val="nil"/>
            </w:tcBorders>
            <w:shd w:val="clear" w:color="auto" w:fill="auto"/>
            <w:tcMar>
              <w:top w:w="75" w:type="dxa"/>
              <w:left w:w="75" w:type="dxa"/>
              <w:bottom w:w="75" w:type="dxa"/>
              <w:right w:w="75" w:type="dxa"/>
            </w:tcMar>
            <w:vAlign w:val="center"/>
          </w:tcPr>
          <w:p w:rsidR="00851FF9" w:rsidRPr="00851FF9" w:rsidRDefault="00851FF9" w:rsidP="00851FF9">
            <w:pPr>
              <w:spacing w:after="0" w:line="240" w:lineRule="auto"/>
              <w:jc w:val="center"/>
              <w:rPr>
                <w:rFonts w:ascii="Times New Roman" w:eastAsia="Franklin Gothic Book" w:hAnsi="Times New Roman" w:cs="Times New Roman"/>
                <w:noProof/>
                <w:color w:val="000000"/>
                <w:szCs w:val="24"/>
                <w:u w:color="000000"/>
                <w:lang w:eastAsia="ru-RU"/>
              </w:rPr>
            </w:pPr>
          </w:p>
        </w:tc>
      </w:tr>
    </w:tbl>
    <w:p w:rsidR="00851FF9" w:rsidRPr="008A134A" w:rsidRDefault="00851FF9" w:rsidP="00851FF9">
      <w:pPr>
        <w:spacing w:after="0"/>
        <w:ind w:firstLine="709"/>
        <w:jc w:val="both"/>
        <w:rPr>
          <w:rFonts w:ascii="Times New Roman" w:eastAsia="Times New Roman" w:hAnsi="Times New Roman" w:cs="Times New Roman"/>
          <w:color w:val="000000"/>
          <w:sz w:val="24"/>
          <w:szCs w:val="24"/>
          <w:lang w:eastAsia="ru-RU"/>
        </w:rPr>
      </w:pPr>
      <w:r w:rsidRPr="008A134A">
        <w:rPr>
          <w:rFonts w:ascii="Times New Roman" w:eastAsia="Times New Roman" w:hAnsi="Times New Roman" w:cs="Times New Roman"/>
          <w:color w:val="000000"/>
          <w:sz w:val="24"/>
          <w:szCs w:val="24"/>
          <w:lang w:eastAsia="ru-RU"/>
        </w:rPr>
        <w:t xml:space="preserve">В линейке банковских услуг наибольшим спросом среди населения Ленинградской области пользуются переводы и платежи, а также расчетные (дебетовые) карты, включая зарплатные. Доля пользователей данными финансовыми продуктами составила 91% и 89% соответственно. </w:t>
      </w:r>
    </w:p>
    <w:p w:rsidR="00851FF9" w:rsidRPr="008A134A" w:rsidRDefault="00851FF9" w:rsidP="00851FF9">
      <w:pPr>
        <w:spacing w:after="0" w:line="360" w:lineRule="auto"/>
        <w:ind w:firstLine="709"/>
        <w:jc w:val="both"/>
        <w:rPr>
          <w:rFonts w:ascii="Times New Roman" w:eastAsia="Times New Roman" w:hAnsi="Times New Roman" w:cs="Times New Roman"/>
          <w:color w:val="000000"/>
          <w:sz w:val="24"/>
          <w:szCs w:val="24"/>
          <w:lang w:eastAsia="ru-RU"/>
        </w:rPr>
      </w:pPr>
      <w:r w:rsidRPr="008A134A">
        <w:rPr>
          <w:rFonts w:ascii="Times New Roman" w:eastAsia="Times New Roman" w:hAnsi="Times New Roman" w:cs="Times New Roman"/>
          <w:color w:val="000000"/>
          <w:sz w:val="24"/>
          <w:szCs w:val="24"/>
          <w:lang w:eastAsia="ru-RU"/>
        </w:rPr>
        <w:t>На втором месте, по мере сокращения доли пользователей, находятся страховые продукты. Из них наиболее востребовано обязательное медицинское страхование – 56% респондентов подтверждают факт пользования ОМС.</w:t>
      </w:r>
    </w:p>
    <w:p w:rsidR="00851FF9" w:rsidRPr="008A134A" w:rsidRDefault="00851FF9" w:rsidP="00851FF9">
      <w:pPr>
        <w:spacing w:after="0" w:line="360" w:lineRule="auto"/>
        <w:ind w:firstLine="709"/>
        <w:jc w:val="both"/>
        <w:rPr>
          <w:rFonts w:ascii="Times New Roman" w:eastAsia="Times New Roman" w:hAnsi="Times New Roman" w:cs="Times New Roman"/>
          <w:color w:val="000000"/>
          <w:sz w:val="24"/>
          <w:szCs w:val="24"/>
          <w:lang w:eastAsia="ru-RU"/>
        </w:rPr>
      </w:pPr>
      <w:r w:rsidRPr="008A134A">
        <w:rPr>
          <w:rFonts w:ascii="Times New Roman" w:eastAsia="Times New Roman" w:hAnsi="Times New Roman" w:cs="Times New Roman"/>
          <w:color w:val="000000"/>
          <w:sz w:val="24"/>
          <w:szCs w:val="24"/>
          <w:lang w:eastAsia="ru-RU"/>
        </w:rPr>
        <w:t>Третье место по востребованности занимают продукты негосударственных пенсионных фондов. Доля пользователей по услугам НПФ составляет от 39% до 36%.</w:t>
      </w:r>
    </w:p>
    <w:p w:rsidR="00851FF9" w:rsidRPr="008A134A" w:rsidRDefault="00851FF9" w:rsidP="00851FF9">
      <w:pPr>
        <w:spacing w:after="0" w:line="360" w:lineRule="auto"/>
        <w:ind w:firstLine="709"/>
        <w:jc w:val="both"/>
        <w:rPr>
          <w:rFonts w:ascii="Times New Roman" w:eastAsia="Times New Roman" w:hAnsi="Times New Roman" w:cs="Times New Roman"/>
          <w:color w:val="000000"/>
          <w:sz w:val="24"/>
          <w:szCs w:val="24"/>
          <w:lang w:eastAsia="ru-RU"/>
        </w:rPr>
      </w:pPr>
      <w:r w:rsidRPr="008A134A">
        <w:rPr>
          <w:rFonts w:ascii="Times New Roman" w:eastAsia="Times New Roman" w:hAnsi="Times New Roman" w:cs="Times New Roman"/>
          <w:color w:val="000000"/>
          <w:sz w:val="24"/>
          <w:szCs w:val="24"/>
          <w:lang w:eastAsia="ru-RU"/>
        </w:rPr>
        <w:t>Уровень пользования продуктами/услугами брокеров, а также небанковских кредитных организаций значительно ниже и колеблется в пределах 19%-25% от числа опрошенных.</w:t>
      </w:r>
    </w:p>
    <w:p w:rsidR="00851FF9" w:rsidRPr="008A134A" w:rsidRDefault="00851FF9" w:rsidP="00851FF9">
      <w:pPr>
        <w:spacing w:after="0" w:line="360" w:lineRule="auto"/>
        <w:ind w:firstLine="709"/>
        <w:jc w:val="both"/>
        <w:rPr>
          <w:rFonts w:ascii="Times New Roman" w:eastAsia="Times New Roman" w:hAnsi="Times New Roman" w:cs="Times New Roman"/>
          <w:color w:val="000000"/>
          <w:sz w:val="24"/>
          <w:szCs w:val="24"/>
          <w:lang w:eastAsia="ru-RU"/>
        </w:rPr>
      </w:pPr>
      <w:r w:rsidRPr="008A134A">
        <w:rPr>
          <w:rFonts w:ascii="Times New Roman" w:eastAsia="Times New Roman" w:hAnsi="Times New Roman" w:cs="Times New Roman"/>
          <w:color w:val="000000"/>
          <w:sz w:val="24"/>
          <w:szCs w:val="24"/>
          <w:lang w:eastAsia="ru-RU"/>
        </w:rPr>
        <w:t>Информация об уровне удовлетворенности населения продуктами/услугами финансовых организаций в разрезе по социальному статусу представлена в таблице ниже.</w:t>
      </w:r>
    </w:p>
    <w:p w:rsidR="00851FF9" w:rsidRPr="00851FF9" w:rsidRDefault="00851FF9" w:rsidP="008A134A">
      <w:pPr>
        <w:keepNext/>
        <w:keepLines/>
        <w:spacing w:before="120" w:after="120" w:line="240" w:lineRule="auto"/>
        <w:jc w:val="center"/>
        <w:rPr>
          <w:rFonts w:ascii="Times New Roman" w:eastAsia="Calibri" w:hAnsi="Times New Roman" w:cs="Times New Roman"/>
          <w:color w:val="000000"/>
        </w:rPr>
      </w:pPr>
      <w:r w:rsidRPr="00851FF9">
        <w:rPr>
          <w:rFonts w:ascii="Times New Roman" w:eastAsia="Calibri" w:hAnsi="Times New Roman" w:cs="Times New Roman"/>
          <w:iCs/>
          <w:color w:val="000000"/>
          <w:sz w:val="24"/>
          <w:szCs w:val="28"/>
        </w:rPr>
        <w:t xml:space="preserve">Таблица </w:t>
      </w:r>
      <w:r w:rsidR="008A134A">
        <w:rPr>
          <w:rFonts w:ascii="Times New Roman" w:eastAsia="Calibri" w:hAnsi="Times New Roman" w:cs="Times New Roman"/>
          <w:iCs/>
          <w:color w:val="000000"/>
          <w:sz w:val="24"/>
          <w:szCs w:val="28"/>
        </w:rPr>
        <w:t>25</w:t>
      </w:r>
      <w:r w:rsidRPr="00851FF9">
        <w:rPr>
          <w:rFonts w:ascii="Times New Roman" w:eastAsia="Calibri" w:hAnsi="Times New Roman" w:cs="Times New Roman"/>
          <w:iCs/>
          <w:color w:val="000000"/>
          <w:sz w:val="24"/>
          <w:szCs w:val="28"/>
        </w:rPr>
        <w:t xml:space="preserve">. </w:t>
      </w:r>
      <w:r w:rsidRPr="00851FF9">
        <w:rPr>
          <w:rFonts w:ascii="Times New Roman" w:eastAsia="Calibri" w:hAnsi="Times New Roman" w:cs="Times New Roman"/>
          <w:b/>
          <w:iCs/>
          <w:color w:val="000000"/>
          <w:sz w:val="24"/>
          <w:szCs w:val="28"/>
        </w:rPr>
        <w:t>Уровень удовлетворенности населения продуктами/услугами финансовых организаций при их оформлении и/или использовании или в любых других случаях, когда респонденты сталкивались с ними</w:t>
      </w:r>
      <w:r w:rsidRPr="00851FF9">
        <w:rPr>
          <w:rFonts w:ascii="Times New Roman" w:eastAsia="Calibri" w:hAnsi="Times New Roman" w:cs="Times New Roman"/>
          <w:iCs/>
          <w:color w:val="000000"/>
          <w:sz w:val="24"/>
          <w:szCs w:val="28"/>
        </w:rPr>
        <w:t xml:space="preserve">* </w:t>
      </w:r>
      <w:r w:rsidRPr="00851FF9">
        <w:rPr>
          <w:rFonts w:ascii="Times New Roman" w:eastAsia="Calibri" w:hAnsi="Times New Roman" w:cs="Times New Roman"/>
          <w:noProof/>
          <w:color w:val="000000"/>
          <w:sz w:val="24"/>
          <w:szCs w:val="24"/>
        </w:rPr>
        <w:t xml:space="preserve">(опрос населения, </w:t>
      </w:r>
      <w:r w:rsidRPr="00851FF9">
        <w:rPr>
          <w:rFonts w:ascii="Times New Roman" w:eastAsia="Calibri" w:hAnsi="Times New Roman" w:cs="Times New Roman"/>
          <w:color w:val="000000"/>
          <w:sz w:val="24"/>
          <w:szCs w:val="24"/>
        </w:rPr>
        <w:t>n=1200, % от числа сталкивавшихся)</w:t>
      </w:r>
    </w:p>
    <w:tbl>
      <w:tblPr>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0"/>
        <w:gridCol w:w="897"/>
        <w:gridCol w:w="1097"/>
        <w:gridCol w:w="1095"/>
        <w:gridCol w:w="1097"/>
        <w:gridCol w:w="1097"/>
        <w:gridCol w:w="1204"/>
        <w:gridCol w:w="987"/>
        <w:gridCol w:w="1099"/>
      </w:tblGrid>
      <w:tr w:rsidR="00851FF9" w:rsidRPr="003B4122" w:rsidTr="003A1D5A">
        <w:trPr>
          <w:cantSplit/>
          <w:trHeight w:val="2103"/>
          <w:tblHeader/>
        </w:trPr>
        <w:tc>
          <w:tcPr>
            <w:tcW w:w="968" w:type="pct"/>
            <w:shd w:val="clear" w:color="auto" w:fill="DAEEF3"/>
            <w:noWrap/>
            <w:vAlign w:val="center"/>
          </w:tcPr>
          <w:p w:rsidR="00851FF9" w:rsidRPr="003B4122" w:rsidRDefault="00851FF9" w:rsidP="00851FF9">
            <w:pPr>
              <w:spacing w:after="0" w:line="240" w:lineRule="auto"/>
              <w:jc w:val="center"/>
              <w:rPr>
                <w:rFonts w:ascii="Times New Roman" w:eastAsia="Times New Roman" w:hAnsi="Times New Roman" w:cs="Times New Roman"/>
                <w:color w:val="000000"/>
                <w:lang w:eastAsia="ru-RU"/>
              </w:rPr>
            </w:pPr>
          </w:p>
        </w:tc>
        <w:tc>
          <w:tcPr>
            <w:tcW w:w="422" w:type="pct"/>
            <w:shd w:val="clear" w:color="auto" w:fill="DAEEF3"/>
            <w:textDirection w:val="btLr"/>
            <w:vAlign w:val="center"/>
          </w:tcPr>
          <w:p w:rsidR="00851FF9" w:rsidRPr="003B4122" w:rsidRDefault="00851FF9" w:rsidP="00851FF9">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color w:val="000000"/>
              </w:rPr>
              <w:t>В целом по области</w:t>
            </w:r>
          </w:p>
        </w:tc>
        <w:tc>
          <w:tcPr>
            <w:tcW w:w="516" w:type="pct"/>
            <w:shd w:val="clear" w:color="auto" w:fill="DAEEF3"/>
            <w:textDirection w:val="btLr"/>
          </w:tcPr>
          <w:p w:rsidR="00851FF9" w:rsidRPr="003B4122" w:rsidRDefault="00851FF9" w:rsidP="00851FF9">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Работаю</w:t>
            </w:r>
          </w:p>
        </w:tc>
        <w:tc>
          <w:tcPr>
            <w:tcW w:w="515" w:type="pct"/>
            <w:shd w:val="clear" w:color="auto" w:fill="DAEEF3"/>
            <w:textDirection w:val="btLr"/>
          </w:tcPr>
          <w:p w:rsidR="00851FF9" w:rsidRPr="003B4122" w:rsidRDefault="00851FF9" w:rsidP="00851FF9">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Безработный</w:t>
            </w:r>
          </w:p>
        </w:tc>
        <w:tc>
          <w:tcPr>
            <w:tcW w:w="516" w:type="pct"/>
            <w:shd w:val="clear" w:color="auto" w:fill="DAEEF3"/>
            <w:textDirection w:val="btLr"/>
          </w:tcPr>
          <w:p w:rsidR="00851FF9" w:rsidRPr="003B4122" w:rsidRDefault="00851FF9" w:rsidP="00851FF9">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Учусь/студент</w:t>
            </w:r>
          </w:p>
        </w:tc>
        <w:tc>
          <w:tcPr>
            <w:tcW w:w="516" w:type="pct"/>
            <w:shd w:val="clear" w:color="auto" w:fill="DAEEF3"/>
            <w:textDirection w:val="btLr"/>
          </w:tcPr>
          <w:p w:rsidR="00851FF9" w:rsidRPr="003B4122" w:rsidRDefault="00851FF9" w:rsidP="00851FF9">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Домохозяйка (домохозяин)</w:t>
            </w:r>
          </w:p>
        </w:tc>
        <w:tc>
          <w:tcPr>
            <w:tcW w:w="566" w:type="pct"/>
            <w:shd w:val="clear" w:color="auto" w:fill="DAEEF3"/>
            <w:textDirection w:val="btLr"/>
          </w:tcPr>
          <w:p w:rsidR="00851FF9" w:rsidRPr="003B4122" w:rsidRDefault="00851FF9" w:rsidP="00851FF9">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Пенсионер (в т.ч. по инвалидности)</w:t>
            </w:r>
          </w:p>
        </w:tc>
        <w:tc>
          <w:tcPr>
            <w:tcW w:w="464" w:type="pct"/>
            <w:shd w:val="clear" w:color="auto" w:fill="DAEEF3"/>
            <w:textDirection w:val="btLr"/>
          </w:tcPr>
          <w:p w:rsidR="00851FF9" w:rsidRPr="003B4122" w:rsidRDefault="00851FF9" w:rsidP="00851FF9">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Самозанятый</w:t>
            </w:r>
          </w:p>
        </w:tc>
        <w:tc>
          <w:tcPr>
            <w:tcW w:w="517" w:type="pct"/>
            <w:shd w:val="clear" w:color="auto" w:fill="DAEEF3"/>
            <w:textDirection w:val="btLr"/>
          </w:tcPr>
          <w:p w:rsidR="00851FF9" w:rsidRPr="003B4122" w:rsidRDefault="00851FF9" w:rsidP="00851FF9">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Предприниматель</w:t>
            </w:r>
          </w:p>
        </w:tc>
      </w:tr>
      <w:tr w:rsidR="00851FF9" w:rsidRPr="003B4122" w:rsidTr="003A1D5A">
        <w:trPr>
          <w:trHeight w:val="341"/>
        </w:trPr>
        <w:tc>
          <w:tcPr>
            <w:tcW w:w="5000" w:type="pct"/>
            <w:gridSpan w:val="9"/>
            <w:shd w:val="clear" w:color="auto" w:fill="auto"/>
            <w:vAlign w:val="center"/>
          </w:tcPr>
          <w:p w:rsidR="00851FF9" w:rsidRPr="003B4122" w:rsidRDefault="00851FF9" w:rsidP="00851FF9">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bCs/>
                <w:color w:val="000000"/>
              </w:rPr>
              <w:t>Банки</w:t>
            </w:r>
          </w:p>
        </w:tc>
      </w:tr>
      <w:tr w:rsidR="00851FF9" w:rsidRPr="003B4122" w:rsidTr="003A1D5A">
        <w:trPr>
          <w:trHeight w:val="7"/>
        </w:trPr>
        <w:tc>
          <w:tcPr>
            <w:tcW w:w="968" w:type="pct"/>
            <w:shd w:val="clear" w:color="auto" w:fill="auto"/>
            <w:vAlign w:val="center"/>
          </w:tcPr>
          <w:p w:rsidR="00851FF9" w:rsidRPr="003B4122" w:rsidRDefault="00851FF9" w:rsidP="00851FF9">
            <w:pPr>
              <w:spacing w:beforeLines="60" w:before="144" w:afterLines="60" w:after="144" w:line="269" w:lineRule="auto"/>
              <w:jc w:val="center"/>
              <w:rPr>
                <w:rFonts w:ascii="Times New Roman" w:eastAsia="Times New Roman" w:hAnsi="Times New Roman" w:cs="Times New Roman"/>
                <w:b/>
                <w:color w:val="000000"/>
                <w:lang w:eastAsia="ru-RU"/>
              </w:rPr>
            </w:pPr>
            <w:r w:rsidRPr="003B4122">
              <w:rPr>
                <w:rFonts w:ascii="Times New Roman" w:eastAsia="Calibri" w:hAnsi="Times New Roman" w:cs="Times New Roman"/>
                <w:color w:val="000000"/>
              </w:rPr>
              <w:t>Кредиты</w:t>
            </w:r>
          </w:p>
        </w:tc>
        <w:tc>
          <w:tcPr>
            <w:tcW w:w="422" w:type="pct"/>
            <w:vAlign w:val="center"/>
          </w:tcPr>
          <w:p w:rsidR="00851FF9" w:rsidRPr="003B4122" w:rsidRDefault="00851FF9" w:rsidP="00851FF9">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63%</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64%</w:t>
            </w:r>
          </w:p>
        </w:tc>
        <w:tc>
          <w:tcPr>
            <w:tcW w:w="515"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63%</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68%</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54%</w:t>
            </w:r>
          </w:p>
        </w:tc>
        <w:tc>
          <w:tcPr>
            <w:tcW w:w="56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60%</w:t>
            </w:r>
          </w:p>
        </w:tc>
        <w:tc>
          <w:tcPr>
            <w:tcW w:w="464"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57%</w:t>
            </w:r>
          </w:p>
        </w:tc>
        <w:tc>
          <w:tcPr>
            <w:tcW w:w="517"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67%</w:t>
            </w:r>
          </w:p>
        </w:tc>
      </w:tr>
      <w:tr w:rsidR="00851FF9" w:rsidRPr="003B4122" w:rsidTr="003A1D5A">
        <w:trPr>
          <w:trHeight w:val="7"/>
        </w:trPr>
        <w:tc>
          <w:tcPr>
            <w:tcW w:w="968" w:type="pct"/>
            <w:shd w:val="clear" w:color="auto" w:fill="auto"/>
            <w:vAlign w:val="center"/>
          </w:tcPr>
          <w:p w:rsidR="00851FF9" w:rsidRPr="003B4122" w:rsidRDefault="00851FF9" w:rsidP="00851FF9">
            <w:pPr>
              <w:spacing w:beforeLines="60" w:before="144" w:afterLines="60" w:after="144" w:line="269" w:lineRule="auto"/>
              <w:jc w:val="center"/>
              <w:rPr>
                <w:rFonts w:ascii="Times New Roman" w:eastAsia="Times New Roman" w:hAnsi="Times New Roman" w:cs="Times New Roman"/>
                <w:b/>
                <w:color w:val="000000"/>
                <w:lang w:eastAsia="ru-RU"/>
              </w:rPr>
            </w:pPr>
            <w:r w:rsidRPr="003B4122">
              <w:rPr>
                <w:rFonts w:ascii="Times New Roman" w:eastAsia="Calibri" w:hAnsi="Times New Roman" w:cs="Times New Roman"/>
                <w:color w:val="000000"/>
              </w:rPr>
              <w:t>Вклады</w:t>
            </w:r>
          </w:p>
        </w:tc>
        <w:tc>
          <w:tcPr>
            <w:tcW w:w="422" w:type="pct"/>
            <w:vAlign w:val="center"/>
          </w:tcPr>
          <w:p w:rsidR="00851FF9" w:rsidRPr="003B4122" w:rsidRDefault="00851FF9" w:rsidP="00851FF9">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69%</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67%</w:t>
            </w:r>
          </w:p>
        </w:tc>
        <w:tc>
          <w:tcPr>
            <w:tcW w:w="515"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65%</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73%</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60%</w:t>
            </w:r>
          </w:p>
        </w:tc>
        <w:tc>
          <w:tcPr>
            <w:tcW w:w="56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77%</w:t>
            </w:r>
          </w:p>
        </w:tc>
        <w:tc>
          <w:tcPr>
            <w:tcW w:w="464"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71%</w:t>
            </w:r>
          </w:p>
        </w:tc>
        <w:tc>
          <w:tcPr>
            <w:tcW w:w="517"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62%</w:t>
            </w:r>
          </w:p>
        </w:tc>
      </w:tr>
      <w:tr w:rsidR="00851FF9" w:rsidRPr="003B4122" w:rsidTr="003A1D5A">
        <w:trPr>
          <w:trHeight w:val="7"/>
        </w:trPr>
        <w:tc>
          <w:tcPr>
            <w:tcW w:w="968" w:type="pct"/>
            <w:shd w:val="clear" w:color="auto" w:fill="auto"/>
            <w:vAlign w:val="center"/>
          </w:tcPr>
          <w:p w:rsidR="00851FF9" w:rsidRPr="003B4122" w:rsidRDefault="00851FF9" w:rsidP="00851FF9">
            <w:pPr>
              <w:spacing w:beforeLines="60" w:before="144" w:afterLines="60" w:after="144" w:line="269" w:lineRule="auto"/>
              <w:jc w:val="center"/>
              <w:rPr>
                <w:rFonts w:ascii="Times New Roman" w:eastAsia="Times New Roman" w:hAnsi="Times New Roman" w:cs="Times New Roman"/>
                <w:b/>
                <w:color w:val="000000"/>
                <w:lang w:eastAsia="ru-RU"/>
              </w:rPr>
            </w:pPr>
            <w:r w:rsidRPr="003B4122">
              <w:rPr>
                <w:rFonts w:ascii="Times New Roman" w:eastAsia="Calibri" w:hAnsi="Times New Roman" w:cs="Times New Roman"/>
                <w:color w:val="000000"/>
              </w:rPr>
              <w:t>Расчетные (дебетовые) карты, включая зарплатные</w:t>
            </w:r>
          </w:p>
        </w:tc>
        <w:tc>
          <w:tcPr>
            <w:tcW w:w="422" w:type="pct"/>
            <w:vAlign w:val="center"/>
          </w:tcPr>
          <w:p w:rsidR="00851FF9" w:rsidRPr="003B4122" w:rsidRDefault="00851FF9" w:rsidP="00851FF9">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86%</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86%</w:t>
            </w:r>
          </w:p>
        </w:tc>
        <w:tc>
          <w:tcPr>
            <w:tcW w:w="515"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80%</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94%</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74%</w:t>
            </w:r>
          </w:p>
        </w:tc>
        <w:tc>
          <w:tcPr>
            <w:tcW w:w="56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91%</w:t>
            </w:r>
          </w:p>
        </w:tc>
        <w:tc>
          <w:tcPr>
            <w:tcW w:w="464"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86%</w:t>
            </w:r>
          </w:p>
        </w:tc>
        <w:tc>
          <w:tcPr>
            <w:tcW w:w="517"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76%</w:t>
            </w:r>
          </w:p>
        </w:tc>
      </w:tr>
      <w:tr w:rsidR="00851FF9" w:rsidRPr="003B4122" w:rsidTr="003A1D5A">
        <w:trPr>
          <w:trHeight w:val="7"/>
        </w:trPr>
        <w:tc>
          <w:tcPr>
            <w:tcW w:w="968" w:type="pct"/>
            <w:shd w:val="clear" w:color="auto" w:fill="auto"/>
            <w:vAlign w:val="center"/>
          </w:tcPr>
          <w:p w:rsidR="00851FF9" w:rsidRPr="003B4122" w:rsidRDefault="00851FF9" w:rsidP="00851FF9">
            <w:pPr>
              <w:spacing w:beforeLines="60" w:before="144" w:afterLines="60" w:after="144" w:line="269" w:lineRule="auto"/>
              <w:jc w:val="center"/>
              <w:rPr>
                <w:rFonts w:ascii="Times New Roman" w:eastAsia="Times New Roman" w:hAnsi="Times New Roman" w:cs="Times New Roman"/>
                <w:b/>
                <w:color w:val="000000"/>
                <w:lang w:eastAsia="ru-RU"/>
              </w:rPr>
            </w:pPr>
            <w:r w:rsidRPr="003B4122">
              <w:rPr>
                <w:rFonts w:ascii="Times New Roman" w:eastAsia="Calibri" w:hAnsi="Times New Roman" w:cs="Times New Roman"/>
                <w:color w:val="000000"/>
              </w:rPr>
              <w:t>Кредитные карты</w:t>
            </w:r>
          </w:p>
        </w:tc>
        <w:tc>
          <w:tcPr>
            <w:tcW w:w="422" w:type="pct"/>
            <w:vAlign w:val="center"/>
          </w:tcPr>
          <w:p w:rsidR="00851FF9" w:rsidRPr="003B4122" w:rsidRDefault="00851FF9" w:rsidP="00851FF9">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65%</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64%</w:t>
            </w:r>
          </w:p>
        </w:tc>
        <w:tc>
          <w:tcPr>
            <w:tcW w:w="515"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59%</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81%</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69%</w:t>
            </w:r>
          </w:p>
        </w:tc>
        <w:tc>
          <w:tcPr>
            <w:tcW w:w="56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76%</w:t>
            </w:r>
          </w:p>
        </w:tc>
        <w:tc>
          <w:tcPr>
            <w:tcW w:w="464"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57%</w:t>
            </w:r>
          </w:p>
        </w:tc>
        <w:tc>
          <w:tcPr>
            <w:tcW w:w="517"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68%</w:t>
            </w:r>
          </w:p>
        </w:tc>
      </w:tr>
      <w:tr w:rsidR="00851FF9" w:rsidRPr="003B4122" w:rsidTr="003A1D5A">
        <w:trPr>
          <w:trHeight w:val="7"/>
        </w:trPr>
        <w:tc>
          <w:tcPr>
            <w:tcW w:w="968" w:type="pct"/>
            <w:shd w:val="clear" w:color="auto" w:fill="auto"/>
            <w:vAlign w:val="center"/>
          </w:tcPr>
          <w:p w:rsidR="00851FF9" w:rsidRPr="003B4122" w:rsidRDefault="00851FF9" w:rsidP="00851FF9">
            <w:pPr>
              <w:spacing w:beforeLines="60" w:before="144" w:afterLines="60" w:after="144" w:line="269" w:lineRule="auto"/>
              <w:jc w:val="center"/>
              <w:rPr>
                <w:rFonts w:ascii="Times New Roman" w:eastAsia="Times New Roman" w:hAnsi="Times New Roman" w:cs="Times New Roman"/>
                <w:b/>
                <w:color w:val="000000"/>
                <w:lang w:eastAsia="ru-RU"/>
              </w:rPr>
            </w:pPr>
            <w:r w:rsidRPr="003B4122">
              <w:rPr>
                <w:rFonts w:ascii="Times New Roman" w:eastAsia="Calibri" w:hAnsi="Times New Roman" w:cs="Times New Roman"/>
                <w:color w:val="000000"/>
              </w:rPr>
              <w:t>Переводы и платежи</w:t>
            </w:r>
          </w:p>
        </w:tc>
        <w:tc>
          <w:tcPr>
            <w:tcW w:w="422" w:type="pct"/>
            <w:vAlign w:val="center"/>
          </w:tcPr>
          <w:p w:rsidR="00851FF9" w:rsidRPr="003B4122" w:rsidRDefault="00851FF9" w:rsidP="00851FF9">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87%</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86%</w:t>
            </w:r>
          </w:p>
        </w:tc>
        <w:tc>
          <w:tcPr>
            <w:tcW w:w="515"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85%</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95%</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88%</w:t>
            </w:r>
          </w:p>
        </w:tc>
        <w:tc>
          <w:tcPr>
            <w:tcW w:w="56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92%</w:t>
            </w:r>
          </w:p>
        </w:tc>
        <w:tc>
          <w:tcPr>
            <w:tcW w:w="464"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88%</w:t>
            </w:r>
          </w:p>
        </w:tc>
        <w:tc>
          <w:tcPr>
            <w:tcW w:w="517"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73%</w:t>
            </w:r>
          </w:p>
        </w:tc>
      </w:tr>
      <w:tr w:rsidR="00851FF9" w:rsidRPr="003B4122" w:rsidTr="003A1D5A">
        <w:trPr>
          <w:trHeight w:val="7"/>
        </w:trPr>
        <w:tc>
          <w:tcPr>
            <w:tcW w:w="5000" w:type="pct"/>
            <w:gridSpan w:val="9"/>
            <w:shd w:val="clear" w:color="auto" w:fill="auto"/>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b/>
                <w:bCs/>
                <w:color w:val="000000"/>
              </w:rPr>
              <w:t>Микрофинансовые организации</w:t>
            </w:r>
          </w:p>
        </w:tc>
      </w:tr>
      <w:tr w:rsidR="00851FF9" w:rsidRPr="003B4122" w:rsidTr="003A1D5A">
        <w:trPr>
          <w:trHeight w:val="7"/>
        </w:trPr>
        <w:tc>
          <w:tcPr>
            <w:tcW w:w="968" w:type="pct"/>
            <w:shd w:val="clear" w:color="auto" w:fill="auto"/>
            <w:vAlign w:val="center"/>
          </w:tcPr>
          <w:p w:rsidR="00851FF9" w:rsidRPr="003B4122" w:rsidRDefault="00851FF9" w:rsidP="00851FF9">
            <w:pPr>
              <w:spacing w:beforeLines="60" w:before="144" w:afterLines="60" w:after="144" w:line="269" w:lineRule="auto"/>
              <w:jc w:val="center"/>
              <w:rPr>
                <w:rFonts w:ascii="Times New Roman" w:eastAsia="Times New Roman" w:hAnsi="Times New Roman" w:cs="Times New Roman"/>
                <w:b/>
                <w:color w:val="000000"/>
                <w:lang w:eastAsia="ru-RU"/>
              </w:rPr>
            </w:pPr>
            <w:r w:rsidRPr="003B4122">
              <w:rPr>
                <w:rFonts w:ascii="Times New Roman" w:eastAsia="Calibri" w:hAnsi="Times New Roman" w:cs="Times New Roman"/>
                <w:color w:val="000000"/>
              </w:rPr>
              <w:t>Займы в микрофинансовых организациях</w:t>
            </w:r>
          </w:p>
        </w:tc>
        <w:tc>
          <w:tcPr>
            <w:tcW w:w="422" w:type="pct"/>
            <w:vAlign w:val="center"/>
          </w:tcPr>
          <w:p w:rsidR="00851FF9" w:rsidRPr="003B4122" w:rsidRDefault="00851FF9" w:rsidP="00851FF9">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33%</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32%</w:t>
            </w:r>
          </w:p>
        </w:tc>
        <w:tc>
          <w:tcPr>
            <w:tcW w:w="515"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27%</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74%</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24%</w:t>
            </w:r>
          </w:p>
        </w:tc>
        <w:tc>
          <w:tcPr>
            <w:tcW w:w="56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37%</w:t>
            </w:r>
          </w:p>
        </w:tc>
        <w:tc>
          <w:tcPr>
            <w:tcW w:w="464"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23%</w:t>
            </w:r>
          </w:p>
        </w:tc>
        <w:tc>
          <w:tcPr>
            <w:tcW w:w="517"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34%</w:t>
            </w:r>
          </w:p>
        </w:tc>
      </w:tr>
      <w:tr w:rsidR="00851FF9" w:rsidRPr="003B4122" w:rsidTr="003A1D5A">
        <w:trPr>
          <w:trHeight w:val="1159"/>
        </w:trPr>
        <w:tc>
          <w:tcPr>
            <w:tcW w:w="968" w:type="pct"/>
            <w:shd w:val="clear" w:color="auto" w:fill="auto"/>
            <w:vAlign w:val="center"/>
          </w:tcPr>
          <w:p w:rsidR="00851FF9" w:rsidRPr="003B4122" w:rsidRDefault="00851FF9" w:rsidP="00851FF9">
            <w:pPr>
              <w:spacing w:beforeLines="60" w:before="144" w:afterLines="60" w:after="144" w:line="269" w:lineRule="auto"/>
              <w:jc w:val="center"/>
              <w:rPr>
                <w:rFonts w:ascii="Times New Roman" w:eastAsia="Times New Roman" w:hAnsi="Times New Roman" w:cs="Times New Roman"/>
                <w:b/>
                <w:color w:val="000000"/>
                <w:lang w:eastAsia="ru-RU"/>
              </w:rPr>
            </w:pPr>
            <w:r w:rsidRPr="003B4122">
              <w:rPr>
                <w:rFonts w:ascii="Times New Roman" w:eastAsia="Calibri" w:hAnsi="Times New Roman" w:cs="Times New Roman"/>
                <w:color w:val="000000"/>
              </w:rPr>
              <w:t>Размещение средств в форме договора займа в микрофинансовых организациях</w:t>
            </w:r>
          </w:p>
        </w:tc>
        <w:tc>
          <w:tcPr>
            <w:tcW w:w="422" w:type="pct"/>
            <w:vAlign w:val="center"/>
          </w:tcPr>
          <w:p w:rsidR="00851FF9" w:rsidRPr="003B4122" w:rsidRDefault="00851FF9" w:rsidP="00851FF9">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28%</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28%</w:t>
            </w:r>
          </w:p>
        </w:tc>
        <w:tc>
          <w:tcPr>
            <w:tcW w:w="515"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21%</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65%</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27%</w:t>
            </w:r>
          </w:p>
        </w:tc>
        <w:tc>
          <w:tcPr>
            <w:tcW w:w="56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24%</w:t>
            </w:r>
          </w:p>
        </w:tc>
        <w:tc>
          <w:tcPr>
            <w:tcW w:w="464"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21%</w:t>
            </w:r>
          </w:p>
        </w:tc>
        <w:tc>
          <w:tcPr>
            <w:tcW w:w="517"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27%</w:t>
            </w:r>
          </w:p>
        </w:tc>
      </w:tr>
      <w:tr w:rsidR="00851FF9" w:rsidRPr="003B4122" w:rsidTr="003A1D5A">
        <w:trPr>
          <w:trHeight w:val="7"/>
        </w:trPr>
        <w:tc>
          <w:tcPr>
            <w:tcW w:w="5000" w:type="pct"/>
            <w:gridSpan w:val="9"/>
            <w:shd w:val="clear" w:color="auto" w:fill="auto"/>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b/>
                <w:bCs/>
                <w:color w:val="000000"/>
              </w:rPr>
              <w:t>Кредитные потребительские кооперативы</w:t>
            </w:r>
          </w:p>
        </w:tc>
      </w:tr>
      <w:tr w:rsidR="00851FF9" w:rsidRPr="003B4122" w:rsidTr="003A1D5A">
        <w:trPr>
          <w:trHeight w:val="7"/>
        </w:trPr>
        <w:tc>
          <w:tcPr>
            <w:tcW w:w="968" w:type="pct"/>
            <w:shd w:val="clear" w:color="auto" w:fill="auto"/>
            <w:vAlign w:val="center"/>
          </w:tcPr>
          <w:p w:rsidR="00851FF9" w:rsidRPr="003B4122" w:rsidRDefault="00851FF9" w:rsidP="00851FF9">
            <w:pPr>
              <w:spacing w:beforeLines="60" w:before="144" w:afterLines="60" w:after="144"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Займы в кредитных потребительских кооперативах</w:t>
            </w:r>
          </w:p>
        </w:tc>
        <w:tc>
          <w:tcPr>
            <w:tcW w:w="422" w:type="pct"/>
            <w:vAlign w:val="center"/>
          </w:tcPr>
          <w:p w:rsidR="00851FF9" w:rsidRPr="003B4122" w:rsidRDefault="00851FF9" w:rsidP="00851FF9">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37%</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36%</w:t>
            </w:r>
          </w:p>
        </w:tc>
        <w:tc>
          <w:tcPr>
            <w:tcW w:w="515"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27%</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84%</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11%</w:t>
            </w:r>
          </w:p>
        </w:tc>
        <w:tc>
          <w:tcPr>
            <w:tcW w:w="56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39%</w:t>
            </w:r>
          </w:p>
        </w:tc>
        <w:tc>
          <w:tcPr>
            <w:tcW w:w="464"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32%</w:t>
            </w:r>
          </w:p>
        </w:tc>
        <w:tc>
          <w:tcPr>
            <w:tcW w:w="517"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42%</w:t>
            </w:r>
          </w:p>
        </w:tc>
      </w:tr>
      <w:tr w:rsidR="00851FF9" w:rsidRPr="003B4122" w:rsidTr="003A1D5A">
        <w:trPr>
          <w:trHeight w:val="7"/>
        </w:trPr>
        <w:tc>
          <w:tcPr>
            <w:tcW w:w="968" w:type="pct"/>
            <w:shd w:val="clear" w:color="auto" w:fill="auto"/>
            <w:vAlign w:val="center"/>
          </w:tcPr>
          <w:p w:rsidR="00851FF9" w:rsidRPr="003B4122" w:rsidRDefault="00851FF9" w:rsidP="00851FF9">
            <w:pPr>
              <w:spacing w:beforeLines="60" w:before="144" w:afterLines="60" w:after="144"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Размещение средств в форме договора займа в кредитных потребительских кооперативах</w:t>
            </w:r>
          </w:p>
        </w:tc>
        <w:tc>
          <w:tcPr>
            <w:tcW w:w="422" w:type="pct"/>
            <w:vAlign w:val="center"/>
          </w:tcPr>
          <w:p w:rsidR="00851FF9" w:rsidRPr="003B4122" w:rsidRDefault="00851FF9" w:rsidP="00851FF9">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50%</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49%</w:t>
            </w:r>
          </w:p>
        </w:tc>
        <w:tc>
          <w:tcPr>
            <w:tcW w:w="515"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55%</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60%</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48%</w:t>
            </w:r>
          </w:p>
        </w:tc>
        <w:tc>
          <w:tcPr>
            <w:tcW w:w="56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43%</w:t>
            </w:r>
          </w:p>
        </w:tc>
        <w:tc>
          <w:tcPr>
            <w:tcW w:w="464"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55%</w:t>
            </w:r>
          </w:p>
        </w:tc>
        <w:tc>
          <w:tcPr>
            <w:tcW w:w="517"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59%</w:t>
            </w:r>
          </w:p>
        </w:tc>
      </w:tr>
      <w:tr w:rsidR="00851FF9" w:rsidRPr="003B4122" w:rsidTr="003A1D5A">
        <w:trPr>
          <w:trHeight w:val="7"/>
        </w:trPr>
        <w:tc>
          <w:tcPr>
            <w:tcW w:w="5000" w:type="pct"/>
            <w:gridSpan w:val="9"/>
            <w:shd w:val="clear" w:color="auto" w:fill="auto"/>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b/>
                <w:bCs/>
                <w:color w:val="000000"/>
              </w:rPr>
              <w:t>Ломбарды</w:t>
            </w:r>
          </w:p>
        </w:tc>
      </w:tr>
      <w:tr w:rsidR="00851FF9" w:rsidRPr="003B4122" w:rsidTr="003A1D5A">
        <w:trPr>
          <w:trHeight w:val="7"/>
        </w:trPr>
        <w:tc>
          <w:tcPr>
            <w:tcW w:w="968" w:type="pct"/>
            <w:shd w:val="clear" w:color="auto" w:fill="auto"/>
            <w:vAlign w:val="center"/>
          </w:tcPr>
          <w:p w:rsidR="00851FF9" w:rsidRPr="003B4122" w:rsidRDefault="00851FF9" w:rsidP="00851FF9">
            <w:pPr>
              <w:spacing w:beforeLines="60" w:before="144" w:afterLines="60" w:after="144"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Займы в ломбардах</w:t>
            </w:r>
          </w:p>
        </w:tc>
        <w:tc>
          <w:tcPr>
            <w:tcW w:w="422" w:type="pct"/>
            <w:vAlign w:val="center"/>
          </w:tcPr>
          <w:p w:rsidR="00851FF9" w:rsidRPr="003B4122" w:rsidRDefault="00851FF9" w:rsidP="00851FF9">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52%</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52%</w:t>
            </w:r>
          </w:p>
        </w:tc>
        <w:tc>
          <w:tcPr>
            <w:tcW w:w="515"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58%</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81%</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49%</w:t>
            </w:r>
          </w:p>
        </w:tc>
        <w:tc>
          <w:tcPr>
            <w:tcW w:w="56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41%</w:t>
            </w:r>
          </w:p>
        </w:tc>
        <w:tc>
          <w:tcPr>
            <w:tcW w:w="464"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34%</w:t>
            </w:r>
          </w:p>
        </w:tc>
        <w:tc>
          <w:tcPr>
            <w:tcW w:w="517"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71%</w:t>
            </w:r>
          </w:p>
        </w:tc>
      </w:tr>
    </w:tbl>
    <w:p w:rsidR="00851FF9" w:rsidRPr="003B4122" w:rsidRDefault="00851FF9" w:rsidP="00851FF9">
      <w:pPr>
        <w:rPr>
          <w:rFonts w:ascii="Times New Roman" w:eastAsia="Calibri" w:hAnsi="Times New Roman" w:cs="Times New Roman"/>
          <w:color w:val="000000"/>
        </w:rPr>
      </w:pPr>
    </w:p>
    <w:tbl>
      <w:tblPr>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0"/>
        <w:gridCol w:w="897"/>
        <w:gridCol w:w="1097"/>
        <w:gridCol w:w="1095"/>
        <w:gridCol w:w="1097"/>
        <w:gridCol w:w="1097"/>
        <w:gridCol w:w="1204"/>
        <w:gridCol w:w="987"/>
        <w:gridCol w:w="1099"/>
      </w:tblGrid>
      <w:tr w:rsidR="00851FF9" w:rsidRPr="003B4122" w:rsidTr="003A1D5A">
        <w:trPr>
          <w:cantSplit/>
          <w:trHeight w:val="1974"/>
          <w:tblHeader/>
        </w:trPr>
        <w:tc>
          <w:tcPr>
            <w:tcW w:w="968" w:type="pct"/>
            <w:shd w:val="clear" w:color="auto" w:fill="DAEEF3"/>
            <w:noWrap/>
            <w:vAlign w:val="center"/>
          </w:tcPr>
          <w:p w:rsidR="00851FF9" w:rsidRPr="003B4122" w:rsidRDefault="00851FF9" w:rsidP="00851FF9">
            <w:pPr>
              <w:spacing w:after="0" w:line="240" w:lineRule="auto"/>
              <w:jc w:val="center"/>
              <w:rPr>
                <w:rFonts w:ascii="Times New Roman" w:eastAsia="Times New Roman" w:hAnsi="Times New Roman" w:cs="Times New Roman"/>
                <w:color w:val="000000"/>
                <w:lang w:eastAsia="ru-RU"/>
              </w:rPr>
            </w:pPr>
          </w:p>
        </w:tc>
        <w:tc>
          <w:tcPr>
            <w:tcW w:w="422" w:type="pct"/>
            <w:shd w:val="clear" w:color="auto" w:fill="DAEEF3"/>
            <w:textDirection w:val="btLr"/>
            <w:vAlign w:val="center"/>
          </w:tcPr>
          <w:p w:rsidR="00851FF9" w:rsidRPr="003B4122" w:rsidRDefault="00851FF9" w:rsidP="00851FF9">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color w:val="000000"/>
              </w:rPr>
              <w:t>В целом по области</w:t>
            </w:r>
          </w:p>
        </w:tc>
        <w:tc>
          <w:tcPr>
            <w:tcW w:w="516" w:type="pct"/>
            <w:shd w:val="clear" w:color="auto" w:fill="DAEEF3"/>
            <w:textDirection w:val="btLr"/>
          </w:tcPr>
          <w:p w:rsidR="00851FF9" w:rsidRPr="003B4122" w:rsidRDefault="00851FF9" w:rsidP="00851FF9">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Работаю</w:t>
            </w:r>
          </w:p>
        </w:tc>
        <w:tc>
          <w:tcPr>
            <w:tcW w:w="515" w:type="pct"/>
            <w:shd w:val="clear" w:color="auto" w:fill="DAEEF3"/>
            <w:textDirection w:val="btLr"/>
          </w:tcPr>
          <w:p w:rsidR="00851FF9" w:rsidRPr="003B4122" w:rsidRDefault="00851FF9" w:rsidP="00851FF9">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Безработный</w:t>
            </w:r>
          </w:p>
        </w:tc>
        <w:tc>
          <w:tcPr>
            <w:tcW w:w="516" w:type="pct"/>
            <w:shd w:val="clear" w:color="auto" w:fill="DAEEF3"/>
            <w:textDirection w:val="btLr"/>
          </w:tcPr>
          <w:p w:rsidR="00851FF9" w:rsidRPr="003B4122" w:rsidRDefault="00851FF9" w:rsidP="00851FF9">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Учусь/студент</w:t>
            </w:r>
          </w:p>
        </w:tc>
        <w:tc>
          <w:tcPr>
            <w:tcW w:w="516" w:type="pct"/>
            <w:shd w:val="clear" w:color="auto" w:fill="DAEEF3"/>
            <w:textDirection w:val="btLr"/>
          </w:tcPr>
          <w:p w:rsidR="00851FF9" w:rsidRPr="003B4122" w:rsidRDefault="00851FF9" w:rsidP="00851FF9">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Домохозяйка (домохозяин)</w:t>
            </w:r>
          </w:p>
        </w:tc>
        <w:tc>
          <w:tcPr>
            <w:tcW w:w="566" w:type="pct"/>
            <w:shd w:val="clear" w:color="auto" w:fill="DAEEF3"/>
            <w:textDirection w:val="btLr"/>
          </w:tcPr>
          <w:p w:rsidR="00851FF9" w:rsidRPr="003B4122" w:rsidRDefault="00851FF9" w:rsidP="00851FF9">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Пенсионер (в т.ч. по инвалидности)</w:t>
            </w:r>
          </w:p>
        </w:tc>
        <w:tc>
          <w:tcPr>
            <w:tcW w:w="464" w:type="pct"/>
            <w:shd w:val="clear" w:color="auto" w:fill="DAEEF3"/>
            <w:textDirection w:val="btLr"/>
          </w:tcPr>
          <w:p w:rsidR="00851FF9" w:rsidRPr="003B4122" w:rsidRDefault="00851FF9" w:rsidP="00851FF9">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Самозанятый</w:t>
            </w:r>
          </w:p>
        </w:tc>
        <w:tc>
          <w:tcPr>
            <w:tcW w:w="517" w:type="pct"/>
            <w:shd w:val="clear" w:color="auto" w:fill="DAEEF3"/>
            <w:textDirection w:val="btLr"/>
          </w:tcPr>
          <w:p w:rsidR="00851FF9" w:rsidRPr="003B4122" w:rsidRDefault="00851FF9" w:rsidP="00851FF9">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Предприниматель</w:t>
            </w:r>
          </w:p>
        </w:tc>
      </w:tr>
      <w:tr w:rsidR="00851FF9" w:rsidRPr="003B4122" w:rsidTr="003A1D5A">
        <w:trPr>
          <w:trHeight w:val="7"/>
        </w:trPr>
        <w:tc>
          <w:tcPr>
            <w:tcW w:w="5000" w:type="pct"/>
            <w:gridSpan w:val="9"/>
            <w:shd w:val="clear" w:color="auto" w:fill="auto"/>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b/>
                <w:bCs/>
                <w:color w:val="000000"/>
              </w:rPr>
              <w:t>Субъекты страхового дела</w:t>
            </w:r>
          </w:p>
        </w:tc>
      </w:tr>
      <w:tr w:rsidR="00851FF9" w:rsidRPr="003B4122" w:rsidTr="003A1D5A">
        <w:trPr>
          <w:trHeight w:val="7"/>
        </w:trPr>
        <w:tc>
          <w:tcPr>
            <w:tcW w:w="968" w:type="pct"/>
            <w:shd w:val="clear" w:color="auto" w:fill="auto"/>
            <w:vAlign w:val="center"/>
          </w:tcPr>
          <w:p w:rsidR="00851FF9" w:rsidRPr="003B4122" w:rsidRDefault="00851FF9" w:rsidP="00851FF9">
            <w:pPr>
              <w:spacing w:beforeLines="60" w:before="144" w:afterLines="60" w:after="144"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Добровольное страхование жизни</w:t>
            </w:r>
          </w:p>
        </w:tc>
        <w:tc>
          <w:tcPr>
            <w:tcW w:w="422" w:type="pct"/>
            <w:vAlign w:val="center"/>
          </w:tcPr>
          <w:p w:rsidR="00851FF9" w:rsidRPr="003B4122" w:rsidRDefault="00851FF9" w:rsidP="00851FF9">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65%</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66%</w:t>
            </w:r>
          </w:p>
        </w:tc>
        <w:tc>
          <w:tcPr>
            <w:tcW w:w="515"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51%</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91%</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51%</w:t>
            </w:r>
          </w:p>
        </w:tc>
        <w:tc>
          <w:tcPr>
            <w:tcW w:w="56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68%</w:t>
            </w:r>
          </w:p>
        </w:tc>
        <w:tc>
          <w:tcPr>
            <w:tcW w:w="464"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54%</w:t>
            </w:r>
          </w:p>
        </w:tc>
        <w:tc>
          <w:tcPr>
            <w:tcW w:w="517"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67%</w:t>
            </w:r>
          </w:p>
        </w:tc>
      </w:tr>
      <w:tr w:rsidR="00851FF9" w:rsidRPr="003B4122" w:rsidTr="003A1D5A">
        <w:trPr>
          <w:trHeight w:val="7"/>
        </w:trPr>
        <w:tc>
          <w:tcPr>
            <w:tcW w:w="968" w:type="pct"/>
            <w:shd w:val="clear" w:color="auto" w:fill="auto"/>
            <w:vAlign w:val="center"/>
          </w:tcPr>
          <w:p w:rsidR="00851FF9" w:rsidRPr="003B4122" w:rsidRDefault="00851FF9" w:rsidP="00851FF9">
            <w:pPr>
              <w:spacing w:beforeLines="60" w:before="144" w:afterLines="60" w:after="144"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Другое добровольное страхование</w:t>
            </w:r>
          </w:p>
        </w:tc>
        <w:tc>
          <w:tcPr>
            <w:tcW w:w="422" w:type="pct"/>
            <w:vAlign w:val="center"/>
          </w:tcPr>
          <w:p w:rsidR="00851FF9" w:rsidRPr="003B4122" w:rsidRDefault="00851FF9" w:rsidP="00851FF9">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61%</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64%</w:t>
            </w:r>
          </w:p>
        </w:tc>
        <w:tc>
          <w:tcPr>
            <w:tcW w:w="515"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51%</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78%</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51%</w:t>
            </w:r>
          </w:p>
        </w:tc>
        <w:tc>
          <w:tcPr>
            <w:tcW w:w="56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50%</w:t>
            </w:r>
          </w:p>
        </w:tc>
        <w:tc>
          <w:tcPr>
            <w:tcW w:w="464"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55%</w:t>
            </w:r>
          </w:p>
        </w:tc>
        <w:tc>
          <w:tcPr>
            <w:tcW w:w="517"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69%</w:t>
            </w:r>
          </w:p>
        </w:tc>
      </w:tr>
      <w:tr w:rsidR="00851FF9" w:rsidRPr="003B4122" w:rsidTr="003A1D5A">
        <w:trPr>
          <w:trHeight w:val="7"/>
        </w:trPr>
        <w:tc>
          <w:tcPr>
            <w:tcW w:w="968" w:type="pct"/>
            <w:shd w:val="clear" w:color="auto" w:fill="auto"/>
            <w:vAlign w:val="center"/>
          </w:tcPr>
          <w:p w:rsidR="00851FF9" w:rsidRPr="003B4122" w:rsidRDefault="00851FF9" w:rsidP="00851FF9">
            <w:pPr>
              <w:spacing w:beforeLines="60" w:before="144" w:afterLines="60" w:after="144"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Обязательное медицинское страхование</w:t>
            </w:r>
          </w:p>
        </w:tc>
        <w:tc>
          <w:tcPr>
            <w:tcW w:w="422" w:type="pct"/>
            <w:vAlign w:val="center"/>
          </w:tcPr>
          <w:p w:rsidR="00851FF9" w:rsidRPr="003B4122" w:rsidRDefault="00851FF9" w:rsidP="00851FF9">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64%</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62%</w:t>
            </w:r>
          </w:p>
        </w:tc>
        <w:tc>
          <w:tcPr>
            <w:tcW w:w="515"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65%</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95%</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68%</w:t>
            </w:r>
          </w:p>
        </w:tc>
        <w:tc>
          <w:tcPr>
            <w:tcW w:w="56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63%</w:t>
            </w:r>
          </w:p>
        </w:tc>
        <w:tc>
          <w:tcPr>
            <w:tcW w:w="464"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57%</w:t>
            </w:r>
          </w:p>
        </w:tc>
        <w:tc>
          <w:tcPr>
            <w:tcW w:w="517"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81%</w:t>
            </w:r>
          </w:p>
        </w:tc>
      </w:tr>
      <w:tr w:rsidR="00851FF9" w:rsidRPr="003B4122" w:rsidTr="003A1D5A">
        <w:trPr>
          <w:trHeight w:val="7"/>
        </w:trPr>
        <w:tc>
          <w:tcPr>
            <w:tcW w:w="968" w:type="pct"/>
            <w:shd w:val="clear" w:color="auto" w:fill="auto"/>
            <w:vAlign w:val="center"/>
          </w:tcPr>
          <w:p w:rsidR="00851FF9" w:rsidRPr="003B4122" w:rsidRDefault="00851FF9" w:rsidP="00851FF9">
            <w:pPr>
              <w:spacing w:beforeLines="60" w:before="144" w:afterLines="60" w:after="144"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Другое обязательное страхование</w:t>
            </w:r>
          </w:p>
        </w:tc>
        <w:tc>
          <w:tcPr>
            <w:tcW w:w="422" w:type="pct"/>
            <w:vAlign w:val="center"/>
          </w:tcPr>
          <w:p w:rsidR="00851FF9" w:rsidRPr="003B4122" w:rsidRDefault="00851FF9" w:rsidP="00851FF9">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61%</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63%</w:t>
            </w:r>
          </w:p>
        </w:tc>
        <w:tc>
          <w:tcPr>
            <w:tcW w:w="515"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58%</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78%</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52%</w:t>
            </w:r>
          </w:p>
        </w:tc>
        <w:tc>
          <w:tcPr>
            <w:tcW w:w="56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37%</w:t>
            </w:r>
          </w:p>
        </w:tc>
        <w:tc>
          <w:tcPr>
            <w:tcW w:w="464"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58%</w:t>
            </w:r>
          </w:p>
        </w:tc>
        <w:tc>
          <w:tcPr>
            <w:tcW w:w="517"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90%</w:t>
            </w:r>
          </w:p>
        </w:tc>
      </w:tr>
      <w:tr w:rsidR="00851FF9" w:rsidRPr="003B4122" w:rsidTr="003A1D5A">
        <w:trPr>
          <w:trHeight w:val="7"/>
        </w:trPr>
        <w:tc>
          <w:tcPr>
            <w:tcW w:w="5000" w:type="pct"/>
            <w:gridSpan w:val="9"/>
            <w:shd w:val="clear" w:color="auto" w:fill="auto"/>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b/>
                <w:bCs/>
                <w:color w:val="000000"/>
              </w:rPr>
              <w:t>Сельскохозяйственные кредитные потребительские кооперативы</w:t>
            </w:r>
          </w:p>
        </w:tc>
      </w:tr>
      <w:tr w:rsidR="00851FF9" w:rsidRPr="003B4122" w:rsidTr="003A1D5A">
        <w:trPr>
          <w:trHeight w:val="7"/>
        </w:trPr>
        <w:tc>
          <w:tcPr>
            <w:tcW w:w="968" w:type="pct"/>
            <w:shd w:val="clear" w:color="auto" w:fill="auto"/>
            <w:vAlign w:val="center"/>
          </w:tcPr>
          <w:p w:rsidR="00851FF9" w:rsidRPr="003B4122" w:rsidRDefault="00851FF9" w:rsidP="00851FF9">
            <w:pPr>
              <w:spacing w:beforeLines="60" w:before="144" w:afterLines="60" w:after="144"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Займы в сельскохозяйственных кредитных потребительских кооперативах</w:t>
            </w:r>
          </w:p>
        </w:tc>
        <w:tc>
          <w:tcPr>
            <w:tcW w:w="422" w:type="pct"/>
            <w:vAlign w:val="center"/>
          </w:tcPr>
          <w:p w:rsidR="00851FF9" w:rsidRPr="003B4122" w:rsidRDefault="00851FF9" w:rsidP="00851FF9">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42%</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37%</w:t>
            </w:r>
          </w:p>
        </w:tc>
        <w:tc>
          <w:tcPr>
            <w:tcW w:w="515"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47%</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92%</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29%</w:t>
            </w:r>
          </w:p>
        </w:tc>
        <w:tc>
          <w:tcPr>
            <w:tcW w:w="56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67%</w:t>
            </w:r>
          </w:p>
        </w:tc>
        <w:tc>
          <w:tcPr>
            <w:tcW w:w="464"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33%</w:t>
            </w:r>
          </w:p>
        </w:tc>
        <w:tc>
          <w:tcPr>
            <w:tcW w:w="517"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53%</w:t>
            </w:r>
          </w:p>
        </w:tc>
      </w:tr>
      <w:tr w:rsidR="00851FF9" w:rsidRPr="003B4122" w:rsidTr="003A1D5A">
        <w:trPr>
          <w:trHeight w:val="7"/>
        </w:trPr>
        <w:tc>
          <w:tcPr>
            <w:tcW w:w="968" w:type="pct"/>
            <w:shd w:val="clear" w:color="auto" w:fill="auto"/>
            <w:vAlign w:val="center"/>
          </w:tcPr>
          <w:p w:rsidR="00851FF9" w:rsidRPr="003B4122" w:rsidRDefault="00851FF9" w:rsidP="00851FF9">
            <w:pPr>
              <w:spacing w:beforeLines="60" w:before="144" w:afterLines="60" w:after="144"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Размещение средств в форме договора займа в сельскохозяйственных кредитных потребительских кооперативах</w:t>
            </w:r>
          </w:p>
        </w:tc>
        <w:tc>
          <w:tcPr>
            <w:tcW w:w="422" w:type="pct"/>
            <w:vAlign w:val="center"/>
          </w:tcPr>
          <w:p w:rsidR="00851FF9" w:rsidRPr="003B4122" w:rsidRDefault="00851FF9" w:rsidP="00851FF9">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38%</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34%</w:t>
            </w:r>
          </w:p>
        </w:tc>
        <w:tc>
          <w:tcPr>
            <w:tcW w:w="515"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53%</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82%</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27%</w:t>
            </w:r>
          </w:p>
        </w:tc>
        <w:tc>
          <w:tcPr>
            <w:tcW w:w="56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38%</w:t>
            </w:r>
          </w:p>
        </w:tc>
        <w:tc>
          <w:tcPr>
            <w:tcW w:w="464"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30%</w:t>
            </w:r>
          </w:p>
        </w:tc>
        <w:tc>
          <w:tcPr>
            <w:tcW w:w="517"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37%</w:t>
            </w:r>
          </w:p>
        </w:tc>
      </w:tr>
      <w:tr w:rsidR="00851FF9" w:rsidRPr="003B4122" w:rsidTr="003A1D5A">
        <w:trPr>
          <w:trHeight w:val="7"/>
        </w:trPr>
        <w:tc>
          <w:tcPr>
            <w:tcW w:w="5000" w:type="pct"/>
            <w:gridSpan w:val="9"/>
            <w:shd w:val="clear" w:color="auto" w:fill="auto"/>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b/>
                <w:bCs/>
                <w:color w:val="000000"/>
              </w:rPr>
              <w:t>Негосударственные пенсионные фонды</w:t>
            </w:r>
          </w:p>
        </w:tc>
      </w:tr>
      <w:tr w:rsidR="00851FF9" w:rsidRPr="003B4122" w:rsidTr="003A1D5A">
        <w:trPr>
          <w:trHeight w:val="7"/>
        </w:trPr>
        <w:tc>
          <w:tcPr>
            <w:tcW w:w="968" w:type="pct"/>
            <w:shd w:val="clear" w:color="auto" w:fill="auto"/>
            <w:vAlign w:val="center"/>
          </w:tcPr>
          <w:p w:rsidR="00851FF9" w:rsidRPr="003B4122" w:rsidRDefault="00851FF9" w:rsidP="00851FF9">
            <w:pPr>
              <w:spacing w:beforeLines="60" w:before="144" w:afterLines="60" w:after="144"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Обязательное пенсионное страхование</w:t>
            </w:r>
          </w:p>
        </w:tc>
        <w:tc>
          <w:tcPr>
            <w:tcW w:w="422" w:type="pct"/>
            <w:vAlign w:val="center"/>
          </w:tcPr>
          <w:p w:rsidR="00851FF9" w:rsidRPr="003B4122" w:rsidRDefault="00851FF9" w:rsidP="00851FF9">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57%</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56%</w:t>
            </w:r>
          </w:p>
        </w:tc>
        <w:tc>
          <w:tcPr>
            <w:tcW w:w="515"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49%</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66%</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45%</w:t>
            </w:r>
          </w:p>
        </w:tc>
        <w:tc>
          <w:tcPr>
            <w:tcW w:w="56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62%</w:t>
            </w:r>
          </w:p>
        </w:tc>
        <w:tc>
          <w:tcPr>
            <w:tcW w:w="464"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50%</w:t>
            </w:r>
          </w:p>
        </w:tc>
        <w:tc>
          <w:tcPr>
            <w:tcW w:w="517"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50%</w:t>
            </w:r>
          </w:p>
        </w:tc>
      </w:tr>
      <w:tr w:rsidR="00851FF9" w:rsidRPr="003B4122" w:rsidTr="003A1D5A">
        <w:trPr>
          <w:trHeight w:val="7"/>
        </w:trPr>
        <w:tc>
          <w:tcPr>
            <w:tcW w:w="968" w:type="pct"/>
            <w:shd w:val="clear" w:color="auto" w:fill="auto"/>
            <w:vAlign w:val="center"/>
          </w:tcPr>
          <w:p w:rsidR="00851FF9" w:rsidRPr="003B4122" w:rsidRDefault="00851FF9" w:rsidP="00851FF9">
            <w:pPr>
              <w:spacing w:beforeLines="60" w:before="144" w:afterLines="60" w:after="144"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Негосударственное пенсионное обеспечение</w:t>
            </w:r>
          </w:p>
        </w:tc>
        <w:tc>
          <w:tcPr>
            <w:tcW w:w="422" w:type="pct"/>
            <w:vAlign w:val="center"/>
          </w:tcPr>
          <w:p w:rsidR="00851FF9" w:rsidRPr="003B4122" w:rsidRDefault="00851FF9" w:rsidP="00851FF9">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53%</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54%</w:t>
            </w:r>
          </w:p>
        </w:tc>
        <w:tc>
          <w:tcPr>
            <w:tcW w:w="515"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36%</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91%</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49%</w:t>
            </w:r>
          </w:p>
        </w:tc>
        <w:tc>
          <w:tcPr>
            <w:tcW w:w="56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59%</w:t>
            </w:r>
          </w:p>
        </w:tc>
        <w:tc>
          <w:tcPr>
            <w:tcW w:w="464"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36%</w:t>
            </w:r>
          </w:p>
        </w:tc>
        <w:tc>
          <w:tcPr>
            <w:tcW w:w="517"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44%</w:t>
            </w:r>
          </w:p>
        </w:tc>
      </w:tr>
      <w:tr w:rsidR="00851FF9" w:rsidRPr="003B4122" w:rsidTr="003A1D5A">
        <w:trPr>
          <w:trHeight w:val="7"/>
        </w:trPr>
        <w:tc>
          <w:tcPr>
            <w:tcW w:w="5000" w:type="pct"/>
            <w:gridSpan w:val="9"/>
            <w:shd w:val="clear" w:color="auto" w:fill="auto"/>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b/>
                <w:bCs/>
                <w:color w:val="000000"/>
              </w:rPr>
              <w:t>Брокеры</w:t>
            </w:r>
          </w:p>
        </w:tc>
      </w:tr>
      <w:tr w:rsidR="00851FF9" w:rsidRPr="003B4122" w:rsidTr="003A1D5A">
        <w:trPr>
          <w:trHeight w:val="7"/>
        </w:trPr>
        <w:tc>
          <w:tcPr>
            <w:tcW w:w="968" w:type="pct"/>
            <w:shd w:val="clear" w:color="auto" w:fill="auto"/>
            <w:vAlign w:val="center"/>
          </w:tcPr>
          <w:p w:rsidR="00851FF9" w:rsidRPr="003B4122" w:rsidRDefault="00851FF9" w:rsidP="00851FF9">
            <w:pPr>
              <w:spacing w:beforeLines="60" w:before="144" w:afterLines="60" w:after="144"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Индивидуальные инвестиционные счета</w:t>
            </w:r>
          </w:p>
        </w:tc>
        <w:tc>
          <w:tcPr>
            <w:tcW w:w="422" w:type="pct"/>
            <w:vAlign w:val="center"/>
          </w:tcPr>
          <w:p w:rsidR="00851FF9" w:rsidRPr="003B4122" w:rsidRDefault="00851FF9" w:rsidP="00851FF9">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53%</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52%</w:t>
            </w:r>
          </w:p>
        </w:tc>
        <w:tc>
          <w:tcPr>
            <w:tcW w:w="515"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49%</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83%</w:t>
            </w:r>
          </w:p>
        </w:tc>
        <w:tc>
          <w:tcPr>
            <w:tcW w:w="51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38%</w:t>
            </w:r>
          </w:p>
        </w:tc>
        <w:tc>
          <w:tcPr>
            <w:tcW w:w="566"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46%</w:t>
            </w:r>
          </w:p>
        </w:tc>
        <w:tc>
          <w:tcPr>
            <w:tcW w:w="464"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62%</w:t>
            </w:r>
          </w:p>
        </w:tc>
        <w:tc>
          <w:tcPr>
            <w:tcW w:w="517"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35%</w:t>
            </w:r>
          </w:p>
        </w:tc>
      </w:tr>
    </w:tbl>
    <w:p w:rsidR="00851FF9" w:rsidRPr="00851FF9" w:rsidRDefault="00851FF9" w:rsidP="00851FF9">
      <w:pPr>
        <w:spacing w:after="0" w:line="240" w:lineRule="auto"/>
        <w:jc w:val="both"/>
        <w:rPr>
          <w:rFonts w:ascii="Times New Roman" w:eastAsia="Times New Roman" w:hAnsi="Times New Roman" w:cs="Times New Roman"/>
          <w:color w:val="000000"/>
          <w:sz w:val="28"/>
          <w:szCs w:val="28"/>
          <w:lang w:eastAsia="ru-RU"/>
        </w:rPr>
      </w:pPr>
      <w:r w:rsidRPr="00851FF9">
        <w:rPr>
          <w:rFonts w:ascii="Times New Roman" w:eastAsia="Calibri" w:hAnsi="Times New Roman" w:cs="Times New Roman"/>
          <w:color w:val="000000"/>
          <w:sz w:val="20"/>
          <w:szCs w:val="20"/>
        </w:rPr>
        <w:t>*Уровень удовлетворенности рассчитывался как "полностью удовлетворен" + "скорее удовлетворен" от числа сталкивавшихся с данным типом финансовых организаций</w:t>
      </w:r>
    </w:p>
    <w:p w:rsidR="00851FF9" w:rsidRPr="00851FF9" w:rsidRDefault="00851FF9" w:rsidP="00851FF9">
      <w:pPr>
        <w:rPr>
          <w:rFonts w:ascii="Times New Roman" w:eastAsia="Calibri" w:hAnsi="Times New Roman" w:cs="Times New Roman"/>
          <w:color w:val="000000"/>
        </w:rPr>
      </w:pPr>
    </w:p>
    <w:p w:rsidR="00851FF9" w:rsidRPr="008A134A" w:rsidRDefault="00851FF9" w:rsidP="00851FF9">
      <w:pPr>
        <w:spacing w:after="0" w:line="360" w:lineRule="auto"/>
        <w:ind w:firstLine="709"/>
        <w:jc w:val="both"/>
        <w:rPr>
          <w:rFonts w:ascii="Times New Roman" w:eastAsia="Times New Roman" w:hAnsi="Times New Roman" w:cs="Times New Roman"/>
          <w:color w:val="000000"/>
          <w:sz w:val="24"/>
          <w:szCs w:val="24"/>
          <w:lang w:eastAsia="ru-RU"/>
        </w:rPr>
      </w:pPr>
      <w:r w:rsidRPr="008A134A">
        <w:rPr>
          <w:rFonts w:ascii="Times New Roman" w:eastAsia="Times New Roman" w:hAnsi="Times New Roman" w:cs="Times New Roman"/>
          <w:color w:val="000000"/>
          <w:sz w:val="24"/>
          <w:szCs w:val="24"/>
          <w:lang w:eastAsia="ru-RU"/>
        </w:rPr>
        <w:t>В разрезе по социальному статусу можно выделить следующие особенности:</w:t>
      </w:r>
    </w:p>
    <w:p w:rsidR="00851FF9" w:rsidRPr="008A134A" w:rsidRDefault="00851FF9" w:rsidP="00851FF9">
      <w:pPr>
        <w:spacing w:after="0" w:line="360" w:lineRule="auto"/>
        <w:ind w:firstLine="709"/>
        <w:jc w:val="both"/>
        <w:rPr>
          <w:rFonts w:ascii="Times New Roman" w:eastAsia="Times New Roman" w:hAnsi="Times New Roman" w:cs="Times New Roman"/>
          <w:color w:val="000000"/>
          <w:sz w:val="24"/>
          <w:szCs w:val="24"/>
          <w:lang w:eastAsia="ru-RU"/>
        </w:rPr>
      </w:pPr>
      <w:r w:rsidRPr="008A134A">
        <w:rPr>
          <w:rFonts w:ascii="Times New Roman" w:eastAsia="Times New Roman" w:hAnsi="Times New Roman" w:cs="Times New Roman"/>
          <w:color w:val="000000"/>
          <w:sz w:val="24"/>
          <w:szCs w:val="24"/>
          <w:lang w:eastAsia="ru-RU"/>
        </w:rPr>
        <w:t>- Работающее население из всего перечня продуктов и услуг различных финансовых структур выше всего оценивает банковские продукты и услуги. В наименьшей степени в данной категории граждан отмечается удовлетворенность займами и размещением средств в микрофинансовых организациях. Страховые продукты и продукты негосударственных пенсионных фондов получили средние оценки (по ним удовлетворенность выразили немногим более половины респондентов).</w:t>
      </w:r>
    </w:p>
    <w:p w:rsidR="00851FF9" w:rsidRPr="008A134A" w:rsidRDefault="00851FF9" w:rsidP="00851FF9">
      <w:pPr>
        <w:spacing w:after="0" w:line="360" w:lineRule="auto"/>
        <w:ind w:firstLine="709"/>
        <w:jc w:val="both"/>
        <w:rPr>
          <w:rFonts w:ascii="Times New Roman" w:eastAsia="Times New Roman" w:hAnsi="Times New Roman" w:cs="Times New Roman"/>
          <w:color w:val="000000"/>
          <w:sz w:val="24"/>
          <w:szCs w:val="24"/>
          <w:lang w:eastAsia="ru-RU"/>
        </w:rPr>
      </w:pPr>
      <w:r w:rsidRPr="008A134A">
        <w:rPr>
          <w:rFonts w:ascii="Times New Roman" w:eastAsia="Times New Roman" w:hAnsi="Times New Roman" w:cs="Times New Roman"/>
          <w:color w:val="000000"/>
          <w:sz w:val="24"/>
          <w:szCs w:val="24"/>
          <w:lang w:eastAsia="ru-RU"/>
        </w:rPr>
        <w:t>- Общие тенденции в оценках, высказанных безработными гражданами, в целом соответствуют аналогичным оценкам работающего населения, однако среди безработных уровень удовлетворенности по большинству рассматриваемых продуктов/услуг ниже. Исключение составляют продукты сельскохозяйственных кредитных потребительских кооперативов, займы в ломбардах и размещение средств в форме договора займа в кредитных потребительских кооперативах – по ним уровень удовлетворенности несколько выше, чем среди лиц, имеющих постоянную работу.</w:t>
      </w:r>
    </w:p>
    <w:p w:rsidR="00851FF9" w:rsidRPr="008A134A" w:rsidRDefault="00851FF9" w:rsidP="00851FF9">
      <w:pPr>
        <w:spacing w:after="0" w:line="360" w:lineRule="auto"/>
        <w:ind w:firstLine="709"/>
        <w:jc w:val="both"/>
        <w:rPr>
          <w:rFonts w:ascii="Times New Roman" w:eastAsia="Times New Roman" w:hAnsi="Times New Roman" w:cs="Times New Roman"/>
          <w:color w:val="000000"/>
          <w:sz w:val="24"/>
          <w:szCs w:val="24"/>
          <w:lang w:eastAsia="ru-RU"/>
        </w:rPr>
      </w:pPr>
      <w:r w:rsidRPr="008A134A">
        <w:rPr>
          <w:rFonts w:ascii="Times New Roman" w:eastAsia="Times New Roman" w:hAnsi="Times New Roman" w:cs="Times New Roman"/>
          <w:color w:val="000000"/>
          <w:sz w:val="24"/>
          <w:szCs w:val="24"/>
          <w:lang w:eastAsia="ru-RU"/>
        </w:rPr>
        <w:t>- Учащиеся и студенты выше всех остальных категорий граждан оценивают практически все банковские продукты и услуги (исключение составляют вклады – по ним уровень удовлетворенности среди пенсионеров выше, чем среди студентов, 77% и 71% соответственно). Однако максимальный уровень удовлетворённости среди учащихся и студентов отмечается по продукту "обязательное медицинское страхование" (95% при среднем по области 64%). Кроме того, выше других социальных групп данная категория населения оценивает такие продукты, как добровольное страхование жизни (91% при среднем по области 65%), негосударственное пенсионное обеспечение (91% при среднем 53%) и займы в сельскохозяйственных кредитных потребительских кооперативах (92% при среднем 42%). Также среди студентов самый высокий уровень удовлетворенности брокерскими продуктами (83% при среднем 53%).</w:t>
      </w:r>
    </w:p>
    <w:p w:rsidR="00851FF9" w:rsidRPr="008A134A" w:rsidRDefault="00851FF9" w:rsidP="00851FF9">
      <w:pPr>
        <w:spacing w:after="0" w:line="360" w:lineRule="auto"/>
        <w:ind w:firstLine="709"/>
        <w:jc w:val="both"/>
        <w:rPr>
          <w:rFonts w:ascii="Times New Roman" w:eastAsia="Times New Roman" w:hAnsi="Times New Roman" w:cs="Times New Roman"/>
          <w:color w:val="000000"/>
          <w:sz w:val="24"/>
          <w:szCs w:val="24"/>
          <w:lang w:eastAsia="ru-RU"/>
        </w:rPr>
      </w:pPr>
      <w:r w:rsidRPr="008A134A">
        <w:rPr>
          <w:rFonts w:ascii="Times New Roman" w:eastAsia="Times New Roman" w:hAnsi="Times New Roman" w:cs="Times New Roman"/>
          <w:color w:val="000000"/>
          <w:sz w:val="24"/>
          <w:szCs w:val="24"/>
          <w:lang w:eastAsia="ru-RU"/>
        </w:rPr>
        <w:t>- Лица, ведущие домашнее хозяйство, ниже, чем в среднем по Ленинградской области оценивают большинство продуктов и услуг, предоставляемых финансовыми структурами. (исключение – переводы и платежи). Особенно критичны они в оценках различных займов: в кредитных потребительских кооперативах (11% при среднем по области 37%), в микрофинансовых организациях (24% при среднем 33%) и в сельскохозяйственных кредитных потребительских кооперативах (29% при среднем 42%).</w:t>
      </w:r>
    </w:p>
    <w:p w:rsidR="00851FF9" w:rsidRPr="008A134A" w:rsidRDefault="00851FF9" w:rsidP="00851FF9">
      <w:pPr>
        <w:spacing w:after="0" w:line="360" w:lineRule="auto"/>
        <w:ind w:firstLine="709"/>
        <w:jc w:val="both"/>
        <w:rPr>
          <w:rFonts w:ascii="Times New Roman" w:eastAsia="Times New Roman" w:hAnsi="Times New Roman" w:cs="Times New Roman"/>
          <w:color w:val="000000"/>
          <w:sz w:val="24"/>
          <w:szCs w:val="24"/>
          <w:lang w:eastAsia="ru-RU"/>
        </w:rPr>
      </w:pPr>
      <w:r w:rsidRPr="008A134A">
        <w:rPr>
          <w:rFonts w:ascii="Times New Roman" w:eastAsia="Times New Roman" w:hAnsi="Times New Roman" w:cs="Times New Roman"/>
          <w:color w:val="000000"/>
          <w:sz w:val="24"/>
          <w:szCs w:val="24"/>
          <w:lang w:eastAsia="ru-RU"/>
        </w:rPr>
        <w:t>- Пенсионеры высоко оценивают все банковские продукты и услуги. При этом их оценка вкладов выше, чем у остальных социальных групп. Также данная категория граждан больше, чем в среднем по области, удовлетворена займами в сельскохозяйственных кредитных потребительских кооперативах (67% при среднем 42%). По остальным рассматриваемым продуктам/услугам значимых отличий от среднего распределения ответов не выявлено.</w:t>
      </w:r>
    </w:p>
    <w:p w:rsidR="00851FF9" w:rsidRPr="008A134A" w:rsidRDefault="00851FF9" w:rsidP="00851FF9">
      <w:pPr>
        <w:spacing w:after="0" w:line="360" w:lineRule="auto"/>
        <w:ind w:firstLine="709"/>
        <w:jc w:val="both"/>
        <w:rPr>
          <w:rFonts w:ascii="Times New Roman" w:eastAsia="Times New Roman" w:hAnsi="Times New Roman" w:cs="Times New Roman"/>
          <w:color w:val="000000"/>
          <w:sz w:val="24"/>
          <w:szCs w:val="24"/>
          <w:lang w:eastAsia="ru-RU"/>
        </w:rPr>
      </w:pPr>
      <w:r w:rsidRPr="008A134A">
        <w:rPr>
          <w:rFonts w:ascii="Times New Roman" w:eastAsia="Times New Roman" w:hAnsi="Times New Roman" w:cs="Times New Roman"/>
          <w:color w:val="000000"/>
          <w:sz w:val="24"/>
          <w:szCs w:val="24"/>
          <w:lang w:eastAsia="ru-RU"/>
        </w:rPr>
        <w:t xml:space="preserve">- Самозанятые граждане реже других категорий населения выражают удовлетворенность кредитными продуктами банковских структур, ниже, чем в среднем по области оценивают продукты микрофинансовых организаций и займы в ломбардах, но при этом достаточно позитивно высказываются об индивидуальных инвестиционных счетах. </w:t>
      </w:r>
    </w:p>
    <w:p w:rsidR="00851FF9" w:rsidRPr="008A134A" w:rsidRDefault="00851FF9" w:rsidP="00851FF9">
      <w:pPr>
        <w:spacing w:after="0" w:line="360" w:lineRule="auto"/>
        <w:ind w:firstLine="709"/>
        <w:jc w:val="both"/>
        <w:rPr>
          <w:rFonts w:ascii="Times New Roman" w:eastAsia="Times New Roman" w:hAnsi="Times New Roman" w:cs="Times New Roman"/>
          <w:color w:val="000000"/>
          <w:sz w:val="24"/>
          <w:szCs w:val="24"/>
          <w:lang w:eastAsia="ru-RU"/>
        </w:rPr>
      </w:pPr>
      <w:r w:rsidRPr="008A134A">
        <w:rPr>
          <w:rFonts w:ascii="Times New Roman" w:eastAsia="Times New Roman" w:hAnsi="Times New Roman" w:cs="Times New Roman"/>
          <w:color w:val="000000"/>
          <w:sz w:val="24"/>
          <w:szCs w:val="24"/>
          <w:lang w:eastAsia="ru-RU"/>
        </w:rPr>
        <w:t>- Самые высокие оценки предприниматели выставили таким страховым продуктам, как обязательное медицинское страхование и другое обязательное страхование (81% и 90% при среднем по области 64% и 61% соответственно). Также они выше большинства опрошенных оценивают займы в ломбардах (71% при среднем 52%). Обращает на себя внимание более низкий, чем среди других социальных групп, уровень удовлетворенности предпринимателей по таким банковским продуктам, как переводы и платежи (73% при среднем 87%) и вклады (62% при среднем 69%).</w:t>
      </w:r>
    </w:p>
    <w:p w:rsidR="00851FF9" w:rsidRPr="00851FF9" w:rsidRDefault="00851FF9" w:rsidP="00851FF9">
      <w:pPr>
        <w:spacing w:after="0" w:line="360" w:lineRule="auto"/>
        <w:ind w:firstLine="709"/>
        <w:jc w:val="both"/>
        <w:rPr>
          <w:rFonts w:ascii="Times New Roman" w:eastAsia="Times New Roman" w:hAnsi="Times New Roman" w:cs="Times New Roman"/>
          <w:color w:val="000000"/>
          <w:sz w:val="28"/>
          <w:szCs w:val="28"/>
          <w:lang w:eastAsia="ru-RU"/>
        </w:rPr>
      </w:pPr>
    </w:p>
    <w:p w:rsidR="00851FF9" w:rsidRPr="008A134A" w:rsidRDefault="008A134A" w:rsidP="00851FF9">
      <w:pPr>
        <w:keepNext/>
        <w:keepLines/>
        <w:spacing w:before="40" w:after="240" w:line="240" w:lineRule="auto"/>
        <w:jc w:val="center"/>
        <w:outlineLvl w:val="2"/>
        <w:rPr>
          <w:rFonts w:ascii="Times New Roman" w:eastAsia="Arial" w:hAnsi="Times New Roman" w:cs="Times New Roman"/>
          <w:b/>
          <w:color w:val="000000"/>
          <w:sz w:val="24"/>
          <w:szCs w:val="24"/>
          <w:lang w:eastAsia="ru-RU"/>
        </w:rPr>
      </w:pPr>
      <w:bookmarkStart w:id="67" w:name="_Toc117864312"/>
      <w:bookmarkStart w:id="68" w:name="_Toc119695547"/>
      <w:bookmarkStart w:id="69" w:name="_Toc122720250"/>
      <w:r w:rsidRPr="008A134A">
        <w:rPr>
          <w:rFonts w:ascii="Times New Roman" w:eastAsia="Arial" w:hAnsi="Times New Roman" w:cs="Times New Roman"/>
          <w:b/>
          <w:color w:val="000000"/>
          <w:sz w:val="24"/>
          <w:szCs w:val="24"/>
          <w:lang w:eastAsia="ru-RU"/>
        </w:rPr>
        <w:t>3.6</w:t>
      </w:r>
      <w:r w:rsidR="00851FF9" w:rsidRPr="008A134A">
        <w:rPr>
          <w:rFonts w:ascii="Times New Roman" w:eastAsia="Arial" w:hAnsi="Times New Roman" w:cs="Times New Roman"/>
          <w:b/>
          <w:color w:val="000000"/>
          <w:sz w:val="24"/>
          <w:szCs w:val="24"/>
          <w:lang w:eastAsia="ru-RU"/>
        </w:rPr>
        <w:t>.</w:t>
      </w:r>
      <w:r w:rsidRPr="008A134A">
        <w:rPr>
          <w:rFonts w:ascii="Times New Roman" w:eastAsia="Arial" w:hAnsi="Times New Roman" w:cs="Times New Roman"/>
          <w:b/>
          <w:color w:val="000000"/>
          <w:sz w:val="24"/>
          <w:szCs w:val="24"/>
          <w:lang w:eastAsia="ru-RU"/>
        </w:rPr>
        <w:t>4.</w:t>
      </w:r>
      <w:r w:rsidR="00851FF9" w:rsidRPr="008A134A">
        <w:rPr>
          <w:rFonts w:ascii="Times New Roman" w:eastAsia="Arial" w:hAnsi="Times New Roman" w:cs="Times New Roman"/>
          <w:b/>
          <w:color w:val="000000"/>
          <w:sz w:val="24"/>
          <w:szCs w:val="24"/>
          <w:lang w:eastAsia="ru-RU"/>
        </w:rPr>
        <w:t xml:space="preserve"> Об </w:t>
      </w:r>
      <w:bookmarkEnd w:id="67"/>
      <w:r w:rsidR="00851FF9" w:rsidRPr="008A134A">
        <w:rPr>
          <w:rFonts w:ascii="Times New Roman" w:eastAsia="Calibri" w:hAnsi="Times New Roman" w:cs="Times New Roman"/>
          <w:b/>
          <w:bCs/>
          <w:color w:val="000000"/>
          <w:sz w:val="24"/>
          <w:szCs w:val="24"/>
          <w:lang w:eastAsia="ru-RU"/>
        </w:rPr>
        <w:t>уровне удовлетворенности субъектов малого и среднего предпринимательства (юридических лиц) доступным им выбором финансовых организаций, осуществляющих деятельность в субъекте Российской Федерации</w:t>
      </w:r>
      <w:bookmarkEnd w:id="68"/>
      <w:bookmarkEnd w:id="69"/>
    </w:p>
    <w:p w:rsidR="00851FF9" w:rsidRPr="008A134A" w:rsidRDefault="00851FF9" w:rsidP="00851FF9">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8A134A">
        <w:rPr>
          <w:rFonts w:ascii="Times New Roman" w:eastAsia="Times New Roman" w:hAnsi="Times New Roman" w:cs="Times New Roman"/>
          <w:color w:val="000000"/>
          <w:sz w:val="24"/>
          <w:szCs w:val="24"/>
          <w:lang w:eastAsia="ru-RU"/>
        </w:rPr>
        <w:t xml:space="preserve">Данные о количестве </w:t>
      </w:r>
      <w:bookmarkStart w:id="70" w:name="_Hlk120068268"/>
      <w:r w:rsidRPr="008A134A">
        <w:rPr>
          <w:rFonts w:ascii="Times New Roman" w:eastAsia="Times New Roman" w:hAnsi="Times New Roman" w:cs="Times New Roman"/>
          <w:color w:val="000000"/>
          <w:sz w:val="24"/>
          <w:szCs w:val="24"/>
          <w:lang w:eastAsia="ru-RU"/>
        </w:rPr>
        <w:t xml:space="preserve">учреждений банковской системы </w:t>
      </w:r>
      <w:bookmarkEnd w:id="70"/>
      <w:r w:rsidRPr="008A134A">
        <w:rPr>
          <w:rFonts w:ascii="Times New Roman" w:eastAsia="Times New Roman" w:hAnsi="Times New Roman" w:cs="Times New Roman"/>
          <w:color w:val="000000"/>
          <w:sz w:val="24"/>
          <w:szCs w:val="24"/>
          <w:lang w:eastAsia="ru-RU"/>
        </w:rPr>
        <w:t xml:space="preserve">в Ленинградской области, представленные на официальном сайте Центрального </w:t>
      </w:r>
      <w:bookmarkStart w:id="71" w:name="_Hlk120068499"/>
      <w:r w:rsidRPr="008A134A">
        <w:rPr>
          <w:rFonts w:ascii="Times New Roman" w:eastAsia="Times New Roman" w:hAnsi="Times New Roman" w:cs="Times New Roman"/>
          <w:color w:val="000000"/>
          <w:sz w:val="24"/>
          <w:szCs w:val="24"/>
          <w:lang w:eastAsia="ru-RU"/>
        </w:rPr>
        <w:t xml:space="preserve">Банка Российской Федерации, </w:t>
      </w:r>
      <w:bookmarkEnd w:id="71"/>
      <w:r w:rsidRPr="008A134A">
        <w:rPr>
          <w:rFonts w:ascii="Times New Roman" w:eastAsia="Times New Roman" w:hAnsi="Times New Roman" w:cs="Times New Roman"/>
          <w:color w:val="000000"/>
          <w:sz w:val="24"/>
          <w:szCs w:val="24"/>
          <w:lang w:eastAsia="ru-RU"/>
        </w:rPr>
        <w:t>иллюстрируют незначительную отрицательную динамику – уменьшение общего количества учреждений банковской системы с 291 (по состоянию на 1 января 2022 г.) до 285 (по состоянию на 1 июля 2022 г.).</w:t>
      </w:r>
    </w:p>
    <w:p w:rsidR="00851FF9" w:rsidRPr="00851FF9" w:rsidRDefault="00851FF9" w:rsidP="008A134A">
      <w:pPr>
        <w:keepNext/>
        <w:keepLines/>
        <w:spacing w:before="120" w:after="120" w:line="240" w:lineRule="auto"/>
        <w:jc w:val="center"/>
        <w:rPr>
          <w:rFonts w:ascii="Times New Roman" w:eastAsia="Calibri" w:hAnsi="Times New Roman" w:cs="Times New Roman"/>
          <w:color w:val="000000"/>
          <w:sz w:val="24"/>
          <w:szCs w:val="24"/>
        </w:rPr>
      </w:pPr>
      <w:r w:rsidRPr="00851FF9">
        <w:rPr>
          <w:rFonts w:ascii="Times New Roman" w:eastAsia="Calibri" w:hAnsi="Times New Roman" w:cs="Times New Roman"/>
          <w:color w:val="000000"/>
          <w:sz w:val="24"/>
          <w:szCs w:val="24"/>
        </w:rPr>
        <w:t xml:space="preserve">Таблица </w:t>
      </w:r>
      <w:r w:rsidR="008A134A">
        <w:rPr>
          <w:rFonts w:ascii="Times New Roman" w:eastAsia="Calibri" w:hAnsi="Times New Roman" w:cs="Times New Roman"/>
          <w:color w:val="000000"/>
          <w:sz w:val="24"/>
          <w:szCs w:val="24"/>
        </w:rPr>
        <w:t>26</w:t>
      </w:r>
      <w:r w:rsidRPr="00851FF9">
        <w:rPr>
          <w:rFonts w:ascii="Times New Roman" w:eastAsia="Calibri" w:hAnsi="Times New Roman" w:cs="Times New Roman"/>
          <w:color w:val="000000"/>
          <w:sz w:val="24"/>
          <w:szCs w:val="24"/>
        </w:rPr>
        <w:t xml:space="preserve">. </w:t>
      </w:r>
      <w:r w:rsidRPr="00851FF9">
        <w:rPr>
          <w:rFonts w:ascii="Times New Roman" w:eastAsia="Calibri" w:hAnsi="Times New Roman" w:cs="Times New Roman"/>
          <w:b/>
          <w:bCs/>
          <w:color w:val="000000"/>
          <w:sz w:val="24"/>
          <w:szCs w:val="24"/>
        </w:rPr>
        <w:t>Институциональная обеспеченность платежными услугами</w:t>
      </w:r>
      <w:r w:rsidRPr="00851FF9">
        <w:rPr>
          <w:rFonts w:ascii="Times New Roman" w:eastAsia="Calibri" w:hAnsi="Times New Roman" w:cs="Times New Roman"/>
          <w:color w:val="000000"/>
          <w:sz w:val="24"/>
          <w:szCs w:val="24"/>
        </w:rPr>
        <w:t xml:space="preserve"> (данные официального сайта Центрального банка Российской Федерации)</w:t>
      </w:r>
    </w:p>
    <w:tbl>
      <w:tblPr>
        <w:tblStyle w:val="260"/>
        <w:tblW w:w="0" w:type="auto"/>
        <w:tblLook w:val="04A0" w:firstRow="1" w:lastRow="0" w:firstColumn="1" w:lastColumn="0" w:noHBand="0" w:noVBand="1"/>
      </w:tblPr>
      <w:tblGrid>
        <w:gridCol w:w="1421"/>
        <w:gridCol w:w="1419"/>
        <w:gridCol w:w="1419"/>
        <w:gridCol w:w="1491"/>
        <w:gridCol w:w="1491"/>
        <w:gridCol w:w="1905"/>
        <w:gridCol w:w="1133"/>
      </w:tblGrid>
      <w:tr w:rsidR="00851FF9" w:rsidRPr="00851FF9" w:rsidTr="0010260C">
        <w:trPr>
          <w:tblHeader/>
        </w:trPr>
        <w:tc>
          <w:tcPr>
            <w:tcW w:w="1526" w:type="dxa"/>
            <w:vMerge w:val="restart"/>
            <w:vAlign w:val="center"/>
          </w:tcPr>
          <w:p w:rsidR="00851FF9" w:rsidRPr="00F71AD2" w:rsidRDefault="00851FF9" w:rsidP="00851FF9">
            <w:pPr>
              <w:spacing w:before="120" w:after="120" w:line="269" w:lineRule="auto"/>
              <w:rPr>
                <w:rFonts w:ascii="Times New Roman" w:eastAsia="Calibri" w:hAnsi="Times New Roman" w:cs="Times New Roman"/>
                <w:b/>
                <w:color w:val="000000"/>
              </w:rPr>
            </w:pPr>
          </w:p>
        </w:tc>
        <w:tc>
          <w:tcPr>
            <w:tcW w:w="1360" w:type="dxa"/>
            <w:vMerge w:val="restart"/>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Общее количество учреждений банковской системы</w:t>
            </w:r>
          </w:p>
        </w:tc>
        <w:tc>
          <w:tcPr>
            <w:tcW w:w="7287" w:type="dxa"/>
            <w:gridSpan w:val="5"/>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в том числе:</w:t>
            </w:r>
          </w:p>
        </w:tc>
      </w:tr>
      <w:tr w:rsidR="00851FF9" w:rsidRPr="00851FF9" w:rsidTr="0010260C">
        <w:trPr>
          <w:tblHeader/>
        </w:trPr>
        <w:tc>
          <w:tcPr>
            <w:tcW w:w="1526" w:type="dxa"/>
            <w:vMerge/>
            <w:vAlign w:val="center"/>
          </w:tcPr>
          <w:p w:rsidR="00851FF9" w:rsidRPr="00F71AD2" w:rsidRDefault="00851FF9" w:rsidP="00851FF9">
            <w:pPr>
              <w:spacing w:before="120" w:after="120" w:line="269" w:lineRule="auto"/>
              <w:rPr>
                <w:rFonts w:ascii="Times New Roman" w:eastAsia="Calibri" w:hAnsi="Times New Roman" w:cs="Times New Roman"/>
                <w:b/>
                <w:color w:val="000000"/>
              </w:rPr>
            </w:pPr>
          </w:p>
        </w:tc>
        <w:tc>
          <w:tcPr>
            <w:tcW w:w="1360" w:type="dxa"/>
            <w:vMerge/>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p>
        </w:tc>
        <w:tc>
          <w:tcPr>
            <w:tcW w:w="1384" w:type="dxa"/>
            <w:vMerge w:val="restart"/>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учреждений Банка России</w:t>
            </w:r>
          </w:p>
        </w:tc>
        <w:tc>
          <w:tcPr>
            <w:tcW w:w="1421" w:type="dxa"/>
            <w:vMerge w:val="restart"/>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кредитных организаций</w:t>
            </w:r>
          </w:p>
        </w:tc>
        <w:tc>
          <w:tcPr>
            <w:tcW w:w="1421" w:type="dxa"/>
            <w:vMerge w:val="restart"/>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филиалов кредитных организаций</w:t>
            </w:r>
          </w:p>
        </w:tc>
        <w:tc>
          <w:tcPr>
            <w:tcW w:w="3061" w:type="dxa"/>
            <w:gridSpan w:val="2"/>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внутренних структурных подразделений кредитных организаций</w:t>
            </w:r>
          </w:p>
        </w:tc>
      </w:tr>
      <w:tr w:rsidR="00851FF9" w:rsidRPr="00851FF9" w:rsidTr="0010260C">
        <w:trPr>
          <w:tblHeader/>
        </w:trPr>
        <w:tc>
          <w:tcPr>
            <w:tcW w:w="1526" w:type="dxa"/>
            <w:vMerge/>
            <w:vAlign w:val="center"/>
          </w:tcPr>
          <w:p w:rsidR="00851FF9" w:rsidRPr="00F71AD2" w:rsidRDefault="00851FF9" w:rsidP="00851FF9">
            <w:pPr>
              <w:spacing w:before="120" w:after="120" w:line="269" w:lineRule="auto"/>
              <w:rPr>
                <w:rFonts w:ascii="Times New Roman" w:eastAsia="Calibri" w:hAnsi="Times New Roman" w:cs="Times New Roman"/>
                <w:b/>
                <w:color w:val="000000"/>
              </w:rPr>
            </w:pPr>
          </w:p>
        </w:tc>
        <w:tc>
          <w:tcPr>
            <w:tcW w:w="1360" w:type="dxa"/>
            <w:vMerge/>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p>
        </w:tc>
        <w:tc>
          <w:tcPr>
            <w:tcW w:w="1384" w:type="dxa"/>
            <w:vMerge/>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p>
        </w:tc>
        <w:tc>
          <w:tcPr>
            <w:tcW w:w="1421" w:type="dxa"/>
            <w:vMerge/>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p>
        </w:tc>
        <w:tc>
          <w:tcPr>
            <w:tcW w:w="1421" w:type="dxa"/>
            <w:vMerge/>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p>
        </w:tc>
        <w:tc>
          <w:tcPr>
            <w:tcW w:w="1804"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дополнительных офисов</w:t>
            </w:r>
          </w:p>
        </w:tc>
        <w:tc>
          <w:tcPr>
            <w:tcW w:w="1257"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иных</w:t>
            </w:r>
          </w:p>
        </w:tc>
      </w:tr>
      <w:tr w:rsidR="00851FF9" w:rsidRPr="00851FF9" w:rsidTr="0010260C">
        <w:tc>
          <w:tcPr>
            <w:tcW w:w="1526"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На 1.01.2022</w:t>
            </w:r>
          </w:p>
        </w:tc>
        <w:tc>
          <w:tcPr>
            <w:tcW w:w="1360"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291</w:t>
            </w:r>
          </w:p>
        </w:tc>
        <w:tc>
          <w:tcPr>
            <w:tcW w:w="1384"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w:t>
            </w:r>
          </w:p>
        </w:tc>
        <w:tc>
          <w:tcPr>
            <w:tcW w:w="1421"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w:t>
            </w:r>
          </w:p>
        </w:tc>
        <w:tc>
          <w:tcPr>
            <w:tcW w:w="1421"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w:t>
            </w:r>
          </w:p>
        </w:tc>
        <w:tc>
          <w:tcPr>
            <w:tcW w:w="1804"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w:t>
            </w:r>
          </w:p>
        </w:tc>
        <w:tc>
          <w:tcPr>
            <w:tcW w:w="125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284</w:t>
            </w:r>
          </w:p>
        </w:tc>
      </w:tr>
      <w:tr w:rsidR="00851FF9" w:rsidRPr="00851FF9" w:rsidTr="0010260C">
        <w:tc>
          <w:tcPr>
            <w:tcW w:w="1526"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На 1.04.2022</w:t>
            </w:r>
          </w:p>
        </w:tc>
        <w:tc>
          <w:tcPr>
            <w:tcW w:w="1360"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288</w:t>
            </w:r>
          </w:p>
        </w:tc>
        <w:tc>
          <w:tcPr>
            <w:tcW w:w="1384"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w:t>
            </w:r>
          </w:p>
        </w:tc>
        <w:tc>
          <w:tcPr>
            <w:tcW w:w="1421"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w:t>
            </w:r>
          </w:p>
        </w:tc>
        <w:tc>
          <w:tcPr>
            <w:tcW w:w="1421"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w:t>
            </w:r>
          </w:p>
        </w:tc>
        <w:tc>
          <w:tcPr>
            <w:tcW w:w="1804"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284</w:t>
            </w:r>
          </w:p>
        </w:tc>
        <w:tc>
          <w:tcPr>
            <w:tcW w:w="125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w:t>
            </w:r>
          </w:p>
        </w:tc>
      </w:tr>
      <w:tr w:rsidR="00851FF9" w:rsidRPr="00851FF9" w:rsidTr="0010260C">
        <w:tc>
          <w:tcPr>
            <w:tcW w:w="1526"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На 1.07.2022</w:t>
            </w:r>
          </w:p>
        </w:tc>
        <w:tc>
          <w:tcPr>
            <w:tcW w:w="1360"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285</w:t>
            </w:r>
          </w:p>
        </w:tc>
        <w:tc>
          <w:tcPr>
            <w:tcW w:w="1384"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w:t>
            </w:r>
          </w:p>
        </w:tc>
        <w:tc>
          <w:tcPr>
            <w:tcW w:w="1421"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w:t>
            </w:r>
          </w:p>
        </w:tc>
        <w:tc>
          <w:tcPr>
            <w:tcW w:w="1421"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w:t>
            </w:r>
          </w:p>
        </w:tc>
        <w:tc>
          <w:tcPr>
            <w:tcW w:w="1804"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281</w:t>
            </w:r>
          </w:p>
        </w:tc>
        <w:tc>
          <w:tcPr>
            <w:tcW w:w="125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w:t>
            </w:r>
          </w:p>
        </w:tc>
      </w:tr>
    </w:tbl>
    <w:p w:rsidR="00851FF9" w:rsidRPr="00851FF9" w:rsidRDefault="00851FF9" w:rsidP="00851FF9">
      <w:pPr>
        <w:spacing w:after="0" w:line="360" w:lineRule="auto"/>
        <w:ind w:firstLine="709"/>
        <w:contextualSpacing/>
        <w:jc w:val="both"/>
        <w:rPr>
          <w:rFonts w:ascii="Times New Roman" w:eastAsia="Times New Roman" w:hAnsi="Times New Roman" w:cs="Times New Roman"/>
          <w:color w:val="000000"/>
          <w:sz w:val="28"/>
          <w:szCs w:val="28"/>
          <w:lang w:eastAsia="ru-RU"/>
        </w:rPr>
      </w:pPr>
    </w:p>
    <w:p w:rsidR="00851FF9" w:rsidRPr="008A134A" w:rsidRDefault="00851FF9" w:rsidP="00851FF9">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8A134A">
        <w:rPr>
          <w:rFonts w:ascii="Times New Roman" w:eastAsia="Times New Roman" w:hAnsi="Times New Roman" w:cs="Times New Roman"/>
          <w:color w:val="000000"/>
          <w:sz w:val="24"/>
          <w:szCs w:val="24"/>
          <w:lang w:eastAsia="ru-RU"/>
        </w:rPr>
        <w:t xml:space="preserve">Согласно данным опроса с участием </w:t>
      </w:r>
      <w:bookmarkStart w:id="72" w:name="_Hlk120060603"/>
      <w:r w:rsidRPr="008A134A">
        <w:rPr>
          <w:rFonts w:ascii="Times New Roman" w:eastAsia="Times New Roman" w:hAnsi="Times New Roman" w:cs="Times New Roman"/>
          <w:color w:val="000000"/>
          <w:sz w:val="24"/>
          <w:szCs w:val="24"/>
          <w:lang w:eastAsia="ru-RU"/>
        </w:rPr>
        <w:t>65 предприятий Ленинградской области</w:t>
      </w:r>
      <w:bookmarkEnd w:id="72"/>
      <w:r w:rsidRPr="008A134A">
        <w:rPr>
          <w:rFonts w:ascii="Times New Roman" w:eastAsia="Times New Roman" w:hAnsi="Times New Roman" w:cs="Times New Roman"/>
          <w:color w:val="000000"/>
          <w:sz w:val="24"/>
          <w:szCs w:val="24"/>
          <w:lang w:eastAsia="ru-RU"/>
        </w:rPr>
        <w:t>, опубликованным в аналитическом обзоре Центрального Банка Российской Федерации "Доступность финансовых ресурсов. Ленинградская область. I полугодие 2022 г.", в I полугодии 2022 г. предприятия преимущественно взаимодействовали с банковскими организациями, лизинговыми и страховыми компаниями. Не взаимодействовало с финансовыми организациями 19,4% опрошенных предприятий (во II полугодии 2021 г. - 25,0%).</w:t>
      </w:r>
    </w:p>
    <w:p w:rsidR="00851FF9" w:rsidRPr="00851FF9" w:rsidRDefault="00851FF9" w:rsidP="008A134A">
      <w:pPr>
        <w:keepNext/>
        <w:keepLines/>
        <w:pageBreakBefore/>
        <w:spacing w:before="120" w:after="120" w:line="240" w:lineRule="auto"/>
        <w:jc w:val="center"/>
        <w:rPr>
          <w:rFonts w:ascii="Times New Roman" w:eastAsia="Calibri" w:hAnsi="Times New Roman" w:cs="Times New Roman"/>
          <w:color w:val="000000"/>
          <w:sz w:val="24"/>
          <w:szCs w:val="24"/>
        </w:rPr>
      </w:pPr>
      <w:r w:rsidRPr="00851FF9">
        <w:rPr>
          <w:rFonts w:ascii="Times New Roman" w:eastAsia="Calibri" w:hAnsi="Times New Roman" w:cs="Times New Roman"/>
          <w:color w:val="000000"/>
          <w:sz w:val="24"/>
          <w:szCs w:val="24"/>
        </w:rPr>
        <w:t xml:space="preserve">Таблица </w:t>
      </w:r>
      <w:r w:rsidR="008A134A">
        <w:rPr>
          <w:rFonts w:ascii="Times New Roman" w:eastAsia="Calibri" w:hAnsi="Times New Roman" w:cs="Times New Roman"/>
          <w:color w:val="000000"/>
          <w:sz w:val="24"/>
          <w:szCs w:val="24"/>
        </w:rPr>
        <w:t>27</w:t>
      </w:r>
      <w:r w:rsidRPr="00851FF9">
        <w:rPr>
          <w:rFonts w:ascii="Times New Roman" w:eastAsia="Calibri" w:hAnsi="Times New Roman" w:cs="Times New Roman"/>
          <w:color w:val="000000"/>
          <w:sz w:val="24"/>
          <w:szCs w:val="24"/>
        </w:rPr>
        <w:t xml:space="preserve">. </w:t>
      </w:r>
      <w:r w:rsidRPr="00851FF9">
        <w:rPr>
          <w:rFonts w:ascii="Times New Roman" w:eastAsia="Calibri" w:hAnsi="Times New Roman" w:cs="Times New Roman"/>
          <w:bCs/>
          <w:color w:val="000000"/>
          <w:sz w:val="24"/>
          <w:szCs w:val="24"/>
        </w:rPr>
        <w:t>Показатели взаимодействия предприятий с банковскими организациями</w:t>
      </w:r>
    </w:p>
    <w:tbl>
      <w:tblPr>
        <w:tblStyle w:val="260"/>
        <w:tblW w:w="0" w:type="auto"/>
        <w:tblLook w:val="04A0" w:firstRow="1" w:lastRow="0" w:firstColumn="1" w:lastColumn="0" w:noHBand="0" w:noVBand="1"/>
      </w:tblPr>
      <w:tblGrid>
        <w:gridCol w:w="6487"/>
        <w:gridCol w:w="1701"/>
        <w:gridCol w:w="1985"/>
      </w:tblGrid>
      <w:tr w:rsidR="00851FF9" w:rsidRPr="00851FF9" w:rsidTr="0010260C">
        <w:trPr>
          <w:tblHeader/>
        </w:trPr>
        <w:tc>
          <w:tcPr>
            <w:tcW w:w="6487"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Тип организации</w:t>
            </w:r>
          </w:p>
        </w:tc>
        <w:tc>
          <w:tcPr>
            <w:tcW w:w="1701"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lang w:val="en-US"/>
              </w:rPr>
              <w:t>II</w:t>
            </w:r>
            <w:r w:rsidRPr="00F71AD2">
              <w:rPr>
                <w:rFonts w:ascii="Times New Roman" w:eastAsia="Calibri" w:hAnsi="Times New Roman" w:cs="Times New Roman"/>
                <w:b/>
                <w:color w:val="000000"/>
              </w:rPr>
              <w:t xml:space="preserve"> полугодие 2021 г.</w:t>
            </w:r>
          </w:p>
        </w:tc>
        <w:tc>
          <w:tcPr>
            <w:tcW w:w="1985"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lang w:val="en-US"/>
              </w:rPr>
              <w:t>I</w:t>
            </w:r>
            <w:r w:rsidRPr="00F71AD2">
              <w:rPr>
                <w:rFonts w:ascii="Times New Roman" w:eastAsia="Calibri" w:hAnsi="Times New Roman" w:cs="Times New Roman"/>
                <w:b/>
                <w:color w:val="000000"/>
              </w:rPr>
              <w:t xml:space="preserve"> полугодие 2022 г.</w:t>
            </w:r>
          </w:p>
        </w:tc>
      </w:tr>
      <w:tr w:rsidR="00851FF9" w:rsidRPr="00851FF9" w:rsidTr="0010260C">
        <w:tc>
          <w:tcPr>
            <w:tcW w:w="648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Банки (расчетно-кассовое обслуживание)</w:t>
            </w:r>
          </w:p>
        </w:tc>
        <w:tc>
          <w:tcPr>
            <w:tcW w:w="1701"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5,7%</w:t>
            </w:r>
          </w:p>
        </w:tc>
        <w:tc>
          <w:tcPr>
            <w:tcW w:w="198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28,6%</w:t>
            </w:r>
          </w:p>
        </w:tc>
      </w:tr>
      <w:tr w:rsidR="00851FF9" w:rsidRPr="00851FF9" w:rsidTr="0010260C">
        <w:tc>
          <w:tcPr>
            <w:tcW w:w="648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Банки (кредитование)</w:t>
            </w:r>
          </w:p>
        </w:tc>
        <w:tc>
          <w:tcPr>
            <w:tcW w:w="1701"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30,7%</w:t>
            </w:r>
          </w:p>
        </w:tc>
        <w:tc>
          <w:tcPr>
            <w:tcW w:w="198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20,4%</w:t>
            </w:r>
          </w:p>
        </w:tc>
      </w:tr>
      <w:tr w:rsidR="00851FF9" w:rsidRPr="00851FF9" w:rsidTr="0010260C">
        <w:tc>
          <w:tcPr>
            <w:tcW w:w="648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Страховые компании</w:t>
            </w:r>
          </w:p>
        </w:tc>
        <w:tc>
          <w:tcPr>
            <w:tcW w:w="1701"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14,8%</w:t>
            </w:r>
          </w:p>
        </w:tc>
        <w:tc>
          <w:tcPr>
            <w:tcW w:w="198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15,3%</w:t>
            </w:r>
          </w:p>
        </w:tc>
      </w:tr>
      <w:tr w:rsidR="00851FF9" w:rsidRPr="00851FF9" w:rsidTr="0010260C">
        <w:tc>
          <w:tcPr>
            <w:tcW w:w="648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Лизинговые компании</w:t>
            </w:r>
          </w:p>
        </w:tc>
        <w:tc>
          <w:tcPr>
            <w:tcW w:w="1701"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20,5%</w:t>
            </w:r>
          </w:p>
        </w:tc>
        <w:tc>
          <w:tcPr>
            <w:tcW w:w="198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14,3%</w:t>
            </w:r>
          </w:p>
        </w:tc>
      </w:tr>
      <w:tr w:rsidR="00851FF9" w:rsidRPr="00851FF9" w:rsidTr="0010260C">
        <w:tc>
          <w:tcPr>
            <w:tcW w:w="648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Факторинговые компании</w:t>
            </w:r>
          </w:p>
        </w:tc>
        <w:tc>
          <w:tcPr>
            <w:tcW w:w="1701"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3,4%</w:t>
            </w:r>
          </w:p>
        </w:tc>
        <w:tc>
          <w:tcPr>
            <w:tcW w:w="198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2,0%</w:t>
            </w:r>
          </w:p>
        </w:tc>
      </w:tr>
      <w:tr w:rsidR="00851FF9" w:rsidRPr="00851FF9" w:rsidTr="0010260C">
        <w:tc>
          <w:tcPr>
            <w:tcW w:w="648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Не взаимодействовало</w:t>
            </w:r>
          </w:p>
        </w:tc>
        <w:tc>
          <w:tcPr>
            <w:tcW w:w="1701"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25,0%</w:t>
            </w:r>
          </w:p>
        </w:tc>
        <w:tc>
          <w:tcPr>
            <w:tcW w:w="198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19,4%</w:t>
            </w:r>
          </w:p>
        </w:tc>
      </w:tr>
    </w:tbl>
    <w:p w:rsidR="00851FF9" w:rsidRPr="00851FF9" w:rsidRDefault="00851FF9" w:rsidP="00851FF9">
      <w:pPr>
        <w:spacing w:after="0" w:line="360" w:lineRule="auto"/>
        <w:ind w:firstLine="709"/>
        <w:contextualSpacing/>
        <w:jc w:val="both"/>
        <w:rPr>
          <w:rFonts w:ascii="Times New Roman" w:eastAsia="Times New Roman" w:hAnsi="Times New Roman" w:cs="Times New Roman"/>
          <w:color w:val="000000"/>
          <w:sz w:val="28"/>
          <w:szCs w:val="28"/>
          <w:lang w:eastAsia="ru-RU"/>
        </w:rPr>
      </w:pPr>
    </w:p>
    <w:p w:rsidR="00851FF9" w:rsidRPr="0010260C" w:rsidRDefault="00851FF9" w:rsidP="00851FF9">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10260C">
        <w:rPr>
          <w:rFonts w:ascii="Times New Roman" w:eastAsia="Times New Roman" w:hAnsi="Times New Roman" w:cs="Times New Roman"/>
          <w:color w:val="000000"/>
          <w:sz w:val="24"/>
          <w:szCs w:val="24"/>
          <w:lang w:eastAsia="ru-RU"/>
        </w:rPr>
        <w:t>Как показывают данные опроса предпринимателей, проведенного в рамках текущего мониторинга, уровень удовлетворенности услугами различных финансовых организаций среди субъектов малого и среднего предпринимательства Ленинградской области неравномерен. Наиболее высоко предприниматели оценили доступность выбора банков (73% удовлетворены от числа опрошенных), и субъектов страхового дела (48%). Менее всего положительных оценок получили микрофинансовые организации (23%) и ломбарды (24% от числа опрошенных).</w:t>
      </w:r>
    </w:p>
    <w:p w:rsidR="00851FF9" w:rsidRPr="00851FF9" w:rsidRDefault="00851FF9" w:rsidP="0010260C">
      <w:pPr>
        <w:keepNext/>
        <w:keepLines/>
        <w:spacing w:before="120" w:after="120" w:line="240" w:lineRule="auto"/>
        <w:jc w:val="center"/>
        <w:rPr>
          <w:rFonts w:ascii="Times New Roman" w:eastAsia="Calibri" w:hAnsi="Times New Roman" w:cs="Times New Roman"/>
          <w:b/>
          <w:iCs/>
          <w:color w:val="000000"/>
          <w:sz w:val="24"/>
          <w:szCs w:val="24"/>
        </w:rPr>
      </w:pPr>
      <w:r w:rsidRPr="00851FF9">
        <w:rPr>
          <w:rFonts w:ascii="Times New Roman" w:eastAsia="Calibri" w:hAnsi="Times New Roman" w:cs="Times New Roman"/>
          <w:iCs/>
          <w:color w:val="000000"/>
          <w:sz w:val="24"/>
          <w:szCs w:val="24"/>
        </w:rPr>
        <w:t xml:space="preserve">Рисунок </w:t>
      </w:r>
      <w:r w:rsidR="0010260C">
        <w:rPr>
          <w:rFonts w:ascii="Times New Roman" w:eastAsia="Calibri" w:hAnsi="Times New Roman" w:cs="Times New Roman"/>
          <w:iCs/>
          <w:color w:val="000000"/>
          <w:sz w:val="24"/>
          <w:szCs w:val="24"/>
        </w:rPr>
        <w:t>46</w:t>
      </w:r>
      <w:r w:rsidRPr="00851FF9">
        <w:rPr>
          <w:rFonts w:ascii="Times New Roman" w:eastAsia="Calibri" w:hAnsi="Times New Roman" w:cs="Times New Roman"/>
          <w:iCs/>
          <w:color w:val="000000"/>
          <w:sz w:val="24"/>
          <w:szCs w:val="24"/>
        </w:rPr>
        <w:t xml:space="preserve">. </w:t>
      </w:r>
      <w:r w:rsidRPr="00851FF9">
        <w:rPr>
          <w:rFonts w:ascii="Times New Roman" w:eastAsia="Calibri" w:hAnsi="Times New Roman" w:cs="Times New Roman"/>
          <w:b/>
          <w:color w:val="000000"/>
          <w:sz w:val="24"/>
          <w:szCs w:val="24"/>
        </w:rPr>
        <w:t>Насколько Вы удовлетворены доступным выбором финансовых организаций в Ленинградской области, предоставляющих услуги бизнесу</w:t>
      </w:r>
      <w:r w:rsidRPr="00851FF9">
        <w:rPr>
          <w:rFonts w:ascii="Times New Roman" w:eastAsia="Calibri" w:hAnsi="Times New Roman" w:cs="Times New Roman"/>
          <w:b/>
          <w:iCs/>
          <w:color w:val="000000"/>
          <w:sz w:val="24"/>
          <w:szCs w:val="24"/>
        </w:rPr>
        <w:t xml:space="preserve">? </w:t>
      </w:r>
      <w:r w:rsidRPr="00851FF9">
        <w:rPr>
          <w:rFonts w:ascii="Times New Roman" w:eastAsia="Calibri" w:hAnsi="Times New Roman" w:cs="Times New Roman"/>
          <w:noProof/>
          <w:color w:val="000000"/>
          <w:sz w:val="24"/>
          <w:szCs w:val="24"/>
        </w:rPr>
        <w:t xml:space="preserve">(опрос предпринимателей, </w:t>
      </w:r>
      <w:r w:rsidRPr="00851FF9">
        <w:rPr>
          <w:rFonts w:ascii="Times New Roman" w:eastAsia="Calibri" w:hAnsi="Times New Roman" w:cs="Times New Roman"/>
          <w:color w:val="000000"/>
          <w:sz w:val="24"/>
          <w:szCs w:val="24"/>
        </w:rPr>
        <w:t>n=500)</w:t>
      </w:r>
    </w:p>
    <w:p w:rsidR="00851FF9" w:rsidRPr="00851FF9" w:rsidRDefault="00851FF9" w:rsidP="00851FF9">
      <w:pPr>
        <w:spacing w:before="120" w:after="120" w:line="360" w:lineRule="auto"/>
        <w:jc w:val="both"/>
        <w:rPr>
          <w:rFonts w:ascii="Times New Roman" w:eastAsia="Arial" w:hAnsi="Times New Roman" w:cs="Times New Roman"/>
          <w:color w:val="000000"/>
          <w:sz w:val="28"/>
          <w:szCs w:val="28"/>
          <w:lang w:eastAsia="ru-RU"/>
        </w:rPr>
      </w:pPr>
      <w:r w:rsidRPr="00851FF9">
        <w:rPr>
          <w:rFonts w:ascii="Times New Roman" w:eastAsia="Franklin Gothic Book" w:hAnsi="Times New Roman" w:cs="Times New Roman"/>
          <w:noProof/>
          <w:color w:val="000000"/>
          <w:szCs w:val="24"/>
          <w:u w:color="000000"/>
          <w:lang w:eastAsia="ru-RU"/>
        </w:rPr>
        <w:drawing>
          <wp:inline distT="0" distB="0" distL="0" distR="0" wp14:anchorId="520FD3C4" wp14:editId="443BE1C4">
            <wp:extent cx="6193155" cy="4981575"/>
            <wp:effectExtent l="0" t="0" r="0" b="0"/>
            <wp:docPr id="1055" name="Диаграмма 10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851FF9" w:rsidRPr="0010260C" w:rsidRDefault="00851FF9" w:rsidP="00851FF9">
      <w:pPr>
        <w:spacing w:after="0" w:line="360" w:lineRule="auto"/>
        <w:ind w:firstLine="709"/>
        <w:jc w:val="both"/>
        <w:rPr>
          <w:rFonts w:ascii="Times New Roman" w:eastAsia="Times New Roman" w:hAnsi="Times New Roman" w:cs="Times New Roman"/>
          <w:color w:val="000000"/>
          <w:sz w:val="24"/>
          <w:szCs w:val="24"/>
          <w:lang w:eastAsia="ru-RU"/>
        </w:rPr>
      </w:pPr>
      <w:r w:rsidRPr="0010260C">
        <w:rPr>
          <w:rFonts w:ascii="Times New Roman" w:eastAsia="Times New Roman" w:hAnsi="Times New Roman" w:cs="Times New Roman"/>
          <w:color w:val="000000"/>
          <w:sz w:val="24"/>
          <w:szCs w:val="24"/>
          <w:lang w:eastAsia="ru-RU"/>
        </w:rPr>
        <w:t>Уровень удовлетворенности предпринимателей доступным выбором финансовых организаций, осуществляющих деятельность в Ленинградской области, по каждому типу финансовых организаций, а также в разрезе территориального и размера бизнеса рассчитан от числа опрошенных представлен в таблице ниже.</w:t>
      </w:r>
    </w:p>
    <w:p w:rsidR="00851FF9" w:rsidRPr="00851FF9" w:rsidRDefault="00851FF9" w:rsidP="0010260C">
      <w:pPr>
        <w:keepNext/>
        <w:keepLines/>
        <w:pageBreakBefore/>
        <w:spacing w:before="120" w:after="120" w:line="240" w:lineRule="auto"/>
        <w:jc w:val="center"/>
        <w:rPr>
          <w:rFonts w:ascii="Times New Roman" w:eastAsia="Calibri" w:hAnsi="Times New Roman" w:cs="Times New Roman"/>
          <w:b/>
          <w:iCs/>
          <w:color w:val="000000"/>
          <w:sz w:val="24"/>
          <w:szCs w:val="28"/>
        </w:rPr>
      </w:pPr>
      <w:r w:rsidRPr="00851FF9">
        <w:rPr>
          <w:rFonts w:ascii="Times New Roman" w:eastAsia="Calibri" w:hAnsi="Times New Roman" w:cs="Times New Roman"/>
          <w:iCs/>
          <w:color w:val="000000"/>
          <w:sz w:val="24"/>
          <w:szCs w:val="28"/>
        </w:rPr>
        <w:t xml:space="preserve">Таблица </w:t>
      </w:r>
      <w:r w:rsidR="0010260C">
        <w:rPr>
          <w:rFonts w:ascii="Times New Roman" w:eastAsia="Calibri" w:hAnsi="Times New Roman" w:cs="Times New Roman"/>
          <w:iCs/>
          <w:color w:val="000000"/>
          <w:sz w:val="24"/>
          <w:szCs w:val="28"/>
        </w:rPr>
        <w:t>28</w:t>
      </w:r>
      <w:r w:rsidRPr="00851FF9">
        <w:rPr>
          <w:rFonts w:ascii="Times New Roman" w:eastAsia="Calibri" w:hAnsi="Times New Roman" w:cs="Times New Roman"/>
          <w:iCs/>
          <w:color w:val="000000"/>
          <w:sz w:val="24"/>
          <w:szCs w:val="28"/>
        </w:rPr>
        <w:t xml:space="preserve">. </w:t>
      </w:r>
      <w:r w:rsidRPr="00851FF9">
        <w:rPr>
          <w:rFonts w:ascii="Times New Roman" w:eastAsia="Calibri" w:hAnsi="Times New Roman" w:cs="Times New Roman"/>
          <w:b/>
          <w:iCs/>
          <w:color w:val="000000"/>
          <w:sz w:val="24"/>
          <w:szCs w:val="28"/>
        </w:rPr>
        <w:t xml:space="preserve">Уровень удовлетворенности предпринимателей доступным выбором финансовых организаций </w:t>
      </w:r>
      <w:r w:rsidRPr="00851FF9">
        <w:rPr>
          <w:rFonts w:ascii="Times New Roman" w:eastAsia="Calibri" w:hAnsi="Times New Roman" w:cs="Times New Roman"/>
          <w:noProof/>
          <w:color w:val="000000"/>
          <w:sz w:val="24"/>
          <w:szCs w:val="24"/>
        </w:rPr>
        <w:t xml:space="preserve">(опрос предпринимателей, </w:t>
      </w:r>
      <w:r w:rsidRPr="00851FF9">
        <w:rPr>
          <w:rFonts w:ascii="Times New Roman" w:eastAsia="Calibri" w:hAnsi="Times New Roman" w:cs="Times New Roman"/>
          <w:color w:val="000000"/>
          <w:sz w:val="24"/>
          <w:szCs w:val="24"/>
        </w:rPr>
        <w:t>% от числа опрошенных).</w:t>
      </w:r>
    </w:p>
    <w:tbl>
      <w:tblPr>
        <w:tblW w:w="51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1"/>
        <w:gridCol w:w="1030"/>
        <w:gridCol w:w="1031"/>
        <w:gridCol w:w="1031"/>
        <w:gridCol w:w="1031"/>
        <w:gridCol w:w="1031"/>
        <w:gridCol w:w="1031"/>
        <w:gridCol w:w="1031"/>
        <w:gridCol w:w="1031"/>
        <w:gridCol w:w="29"/>
      </w:tblGrid>
      <w:tr w:rsidR="00851FF9" w:rsidRPr="00851FF9" w:rsidTr="003A1D5A">
        <w:trPr>
          <w:gridAfter w:val="1"/>
          <w:wAfter w:w="14" w:type="pct"/>
          <w:cantSplit/>
          <w:trHeight w:val="1676"/>
          <w:tblHeader/>
        </w:trPr>
        <w:tc>
          <w:tcPr>
            <w:tcW w:w="1066" w:type="pct"/>
            <w:shd w:val="clear" w:color="auto" w:fill="DAEEF3"/>
            <w:noWrap/>
            <w:vAlign w:val="center"/>
          </w:tcPr>
          <w:p w:rsidR="00851FF9" w:rsidRPr="003B4122" w:rsidRDefault="00851FF9" w:rsidP="00851FF9">
            <w:pPr>
              <w:spacing w:after="0" w:line="240" w:lineRule="auto"/>
              <w:jc w:val="center"/>
              <w:rPr>
                <w:rFonts w:ascii="Times New Roman" w:eastAsia="Times New Roman" w:hAnsi="Times New Roman" w:cs="Times New Roman"/>
                <w:color w:val="000000"/>
                <w:lang w:eastAsia="ru-RU"/>
              </w:rPr>
            </w:pPr>
          </w:p>
        </w:tc>
        <w:tc>
          <w:tcPr>
            <w:tcW w:w="490" w:type="pct"/>
            <w:shd w:val="clear" w:color="auto" w:fill="DAEEF3"/>
            <w:textDirection w:val="btLr"/>
            <w:vAlign w:val="center"/>
          </w:tcPr>
          <w:p w:rsidR="00851FF9" w:rsidRPr="003B4122" w:rsidRDefault="00851FF9" w:rsidP="00851FF9">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color w:val="000000"/>
              </w:rPr>
              <w:t>Банки</w:t>
            </w:r>
          </w:p>
        </w:tc>
        <w:tc>
          <w:tcPr>
            <w:tcW w:w="490" w:type="pct"/>
            <w:shd w:val="clear" w:color="auto" w:fill="DAEEF3"/>
            <w:textDirection w:val="btLr"/>
            <w:vAlign w:val="center"/>
          </w:tcPr>
          <w:p w:rsidR="00851FF9" w:rsidRPr="003B4122" w:rsidRDefault="00851FF9" w:rsidP="00851FF9">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Times New Roman" w:hAnsi="Times New Roman" w:cs="Times New Roman"/>
                <w:b/>
                <w:bCs/>
                <w:color w:val="000000"/>
                <w:lang w:eastAsia="ru-RU"/>
              </w:rPr>
              <w:t>Микрофинсовые организации</w:t>
            </w:r>
          </w:p>
        </w:tc>
        <w:tc>
          <w:tcPr>
            <w:tcW w:w="490" w:type="pct"/>
            <w:shd w:val="clear" w:color="auto" w:fill="DAEEF3"/>
            <w:textDirection w:val="btLr"/>
            <w:vAlign w:val="center"/>
          </w:tcPr>
          <w:p w:rsidR="00851FF9" w:rsidRPr="003B4122" w:rsidRDefault="00851FF9" w:rsidP="00851FF9">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Times New Roman" w:hAnsi="Times New Roman" w:cs="Times New Roman"/>
                <w:b/>
                <w:bCs/>
                <w:color w:val="000000"/>
                <w:lang w:eastAsia="ru-RU"/>
              </w:rPr>
              <w:t>Кредитные потребительские кооперативы</w:t>
            </w:r>
          </w:p>
        </w:tc>
        <w:tc>
          <w:tcPr>
            <w:tcW w:w="490" w:type="pct"/>
            <w:shd w:val="clear" w:color="auto" w:fill="DAEEF3"/>
            <w:textDirection w:val="btLr"/>
            <w:vAlign w:val="center"/>
          </w:tcPr>
          <w:p w:rsidR="00851FF9" w:rsidRPr="003B4122" w:rsidRDefault="00851FF9" w:rsidP="00851FF9">
            <w:pPr>
              <w:spacing w:after="0" w:line="240" w:lineRule="auto"/>
              <w:ind w:left="113" w:right="113"/>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Ломбарды</w:t>
            </w:r>
          </w:p>
        </w:tc>
        <w:tc>
          <w:tcPr>
            <w:tcW w:w="490" w:type="pct"/>
            <w:shd w:val="clear" w:color="auto" w:fill="DAEEF3"/>
            <w:textDirection w:val="btLr"/>
            <w:vAlign w:val="center"/>
          </w:tcPr>
          <w:p w:rsidR="00851FF9" w:rsidRPr="003B4122" w:rsidRDefault="00851FF9" w:rsidP="00851FF9">
            <w:pPr>
              <w:spacing w:after="0" w:line="240" w:lineRule="auto"/>
              <w:ind w:left="113" w:right="113"/>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Субъекты страхового дела</w:t>
            </w:r>
          </w:p>
        </w:tc>
        <w:tc>
          <w:tcPr>
            <w:tcW w:w="490" w:type="pct"/>
            <w:shd w:val="clear" w:color="auto" w:fill="DAEEF3"/>
            <w:textDirection w:val="btLr"/>
            <w:vAlign w:val="center"/>
          </w:tcPr>
          <w:p w:rsidR="00851FF9" w:rsidRPr="003B4122" w:rsidRDefault="00851FF9" w:rsidP="00851FF9">
            <w:pPr>
              <w:spacing w:after="0" w:line="240" w:lineRule="auto"/>
              <w:ind w:left="113" w:right="113"/>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Сельскохозяйственные кредитные потребительские кооперативы</w:t>
            </w:r>
          </w:p>
        </w:tc>
        <w:tc>
          <w:tcPr>
            <w:tcW w:w="490" w:type="pct"/>
            <w:shd w:val="clear" w:color="auto" w:fill="DAEEF3"/>
            <w:textDirection w:val="btLr"/>
            <w:vAlign w:val="center"/>
          </w:tcPr>
          <w:p w:rsidR="00851FF9" w:rsidRPr="003B4122" w:rsidRDefault="00851FF9" w:rsidP="00851FF9">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color w:val="000000"/>
              </w:rPr>
              <w:t>Негосударственные пенсионные фонды</w:t>
            </w:r>
          </w:p>
        </w:tc>
        <w:tc>
          <w:tcPr>
            <w:tcW w:w="490" w:type="pct"/>
            <w:shd w:val="clear" w:color="auto" w:fill="DAEEF3"/>
            <w:textDirection w:val="btLr"/>
            <w:vAlign w:val="center"/>
          </w:tcPr>
          <w:p w:rsidR="00851FF9" w:rsidRPr="003B4122" w:rsidRDefault="00851FF9" w:rsidP="00851FF9">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color w:val="000000"/>
              </w:rPr>
              <w:t>Брокеры</w:t>
            </w:r>
          </w:p>
        </w:tc>
      </w:tr>
      <w:tr w:rsidR="00851FF9" w:rsidRPr="00851FF9" w:rsidTr="003A1D5A">
        <w:trPr>
          <w:gridAfter w:val="1"/>
          <w:wAfter w:w="14" w:type="pct"/>
          <w:trHeight w:val="8"/>
        </w:trPr>
        <w:tc>
          <w:tcPr>
            <w:tcW w:w="1066" w:type="pct"/>
            <w:shd w:val="clear" w:color="auto" w:fill="auto"/>
            <w:vAlign w:val="center"/>
            <w:hideMark/>
          </w:tcPr>
          <w:p w:rsidR="00851FF9" w:rsidRPr="003B4122" w:rsidRDefault="00851FF9" w:rsidP="00851FF9">
            <w:pPr>
              <w:spacing w:beforeLines="60" w:before="144" w:afterLines="60" w:after="144" w:line="269" w:lineRule="auto"/>
              <w:rPr>
                <w:rFonts w:ascii="Times New Roman" w:eastAsia="Times New Roman" w:hAnsi="Times New Roman" w:cs="Times New Roman"/>
                <w:b/>
                <w:color w:val="000000"/>
                <w:lang w:eastAsia="ru-RU"/>
              </w:rPr>
            </w:pPr>
            <w:r w:rsidRPr="003B4122">
              <w:rPr>
                <w:rFonts w:ascii="Times New Roman" w:eastAsia="Times New Roman" w:hAnsi="Times New Roman" w:cs="Times New Roman"/>
                <w:b/>
                <w:color w:val="000000"/>
                <w:lang w:eastAsia="ru-RU"/>
              </w:rPr>
              <w:t>В целом по Ленинградской области</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73%</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23%</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b/>
                <w:bCs/>
                <w:color w:val="000000"/>
              </w:rPr>
            </w:pPr>
            <w:r w:rsidRPr="003B4122">
              <w:rPr>
                <w:rFonts w:ascii="Times New Roman" w:eastAsia="Calibri" w:hAnsi="Times New Roman" w:cs="Times New Roman"/>
                <w:b/>
                <w:color w:val="000000"/>
              </w:rPr>
              <w:t>27%</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24%</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48%</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26%</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34%</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b/>
                <w:bCs/>
                <w:color w:val="000000"/>
              </w:rPr>
            </w:pPr>
            <w:r w:rsidRPr="003B4122">
              <w:rPr>
                <w:rFonts w:ascii="Times New Roman" w:eastAsia="Calibri" w:hAnsi="Times New Roman" w:cs="Times New Roman"/>
                <w:b/>
                <w:color w:val="000000"/>
              </w:rPr>
              <w:t>26%</w:t>
            </w:r>
          </w:p>
        </w:tc>
      </w:tr>
      <w:tr w:rsidR="00851FF9" w:rsidRPr="00851FF9" w:rsidTr="003A1D5A">
        <w:trPr>
          <w:trHeight w:val="8"/>
        </w:trPr>
        <w:tc>
          <w:tcPr>
            <w:tcW w:w="5000" w:type="pct"/>
            <w:gridSpan w:val="10"/>
            <w:shd w:val="clear" w:color="auto" w:fill="auto"/>
          </w:tcPr>
          <w:p w:rsidR="00851FF9" w:rsidRPr="003B4122" w:rsidRDefault="00851FF9" w:rsidP="00851FF9">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В разрезе по размеру бизнеса</w:t>
            </w:r>
          </w:p>
        </w:tc>
      </w:tr>
      <w:tr w:rsidR="00851FF9" w:rsidRPr="00851FF9" w:rsidTr="003A1D5A">
        <w:trPr>
          <w:gridAfter w:val="1"/>
          <w:wAfter w:w="14" w:type="pct"/>
          <w:trHeight w:val="8"/>
        </w:trPr>
        <w:tc>
          <w:tcPr>
            <w:tcW w:w="1066" w:type="pct"/>
            <w:shd w:val="clear" w:color="auto" w:fill="auto"/>
          </w:tcPr>
          <w:p w:rsidR="00851FF9" w:rsidRPr="003B4122" w:rsidRDefault="00851FF9" w:rsidP="00851FF9">
            <w:pPr>
              <w:spacing w:beforeLines="60" w:before="144" w:afterLines="60" w:after="144" w:line="269" w:lineRule="auto"/>
              <w:rPr>
                <w:rFonts w:ascii="Times New Roman" w:eastAsia="Times New Roman" w:hAnsi="Times New Roman" w:cs="Times New Roman"/>
                <w:color w:val="000000"/>
                <w:lang w:eastAsia="ru-RU"/>
              </w:rPr>
            </w:pPr>
            <w:r w:rsidRPr="003B4122">
              <w:rPr>
                <w:rFonts w:ascii="Times New Roman" w:eastAsia="Calibri" w:hAnsi="Times New Roman" w:cs="Times New Roman"/>
                <w:color w:val="000000"/>
              </w:rPr>
              <w:t>До 120 млн. рублей (микропредприятие)</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72%</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20%</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bCs/>
                <w:color w:val="000000"/>
              </w:rPr>
            </w:pPr>
            <w:r w:rsidRPr="003B4122">
              <w:rPr>
                <w:rFonts w:ascii="Times New Roman" w:eastAsia="Calibri" w:hAnsi="Times New Roman" w:cs="Times New Roman"/>
                <w:color w:val="000000"/>
              </w:rPr>
              <w:t>20%</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18%</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40%</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18%</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23%</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bCs/>
                <w:color w:val="000000"/>
              </w:rPr>
            </w:pPr>
            <w:r w:rsidRPr="003B4122">
              <w:rPr>
                <w:rFonts w:ascii="Times New Roman" w:eastAsia="Calibri" w:hAnsi="Times New Roman" w:cs="Times New Roman"/>
                <w:color w:val="000000"/>
              </w:rPr>
              <w:t>17%</w:t>
            </w:r>
          </w:p>
        </w:tc>
      </w:tr>
      <w:tr w:rsidR="00851FF9" w:rsidRPr="00851FF9" w:rsidTr="003A1D5A">
        <w:trPr>
          <w:gridAfter w:val="1"/>
          <w:wAfter w:w="14" w:type="pct"/>
          <w:trHeight w:val="8"/>
        </w:trPr>
        <w:tc>
          <w:tcPr>
            <w:tcW w:w="1066" w:type="pct"/>
            <w:shd w:val="clear" w:color="auto" w:fill="auto"/>
          </w:tcPr>
          <w:p w:rsidR="00851FF9" w:rsidRPr="003B4122" w:rsidRDefault="00851FF9" w:rsidP="00851FF9">
            <w:pPr>
              <w:spacing w:beforeLines="60" w:before="144" w:afterLines="60" w:after="144" w:line="269" w:lineRule="auto"/>
              <w:rPr>
                <w:rFonts w:ascii="Times New Roman" w:eastAsia="Times New Roman" w:hAnsi="Times New Roman" w:cs="Times New Roman"/>
                <w:color w:val="000000"/>
                <w:lang w:eastAsia="ru-RU"/>
              </w:rPr>
            </w:pPr>
            <w:r w:rsidRPr="003B4122">
              <w:rPr>
                <w:rFonts w:ascii="Times New Roman" w:eastAsia="Calibri" w:hAnsi="Times New Roman" w:cs="Times New Roman"/>
                <w:color w:val="000000"/>
              </w:rPr>
              <w:t>От 120 до 800 млн. рублей (малое предприятие)</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83%</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30%</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bCs/>
                <w:color w:val="000000"/>
              </w:rPr>
            </w:pPr>
            <w:r w:rsidRPr="003B4122">
              <w:rPr>
                <w:rFonts w:ascii="Times New Roman" w:eastAsia="Calibri" w:hAnsi="Times New Roman" w:cs="Times New Roman"/>
                <w:color w:val="000000"/>
              </w:rPr>
              <w:t>34%</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39%</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60%</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31%</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40%</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bCs/>
                <w:color w:val="000000"/>
              </w:rPr>
            </w:pPr>
            <w:r w:rsidRPr="003B4122">
              <w:rPr>
                <w:rFonts w:ascii="Times New Roman" w:eastAsia="Calibri" w:hAnsi="Times New Roman" w:cs="Times New Roman"/>
                <w:color w:val="000000"/>
              </w:rPr>
              <w:t>37%</w:t>
            </w:r>
          </w:p>
        </w:tc>
      </w:tr>
      <w:tr w:rsidR="00851FF9" w:rsidRPr="00851FF9" w:rsidTr="003A1D5A">
        <w:trPr>
          <w:gridAfter w:val="1"/>
          <w:wAfter w:w="14" w:type="pct"/>
          <w:trHeight w:val="8"/>
        </w:trPr>
        <w:tc>
          <w:tcPr>
            <w:tcW w:w="1066" w:type="pct"/>
            <w:shd w:val="clear" w:color="auto" w:fill="auto"/>
          </w:tcPr>
          <w:p w:rsidR="00851FF9" w:rsidRPr="003B4122" w:rsidRDefault="00851FF9" w:rsidP="00851FF9">
            <w:pPr>
              <w:spacing w:beforeLines="60" w:before="144" w:afterLines="60" w:after="144" w:line="269" w:lineRule="auto"/>
              <w:rPr>
                <w:rFonts w:ascii="Times New Roman" w:eastAsia="Times New Roman" w:hAnsi="Times New Roman" w:cs="Times New Roman"/>
                <w:color w:val="000000"/>
                <w:lang w:eastAsia="ru-RU"/>
              </w:rPr>
            </w:pPr>
            <w:r w:rsidRPr="003B4122">
              <w:rPr>
                <w:rFonts w:ascii="Times New Roman" w:eastAsia="Calibri" w:hAnsi="Times New Roman" w:cs="Times New Roman"/>
                <w:color w:val="000000"/>
              </w:rPr>
              <w:t>От 800 до 2000 млн. рублей (среднее предприятие)</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70%</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30%</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bCs/>
                <w:color w:val="000000"/>
              </w:rPr>
            </w:pPr>
            <w:r w:rsidRPr="003B4122">
              <w:rPr>
                <w:rFonts w:ascii="Times New Roman" w:eastAsia="Calibri" w:hAnsi="Times New Roman" w:cs="Times New Roman"/>
                <w:color w:val="000000"/>
              </w:rPr>
              <w:t>33%</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30%</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56%</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40%</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44%</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bCs/>
                <w:color w:val="000000"/>
              </w:rPr>
            </w:pPr>
            <w:r w:rsidRPr="003B4122">
              <w:rPr>
                <w:rFonts w:ascii="Times New Roman" w:eastAsia="Calibri" w:hAnsi="Times New Roman" w:cs="Times New Roman"/>
                <w:color w:val="000000"/>
              </w:rPr>
              <w:t>44%</w:t>
            </w:r>
          </w:p>
        </w:tc>
      </w:tr>
      <w:tr w:rsidR="00851FF9" w:rsidRPr="00851FF9" w:rsidTr="003A1D5A">
        <w:trPr>
          <w:gridAfter w:val="1"/>
          <w:wAfter w:w="14" w:type="pct"/>
          <w:trHeight w:val="8"/>
        </w:trPr>
        <w:tc>
          <w:tcPr>
            <w:tcW w:w="1066" w:type="pct"/>
            <w:shd w:val="clear" w:color="auto" w:fill="auto"/>
          </w:tcPr>
          <w:p w:rsidR="00851FF9" w:rsidRPr="003B4122" w:rsidRDefault="00851FF9" w:rsidP="00851FF9">
            <w:pPr>
              <w:spacing w:beforeLines="60" w:before="144" w:afterLines="60" w:after="144" w:line="269" w:lineRule="auto"/>
              <w:rPr>
                <w:rFonts w:ascii="Times New Roman" w:eastAsia="Times New Roman" w:hAnsi="Times New Roman" w:cs="Times New Roman"/>
                <w:color w:val="000000"/>
                <w:lang w:eastAsia="ru-RU"/>
              </w:rPr>
            </w:pPr>
            <w:r w:rsidRPr="003B4122">
              <w:rPr>
                <w:rFonts w:ascii="Times New Roman" w:eastAsia="Calibri" w:hAnsi="Times New Roman" w:cs="Times New Roman"/>
                <w:color w:val="000000"/>
              </w:rPr>
              <w:t>Более 2000 млн. рублей (крупное предприятие)</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71%</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29%</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bCs/>
                <w:color w:val="000000"/>
              </w:rPr>
            </w:pPr>
            <w:r w:rsidRPr="003B4122">
              <w:rPr>
                <w:rFonts w:ascii="Times New Roman" w:eastAsia="Calibri" w:hAnsi="Times New Roman" w:cs="Times New Roman"/>
                <w:color w:val="000000"/>
              </w:rPr>
              <w:t>42%</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27%</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66%</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39%</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47%</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bCs/>
                <w:color w:val="000000"/>
              </w:rPr>
            </w:pPr>
            <w:r w:rsidRPr="003B4122">
              <w:rPr>
                <w:rFonts w:ascii="Times New Roman" w:eastAsia="Calibri" w:hAnsi="Times New Roman" w:cs="Times New Roman"/>
                <w:color w:val="000000"/>
              </w:rPr>
              <w:t>36%</w:t>
            </w:r>
          </w:p>
        </w:tc>
      </w:tr>
      <w:tr w:rsidR="00851FF9" w:rsidRPr="00851FF9" w:rsidTr="003A1D5A">
        <w:trPr>
          <w:gridAfter w:val="1"/>
          <w:wAfter w:w="14" w:type="pct"/>
          <w:trHeight w:val="8"/>
        </w:trPr>
        <w:tc>
          <w:tcPr>
            <w:tcW w:w="1066" w:type="pct"/>
            <w:shd w:val="clear" w:color="auto" w:fill="auto"/>
          </w:tcPr>
          <w:p w:rsidR="00851FF9" w:rsidRPr="003B4122" w:rsidRDefault="00851FF9" w:rsidP="00851FF9">
            <w:pPr>
              <w:spacing w:beforeLines="60" w:before="144" w:afterLines="60" w:after="144" w:line="269" w:lineRule="auto"/>
              <w:rPr>
                <w:rFonts w:ascii="Times New Roman" w:eastAsia="Calibri" w:hAnsi="Times New Roman" w:cs="Times New Roman"/>
                <w:color w:val="000000"/>
              </w:rPr>
            </w:pPr>
            <w:r w:rsidRPr="003B4122">
              <w:rPr>
                <w:rFonts w:ascii="Times New Roman" w:eastAsia="Calibri" w:hAnsi="Times New Roman" w:cs="Times New Roman"/>
                <w:color w:val="000000"/>
              </w:rPr>
              <w:t>Затрудняюсь ответить</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67%</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18%</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21%</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16%</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39%</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23%</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33%</w:t>
            </w:r>
          </w:p>
        </w:tc>
        <w:tc>
          <w:tcPr>
            <w:tcW w:w="490" w:type="pct"/>
            <w:vAlign w:val="center"/>
          </w:tcPr>
          <w:p w:rsidR="00851FF9" w:rsidRPr="003B4122" w:rsidRDefault="00851FF9" w:rsidP="00851FF9">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20%</w:t>
            </w:r>
          </w:p>
        </w:tc>
      </w:tr>
    </w:tbl>
    <w:p w:rsidR="00851FF9" w:rsidRPr="00851FF9" w:rsidRDefault="00851FF9" w:rsidP="00851FF9">
      <w:pPr>
        <w:spacing w:after="0" w:line="240" w:lineRule="auto"/>
        <w:jc w:val="both"/>
        <w:rPr>
          <w:rFonts w:ascii="Times New Roman" w:eastAsia="Times New Roman" w:hAnsi="Times New Roman" w:cs="Times New Roman"/>
          <w:color w:val="000000"/>
          <w:sz w:val="28"/>
          <w:szCs w:val="28"/>
          <w:lang w:eastAsia="ru-RU"/>
        </w:rPr>
      </w:pPr>
      <w:r w:rsidRPr="00851FF9">
        <w:rPr>
          <w:rFonts w:ascii="Times New Roman" w:eastAsia="Calibri" w:hAnsi="Times New Roman" w:cs="Times New Roman"/>
          <w:color w:val="000000"/>
          <w:sz w:val="20"/>
          <w:szCs w:val="20"/>
        </w:rPr>
        <w:t>*Уровень удовлетворенности рассчитывался как "полностью удовлетворен" + "скорее удовлетворен" от числа опрошенных предприятий</w:t>
      </w:r>
    </w:p>
    <w:p w:rsidR="00851FF9" w:rsidRPr="00851FF9" w:rsidRDefault="00851FF9" w:rsidP="00851FF9">
      <w:pPr>
        <w:spacing w:after="0" w:line="360" w:lineRule="auto"/>
        <w:ind w:firstLine="709"/>
        <w:jc w:val="both"/>
        <w:rPr>
          <w:rFonts w:ascii="Times New Roman" w:eastAsia="Times New Roman" w:hAnsi="Times New Roman" w:cs="Times New Roman"/>
          <w:color w:val="000000"/>
          <w:sz w:val="28"/>
          <w:szCs w:val="28"/>
          <w:lang w:eastAsia="ru-RU"/>
        </w:rPr>
      </w:pPr>
    </w:p>
    <w:p w:rsidR="00851FF9" w:rsidRPr="0010260C" w:rsidRDefault="00851FF9" w:rsidP="00851FF9">
      <w:pPr>
        <w:spacing w:after="0" w:line="360" w:lineRule="auto"/>
        <w:ind w:firstLine="709"/>
        <w:jc w:val="both"/>
        <w:rPr>
          <w:rFonts w:ascii="Times New Roman" w:eastAsia="Times New Roman" w:hAnsi="Times New Roman" w:cs="Times New Roman"/>
          <w:color w:val="000000"/>
          <w:sz w:val="24"/>
          <w:szCs w:val="24"/>
          <w:lang w:eastAsia="ru-RU"/>
        </w:rPr>
      </w:pPr>
      <w:r w:rsidRPr="0010260C">
        <w:rPr>
          <w:rFonts w:ascii="Times New Roman" w:eastAsia="Times New Roman" w:hAnsi="Times New Roman" w:cs="Times New Roman"/>
          <w:color w:val="000000"/>
          <w:sz w:val="24"/>
          <w:szCs w:val="24"/>
          <w:lang w:eastAsia="ru-RU"/>
        </w:rPr>
        <w:t>В разрезе по размеру бизнеса участников опроса обращает на себя внимание, что малые предприятия более позитивно оценивают доступность выбора банков (83%) и ломбардов (39%). Средние предприятия дали выше остальных оценку доступности выбора сельских кредитных потребительских кооперативов (40%) и брокеров (44%). Представители крупного бизнеса более позитивно оценили доступность кредитных потребительских кооперативов (42%), негосударственных пенсионных фондов (47%) и субъектов страхового дела (66%).</w:t>
      </w:r>
    </w:p>
    <w:p w:rsidR="00851FF9" w:rsidRPr="0010260C" w:rsidRDefault="00851FF9" w:rsidP="00851FF9">
      <w:pPr>
        <w:spacing w:after="0" w:line="360" w:lineRule="auto"/>
        <w:ind w:firstLine="709"/>
        <w:jc w:val="both"/>
        <w:rPr>
          <w:rFonts w:ascii="Times New Roman" w:eastAsia="Times New Roman" w:hAnsi="Times New Roman" w:cs="Times New Roman"/>
          <w:color w:val="000000"/>
          <w:sz w:val="24"/>
          <w:szCs w:val="24"/>
          <w:lang w:eastAsia="ru-RU"/>
        </w:rPr>
      </w:pPr>
      <w:r w:rsidRPr="0010260C">
        <w:rPr>
          <w:rFonts w:ascii="Times New Roman" w:eastAsia="Times New Roman" w:hAnsi="Times New Roman" w:cs="Times New Roman"/>
          <w:color w:val="000000"/>
          <w:sz w:val="24"/>
          <w:szCs w:val="24"/>
          <w:lang w:eastAsia="ru-RU"/>
        </w:rPr>
        <w:t>По данным исследования Центрального Банка Российской Федерации, представленным в ответе на запрос о предоставлении информации №Т-241-1-10/5639 от 08.11.2022, показатели удовлетворенности выбором финансовых услуг являются достаточно высокими. Наиболее высокий показатель удовлетворенности выбором услуг РКО (сумма ответов "полностью удовлетворена" и "в целом удовлетворена" - 83,7%). Высокие показатели удовлетворенности отмечаются в отношении выбора услуг, связанных с реализацией зарплатных проектов (сумма ответов "полностью удовлетворена" и "в целом удовлетворена" - 64,8%) и кредитования (сумма ответов "полностью удовлетворена" и "в целом удовлетворена" - 64,1%). Показатели неудовлетворенности являются в целом низкими и варьируются в пределах 5%.</w:t>
      </w:r>
    </w:p>
    <w:p w:rsidR="00851FF9" w:rsidRPr="00851FF9" w:rsidRDefault="00851FF9" w:rsidP="0010260C">
      <w:pPr>
        <w:keepNext/>
        <w:keepLines/>
        <w:spacing w:before="120" w:after="120" w:line="240" w:lineRule="auto"/>
        <w:jc w:val="center"/>
        <w:rPr>
          <w:rFonts w:ascii="Times New Roman" w:eastAsia="Calibri" w:hAnsi="Times New Roman" w:cs="Times New Roman"/>
          <w:iCs/>
          <w:color w:val="000000"/>
          <w:sz w:val="24"/>
          <w:szCs w:val="28"/>
        </w:rPr>
      </w:pPr>
      <w:r w:rsidRPr="00851FF9">
        <w:rPr>
          <w:rFonts w:ascii="Times New Roman" w:eastAsia="Calibri" w:hAnsi="Times New Roman" w:cs="Times New Roman"/>
          <w:iCs/>
          <w:color w:val="000000"/>
          <w:sz w:val="24"/>
          <w:szCs w:val="28"/>
        </w:rPr>
        <w:t xml:space="preserve">Таблица </w:t>
      </w:r>
      <w:r w:rsidR="0010260C">
        <w:rPr>
          <w:rFonts w:ascii="Times New Roman" w:eastAsia="Calibri" w:hAnsi="Times New Roman" w:cs="Times New Roman"/>
          <w:iCs/>
          <w:color w:val="000000"/>
          <w:sz w:val="24"/>
          <w:szCs w:val="28"/>
        </w:rPr>
        <w:t>29</w:t>
      </w:r>
      <w:r w:rsidRPr="00851FF9">
        <w:rPr>
          <w:rFonts w:ascii="Times New Roman" w:eastAsia="Calibri" w:hAnsi="Times New Roman" w:cs="Times New Roman"/>
          <w:iCs/>
          <w:color w:val="000000"/>
          <w:sz w:val="24"/>
          <w:szCs w:val="28"/>
        </w:rPr>
        <w:t xml:space="preserve">. </w:t>
      </w:r>
      <w:r w:rsidRPr="00851FF9">
        <w:rPr>
          <w:rFonts w:ascii="Times New Roman" w:eastAsia="Calibri" w:hAnsi="Times New Roman" w:cs="Times New Roman"/>
          <w:b/>
          <w:bCs/>
          <w:iCs/>
          <w:color w:val="000000"/>
          <w:sz w:val="24"/>
          <w:szCs w:val="28"/>
        </w:rPr>
        <w:t>Насколько Ваша компания удовлетворена финансовыми услугами в Вашем регионе (выбор услуги)?</w:t>
      </w:r>
      <w:r w:rsidRPr="00851FF9">
        <w:rPr>
          <w:rFonts w:ascii="Times New Roman" w:eastAsia="Calibri" w:hAnsi="Times New Roman" w:cs="Times New Roman"/>
          <w:iCs/>
          <w:color w:val="000000"/>
          <w:sz w:val="24"/>
          <w:szCs w:val="28"/>
        </w:rPr>
        <w:t xml:space="preserve"> (данные исследования Центрального Банка Российской Федерации)</w:t>
      </w:r>
    </w:p>
    <w:tbl>
      <w:tblPr>
        <w:tblStyle w:val="260"/>
        <w:tblW w:w="0" w:type="auto"/>
        <w:tblLook w:val="04A0" w:firstRow="1" w:lastRow="0" w:firstColumn="1" w:lastColumn="0" w:noHBand="0" w:noVBand="1"/>
      </w:tblPr>
      <w:tblGrid>
        <w:gridCol w:w="2047"/>
        <w:gridCol w:w="1681"/>
        <w:gridCol w:w="1681"/>
        <w:gridCol w:w="1681"/>
        <w:gridCol w:w="1681"/>
        <w:gridCol w:w="1470"/>
      </w:tblGrid>
      <w:tr w:rsidR="00851FF9" w:rsidRPr="003B4122" w:rsidTr="003A1D5A">
        <w:trPr>
          <w:tblHeader/>
        </w:trPr>
        <w:tc>
          <w:tcPr>
            <w:tcW w:w="2047"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Тип услуги</w:t>
            </w:r>
          </w:p>
        </w:tc>
        <w:tc>
          <w:tcPr>
            <w:tcW w:w="1593"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Полностью удовлетворена</w:t>
            </w:r>
          </w:p>
        </w:tc>
        <w:tc>
          <w:tcPr>
            <w:tcW w:w="1593"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В целом удовлетворена</w:t>
            </w:r>
          </w:p>
        </w:tc>
        <w:tc>
          <w:tcPr>
            <w:tcW w:w="1593"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Частично удовлетворена</w:t>
            </w:r>
          </w:p>
        </w:tc>
        <w:tc>
          <w:tcPr>
            <w:tcW w:w="1593"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Не удовлетворена</w:t>
            </w:r>
          </w:p>
        </w:tc>
        <w:tc>
          <w:tcPr>
            <w:tcW w:w="1470"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Не используем</w:t>
            </w:r>
          </w:p>
        </w:tc>
      </w:tr>
      <w:tr w:rsidR="00851FF9" w:rsidRPr="003B4122" w:rsidTr="003A1D5A">
        <w:tc>
          <w:tcPr>
            <w:tcW w:w="2047" w:type="dxa"/>
            <w:vAlign w:val="center"/>
          </w:tcPr>
          <w:p w:rsidR="00851FF9" w:rsidRPr="003B4122" w:rsidRDefault="00851FF9" w:rsidP="00851FF9">
            <w:pPr>
              <w:spacing w:before="120" w:after="120" w:line="269" w:lineRule="auto"/>
              <w:rPr>
                <w:rFonts w:ascii="Times New Roman" w:eastAsia="Calibri" w:hAnsi="Times New Roman" w:cs="Times New Roman"/>
                <w:color w:val="000000"/>
              </w:rPr>
            </w:pPr>
            <w:r w:rsidRPr="003B4122">
              <w:rPr>
                <w:rFonts w:ascii="Times New Roman" w:eastAsia="Calibri" w:hAnsi="Times New Roman" w:cs="Times New Roman"/>
                <w:color w:val="000000"/>
              </w:rPr>
              <w:t>РКО</w:t>
            </w:r>
          </w:p>
        </w:tc>
        <w:tc>
          <w:tcPr>
            <w:tcW w:w="1593"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9,3%</w:t>
            </w:r>
          </w:p>
        </w:tc>
        <w:tc>
          <w:tcPr>
            <w:tcW w:w="1593"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74,4%</w:t>
            </w:r>
          </w:p>
        </w:tc>
        <w:tc>
          <w:tcPr>
            <w:tcW w:w="1593"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14,0%</w:t>
            </w:r>
          </w:p>
        </w:tc>
        <w:tc>
          <w:tcPr>
            <w:tcW w:w="1593"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0,0%</w:t>
            </w:r>
          </w:p>
        </w:tc>
        <w:tc>
          <w:tcPr>
            <w:tcW w:w="1470"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2,3%</w:t>
            </w:r>
          </w:p>
        </w:tc>
      </w:tr>
      <w:tr w:rsidR="00851FF9" w:rsidRPr="003B4122" w:rsidTr="003A1D5A">
        <w:tc>
          <w:tcPr>
            <w:tcW w:w="2047" w:type="dxa"/>
            <w:vAlign w:val="center"/>
          </w:tcPr>
          <w:p w:rsidR="00851FF9" w:rsidRPr="003B4122" w:rsidRDefault="00851FF9" w:rsidP="00851FF9">
            <w:pPr>
              <w:spacing w:before="120" w:after="120" w:line="269" w:lineRule="auto"/>
              <w:rPr>
                <w:rFonts w:ascii="Times New Roman" w:eastAsia="Calibri" w:hAnsi="Times New Roman" w:cs="Times New Roman"/>
                <w:color w:val="000000"/>
              </w:rPr>
            </w:pPr>
            <w:r w:rsidRPr="003B4122">
              <w:rPr>
                <w:rFonts w:ascii="Times New Roman" w:eastAsia="Calibri" w:hAnsi="Times New Roman" w:cs="Times New Roman"/>
                <w:color w:val="000000"/>
              </w:rPr>
              <w:t>Кредитование</w:t>
            </w:r>
          </w:p>
        </w:tc>
        <w:tc>
          <w:tcPr>
            <w:tcW w:w="1593"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23,1%</w:t>
            </w:r>
          </w:p>
        </w:tc>
        <w:tc>
          <w:tcPr>
            <w:tcW w:w="1593"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41,0%</w:t>
            </w:r>
          </w:p>
        </w:tc>
        <w:tc>
          <w:tcPr>
            <w:tcW w:w="1593"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23,1%</w:t>
            </w:r>
          </w:p>
        </w:tc>
        <w:tc>
          <w:tcPr>
            <w:tcW w:w="1593"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2,6%</w:t>
            </w:r>
          </w:p>
        </w:tc>
        <w:tc>
          <w:tcPr>
            <w:tcW w:w="1470"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10,3%</w:t>
            </w:r>
          </w:p>
        </w:tc>
      </w:tr>
      <w:tr w:rsidR="00851FF9" w:rsidRPr="003B4122" w:rsidTr="003A1D5A">
        <w:tc>
          <w:tcPr>
            <w:tcW w:w="2047" w:type="dxa"/>
            <w:vAlign w:val="center"/>
          </w:tcPr>
          <w:p w:rsidR="00851FF9" w:rsidRPr="003B4122" w:rsidRDefault="00851FF9" w:rsidP="00851FF9">
            <w:pPr>
              <w:spacing w:before="120" w:after="120" w:line="269" w:lineRule="auto"/>
              <w:rPr>
                <w:rFonts w:ascii="Times New Roman" w:eastAsia="Calibri" w:hAnsi="Times New Roman" w:cs="Times New Roman"/>
                <w:color w:val="000000"/>
              </w:rPr>
            </w:pPr>
            <w:r w:rsidRPr="003B4122">
              <w:rPr>
                <w:rFonts w:ascii="Times New Roman" w:eastAsia="Calibri" w:hAnsi="Times New Roman" w:cs="Times New Roman"/>
                <w:color w:val="000000"/>
              </w:rPr>
              <w:t>Услуги эквайринга</w:t>
            </w:r>
          </w:p>
        </w:tc>
        <w:tc>
          <w:tcPr>
            <w:tcW w:w="1593"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7,7%</w:t>
            </w:r>
          </w:p>
        </w:tc>
        <w:tc>
          <w:tcPr>
            <w:tcW w:w="1593"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51,3%</w:t>
            </w:r>
          </w:p>
        </w:tc>
        <w:tc>
          <w:tcPr>
            <w:tcW w:w="1593"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17,9%</w:t>
            </w:r>
          </w:p>
        </w:tc>
        <w:tc>
          <w:tcPr>
            <w:tcW w:w="1593"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5,1%</w:t>
            </w:r>
          </w:p>
        </w:tc>
        <w:tc>
          <w:tcPr>
            <w:tcW w:w="1470"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17,9%</w:t>
            </w:r>
          </w:p>
        </w:tc>
      </w:tr>
      <w:tr w:rsidR="00851FF9" w:rsidRPr="003B4122" w:rsidTr="003A1D5A">
        <w:tc>
          <w:tcPr>
            <w:tcW w:w="2047" w:type="dxa"/>
            <w:vAlign w:val="center"/>
          </w:tcPr>
          <w:p w:rsidR="00851FF9" w:rsidRPr="003B4122" w:rsidRDefault="00851FF9" w:rsidP="00851FF9">
            <w:pPr>
              <w:spacing w:before="120" w:after="120" w:line="269" w:lineRule="auto"/>
              <w:rPr>
                <w:rFonts w:ascii="Times New Roman" w:eastAsia="Calibri" w:hAnsi="Times New Roman" w:cs="Times New Roman"/>
                <w:color w:val="000000"/>
              </w:rPr>
            </w:pPr>
            <w:r w:rsidRPr="003B4122">
              <w:rPr>
                <w:rFonts w:ascii="Times New Roman" w:eastAsia="Calibri" w:hAnsi="Times New Roman" w:cs="Times New Roman"/>
                <w:color w:val="000000"/>
              </w:rPr>
              <w:t>Зарплатные проекты</w:t>
            </w:r>
          </w:p>
        </w:tc>
        <w:tc>
          <w:tcPr>
            <w:tcW w:w="1593"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21,6%</w:t>
            </w:r>
          </w:p>
        </w:tc>
        <w:tc>
          <w:tcPr>
            <w:tcW w:w="1593"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43,2%</w:t>
            </w:r>
          </w:p>
        </w:tc>
        <w:tc>
          <w:tcPr>
            <w:tcW w:w="1593"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21,6%</w:t>
            </w:r>
          </w:p>
        </w:tc>
        <w:tc>
          <w:tcPr>
            <w:tcW w:w="1593"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2,7%</w:t>
            </w:r>
          </w:p>
        </w:tc>
        <w:tc>
          <w:tcPr>
            <w:tcW w:w="1470"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10,8%</w:t>
            </w:r>
          </w:p>
        </w:tc>
      </w:tr>
      <w:tr w:rsidR="00851FF9" w:rsidRPr="003B4122" w:rsidTr="003A1D5A">
        <w:tc>
          <w:tcPr>
            <w:tcW w:w="2047" w:type="dxa"/>
            <w:vAlign w:val="center"/>
          </w:tcPr>
          <w:p w:rsidR="00851FF9" w:rsidRPr="003B4122" w:rsidRDefault="00851FF9" w:rsidP="00851FF9">
            <w:pPr>
              <w:spacing w:before="120" w:after="120" w:line="269" w:lineRule="auto"/>
              <w:rPr>
                <w:rFonts w:ascii="Times New Roman" w:eastAsia="Calibri" w:hAnsi="Times New Roman" w:cs="Times New Roman"/>
                <w:color w:val="000000"/>
              </w:rPr>
            </w:pPr>
            <w:r w:rsidRPr="003B4122">
              <w:rPr>
                <w:rFonts w:ascii="Times New Roman" w:eastAsia="Calibri" w:hAnsi="Times New Roman" w:cs="Times New Roman"/>
                <w:color w:val="000000"/>
              </w:rPr>
              <w:t>Страхование имущества</w:t>
            </w:r>
          </w:p>
        </w:tc>
        <w:tc>
          <w:tcPr>
            <w:tcW w:w="1593"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3,1%</w:t>
            </w:r>
          </w:p>
        </w:tc>
        <w:tc>
          <w:tcPr>
            <w:tcW w:w="1593"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43,8%</w:t>
            </w:r>
          </w:p>
        </w:tc>
        <w:tc>
          <w:tcPr>
            <w:tcW w:w="1593"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28,1%</w:t>
            </w:r>
          </w:p>
        </w:tc>
        <w:tc>
          <w:tcPr>
            <w:tcW w:w="1593"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6,3%</w:t>
            </w:r>
          </w:p>
        </w:tc>
        <w:tc>
          <w:tcPr>
            <w:tcW w:w="1470"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18,8%</w:t>
            </w:r>
          </w:p>
        </w:tc>
      </w:tr>
      <w:tr w:rsidR="00851FF9" w:rsidRPr="003B4122" w:rsidTr="003A1D5A">
        <w:tc>
          <w:tcPr>
            <w:tcW w:w="2047" w:type="dxa"/>
            <w:vAlign w:val="center"/>
          </w:tcPr>
          <w:p w:rsidR="00851FF9" w:rsidRPr="003B4122" w:rsidRDefault="00851FF9" w:rsidP="00851FF9">
            <w:pPr>
              <w:spacing w:before="120" w:after="120" w:line="269" w:lineRule="auto"/>
              <w:rPr>
                <w:rFonts w:ascii="Times New Roman" w:eastAsia="Calibri" w:hAnsi="Times New Roman" w:cs="Times New Roman"/>
                <w:color w:val="000000"/>
              </w:rPr>
            </w:pPr>
            <w:r w:rsidRPr="003B4122">
              <w:rPr>
                <w:rFonts w:ascii="Times New Roman" w:eastAsia="Calibri" w:hAnsi="Times New Roman" w:cs="Times New Roman"/>
                <w:color w:val="000000"/>
              </w:rPr>
              <w:t>ДМС работников</w:t>
            </w:r>
          </w:p>
        </w:tc>
        <w:tc>
          <w:tcPr>
            <w:tcW w:w="1593"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0,0%</w:t>
            </w:r>
          </w:p>
        </w:tc>
        <w:tc>
          <w:tcPr>
            <w:tcW w:w="1593"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41,9%</w:t>
            </w:r>
          </w:p>
        </w:tc>
        <w:tc>
          <w:tcPr>
            <w:tcW w:w="1593"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25,8%</w:t>
            </w:r>
          </w:p>
        </w:tc>
        <w:tc>
          <w:tcPr>
            <w:tcW w:w="1593"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6,5%</w:t>
            </w:r>
          </w:p>
        </w:tc>
        <w:tc>
          <w:tcPr>
            <w:tcW w:w="1470"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25,8%</w:t>
            </w:r>
          </w:p>
        </w:tc>
      </w:tr>
      <w:tr w:rsidR="00851FF9" w:rsidRPr="003B4122" w:rsidTr="003A1D5A">
        <w:tc>
          <w:tcPr>
            <w:tcW w:w="2047" w:type="dxa"/>
            <w:vAlign w:val="center"/>
          </w:tcPr>
          <w:p w:rsidR="00851FF9" w:rsidRPr="003B4122" w:rsidRDefault="00851FF9" w:rsidP="00851FF9">
            <w:pPr>
              <w:spacing w:before="120" w:after="120" w:line="269" w:lineRule="auto"/>
              <w:rPr>
                <w:rFonts w:ascii="Times New Roman" w:eastAsia="Calibri" w:hAnsi="Times New Roman" w:cs="Times New Roman"/>
                <w:color w:val="000000"/>
              </w:rPr>
            </w:pPr>
            <w:r w:rsidRPr="003B4122">
              <w:rPr>
                <w:rFonts w:ascii="Times New Roman" w:eastAsia="Calibri" w:hAnsi="Times New Roman" w:cs="Times New Roman"/>
                <w:color w:val="000000"/>
              </w:rPr>
              <w:t>Профессиональные участники рынка ценных бумаг</w:t>
            </w:r>
          </w:p>
        </w:tc>
        <w:tc>
          <w:tcPr>
            <w:tcW w:w="1593"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6,7%</w:t>
            </w:r>
          </w:p>
        </w:tc>
        <w:tc>
          <w:tcPr>
            <w:tcW w:w="1593"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13,3%</w:t>
            </w:r>
          </w:p>
        </w:tc>
        <w:tc>
          <w:tcPr>
            <w:tcW w:w="1593"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16,7%</w:t>
            </w:r>
          </w:p>
        </w:tc>
        <w:tc>
          <w:tcPr>
            <w:tcW w:w="1593"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0,0%</w:t>
            </w:r>
          </w:p>
        </w:tc>
        <w:tc>
          <w:tcPr>
            <w:tcW w:w="1470"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63,3%</w:t>
            </w:r>
          </w:p>
        </w:tc>
      </w:tr>
      <w:tr w:rsidR="00851FF9" w:rsidRPr="003B4122" w:rsidTr="003A1D5A">
        <w:tc>
          <w:tcPr>
            <w:tcW w:w="2047" w:type="dxa"/>
            <w:vAlign w:val="center"/>
          </w:tcPr>
          <w:p w:rsidR="00851FF9" w:rsidRPr="003B4122" w:rsidRDefault="00851FF9" w:rsidP="00851FF9">
            <w:pPr>
              <w:spacing w:before="120" w:after="120" w:line="269" w:lineRule="auto"/>
              <w:rPr>
                <w:rFonts w:ascii="Times New Roman" w:eastAsia="Calibri" w:hAnsi="Times New Roman" w:cs="Times New Roman"/>
                <w:color w:val="000000"/>
              </w:rPr>
            </w:pPr>
            <w:r w:rsidRPr="003B4122">
              <w:rPr>
                <w:rFonts w:ascii="Times New Roman" w:eastAsia="Calibri" w:hAnsi="Times New Roman" w:cs="Times New Roman"/>
                <w:color w:val="000000"/>
              </w:rPr>
              <w:t>Микрофинансовые организации</w:t>
            </w:r>
          </w:p>
        </w:tc>
        <w:tc>
          <w:tcPr>
            <w:tcW w:w="1593"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15,2%</w:t>
            </w:r>
          </w:p>
        </w:tc>
        <w:tc>
          <w:tcPr>
            <w:tcW w:w="1593"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21,2%</w:t>
            </w:r>
          </w:p>
        </w:tc>
        <w:tc>
          <w:tcPr>
            <w:tcW w:w="1593"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9,1%</w:t>
            </w:r>
          </w:p>
        </w:tc>
        <w:tc>
          <w:tcPr>
            <w:tcW w:w="1593"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3,0%</w:t>
            </w:r>
          </w:p>
        </w:tc>
        <w:tc>
          <w:tcPr>
            <w:tcW w:w="1470"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51,3%</w:t>
            </w:r>
          </w:p>
        </w:tc>
      </w:tr>
    </w:tbl>
    <w:p w:rsidR="00851FF9" w:rsidRPr="003B4122" w:rsidRDefault="00851FF9" w:rsidP="00851FF9">
      <w:pPr>
        <w:spacing w:after="0" w:line="360" w:lineRule="auto"/>
        <w:ind w:firstLine="709"/>
        <w:jc w:val="both"/>
        <w:rPr>
          <w:rFonts w:ascii="Times New Roman" w:eastAsia="Times New Roman" w:hAnsi="Times New Roman" w:cs="Times New Roman"/>
          <w:color w:val="000000"/>
          <w:lang w:eastAsia="ru-RU"/>
        </w:rPr>
      </w:pPr>
    </w:p>
    <w:p w:rsidR="00851FF9" w:rsidRPr="0010260C" w:rsidRDefault="00851FF9" w:rsidP="00851FF9">
      <w:pPr>
        <w:spacing w:after="0" w:line="360" w:lineRule="auto"/>
        <w:ind w:firstLine="709"/>
        <w:jc w:val="both"/>
        <w:rPr>
          <w:rFonts w:ascii="Times New Roman" w:eastAsia="Times New Roman" w:hAnsi="Times New Roman" w:cs="Times New Roman"/>
          <w:color w:val="000000"/>
          <w:sz w:val="24"/>
          <w:szCs w:val="24"/>
          <w:lang w:eastAsia="ru-RU"/>
        </w:rPr>
      </w:pPr>
      <w:r w:rsidRPr="0010260C">
        <w:rPr>
          <w:rFonts w:ascii="Times New Roman" w:eastAsia="Times New Roman" w:hAnsi="Times New Roman" w:cs="Times New Roman"/>
          <w:color w:val="000000"/>
          <w:sz w:val="24"/>
          <w:szCs w:val="24"/>
          <w:lang w:eastAsia="ru-RU"/>
        </w:rPr>
        <w:t xml:space="preserve">В отношении выбора услуг за 2019 – 2021 гг. для большинства финансовых услуг не отмечается видимой динамики. Некоторая положительная динамика отмечается в сфере кредитования (ответ </w:t>
      </w:r>
      <w:r w:rsidR="00F71AD2">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заметно увеличилась</w:t>
      </w:r>
      <w:r w:rsidR="00F71AD2">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 xml:space="preserve"> - 5,3% при ответе </w:t>
      </w:r>
      <w:r w:rsidR="00F71AD2">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уменьшилась</w:t>
      </w:r>
      <w:r w:rsidR="00F71AD2">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 xml:space="preserve"> 0,0%). Негативная динамика прослеживается в восприятии услуг ДМС работников (ответ </w:t>
      </w:r>
      <w:r w:rsidR="00F71AD2">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уменьшилась</w:t>
      </w:r>
      <w:r w:rsidR="00F71AD2">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 xml:space="preserve"> - 19,4% при ответе </w:t>
      </w:r>
      <w:r w:rsidR="00F71AD2">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значительно увеличилась</w:t>
      </w:r>
      <w:r w:rsidR="00F71AD2">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 xml:space="preserve"> 0,0%) и страхования имущества работников (ответ </w:t>
      </w:r>
      <w:r w:rsidR="00F71AD2">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уменьшилась</w:t>
      </w:r>
      <w:r w:rsidR="00F71AD2">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 xml:space="preserve"> - 13,3% при ответе </w:t>
      </w:r>
      <w:r w:rsidR="00F71AD2">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значительно увеличилась</w:t>
      </w:r>
      <w:r w:rsidR="00F71AD2">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 xml:space="preserve"> 0,0%)</w:t>
      </w:r>
    </w:p>
    <w:p w:rsidR="00851FF9" w:rsidRPr="00851FF9" w:rsidRDefault="00851FF9" w:rsidP="0010260C">
      <w:pPr>
        <w:keepNext/>
        <w:keepLines/>
        <w:spacing w:before="120" w:after="120" w:line="240" w:lineRule="auto"/>
        <w:jc w:val="center"/>
        <w:rPr>
          <w:rFonts w:ascii="Times New Roman" w:eastAsia="Calibri" w:hAnsi="Times New Roman" w:cs="Times New Roman"/>
          <w:iCs/>
          <w:color w:val="000000"/>
          <w:sz w:val="24"/>
          <w:szCs w:val="28"/>
        </w:rPr>
      </w:pPr>
      <w:r w:rsidRPr="00851FF9">
        <w:rPr>
          <w:rFonts w:ascii="Times New Roman" w:eastAsia="Calibri" w:hAnsi="Times New Roman" w:cs="Times New Roman"/>
          <w:iCs/>
          <w:color w:val="000000"/>
          <w:sz w:val="24"/>
          <w:szCs w:val="28"/>
        </w:rPr>
        <w:t xml:space="preserve">Таблица </w:t>
      </w:r>
      <w:r w:rsidR="0010260C">
        <w:rPr>
          <w:rFonts w:ascii="Times New Roman" w:eastAsia="Calibri" w:hAnsi="Times New Roman" w:cs="Times New Roman"/>
          <w:iCs/>
          <w:color w:val="000000"/>
          <w:sz w:val="24"/>
          <w:szCs w:val="28"/>
        </w:rPr>
        <w:t>30</w:t>
      </w:r>
      <w:r w:rsidRPr="00851FF9">
        <w:rPr>
          <w:rFonts w:ascii="Times New Roman" w:eastAsia="Calibri" w:hAnsi="Times New Roman" w:cs="Times New Roman"/>
          <w:iCs/>
          <w:color w:val="000000"/>
          <w:sz w:val="24"/>
          <w:szCs w:val="28"/>
        </w:rPr>
        <w:t xml:space="preserve">. </w:t>
      </w:r>
      <w:r w:rsidRPr="00851FF9">
        <w:rPr>
          <w:rFonts w:ascii="Times New Roman" w:eastAsia="Calibri" w:hAnsi="Times New Roman" w:cs="Times New Roman"/>
          <w:b/>
          <w:bCs/>
          <w:iCs/>
          <w:color w:val="000000"/>
          <w:sz w:val="24"/>
          <w:szCs w:val="28"/>
        </w:rPr>
        <w:t xml:space="preserve">Как изменилась удовлетворенность Вашей компанией финансовыми услугами в Вашем регионе за 2019-2021 гг. (выбор услуги)? </w:t>
      </w:r>
      <w:r w:rsidRPr="00851FF9">
        <w:rPr>
          <w:rFonts w:ascii="Times New Roman" w:eastAsia="Calibri" w:hAnsi="Times New Roman" w:cs="Times New Roman"/>
          <w:iCs/>
          <w:color w:val="000000"/>
          <w:sz w:val="24"/>
          <w:szCs w:val="28"/>
        </w:rPr>
        <w:t>(данные исследования Центрального Банка Российской Федерации)</w:t>
      </w:r>
    </w:p>
    <w:tbl>
      <w:tblPr>
        <w:tblStyle w:val="260"/>
        <w:tblW w:w="0" w:type="auto"/>
        <w:tblLook w:val="04A0" w:firstRow="1" w:lastRow="0" w:firstColumn="1" w:lastColumn="0" w:noHBand="0" w:noVBand="1"/>
      </w:tblPr>
      <w:tblGrid>
        <w:gridCol w:w="2660"/>
        <w:gridCol w:w="1491"/>
        <w:gridCol w:w="1744"/>
        <w:gridCol w:w="1380"/>
        <w:gridCol w:w="1628"/>
        <w:gridCol w:w="1363"/>
      </w:tblGrid>
      <w:tr w:rsidR="00851FF9" w:rsidRPr="00851FF9" w:rsidTr="003A1D5A">
        <w:trPr>
          <w:tblHeader/>
        </w:trPr>
        <w:tc>
          <w:tcPr>
            <w:tcW w:w="2660"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Тип услуги</w:t>
            </w:r>
          </w:p>
        </w:tc>
        <w:tc>
          <w:tcPr>
            <w:tcW w:w="830"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Заметно увеличилась</w:t>
            </w:r>
          </w:p>
        </w:tc>
        <w:tc>
          <w:tcPr>
            <w:tcW w:w="1645"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Незначительно увеличилась</w:t>
            </w:r>
          </w:p>
        </w:tc>
        <w:tc>
          <w:tcPr>
            <w:tcW w:w="1374"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Не изменилась</w:t>
            </w:r>
          </w:p>
        </w:tc>
        <w:tc>
          <w:tcPr>
            <w:tcW w:w="1520"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Уменьшилась</w:t>
            </w:r>
          </w:p>
        </w:tc>
        <w:tc>
          <w:tcPr>
            <w:tcW w:w="1325"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Не используем</w:t>
            </w:r>
          </w:p>
        </w:tc>
      </w:tr>
      <w:tr w:rsidR="00851FF9" w:rsidRPr="00851FF9" w:rsidTr="003A1D5A">
        <w:tc>
          <w:tcPr>
            <w:tcW w:w="2660" w:type="dxa"/>
            <w:vAlign w:val="center"/>
          </w:tcPr>
          <w:p w:rsidR="00851FF9" w:rsidRPr="003B4122" w:rsidRDefault="00851FF9" w:rsidP="00851FF9">
            <w:pPr>
              <w:spacing w:before="120" w:after="120" w:line="269" w:lineRule="auto"/>
              <w:rPr>
                <w:rFonts w:ascii="Times New Roman" w:eastAsia="Calibri" w:hAnsi="Times New Roman" w:cs="Times New Roman"/>
                <w:color w:val="000000"/>
              </w:rPr>
            </w:pPr>
            <w:r w:rsidRPr="003B4122">
              <w:rPr>
                <w:rFonts w:ascii="Times New Roman" w:eastAsia="Calibri" w:hAnsi="Times New Roman" w:cs="Times New Roman"/>
                <w:color w:val="000000"/>
              </w:rPr>
              <w:t>РКО</w:t>
            </w:r>
          </w:p>
        </w:tc>
        <w:tc>
          <w:tcPr>
            <w:tcW w:w="830"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4,7%</w:t>
            </w:r>
          </w:p>
        </w:tc>
        <w:tc>
          <w:tcPr>
            <w:tcW w:w="1645"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39,5%</w:t>
            </w:r>
          </w:p>
        </w:tc>
        <w:tc>
          <w:tcPr>
            <w:tcW w:w="1374"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53,5%</w:t>
            </w:r>
          </w:p>
        </w:tc>
        <w:tc>
          <w:tcPr>
            <w:tcW w:w="1520"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0,0%</w:t>
            </w:r>
          </w:p>
        </w:tc>
        <w:tc>
          <w:tcPr>
            <w:tcW w:w="1325"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2,3%</w:t>
            </w:r>
          </w:p>
        </w:tc>
      </w:tr>
      <w:tr w:rsidR="00851FF9" w:rsidRPr="00851FF9" w:rsidTr="003A1D5A">
        <w:tc>
          <w:tcPr>
            <w:tcW w:w="2660" w:type="dxa"/>
            <w:vAlign w:val="center"/>
          </w:tcPr>
          <w:p w:rsidR="00851FF9" w:rsidRPr="003B4122" w:rsidRDefault="00851FF9" w:rsidP="00851FF9">
            <w:pPr>
              <w:spacing w:before="120" w:after="120" w:line="269" w:lineRule="auto"/>
              <w:rPr>
                <w:rFonts w:ascii="Times New Roman" w:eastAsia="Calibri" w:hAnsi="Times New Roman" w:cs="Times New Roman"/>
                <w:color w:val="000000"/>
              </w:rPr>
            </w:pPr>
            <w:r w:rsidRPr="003B4122">
              <w:rPr>
                <w:rFonts w:ascii="Times New Roman" w:eastAsia="Calibri" w:hAnsi="Times New Roman" w:cs="Times New Roman"/>
                <w:color w:val="000000"/>
              </w:rPr>
              <w:t>Кредитование</w:t>
            </w:r>
          </w:p>
        </w:tc>
        <w:tc>
          <w:tcPr>
            <w:tcW w:w="830"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5,3%</w:t>
            </w:r>
          </w:p>
        </w:tc>
        <w:tc>
          <w:tcPr>
            <w:tcW w:w="1645"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31,6%</w:t>
            </w:r>
          </w:p>
        </w:tc>
        <w:tc>
          <w:tcPr>
            <w:tcW w:w="1374"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55,3%</w:t>
            </w:r>
          </w:p>
        </w:tc>
        <w:tc>
          <w:tcPr>
            <w:tcW w:w="1520"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0,0%</w:t>
            </w:r>
          </w:p>
        </w:tc>
        <w:tc>
          <w:tcPr>
            <w:tcW w:w="1325"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7,9%</w:t>
            </w:r>
          </w:p>
        </w:tc>
      </w:tr>
      <w:tr w:rsidR="00851FF9" w:rsidRPr="00851FF9" w:rsidTr="003A1D5A">
        <w:tc>
          <w:tcPr>
            <w:tcW w:w="2660" w:type="dxa"/>
            <w:vAlign w:val="center"/>
          </w:tcPr>
          <w:p w:rsidR="00851FF9" w:rsidRPr="003B4122" w:rsidRDefault="00851FF9" w:rsidP="00851FF9">
            <w:pPr>
              <w:spacing w:before="120" w:after="120" w:line="269" w:lineRule="auto"/>
              <w:rPr>
                <w:rFonts w:ascii="Times New Roman" w:eastAsia="Calibri" w:hAnsi="Times New Roman" w:cs="Times New Roman"/>
                <w:color w:val="000000"/>
              </w:rPr>
            </w:pPr>
            <w:r w:rsidRPr="003B4122">
              <w:rPr>
                <w:rFonts w:ascii="Times New Roman" w:eastAsia="Calibri" w:hAnsi="Times New Roman" w:cs="Times New Roman"/>
                <w:color w:val="000000"/>
              </w:rPr>
              <w:t>Услуги эквайринга</w:t>
            </w:r>
          </w:p>
        </w:tc>
        <w:tc>
          <w:tcPr>
            <w:tcW w:w="830"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2,9%</w:t>
            </w:r>
          </w:p>
        </w:tc>
        <w:tc>
          <w:tcPr>
            <w:tcW w:w="1645"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11,8%</w:t>
            </w:r>
          </w:p>
        </w:tc>
        <w:tc>
          <w:tcPr>
            <w:tcW w:w="1374"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38,2%</w:t>
            </w:r>
          </w:p>
        </w:tc>
        <w:tc>
          <w:tcPr>
            <w:tcW w:w="1520"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8,8%</w:t>
            </w:r>
          </w:p>
        </w:tc>
        <w:tc>
          <w:tcPr>
            <w:tcW w:w="1325"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38,2%</w:t>
            </w:r>
          </w:p>
        </w:tc>
      </w:tr>
      <w:tr w:rsidR="00851FF9" w:rsidRPr="00851FF9" w:rsidTr="003A1D5A">
        <w:tc>
          <w:tcPr>
            <w:tcW w:w="2660" w:type="dxa"/>
            <w:vAlign w:val="center"/>
          </w:tcPr>
          <w:p w:rsidR="00851FF9" w:rsidRPr="003B4122" w:rsidRDefault="00851FF9" w:rsidP="00851FF9">
            <w:pPr>
              <w:spacing w:before="120" w:after="120" w:line="269" w:lineRule="auto"/>
              <w:rPr>
                <w:rFonts w:ascii="Times New Roman" w:eastAsia="Calibri" w:hAnsi="Times New Roman" w:cs="Times New Roman"/>
                <w:color w:val="000000"/>
              </w:rPr>
            </w:pPr>
            <w:r w:rsidRPr="003B4122">
              <w:rPr>
                <w:rFonts w:ascii="Times New Roman" w:eastAsia="Calibri" w:hAnsi="Times New Roman" w:cs="Times New Roman"/>
                <w:color w:val="000000"/>
              </w:rPr>
              <w:t>Зарплатные проекты</w:t>
            </w:r>
          </w:p>
        </w:tc>
        <w:tc>
          <w:tcPr>
            <w:tcW w:w="830"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0,0%</w:t>
            </w:r>
          </w:p>
        </w:tc>
        <w:tc>
          <w:tcPr>
            <w:tcW w:w="1645"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19,4%</w:t>
            </w:r>
          </w:p>
        </w:tc>
        <w:tc>
          <w:tcPr>
            <w:tcW w:w="1374"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66,7%</w:t>
            </w:r>
          </w:p>
        </w:tc>
        <w:tc>
          <w:tcPr>
            <w:tcW w:w="1520"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5,6%</w:t>
            </w:r>
          </w:p>
        </w:tc>
        <w:tc>
          <w:tcPr>
            <w:tcW w:w="1325"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8,3%</w:t>
            </w:r>
          </w:p>
        </w:tc>
      </w:tr>
      <w:tr w:rsidR="00851FF9" w:rsidRPr="00851FF9" w:rsidTr="003A1D5A">
        <w:tc>
          <w:tcPr>
            <w:tcW w:w="2660" w:type="dxa"/>
            <w:vAlign w:val="center"/>
          </w:tcPr>
          <w:p w:rsidR="00851FF9" w:rsidRPr="003B4122" w:rsidRDefault="00851FF9" w:rsidP="00851FF9">
            <w:pPr>
              <w:spacing w:before="120" w:after="120" w:line="269" w:lineRule="auto"/>
              <w:rPr>
                <w:rFonts w:ascii="Times New Roman" w:eastAsia="Calibri" w:hAnsi="Times New Roman" w:cs="Times New Roman"/>
                <w:color w:val="000000"/>
              </w:rPr>
            </w:pPr>
            <w:r w:rsidRPr="003B4122">
              <w:rPr>
                <w:rFonts w:ascii="Times New Roman" w:eastAsia="Calibri" w:hAnsi="Times New Roman" w:cs="Times New Roman"/>
                <w:color w:val="000000"/>
              </w:rPr>
              <w:t>Страхование имущества</w:t>
            </w:r>
          </w:p>
        </w:tc>
        <w:tc>
          <w:tcPr>
            <w:tcW w:w="830"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0,0%</w:t>
            </w:r>
          </w:p>
        </w:tc>
        <w:tc>
          <w:tcPr>
            <w:tcW w:w="1645"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16,7%</w:t>
            </w:r>
          </w:p>
        </w:tc>
        <w:tc>
          <w:tcPr>
            <w:tcW w:w="1374"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50,0%</w:t>
            </w:r>
          </w:p>
        </w:tc>
        <w:tc>
          <w:tcPr>
            <w:tcW w:w="1520"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13,3%</w:t>
            </w:r>
          </w:p>
        </w:tc>
        <w:tc>
          <w:tcPr>
            <w:tcW w:w="1325"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20,0%</w:t>
            </w:r>
          </w:p>
        </w:tc>
      </w:tr>
      <w:tr w:rsidR="00851FF9" w:rsidRPr="00851FF9" w:rsidTr="003A1D5A">
        <w:tc>
          <w:tcPr>
            <w:tcW w:w="2660" w:type="dxa"/>
            <w:vAlign w:val="center"/>
          </w:tcPr>
          <w:p w:rsidR="00851FF9" w:rsidRPr="003B4122" w:rsidRDefault="00851FF9" w:rsidP="00851FF9">
            <w:pPr>
              <w:spacing w:before="120" w:after="120" w:line="269" w:lineRule="auto"/>
              <w:rPr>
                <w:rFonts w:ascii="Times New Roman" w:eastAsia="Calibri" w:hAnsi="Times New Roman" w:cs="Times New Roman"/>
                <w:color w:val="000000"/>
              </w:rPr>
            </w:pPr>
            <w:r w:rsidRPr="003B4122">
              <w:rPr>
                <w:rFonts w:ascii="Times New Roman" w:eastAsia="Calibri" w:hAnsi="Times New Roman" w:cs="Times New Roman"/>
                <w:color w:val="000000"/>
              </w:rPr>
              <w:t>ДМС работников</w:t>
            </w:r>
          </w:p>
        </w:tc>
        <w:tc>
          <w:tcPr>
            <w:tcW w:w="830"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0,0%</w:t>
            </w:r>
          </w:p>
        </w:tc>
        <w:tc>
          <w:tcPr>
            <w:tcW w:w="1645"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9,7%</w:t>
            </w:r>
          </w:p>
        </w:tc>
        <w:tc>
          <w:tcPr>
            <w:tcW w:w="1374"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45,2%</w:t>
            </w:r>
          </w:p>
        </w:tc>
        <w:tc>
          <w:tcPr>
            <w:tcW w:w="1520"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19,4%</w:t>
            </w:r>
          </w:p>
        </w:tc>
        <w:tc>
          <w:tcPr>
            <w:tcW w:w="1325"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25,8%</w:t>
            </w:r>
          </w:p>
        </w:tc>
      </w:tr>
      <w:tr w:rsidR="00851FF9" w:rsidRPr="00851FF9" w:rsidTr="003A1D5A">
        <w:tc>
          <w:tcPr>
            <w:tcW w:w="2660" w:type="dxa"/>
            <w:vAlign w:val="center"/>
          </w:tcPr>
          <w:p w:rsidR="00851FF9" w:rsidRPr="003B4122" w:rsidRDefault="00851FF9" w:rsidP="00851FF9">
            <w:pPr>
              <w:spacing w:before="120" w:after="120" w:line="269" w:lineRule="auto"/>
              <w:rPr>
                <w:rFonts w:ascii="Times New Roman" w:eastAsia="Calibri" w:hAnsi="Times New Roman" w:cs="Times New Roman"/>
                <w:color w:val="000000"/>
              </w:rPr>
            </w:pPr>
            <w:r w:rsidRPr="003B4122">
              <w:rPr>
                <w:rFonts w:ascii="Times New Roman" w:eastAsia="Calibri" w:hAnsi="Times New Roman" w:cs="Times New Roman"/>
                <w:color w:val="000000"/>
              </w:rPr>
              <w:t>Профессиональные участники рынка ценных бумаг</w:t>
            </w:r>
          </w:p>
        </w:tc>
        <w:tc>
          <w:tcPr>
            <w:tcW w:w="830"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6,7%</w:t>
            </w:r>
          </w:p>
        </w:tc>
        <w:tc>
          <w:tcPr>
            <w:tcW w:w="1645"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3,3%</w:t>
            </w:r>
          </w:p>
        </w:tc>
        <w:tc>
          <w:tcPr>
            <w:tcW w:w="1374"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33,3%</w:t>
            </w:r>
          </w:p>
        </w:tc>
        <w:tc>
          <w:tcPr>
            <w:tcW w:w="1520"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3,3%</w:t>
            </w:r>
          </w:p>
        </w:tc>
        <w:tc>
          <w:tcPr>
            <w:tcW w:w="1325"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53,3%</w:t>
            </w:r>
          </w:p>
        </w:tc>
      </w:tr>
      <w:tr w:rsidR="00851FF9" w:rsidRPr="00851FF9" w:rsidTr="003A1D5A">
        <w:tc>
          <w:tcPr>
            <w:tcW w:w="2660" w:type="dxa"/>
            <w:vAlign w:val="center"/>
          </w:tcPr>
          <w:p w:rsidR="00851FF9" w:rsidRPr="003B4122" w:rsidRDefault="00851FF9" w:rsidP="00851FF9">
            <w:pPr>
              <w:spacing w:before="120" w:after="120" w:line="269" w:lineRule="auto"/>
              <w:rPr>
                <w:rFonts w:ascii="Times New Roman" w:eastAsia="Calibri" w:hAnsi="Times New Roman" w:cs="Times New Roman"/>
                <w:color w:val="000000"/>
              </w:rPr>
            </w:pPr>
            <w:r w:rsidRPr="003B4122">
              <w:rPr>
                <w:rFonts w:ascii="Times New Roman" w:eastAsia="Calibri" w:hAnsi="Times New Roman" w:cs="Times New Roman"/>
                <w:color w:val="000000"/>
              </w:rPr>
              <w:t>Микрофинансовые организации</w:t>
            </w:r>
          </w:p>
        </w:tc>
        <w:tc>
          <w:tcPr>
            <w:tcW w:w="830"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3,1%</w:t>
            </w:r>
          </w:p>
        </w:tc>
        <w:tc>
          <w:tcPr>
            <w:tcW w:w="1645"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12,5%</w:t>
            </w:r>
          </w:p>
        </w:tc>
        <w:tc>
          <w:tcPr>
            <w:tcW w:w="1374"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34,4%</w:t>
            </w:r>
          </w:p>
        </w:tc>
        <w:tc>
          <w:tcPr>
            <w:tcW w:w="1520"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3,1%</w:t>
            </w:r>
          </w:p>
        </w:tc>
        <w:tc>
          <w:tcPr>
            <w:tcW w:w="1325" w:type="dxa"/>
            <w:vAlign w:val="center"/>
          </w:tcPr>
          <w:p w:rsidR="00851FF9" w:rsidRPr="003B4122" w:rsidRDefault="00851FF9" w:rsidP="00851FF9">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46,9%</w:t>
            </w:r>
          </w:p>
        </w:tc>
      </w:tr>
    </w:tbl>
    <w:p w:rsidR="00851FF9" w:rsidRPr="00851FF9" w:rsidRDefault="00851FF9" w:rsidP="00851FF9">
      <w:pPr>
        <w:spacing w:after="0" w:line="360" w:lineRule="auto"/>
        <w:ind w:firstLine="709"/>
        <w:jc w:val="both"/>
        <w:rPr>
          <w:rFonts w:ascii="Times New Roman" w:eastAsia="Times New Roman" w:hAnsi="Times New Roman" w:cs="Times New Roman"/>
          <w:color w:val="000000"/>
          <w:sz w:val="28"/>
          <w:szCs w:val="28"/>
          <w:lang w:eastAsia="ru-RU"/>
        </w:rPr>
      </w:pPr>
    </w:p>
    <w:p w:rsidR="00851FF9" w:rsidRPr="0010260C" w:rsidRDefault="00851FF9" w:rsidP="00851FF9">
      <w:pPr>
        <w:spacing w:after="0" w:line="360" w:lineRule="auto"/>
        <w:ind w:firstLine="709"/>
        <w:jc w:val="both"/>
        <w:rPr>
          <w:rFonts w:ascii="Times New Roman" w:eastAsia="Calibri" w:hAnsi="Times New Roman" w:cs="Times New Roman"/>
          <w:color w:val="000000"/>
          <w:sz w:val="24"/>
          <w:szCs w:val="24"/>
        </w:rPr>
      </w:pPr>
      <w:r w:rsidRPr="0010260C">
        <w:rPr>
          <w:rFonts w:ascii="Times New Roman" w:eastAsia="Times New Roman" w:hAnsi="Times New Roman" w:cs="Times New Roman"/>
          <w:color w:val="000000"/>
          <w:sz w:val="24"/>
          <w:szCs w:val="24"/>
          <w:lang w:eastAsia="ru-RU"/>
        </w:rPr>
        <w:t xml:space="preserve">Как следует из анализа данных </w:t>
      </w:r>
      <w:bookmarkStart w:id="73" w:name="_Hlk120060708"/>
      <w:r w:rsidRPr="0010260C">
        <w:rPr>
          <w:rFonts w:ascii="Times New Roman" w:eastAsia="Times New Roman" w:hAnsi="Times New Roman" w:cs="Times New Roman"/>
          <w:color w:val="000000"/>
          <w:sz w:val="24"/>
          <w:szCs w:val="24"/>
          <w:lang w:eastAsia="ru-RU"/>
        </w:rPr>
        <w:t>исследования Центрального Банка Российской Федерации</w:t>
      </w:r>
      <w:bookmarkEnd w:id="73"/>
      <w:r w:rsidRPr="0010260C">
        <w:rPr>
          <w:rFonts w:ascii="Times New Roman" w:eastAsia="Times New Roman" w:hAnsi="Times New Roman" w:cs="Times New Roman"/>
          <w:color w:val="000000"/>
          <w:sz w:val="24"/>
          <w:szCs w:val="24"/>
          <w:lang w:eastAsia="ru-RU"/>
        </w:rPr>
        <w:t xml:space="preserve">, представленных в </w:t>
      </w:r>
      <w:bookmarkStart w:id="74" w:name="_Hlk120060792"/>
      <w:r w:rsidRPr="0010260C">
        <w:rPr>
          <w:rFonts w:ascii="Times New Roman" w:eastAsia="Times New Roman" w:hAnsi="Times New Roman" w:cs="Times New Roman"/>
          <w:color w:val="000000"/>
          <w:sz w:val="24"/>
          <w:szCs w:val="24"/>
          <w:lang w:eastAsia="ru-RU"/>
        </w:rPr>
        <w:t>ответе на запрос о предоставлении информации №Т-241-1-10/5639 от 08.11.2022</w:t>
      </w:r>
      <w:bookmarkEnd w:id="74"/>
      <w:r w:rsidRPr="0010260C">
        <w:rPr>
          <w:rFonts w:ascii="Times New Roman" w:eastAsia="Times New Roman" w:hAnsi="Times New Roman" w:cs="Times New Roman"/>
          <w:color w:val="000000"/>
          <w:sz w:val="24"/>
          <w:szCs w:val="24"/>
          <w:lang w:eastAsia="ru-RU"/>
        </w:rPr>
        <w:t>, при выборе финансовой организации основными критериями являются соотношение цены и качества необходимой финансовой услуги (особенно значимо для кредитных организаций – 73,8% респондентов и для страховых организаций – 60,5%) и выгодными условиями в рамках комплексного обслуживания (для кредитных организаций – 50,0%, для страховых организаций – 39,5%). Для кредитных организаций важными критериями являются также удобство сервисов дистанционного обслуживания (66,7%), репутация, известность бренда (61,9%) и высокая физическая доступность (45,2%)</w:t>
      </w:r>
      <w:r w:rsidRPr="0010260C">
        <w:rPr>
          <w:rFonts w:ascii="Times New Roman" w:eastAsia="Calibri" w:hAnsi="Times New Roman" w:cs="Times New Roman"/>
          <w:color w:val="000000"/>
          <w:sz w:val="24"/>
          <w:szCs w:val="24"/>
          <w:vertAlign w:val="superscript"/>
        </w:rPr>
        <w:footnoteReference w:id="2"/>
      </w:r>
      <w:r w:rsidRPr="0010260C">
        <w:rPr>
          <w:rFonts w:ascii="Times New Roman" w:eastAsia="Calibri" w:hAnsi="Times New Roman" w:cs="Times New Roman"/>
          <w:color w:val="000000"/>
          <w:sz w:val="24"/>
          <w:szCs w:val="24"/>
        </w:rPr>
        <w:t>.</w:t>
      </w:r>
    </w:p>
    <w:p w:rsidR="00851FF9" w:rsidRPr="00851FF9" w:rsidRDefault="00851FF9" w:rsidP="0010260C">
      <w:pPr>
        <w:keepNext/>
        <w:keepLines/>
        <w:spacing w:before="120" w:after="120" w:line="240" w:lineRule="auto"/>
        <w:jc w:val="center"/>
        <w:rPr>
          <w:rFonts w:ascii="Times New Roman" w:eastAsia="Calibri" w:hAnsi="Times New Roman" w:cs="Times New Roman"/>
          <w:iCs/>
          <w:color w:val="000000"/>
          <w:sz w:val="24"/>
          <w:szCs w:val="28"/>
        </w:rPr>
      </w:pPr>
      <w:r w:rsidRPr="00851FF9">
        <w:rPr>
          <w:rFonts w:ascii="Times New Roman" w:eastAsia="Calibri" w:hAnsi="Times New Roman" w:cs="Times New Roman"/>
          <w:iCs/>
          <w:color w:val="000000"/>
          <w:sz w:val="24"/>
          <w:szCs w:val="28"/>
        </w:rPr>
        <w:t xml:space="preserve">Таблица </w:t>
      </w:r>
      <w:r w:rsidR="0010260C">
        <w:rPr>
          <w:rFonts w:ascii="Times New Roman" w:eastAsia="Calibri" w:hAnsi="Times New Roman" w:cs="Times New Roman"/>
          <w:iCs/>
          <w:color w:val="000000"/>
          <w:sz w:val="24"/>
          <w:szCs w:val="28"/>
        </w:rPr>
        <w:t>31</w:t>
      </w:r>
      <w:r w:rsidRPr="00851FF9">
        <w:rPr>
          <w:rFonts w:ascii="Times New Roman" w:eastAsia="Calibri" w:hAnsi="Times New Roman" w:cs="Times New Roman"/>
          <w:iCs/>
          <w:color w:val="000000"/>
          <w:sz w:val="24"/>
          <w:szCs w:val="28"/>
        </w:rPr>
        <w:t xml:space="preserve">. </w:t>
      </w:r>
      <w:r w:rsidRPr="00851FF9">
        <w:rPr>
          <w:rFonts w:ascii="Times New Roman" w:eastAsia="Calibri" w:hAnsi="Times New Roman" w:cs="Times New Roman"/>
          <w:b/>
          <w:bCs/>
          <w:iCs/>
          <w:color w:val="000000"/>
          <w:sz w:val="24"/>
          <w:szCs w:val="28"/>
        </w:rPr>
        <w:t>Чем Ваша компания руководствовалась при выборе финансовой организации?</w:t>
      </w:r>
      <w:r w:rsidRPr="00851FF9">
        <w:rPr>
          <w:rFonts w:ascii="Times New Roman" w:eastAsia="Calibri" w:hAnsi="Times New Roman" w:cs="Times New Roman"/>
          <w:iCs/>
          <w:color w:val="000000"/>
          <w:sz w:val="24"/>
          <w:szCs w:val="28"/>
        </w:rPr>
        <w:t xml:space="preserve"> (данные исследования Центрального Банка Российской Федерации)</w:t>
      </w:r>
    </w:p>
    <w:tbl>
      <w:tblPr>
        <w:tblStyle w:val="260"/>
        <w:tblW w:w="0" w:type="auto"/>
        <w:tblLook w:val="04A0" w:firstRow="1" w:lastRow="0" w:firstColumn="1" w:lastColumn="0" w:noHBand="0" w:noVBand="1"/>
      </w:tblPr>
      <w:tblGrid>
        <w:gridCol w:w="2943"/>
        <w:gridCol w:w="1509"/>
        <w:gridCol w:w="1491"/>
        <w:gridCol w:w="2175"/>
        <w:gridCol w:w="2148"/>
      </w:tblGrid>
      <w:tr w:rsidR="00851FF9" w:rsidRPr="00851FF9" w:rsidTr="003A1D5A">
        <w:trPr>
          <w:tblHeader/>
        </w:trPr>
        <w:tc>
          <w:tcPr>
            <w:tcW w:w="2943"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Тип организации</w:t>
            </w:r>
          </w:p>
        </w:tc>
        <w:tc>
          <w:tcPr>
            <w:tcW w:w="1509"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Кредитные организации</w:t>
            </w:r>
          </w:p>
        </w:tc>
        <w:tc>
          <w:tcPr>
            <w:tcW w:w="1407"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Страховые организации</w:t>
            </w:r>
          </w:p>
        </w:tc>
        <w:tc>
          <w:tcPr>
            <w:tcW w:w="2065"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Профессиональные участники рынка ценных бумаг</w:t>
            </w:r>
          </w:p>
        </w:tc>
        <w:tc>
          <w:tcPr>
            <w:tcW w:w="2024"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Микрофинансовые организации</w:t>
            </w:r>
          </w:p>
        </w:tc>
      </w:tr>
      <w:tr w:rsidR="00851FF9" w:rsidRPr="00851FF9" w:rsidTr="003A1D5A">
        <w:tc>
          <w:tcPr>
            <w:tcW w:w="2943"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Соотношение цены и качества финансовой услуги</w:t>
            </w:r>
          </w:p>
        </w:tc>
        <w:tc>
          <w:tcPr>
            <w:tcW w:w="1509"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73,8%</w:t>
            </w:r>
          </w:p>
        </w:tc>
        <w:tc>
          <w:tcPr>
            <w:tcW w:w="140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60,5%</w:t>
            </w:r>
          </w:p>
        </w:tc>
        <w:tc>
          <w:tcPr>
            <w:tcW w:w="206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13,2%</w:t>
            </w:r>
          </w:p>
        </w:tc>
        <w:tc>
          <w:tcPr>
            <w:tcW w:w="2024"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30,0%</w:t>
            </w:r>
          </w:p>
        </w:tc>
      </w:tr>
      <w:tr w:rsidR="00851FF9" w:rsidRPr="00851FF9" w:rsidTr="003A1D5A">
        <w:tc>
          <w:tcPr>
            <w:tcW w:w="2943"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Выгодные условия в рамках комплексного обслуживания, программы лояльности</w:t>
            </w:r>
          </w:p>
        </w:tc>
        <w:tc>
          <w:tcPr>
            <w:tcW w:w="1509"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50,0%</w:t>
            </w:r>
          </w:p>
        </w:tc>
        <w:tc>
          <w:tcPr>
            <w:tcW w:w="140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39,5%</w:t>
            </w:r>
          </w:p>
        </w:tc>
        <w:tc>
          <w:tcPr>
            <w:tcW w:w="206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10,5%</w:t>
            </w:r>
          </w:p>
        </w:tc>
        <w:tc>
          <w:tcPr>
            <w:tcW w:w="2024"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20,0%</w:t>
            </w:r>
          </w:p>
        </w:tc>
      </w:tr>
      <w:tr w:rsidR="00851FF9" w:rsidRPr="00851FF9" w:rsidTr="003A1D5A">
        <w:tc>
          <w:tcPr>
            <w:tcW w:w="2943"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Репутация, известность бренда</w:t>
            </w:r>
          </w:p>
        </w:tc>
        <w:tc>
          <w:tcPr>
            <w:tcW w:w="1509"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61,9%</w:t>
            </w:r>
          </w:p>
        </w:tc>
        <w:tc>
          <w:tcPr>
            <w:tcW w:w="140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39,5%</w:t>
            </w:r>
          </w:p>
        </w:tc>
        <w:tc>
          <w:tcPr>
            <w:tcW w:w="206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13,2%</w:t>
            </w:r>
          </w:p>
        </w:tc>
        <w:tc>
          <w:tcPr>
            <w:tcW w:w="2024"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5,0%</w:t>
            </w:r>
          </w:p>
        </w:tc>
      </w:tr>
      <w:tr w:rsidR="00851FF9" w:rsidRPr="00851FF9" w:rsidTr="003A1D5A">
        <w:tc>
          <w:tcPr>
            <w:tcW w:w="2943"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Высокая физическая доступность (сеть подразделений, терминалов самообслуживания)</w:t>
            </w:r>
          </w:p>
        </w:tc>
        <w:tc>
          <w:tcPr>
            <w:tcW w:w="1509"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45,2%</w:t>
            </w:r>
          </w:p>
        </w:tc>
        <w:tc>
          <w:tcPr>
            <w:tcW w:w="140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28,9%</w:t>
            </w:r>
          </w:p>
        </w:tc>
        <w:tc>
          <w:tcPr>
            <w:tcW w:w="206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0,0%</w:t>
            </w:r>
          </w:p>
        </w:tc>
        <w:tc>
          <w:tcPr>
            <w:tcW w:w="2024"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17,5%</w:t>
            </w:r>
          </w:p>
        </w:tc>
      </w:tr>
      <w:tr w:rsidR="00851FF9" w:rsidRPr="00851FF9" w:rsidTr="003A1D5A">
        <w:tc>
          <w:tcPr>
            <w:tcW w:w="2943"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Удобство сервисов дистанционного обслуживания</w:t>
            </w:r>
          </w:p>
        </w:tc>
        <w:tc>
          <w:tcPr>
            <w:tcW w:w="1509"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66,7%</w:t>
            </w:r>
          </w:p>
        </w:tc>
        <w:tc>
          <w:tcPr>
            <w:tcW w:w="140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28,9%</w:t>
            </w:r>
          </w:p>
        </w:tc>
        <w:tc>
          <w:tcPr>
            <w:tcW w:w="206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10,5%</w:t>
            </w:r>
          </w:p>
        </w:tc>
        <w:tc>
          <w:tcPr>
            <w:tcW w:w="2024"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12,5%</w:t>
            </w:r>
          </w:p>
        </w:tc>
      </w:tr>
      <w:tr w:rsidR="00851FF9" w:rsidRPr="00851FF9" w:rsidTr="003A1D5A">
        <w:tc>
          <w:tcPr>
            <w:tcW w:w="2943"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Не пользуемся этими услугами</w:t>
            </w:r>
          </w:p>
        </w:tc>
        <w:tc>
          <w:tcPr>
            <w:tcW w:w="1509"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4,8%</w:t>
            </w:r>
          </w:p>
        </w:tc>
        <w:tc>
          <w:tcPr>
            <w:tcW w:w="140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28,9%</w:t>
            </w:r>
          </w:p>
        </w:tc>
        <w:tc>
          <w:tcPr>
            <w:tcW w:w="206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71,1%</w:t>
            </w:r>
          </w:p>
        </w:tc>
        <w:tc>
          <w:tcPr>
            <w:tcW w:w="2024"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62,5%</w:t>
            </w:r>
          </w:p>
        </w:tc>
      </w:tr>
    </w:tbl>
    <w:p w:rsidR="00851FF9" w:rsidRPr="00851FF9" w:rsidRDefault="00851FF9" w:rsidP="00851FF9">
      <w:pPr>
        <w:spacing w:after="0" w:line="360" w:lineRule="auto"/>
        <w:ind w:firstLine="709"/>
        <w:jc w:val="both"/>
        <w:rPr>
          <w:rFonts w:ascii="Times New Roman" w:eastAsia="Times New Roman" w:hAnsi="Times New Roman" w:cs="Times New Roman"/>
          <w:color w:val="000000"/>
          <w:sz w:val="28"/>
          <w:szCs w:val="28"/>
          <w:lang w:eastAsia="ru-RU"/>
        </w:rPr>
      </w:pPr>
    </w:p>
    <w:p w:rsidR="00851FF9" w:rsidRPr="0010260C" w:rsidRDefault="00851FF9" w:rsidP="00851FF9">
      <w:pPr>
        <w:spacing w:after="0" w:line="360" w:lineRule="auto"/>
        <w:ind w:firstLine="709"/>
        <w:jc w:val="both"/>
        <w:rPr>
          <w:rFonts w:ascii="Times New Roman" w:eastAsia="Calibri" w:hAnsi="Times New Roman" w:cs="Times New Roman"/>
          <w:color w:val="000000"/>
          <w:sz w:val="24"/>
          <w:szCs w:val="24"/>
        </w:rPr>
      </w:pPr>
      <w:r w:rsidRPr="0010260C">
        <w:rPr>
          <w:rFonts w:ascii="Times New Roman" w:eastAsia="Times New Roman" w:hAnsi="Times New Roman" w:cs="Times New Roman"/>
          <w:color w:val="000000"/>
          <w:sz w:val="24"/>
          <w:szCs w:val="24"/>
          <w:lang w:eastAsia="ru-RU"/>
        </w:rPr>
        <w:t>Эти данные подтверждаются данными опроса с участием 65 предприятий Ленинградской области, опубликованным в аналитическом обзоре Центральн</w:t>
      </w:r>
      <w:r w:rsidR="00F71AD2">
        <w:rPr>
          <w:rFonts w:ascii="Times New Roman" w:eastAsia="Times New Roman" w:hAnsi="Times New Roman" w:cs="Times New Roman"/>
          <w:color w:val="000000"/>
          <w:sz w:val="24"/>
          <w:szCs w:val="24"/>
          <w:lang w:eastAsia="ru-RU"/>
        </w:rPr>
        <w:t>ого Банка Российской Федерации «</w:t>
      </w:r>
      <w:r w:rsidRPr="0010260C">
        <w:rPr>
          <w:rFonts w:ascii="Times New Roman" w:eastAsia="Times New Roman" w:hAnsi="Times New Roman" w:cs="Times New Roman"/>
          <w:color w:val="000000"/>
          <w:sz w:val="24"/>
          <w:szCs w:val="24"/>
          <w:lang w:eastAsia="ru-RU"/>
        </w:rPr>
        <w:t>Доступность финансовых ресурсов. Ленинградс</w:t>
      </w:r>
      <w:r w:rsidR="00F71AD2">
        <w:rPr>
          <w:rFonts w:ascii="Times New Roman" w:eastAsia="Times New Roman" w:hAnsi="Times New Roman" w:cs="Times New Roman"/>
          <w:color w:val="000000"/>
          <w:sz w:val="24"/>
          <w:szCs w:val="24"/>
          <w:lang w:eastAsia="ru-RU"/>
        </w:rPr>
        <w:t>кая область. I полугодие 2022».</w:t>
      </w:r>
      <w:r w:rsidRPr="0010260C">
        <w:rPr>
          <w:rFonts w:ascii="Times New Roman" w:eastAsia="Times New Roman" w:hAnsi="Times New Roman" w:cs="Times New Roman"/>
          <w:color w:val="000000"/>
          <w:sz w:val="24"/>
          <w:szCs w:val="24"/>
          <w:lang w:eastAsia="ru-RU"/>
        </w:rPr>
        <w:t xml:space="preserve"> Согласно результатам опроса, значимым фактором выбора является также ассортимент услуг финансовой организации</w:t>
      </w:r>
      <w:r w:rsidRPr="0010260C">
        <w:rPr>
          <w:rFonts w:ascii="Times New Roman" w:eastAsia="Calibri" w:hAnsi="Times New Roman" w:cs="Times New Roman"/>
          <w:color w:val="000000"/>
          <w:sz w:val="24"/>
          <w:szCs w:val="24"/>
          <w:vertAlign w:val="superscript"/>
        </w:rPr>
        <w:footnoteReference w:id="3"/>
      </w:r>
      <w:r w:rsidRPr="0010260C">
        <w:rPr>
          <w:rFonts w:ascii="Times New Roman" w:eastAsia="Calibri" w:hAnsi="Times New Roman" w:cs="Times New Roman"/>
          <w:color w:val="000000"/>
          <w:sz w:val="24"/>
          <w:szCs w:val="24"/>
        </w:rPr>
        <w:t>.</w:t>
      </w:r>
    </w:p>
    <w:p w:rsidR="00851FF9" w:rsidRPr="00851FF9" w:rsidRDefault="00851FF9" w:rsidP="0010260C">
      <w:pPr>
        <w:keepNext/>
        <w:keepLines/>
        <w:spacing w:before="120" w:after="120" w:line="240" w:lineRule="auto"/>
        <w:jc w:val="center"/>
        <w:rPr>
          <w:rFonts w:ascii="Times New Roman" w:eastAsia="Calibri" w:hAnsi="Times New Roman" w:cs="Times New Roman"/>
          <w:iCs/>
          <w:color w:val="000000"/>
          <w:sz w:val="24"/>
          <w:szCs w:val="28"/>
        </w:rPr>
      </w:pPr>
      <w:r w:rsidRPr="00851FF9">
        <w:rPr>
          <w:rFonts w:ascii="Times New Roman" w:eastAsia="Calibri" w:hAnsi="Times New Roman" w:cs="Times New Roman"/>
          <w:iCs/>
          <w:color w:val="000000"/>
          <w:sz w:val="24"/>
          <w:szCs w:val="28"/>
        </w:rPr>
        <w:t xml:space="preserve">Таблица </w:t>
      </w:r>
      <w:r w:rsidR="0010260C">
        <w:rPr>
          <w:rFonts w:ascii="Times New Roman" w:eastAsia="Calibri" w:hAnsi="Times New Roman" w:cs="Times New Roman"/>
          <w:iCs/>
          <w:color w:val="000000"/>
          <w:sz w:val="24"/>
          <w:szCs w:val="28"/>
        </w:rPr>
        <w:t>32</w:t>
      </w:r>
      <w:r w:rsidRPr="00851FF9">
        <w:rPr>
          <w:rFonts w:ascii="Times New Roman" w:eastAsia="Calibri" w:hAnsi="Times New Roman" w:cs="Times New Roman"/>
          <w:iCs/>
          <w:color w:val="000000"/>
          <w:sz w:val="24"/>
          <w:szCs w:val="28"/>
        </w:rPr>
        <w:t xml:space="preserve">. </w:t>
      </w:r>
      <w:r w:rsidRPr="00851FF9">
        <w:rPr>
          <w:rFonts w:ascii="Times New Roman" w:eastAsia="Calibri" w:hAnsi="Times New Roman" w:cs="Times New Roman"/>
          <w:b/>
          <w:bCs/>
          <w:iCs/>
          <w:color w:val="000000"/>
          <w:sz w:val="24"/>
          <w:szCs w:val="28"/>
        </w:rPr>
        <w:t>Чем Ваша компания руководствовалась при выборе финансовой организации?</w:t>
      </w:r>
      <w:r w:rsidRPr="00851FF9">
        <w:rPr>
          <w:rFonts w:ascii="Times New Roman" w:eastAsia="Calibri" w:hAnsi="Times New Roman" w:cs="Times New Roman"/>
          <w:iCs/>
          <w:color w:val="000000"/>
          <w:sz w:val="24"/>
          <w:szCs w:val="28"/>
        </w:rPr>
        <w:t xml:space="preserve"> (данные аналитического обзора Центрального Банка Российской Федерации)</w:t>
      </w:r>
    </w:p>
    <w:tbl>
      <w:tblPr>
        <w:tblStyle w:val="260"/>
        <w:tblW w:w="0" w:type="auto"/>
        <w:tblLook w:val="04A0" w:firstRow="1" w:lastRow="0" w:firstColumn="1" w:lastColumn="0" w:noHBand="0" w:noVBand="1"/>
      </w:tblPr>
      <w:tblGrid>
        <w:gridCol w:w="1651"/>
        <w:gridCol w:w="1402"/>
        <w:gridCol w:w="1480"/>
        <w:gridCol w:w="1402"/>
        <w:gridCol w:w="1419"/>
        <w:gridCol w:w="1308"/>
        <w:gridCol w:w="1617"/>
      </w:tblGrid>
      <w:tr w:rsidR="00851FF9" w:rsidRPr="00851FF9" w:rsidTr="003A1D5A">
        <w:trPr>
          <w:tblHeader/>
        </w:trPr>
        <w:tc>
          <w:tcPr>
            <w:tcW w:w="1552"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Тип организации</w:t>
            </w:r>
          </w:p>
        </w:tc>
        <w:tc>
          <w:tcPr>
            <w:tcW w:w="1259"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Ценовая доступность</w:t>
            </w:r>
          </w:p>
        </w:tc>
        <w:tc>
          <w:tcPr>
            <w:tcW w:w="1317"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Ассортимент услуг, программы лояльности</w:t>
            </w:r>
          </w:p>
        </w:tc>
        <w:tc>
          <w:tcPr>
            <w:tcW w:w="1259"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Физическая доступность</w:t>
            </w:r>
          </w:p>
        </w:tc>
        <w:tc>
          <w:tcPr>
            <w:tcW w:w="1256"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Известность бренда</w:t>
            </w:r>
          </w:p>
        </w:tc>
        <w:tc>
          <w:tcPr>
            <w:tcW w:w="1210"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Удобство сервисов удаленного доступа</w:t>
            </w:r>
          </w:p>
        </w:tc>
        <w:tc>
          <w:tcPr>
            <w:tcW w:w="1492"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Рекомендации третьих лиц</w:t>
            </w:r>
          </w:p>
        </w:tc>
      </w:tr>
      <w:tr w:rsidR="00851FF9" w:rsidRPr="00851FF9" w:rsidTr="003A1D5A">
        <w:tc>
          <w:tcPr>
            <w:tcW w:w="1552"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Банки (расчетно-кассовое обслуживание)</w:t>
            </w:r>
          </w:p>
        </w:tc>
        <w:tc>
          <w:tcPr>
            <w:tcW w:w="1259"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24,0%</w:t>
            </w:r>
          </w:p>
        </w:tc>
        <w:tc>
          <w:tcPr>
            <w:tcW w:w="131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60,0%</w:t>
            </w:r>
          </w:p>
        </w:tc>
        <w:tc>
          <w:tcPr>
            <w:tcW w:w="1259"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32,0%</w:t>
            </w:r>
          </w:p>
        </w:tc>
        <w:tc>
          <w:tcPr>
            <w:tcW w:w="1256"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32,0%</w:t>
            </w:r>
          </w:p>
        </w:tc>
        <w:tc>
          <w:tcPr>
            <w:tcW w:w="1210"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44,0%</w:t>
            </w:r>
          </w:p>
        </w:tc>
        <w:tc>
          <w:tcPr>
            <w:tcW w:w="149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16,0%</w:t>
            </w:r>
          </w:p>
        </w:tc>
      </w:tr>
      <w:tr w:rsidR="00851FF9" w:rsidRPr="00851FF9" w:rsidTr="003A1D5A">
        <w:tc>
          <w:tcPr>
            <w:tcW w:w="1552"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Банки (кредитование)</w:t>
            </w:r>
          </w:p>
        </w:tc>
        <w:tc>
          <w:tcPr>
            <w:tcW w:w="1259"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47,6%</w:t>
            </w:r>
          </w:p>
        </w:tc>
        <w:tc>
          <w:tcPr>
            <w:tcW w:w="131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42,9%</w:t>
            </w:r>
          </w:p>
        </w:tc>
        <w:tc>
          <w:tcPr>
            <w:tcW w:w="1259"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9,5%</w:t>
            </w:r>
          </w:p>
        </w:tc>
        <w:tc>
          <w:tcPr>
            <w:tcW w:w="1256"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9,5%</w:t>
            </w:r>
          </w:p>
        </w:tc>
        <w:tc>
          <w:tcPr>
            <w:tcW w:w="1210"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28,6%</w:t>
            </w:r>
          </w:p>
        </w:tc>
        <w:tc>
          <w:tcPr>
            <w:tcW w:w="149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14,3%</w:t>
            </w:r>
          </w:p>
        </w:tc>
      </w:tr>
      <w:tr w:rsidR="00851FF9" w:rsidRPr="00851FF9" w:rsidTr="003A1D5A">
        <w:tc>
          <w:tcPr>
            <w:tcW w:w="1552"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Страховые компании</w:t>
            </w:r>
          </w:p>
        </w:tc>
        <w:tc>
          <w:tcPr>
            <w:tcW w:w="1259"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57,1%</w:t>
            </w:r>
          </w:p>
        </w:tc>
        <w:tc>
          <w:tcPr>
            <w:tcW w:w="131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35,7%</w:t>
            </w:r>
          </w:p>
        </w:tc>
        <w:tc>
          <w:tcPr>
            <w:tcW w:w="1259"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14,3%</w:t>
            </w:r>
          </w:p>
        </w:tc>
        <w:tc>
          <w:tcPr>
            <w:tcW w:w="1256"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14,3%</w:t>
            </w:r>
          </w:p>
        </w:tc>
        <w:tc>
          <w:tcPr>
            <w:tcW w:w="1210"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7,1%</w:t>
            </w:r>
          </w:p>
        </w:tc>
        <w:tc>
          <w:tcPr>
            <w:tcW w:w="149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7,1%</w:t>
            </w:r>
          </w:p>
        </w:tc>
      </w:tr>
      <w:tr w:rsidR="00851FF9" w:rsidRPr="00851FF9" w:rsidTr="003A1D5A">
        <w:tc>
          <w:tcPr>
            <w:tcW w:w="1552"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Лизинговые компании</w:t>
            </w:r>
          </w:p>
        </w:tc>
        <w:tc>
          <w:tcPr>
            <w:tcW w:w="1259"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61,5%</w:t>
            </w:r>
          </w:p>
        </w:tc>
        <w:tc>
          <w:tcPr>
            <w:tcW w:w="131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23,1%</w:t>
            </w:r>
          </w:p>
        </w:tc>
        <w:tc>
          <w:tcPr>
            <w:tcW w:w="1259"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15,4%</w:t>
            </w:r>
          </w:p>
        </w:tc>
        <w:tc>
          <w:tcPr>
            <w:tcW w:w="1256"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15,4%</w:t>
            </w:r>
          </w:p>
        </w:tc>
        <w:tc>
          <w:tcPr>
            <w:tcW w:w="1210"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23,1%</w:t>
            </w:r>
          </w:p>
        </w:tc>
        <w:tc>
          <w:tcPr>
            <w:tcW w:w="149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15,4%</w:t>
            </w:r>
          </w:p>
        </w:tc>
      </w:tr>
      <w:tr w:rsidR="00851FF9" w:rsidRPr="00851FF9" w:rsidTr="003A1D5A">
        <w:tc>
          <w:tcPr>
            <w:tcW w:w="1552"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Факторинговые компании</w:t>
            </w:r>
          </w:p>
        </w:tc>
        <w:tc>
          <w:tcPr>
            <w:tcW w:w="1259"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0,0%</w:t>
            </w:r>
          </w:p>
        </w:tc>
        <w:tc>
          <w:tcPr>
            <w:tcW w:w="131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100,0%</w:t>
            </w:r>
          </w:p>
        </w:tc>
        <w:tc>
          <w:tcPr>
            <w:tcW w:w="1259"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0,0%</w:t>
            </w:r>
          </w:p>
        </w:tc>
        <w:tc>
          <w:tcPr>
            <w:tcW w:w="1256"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0,0%</w:t>
            </w:r>
          </w:p>
        </w:tc>
        <w:tc>
          <w:tcPr>
            <w:tcW w:w="1210"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0,0%</w:t>
            </w:r>
          </w:p>
        </w:tc>
        <w:tc>
          <w:tcPr>
            <w:tcW w:w="149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0,0%</w:t>
            </w:r>
          </w:p>
        </w:tc>
      </w:tr>
    </w:tbl>
    <w:p w:rsidR="00851FF9" w:rsidRPr="00851FF9" w:rsidRDefault="00851FF9" w:rsidP="00851FF9">
      <w:pPr>
        <w:spacing w:after="0" w:line="360" w:lineRule="auto"/>
        <w:ind w:firstLine="709"/>
        <w:jc w:val="both"/>
        <w:rPr>
          <w:rFonts w:ascii="Times New Roman" w:eastAsia="Times New Roman" w:hAnsi="Times New Roman" w:cs="Times New Roman"/>
          <w:color w:val="000000"/>
          <w:sz w:val="28"/>
          <w:szCs w:val="28"/>
          <w:lang w:eastAsia="ru-RU"/>
        </w:rPr>
      </w:pPr>
    </w:p>
    <w:p w:rsidR="00851FF9" w:rsidRPr="00851FF9" w:rsidRDefault="00851FF9" w:rsidP="00851FF9">
      <w:pPr>
        <w:spacing w:after="0" w:line="360" w:lineRule="auto"/>
        <w:ind w:firstLine="709"/>
        <w:jc w:val="both"/>
        <w:rPr>
          <w:rFonts w:ascii="Times New Roman" w:eastAsia="Times New Roman" w:hAnsi="Times New Roman" w:cs="Times New Roman"/>
          <w:color w:val="000000"/>
          <w:sz w:val="28"/>
          <w:szCs w:val="28"/>
          <w:lang w:eastAsia="ru-RU"/>
        </w:rPr>
      </w:pPr>
    </w:p>
    <w:p w:rsidR="00851FF9" w:rsidRPr="0010260C" w:rsidRDefault="0010260C" w:rsidP="00851FF9">
      <w:pPr>
        <w:keepNext/>
        <w:keepLines/>
        <w:pageBreakBefore/>
        <w:spacing w:before="40" w:after="240" w:line="240" w:lineRule="auto"/>
        <w:jc w:val="center"/>
        <w:outlineLvl w:val="2"/>
        <w:rPr>
          <w:rFonts w:ascii="Times New Roman" w:eastAsia="Arial" w:hAnsi="Times New Roman" w:cs="Times New Roman"/>
          <w:b/>
          <w:color w:val="000000"/>
          <w:sz w:val="24"/>
          <w:szCs w:val="24"/>
          <w:lang w:eastAsia="ru-RU"/>
        </w:rPr>
      </w:pPr>
      <w:bookmarkStart w:id="75" w:name="_Toc119695548"/>
      <w:bookmarkStart w:id="76" w:name="_Toc122720251"/>
      <w:r w:rsidRPr="0010260C">
        <w:rPr>
          <w:rFonts w:ascii="Times New Roman" w:eastAsia="Arial" w:hAnsi="Times New Roman" w:cs="Times New Roman"/>
          <w:b/>
          <w:color w:val="000000"/>
          <w:sz w:val="24"/>
          <w:szCs w:val="24"/>
          <w:lang w:eastAsia="ru-RU"/>
        </w:rPr>
        <w:t>3.6</w:t>
      </w:r>
      <w:r w:rsidR="00851FF9" w:rsidRPr="0010260C">
        <w:rPr>
          <w:rFonts w:ascii="Times New Roman" w:eastAsia="Arial" w:hAnsi="Times New Roman" w:cs="Times New Roman"/>
          <w:b/>
          <w:color w:val="000000"/>
          <w:sz w:val="24"/>
          <w:szCs w:val="24"/>
          <w:lang w:eastAsia="ru-RU"/>
        </w:rPr>
        <w:t xml:space="preserve">.5. Об </w:t>
      </w:r>
      <w:r w:rsidR="00851FF9" w:rsidRPr="0010260C">
        <w:rPr>
          <w:rFonts w:ascii="Times New Roman" w:eastAsia="Calibri" w:hAnsi="Times New Roman" w:cs="Times New Roman"/>
          <w:b/>
          <w:bCs/>
          <w:color w:val="000000"/>
          <w:sz w:val="24"/>
          <w:szCs w:val="24"/>
          <w:lang w:eastAsia="ru-RU"/>
        </w:rPr>
        <w:t>уровне удовлетворенности субъектов малого и среднего предпринимательства (юридических лиц) работой различных типов финансовых организаций, осуществляющих деятельность в субъекте Российской Федерации</w:t>
      </w:r>
      <w:bookmarkEnd w:id="75"/>
      <w:bookmarkEnd w:id="76"/>
    </w:p>
    <w:p w:rsidR="00851FF9" w:rsidRPr="0010260C" w:rsidRDefault="00851FF9" w:rsidP="00851FF9">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10260C">
        <w:rPr>
          <w:rFonts w:ascii="Times New Roman" w:eastAsia="Times New Roman" w:hAnsi="Times New Roman" w:cs="Times New Roman"/>
          <w:color w:val="000000"/>
          <w:sz w:val="24"/>
          <w:szCs w:val="24"/>
          <w:lang w:eastAsia="ru-RU"/>
        </w:rPr>
        <w:t>Согласно данным опроса, проведенного в рамках текущего мониторинга, уровень удовлетворенности работой различных финансовых организаций, как и уровень удовлетворенности их услугами, среди субъектов малого и среднего предпринимательства Ленинградской области неравномерен. Наиболее высоко предприниматели оценили работу банков (70% удовлетворены от числа опрошенных), и субъектов страхового дела (42%). Менее всего положительных оценок получили микрофинансовые организации (19%).</w:t>
      </w:r>
    </w:p>
    <w:p w:rsidR="00851FF9" w:rsidRPr="00851FF9" w:rsidRDefault="00851FF9" w:rsidP="0010260C">
      <w:pPr>
        <w:keepNext/>
        <w:keepLines/>
        <w:spacing w:before="120" w:after="120" w:line="240" w:lineRule="auto"/>
        <w:jc w:val="center"/>
        <w:rPr>
          <w:rFonts w:ascii="Times New Roman" w:eastAsia="Calibri" w:hAnsi="Times New Roman" w:cs="Times New Roman"/>
          <w:b/>
          <w:iCs/>
          <w:color w:val="000000"/>
          <w:sz w:val="24"/>
          <w:szCs w:val="24"/>
        </w:rPr>
      </w:pPr>
      <w:r w:rsidRPr="00851FF9">
        <w:rPr>
          <w:rFonts w:ascii="Times New Roman" w:eastAsia="Calibri" w:hAnsi="Times New Roman" w:cs="Times New Roman"/>
          <w:iCs/>
          <w:color w:val="000000"/>
          <w:sz w:val="24"/>
          <w:szCs w:val="24"/>
        </w:rPr>
        <w:t xml:space="preserve">Рисунок </w:t>
      </w:r>
      <w:r w:rsidR="0010260C">
        <w:rPr>
          <w:rFonts w:ascii="Times New Roman" w:eastAsia="Calibri" w:hAnsi="Times New Roman" w:cs="Times New Roman"/>
          <w:iCs/>
          <w:color w:val="000000"/>
          <w:sz w:val="24"/>
          <w:szCs w:val="24"/>
        </w:rPr>
        <w:t>47</w:t>
      </w:r>
      <w:r w:rsidRPr="00851FF9">
        <w:rPr>
          <w:rFonts w:ascii="Times New Roman" w:eastAsia="Calibri" w:hAnsi="Times New Roman" w:cs="Times New Roman"/>
          <w:iCs/>
          <w:color w:val="000000"/>
          <w:sz w:val="24"/>
          <w:szCs w:val="24"/>
        </w:rPr>
        <w:t xml:space="preserve">. </w:t>
      </w:r>
      <w:r w:rsidRPr="00851FF9">
        <w:rPr>
          <w:rFonts w:ascii="Times New Roman" w:eastAsia="Calibri" w:hAnsi="Times New Roman" w:cs="Times New Roman"/>
          <w:b/>
          <w:color w:val="000000"/>
          <w:sz w:val="24"/>
          <w:szCs w:val="24"/>
        </w:rPr>
        <w:t>Насколько Вы удовлетворены работой финансовых организаций в Ленинградской области, предоставляющих услуги бизнесу</w:t>
      </w:r>
      <w:r w:rsidRPr="00851FF9">
        <w:rPr>
          <w:rFonts w:ascii="Times New Roman" w:eastAsia="Calibri" w:hAnsi="Times New Roman" w:cs="Times New Roman"/>
          <w:b/>
          <w:iCs/>
          <w:color w:val="000000"/>
          <w:sz w:val="24"/>
          <w:szCs w:val="24"/>
        </w:rPr>
        <w:t xml:space="preserve">? </w:t>
      </w:r>
      <w:r w:rsidRPr="00851FF9">
        <w:rPr>
          <w:rFonts w:ascii="Times New Roman" w:eastAsia="Calibri" w:hAnsi="Times New Roman" w:cs="Times New Roman"/>
          <w:noProof/>
          <w:color w:val="000000"/>
          <w:sz w:val="24"/>
          <w:szCs w:val="24"/>
        </w:rPr>
        <w:t xml:space="preserve">(опрос предпринимателей, </w:t>
      </w:r>
      <w:r w:rsidRPr="00851FF9">
        <w:rPr>
          <w:rFonts w:ascii="Times New Roman" w:eastAsia="Calibri" w:hAnsi="Times New Roman" w:cs="Times New Roman"/>
          <w:color w:val="000000"/>
          <w:sz w:val="24"/>
          <w:szCs w:val="24"/>
        </w:rPr>
        <w:t>n=500)</w:t>
      </w:r>
    </w:p>
    <w:p w:rsidR="00851FF9" w:rsidRPr="00851FF9" w:rsidRDefault="00851FF9" w:rsidP="00851FF9">
      <w:pPr>
        <w:spacing w:before="120" w:after="120" w:line="360" w:lineRule="auto"/>
        <w:jc w:val="both"/>
        <w:rPr>
          <w:rFonts w:ascii="Times New Roman" w:eastAsia="Arial" w:hAnsi="Times New Roman" w:cs="Times New Roman"/>
          <w:color w:val="000000"/>
          <w:sz w:val="28"/>
          <w:szCs w:val="28"/>
          <w:lang w:eastAsia="ru-RU"/>
        </w:rPr>
      </w:pPr>
      <w:r w:rsidRPr="00851FF9">
        <w:rPr>
          <w:rFonts w:ascii="Times New Roman" w:eastAsia="Franklin Gothic Book" w:hAnsi="Times New Roman" w:cs="Times New Roman"/>
          <w:noProof/>
          <w:color w:val="000000"/>
          <w:szCs w:val="24"/>
          <w:u w:color="000000"/>
          <w:lang w:eastAsia="ru-RU"/>
        </w:rPr>
        <w:drawing>
          <wp:inline distT="0" distB="0" distL="0" distR="0" wp14:anchorId="1FE1C006" wp14:editId="329067BE">
            <wp:extent cx="6193155" cy="5114925"/>
            <wp:effectExtent l="0" t="0" r="0" b="0"/>
            <wp:docPr id="1056" name="Диаграмма 10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851FF9" w:rsidRPr="0010260C" w:rsidRDefault="00851FF9" w:rsidP="00851FF9">
      <w:pPr>
        <w:spacing w:after="0" w:line="360" w:lineRule="auto"/>
        <w:ind w:firstLine="709"/>
        <w:jc w:val="both"/>
        <w:rPr>
          <w:rFonts w:ascii="Times New Roman" w:eastAsia="Times New Roman" w:hAnsi="Times New Roman" w:cs="Times New Roman"/>
          <w:color w:val="000000"/>
          <w:sz w:val="24"/>
          <w:szCs w:val="24"/>
          <w:lang w:eastAsia="ru-RU"/>
        </w:rPr>
      </w:pPr>
      <w:r w:rsidRPr="0010260C">
        <w:rPr>
          <w:rFonts w:ascii="Times New Roman" w:eastAsia="Times New Roman" w:hAnsi="Times New Roman" w:cs="Times New Roman"/>
          <w:color w:val="000000"/>
          <w:sz w:val="24"/>
          <w:szCs w:val="24"/>
          <w:lang w:eastAsia="ru-RU"/>
        </w:rPr>
        <w:t xml:space="preserve">По данным опроса с участием 65 предприятий Ленинградской области, опубликованном в аналитическом обзоре Центрального Банка Российской Федерации </w:t>
      </w:r>
      <w:r w:rsidR="00F71AD2">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Доступность финансовых ресурсов. Ленингра</w:t>
      </w:r>
      <w:r w:rsidR="00F71AD2">
        <w:rPr>
          <w:rFonts w:ascii="Times New Roman" w:eastAsia="Times New Roman" w:hAnsi="Times New Roman" w:cs="Times New Roman"/>
          <w:color w:val="000000"/>
          <w:sz w:val="24"/>
          <w:szCs w:val="24"/>
          <w:lang w:eastAsia="ru-RU"/>
        </w:rPr>
        <w:t>дская область. I полугодие 2022»</w:t>
      </w:r>
      <w:r w:rsidRPr="0010260C">
        <w:rPr>
          <w:rFonts w:ascii="Times New Roman" w:eastAsia="Times New Roman" w:hAnsi="Times New Roman" w:cs="Times New Roman"/>
          <w:color w:val="000000"/>
          <w:sz w:val="24"/>
          <w:szCs w:val="24"/>
          <w:lang w:eastAsia="ru-RU"/>
        </w:rPr>
        <w:t xml:space="preserve">, уровень удовлетворенности предприятий соотношением цены и качества полученных услуг в кредитных организациях, лизинговых, факторинговых и страховых компаниях является достаточно высоким: 75% респондентов полностью удовлетворено соотношением </w:t>
      </w:r>
      <w:r w:rsidR="00F71AD2">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цена-качество</w:t>
      </w:r>
      <w:r w:rsidR="00F71AD2">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 xml:space="preserve"> при взаимодействии с банками в части расчетно-кассового обслуживания, 55% - в части кредитования.</w:t>
      </w:r>
    </w:p>
    <w:p w:rsidR="00851FF9" w:rsidRPr="00851FF9" w:rsidRDefault="00851FF9" w:rsidP="0010260C">
      <w:pPr>
        <w:keepNext/>
        <w:keepLines/>
        <w:spacing w:before="120" w:after="120" w:line="240" w:lineRule="auto"/>
        <w:jc w:val="center"/>
        <w:rPr>
          <w:rFonts w:ascii="Times New Roman" w:eastAsia="Calibri" w:hAnsi="Times New Roman" w:cs="Times New Roman"/>
          <w:color w:val="000000"/>
        </w:rPr>
      </w:pPr>
      <w:r w:rsidRPr="00851FF9">
        <w:rPr>
          <w:rFonts w:ascii="Times New Roman" w:eastAsia="Calibri" w:hAnsi="Times New Roman" w:cs="Times New Roman"/>
          <w:iCs/>
          <w:color w:val="000000"/>
          <w:sz w:val="24"/>
          <w:szCs w:val="28"/>
        </w:rPr>
        <w:t xml:space="preserve">Таблица </w:t>
      </w:r>
      <w:r w:rsidR="0010260C">
        <w:rPr>
          <w:rFonts w:ascii="Times New Roman" w:eastAsia="Calibri" w:hAnsi="Times New Roman" w:cs="Times New Roman"/>
          <w:iCs/>
          <w:color w:val="000000"/>
          <w:sz w:val="24"/>
          <w:szCs w:val="28"/>
        </w:rPr>
        <w:t>33</w:t>
      </w:r>
      <w:r w:rsidRPr="00851FF9">
        <w:rPr>
          <w:rFonts w:ascii="Times New Roman" w:eastAsia="Calibri" w:hAnsi="Times New Roman" w:cs="Times New Roman"/>
          <w:iCs/>
          <w:color w:val="000000"/>
          <w:sz w:val="24"/>
          <w:szCs w:val="28"/>
        </w:rPr>
        <w:t xml:space="preserve">. </w:t>
      </w:r>
      <w:r w:rsidRPr="00851FF9">
        <w:rPr>
          <w:rFonts w:ascii="Times New Roman" w:eastAsia="Calibri" w:hAnsi="Times New Roman" w:cs="Times New Roman"/>
          <w:b/>
          <w:bCs/>
          <w:iCs/>
          <w:color w:val="000000"/>
          <w:sz w:val="24"/>
          <w:szCs w:val="28"/>
        </w:rPr>
        <w:t>Уровень удовлетворенности предприятий соотношением цены и качества полученных услуг</w:t>
      </w:r>
      <w:r w:rsidRPr="00851FF9">
        <w:rPr>
          <w:rFonts w:ascii="Times New Roman" w:eastAsia="Calibri" w:hAnsi="Times New Roman" w:cs="Times New Roman"/>
          <w:iCs/>
          <w:color w:val="000000"/>
          <w:sz w:val="24"/>
          <w:szCs w:val="28"/>
        </w:rPr>
        <w:t xml:space="preserve"> (данные аналитического обзора Центрального Банка Российской Федерации)</w:t>
      </w:r>
    </w:p>
    <w:tbl>
      <w:tblPr>
        <w:tblStyle w:val="260"/>
        <w:tblW w:w="0" w:type="auto"/>
        <w:tblLook w:val="04A0" w:firstRow="1" w:lastRow="0" w:firstColumn="1" w:lastColumn="0" w:noHBand="0" w:noVBand="1"/>
      </w:tblPr>
      <w:tblGrid>
        <w:gridCol w:w="3540"/>
        <w:gridCol w:w="2496"/>
        <w:gridCol w:w="2363"/>
        <w:gridCol w:w="1880"/>
      </w:tblGrid>
      <w:tr w:rsidR="00851FF9" w:rsidRPr="00851FF9" w:rsidTr="003A1D5A">
        <w:trPr>
          <w:tblHeader/>
        </w:trPr>
        <w:tc>
          <w:tcPr>
            <w:tcW w:w="0" w:type="auto"/>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Тип компании</w:t>
            </w:r>
          </w:p>
        </w:tc>
        <w:tc>
          <w:tcPr>
            <w:tcW w:w="0" w:type="auto"/>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Полностью удовлетворены</w:t>
            </w:r>
          </w:p>
        </w:tc>
        <w:tc>
          <w:tcPr>
            <w:tcW w:w="0" w:type="auto"/>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Частично удовлетворены</w:t>
            </w:r>
          </w:p>
        </w:tc>
        <w:tc>
          <w:tcPr>
            <w:tcW w:w="0" w:type="auto"/>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Не удовлетворены</w:t>
            </w:r>
          </w:p>
        </w:tc>
      </w:tr>
      <w:tr w:rsidR="00851FF9" w:rsidRPr="00851FF9" w:rsidTr="003A1D5A">
        <w:tc>
          <w:tcPr>
            <w:tcW w:w="0" w:type="auto"/>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Банки (расчетно-кассовое обслуживание)</w:t>
            </w:r>
          </w:p>
        </w:tc>
        <w:tc>
          <w:tcPr>
            <w:tcW w:w="0" w:type="auto"/>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75,0%</w:t>
            </w:r>
          </w:p>
        </w:tc>
        <w:tc>
          <w:tcPr>
            <w:tcW w:w="0" w:type="auto"/>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17,9%</w:t>
            </w:r>
          </w:p>
        </w:tc>
        <w:tc>
          <w:tcPr>
            <w:tcW w:w="0" w:type="auto"/>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7,1%</w:t>
            </w:r>
          </w:p>
        </w:tc>
      </w:tr>
      <w:tr w:rsidR="00851FF9" w:rsidRPr="00851FF9" w:rsidTr="003A1D5A">
        <w:tc>
          <w:tcPr>
            <w:tcW w:w="0" w:type="auto"/>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Банки (кредитование)</w:t>
            </w:r>
          </w:p>
        </w:tc>
        <w:tc>
          <w:tcPr>
            <w:tcW w:w="0" w:type="auto"/>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55,0%</w:t>
            </w:r>
          </w:p>
        </w:tc>
        <w:tc>
          <w:tcPr>
            <w:tcW w:w="0" w:type="auto"/>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40,0%</w:t>
            </w:r>
          </w:p>
        </w:tc>
        <w:tc>
          <w:tcPr>
            <w:tcW w:w="0" w:type="auto"/>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5,0%</w:t>
            </w:r>
          </w:p>
        </w:tc>
      </w:tr>
      <w:tr w:rsidR="00851FF9" w:rsidRPr="00851FF9" w:rsidTr="003A1D5A">
        <w:tc>
          <w:tcPr>
            <w:tcW w:w="0" w:type="auto"/>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Страховые компании</w:t>
            </w:r>
          </w:p>
        </w:tc>
        <w:tc>
          <w:tcPr>
            <w:tcW w:w="0" w:type="auto"/>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73,3%</w:t>
            </w:r>
          </w:p>
        </w:tc>
        <w:tc>
          <w:tcPr>
            <w:tcW w:w="0" w:type="auto"/>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26,7%</w:t>
            </w:r>
          </w:p>
        </w:tc>
        <w:tc>
          <w:tcPr>
            <w:tcW w:w="0" w:type="auto"/>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 xml:space="preserve">- </w:t>
            </w:r>
          </w:p>
        </w:tc>
      </w:tr>
      <w:tr w:rsidR="00851FF9" w:rsidRPr="00851FF9" w:rsidTr="003A1D5A">
        <w:tc>
          <w:tcPr>
            <w:tcW w:w="0" w:type="auto"/>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Лизинговые компании</w:t>
            </w:r>
          </w:p>
        </w:tc>
        <w:tc>
          <w:tcPr>
            <w:tcW w:w="0" w:type="auto"/>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50,0%</w:t>
            </w:r>
          </w:p>
        </w:tc>
        <w:tc>
          <w:tcPr>
            <w:tcW w:w="0" w:type="auto"/>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42,9%</w:t>
            </w:r>
          </w:p>
        </w:tc>
        <w:tc>
          <w:tcPr>
            <w:tcW w:w="0" w:type="auto"/>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7,1%</w:t>
            </w:r>
          </w:p>
        </w:tc>
      </w:tr>
      <w:tr w:rsidR="00851FF9" w:rsidRPr="00851FF9" w:rsidTr="003A1D5A">
        <w:tc>
          <w:tcPr>
            <w:tcW w:w="0" w:type="auto"/>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Факторинговые компании</w:t>
            </w:r>
          </w:p>
        </w:tc>
        <w:tc>
          <w:tcPr>
            <w:tcW w:w="0" w:type="auto"/>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50,0%</w:t>
            </w:r>
          </w:p>
        </w:tc>
        <w:tc>
          <w:tcPr>
            <w:tcW w:w="0" w:type="auto"/>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50,0%</w:t>
            </w:r>
          </w:p>
        </w:tc>
        <w:tc>
          <w:tcPr>
            <w:tcW w:w="0" w:type="auto"/>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w:t>
            </w:r>
          </w:p>
        </w:tc>
      </w:tr>
    </w:tbl>
    <w:p w:rsidR="00851FF9" w:rsidRPr="00851FF9" w:rsidRDefault="00851FF9" w:rsidP="00851FF9">
      <w:pPr>
        <w:spacing w:after="0" w:line="360" w:lineRule="auto"/>
        <w:ind w:firstLine="709"/>
        <w:jc w:val="both"/>
        <w:rPr>
          <w:rFonts w:ascii="Times New Roman" w:eastAsia="Times New Roman" w:hAnsi="Times New Roman" w:cs="Times New Roman"/>
          <w:color w:val="000000"/>
          <w:sz w:val="28"/>
          <w:szCs w:val="28"/>
          <w:lang w:eastAsia="ru-RU"/>
        </w:rPr>
      </w:pPr>
    </w:p>
    <w:p w:rsidR="00851FF9" w:rsidRPr="0010260C" w:rsidRDefault="00851FF9" w:rsidP="00851FF9">
      <w:pPr>
        <w:spacing w:after="0" w:line="360" w:lineRule="auto"/>
        <w:ind w:firstLine="709"/>
        <w:jc w:val="both"/>
        <w:rPr>
          <w:rFonts w:ascii="Times New Roman" w:eastAsia="Times New Roman" w:hAnsi="Times New Roman" w:cs="Times New Roman"/>
          <w:color w:val="000000"/>
          <w:sz w:val="24"/>
          <w:szCs w:val="24"/>
          <w:lang w:eastAsia="ru-RU"/>
        </w:rPr>
      </w:pPr>
      <w:r w:rsidRPr="0010260C">
        <w:rPr>
          <w:rFonts w:ascii="Times New Roman" w:eastAsia="Times New Roman" w:hAnsi="Times New Roman" w:cs="Times New Roman"/>
          <w:color w:val="000000"/>
          <w:sz w:val="24"/>
          <w:szCs w:val="24"/>
          <w:lang w:eastAsia="ru-RU"/>
        </w:rPr>
        <w:t xml:space="preserve">Эти данные подтверждаются данными исследования Центрального Банка Российской Федерации, представленным в ответе на запрос о предоставлении информации №Т-241-1-10/5639 от 08.11.2022, согласно которым удовлетворенность качеством услуг является в целом высокой. Наибольшая удовлетворенность отмечается в отношении услуг РКО (сумма ответов </w:t>
      </w:r>
      <w:r w:rsidR="00F71AD2">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полностью удовлетворена</w:t>
      </w:r>
      <w:r w:rsidR="00F71AD2">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 xml:space="preserve"> и </w:t>
      </w:r>
      <w:r w:rsidR="00F71AD2">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в целом удовлетворена</w:t>
      </w:r>
      <w:r w:rsidR="00F71AD2">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 xml:space="preserve"> - 75,6%), зарплатных проектов (сумма ответов </w:t>
      </w:r>
      <w:r w:rsidR="00F71AD2">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полностью удовлетворена</w:t>
      </w:r>
      <w:r w:rsidR="00F71AD2">
        <w:rPr>
          <w:rFonts w:ascii="Times New Roman" w:eastAsia="Times New Roman" w:hAnsi="Times New Roman" w:cs="Times New Roman"/>
          <w:color w:val="000000"/>
          <w:sz w:val="24"/>
          <w:szCs w:val="24"/>
          <w:lang w:eastAsia="ru-RU"/>
        </w:rPr>
        <w:t xml:space="preserve">» </w:t>
      </w:r>
      <w:r w:rsidRPr="0010260C">
        <w:rPr>
          <w:rFonts w:ascii="Times New Roman" w:eastAsia="Times New Roman" w:hAnsi="Times New Roman" w:cs="Times New Roman"/>
          <w:color w:val="000000"/>
          <w:sz w:val="24"/>
          <w:szCs w:val="24"/>
          <w:lang w:eastAsia="ru-RU"/>
        </w:rPr>
        <w:t xml:space="preserve">и </w:t>
      </w:r>
      <w:r w:rsidR="00F71AD2">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в целом удовлетворена</w:t>
      </w:r>
      <w:r w:rsidR="00F71AD2">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 xml:space="preserve"> - 70,0%) и кредитования (сумма ответов </w:t>
      </w:r>
      <w:r w:rsidR="00F71AD2">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полностью удовлетворена" и "в целом удовлетворена</w:t>
      </w:r>
      <w:r w:rsidR="00F71AD2">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 xml:space="preserve"> - 61,9%). Наименьшая удовлетворенность отмечается в отношении страхования имущества ДМС работников (ответ "не удовлетворена" – 11,4%) и (ответ </w:t>
      </w:r>
      <w:r w:rsidR="00F71AD2">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не удовлетворена</w:t>
      </w:r>
      <w:r w:rsidR="00F71AD2">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 xml:space="preserve"> – 11,1%). </w:t>
      </w:r>
    </w:p>
    <w:p w:rsidR="00851FF9" w:rsidRPr="00851FF9" w:rsidRDefault="00851FF9" w:rsidP="0010260C">
      <w:pPr>
        <w:keepNext/>
        <w:keepLines/>
        <w:spacing w:before="120" w:after="120" w:line="240" w:lineRule="auto"/>
        <w:jc w:val="center"/>
        <w:rPr>
          <w:rFonts w:ascii="Times New Roman" w:eastAsia="Calibri" w:hAnsi="Times New Roman" w:cs="Times New Roman"/>
          <w:iCs/>
          <w:color w:val="000000"/>
          <w:sz w:val="24"/>
          <w:szCs w:val="28"/>
        </w:rPr>
      </w:pPr>
      <w:r w:rsidRPr="00851FF9">
        <w:rPr>
          <w:rFonts w:ascii="Times New Roman" w:eastAsia="Calibri" w:hAnsi="Times New Roman" w:cs="Times New Roman"/>
          <w:iCs/>
          <w:color w:val="000000"/>
          <w:sz w:val="24"/>
          <w:szCs w:val="28"/>
        </w:rPr>
        <w:t xml:space="preserve">Таблица </w:t>
      </w:r>
      <w:r w:rsidR="0010260C">
        <w:rPr>
          <w:rFonts w:ascii="Times New Roman" w:eastAsia="Calibri" w:hAnsi="Times New Roman" w:cs="Times New Roman"/>
          <w:iCs/>
          <w:color w:val="000000"/>
          <w:sz w:val="24"/>
          <w:szCs w:val="28"/>
        </w:rPr>
        <w:t>34</w:t>
      </w:r>
      <w:r w:rsidRPr="00851FF9">
        <w:rPr>
          <w:rFonts w:ascii="Times New Roman" w:eastAsia="Calibri" w:hAnsi="Times New Roman" w:cs="Times New Roman"/>
          <w:iCs/>
          <w:color w:val="000000"/>
          <w:sz w:val="24"/>
          <w:szCs w:val="28"/>
        </w:rPr>
        <w:t xml:space="preserve">. </w:t>
      </w:r>
      <w:r w:rsidRPr="00851FF9">
        <w:rPr>
          <w:rFonts w:ascii="Times New Roman" w:eastAsia="Calibri" w:hAnsi="Times New Roman" w:cs="Times New Roman"/>
          <w:b/>
          <w:bCs/>
          <w:iCs/>
          <w:color w:val="000000"/>
          <w:sz w:val="24"/>
          <w:szCs w:val="28"/>
        </w:rPr>
        <w:t>Насколько Ваша компания удовлетворена финансовыми услугами в Вашем регионе (качество услуги)?</w:t>
      </w:r>
      <w:r w:rsidRPr="00851FF9">
        <w:rPr>
          <w:rFonts w:ascii="Times New Roman" w:eastAsia="Calibri" w:hAnsi="Times New Roman" w:cs="Times New Roman"/>
          <w:iCs/>
          <w:color w:val="000000"/>
          <w:sz w:val="24"/>
          <w:szCs w:val="28"/>
        </w:rPr>
        <w:t xml:space="preserve"> (данные аналитического обзора Центрального Банка Российской Федерации)</w:t>
      </w:r>
    </w:p>
    <w:tbl>
      <w:tblPr>
        <w:tblStyle w:val="260"/>
        <w:tblW w:w="10031" w:type="dxa"/>
        <w:tblLook w:val="04A0" w:firstRow="1" w:lastRow="0" w:firstColumn="1" w:lastColumn="0" w:noHBand="0" w:noVBand="1"/>
      </w:tblPr>
      <w:tblGrid>
        <w:gridCol w:w="2047"/>
        <w:gridCol w:w="1681"/>
        <w:gridCol w:w="1681"/>
        <w:gridCol w:w="1681"/>
        <w:gridCol w:w="1681"/>
        <w:gridCol w:w="1363"/>
      </w:tblGrid>
      <w:tr w:rsidR="00851FF9" w:rsidRPr="00851FF9" w:rsidTr="003A1D5A">
        <w:trPr>
          <w:tblHeader/>
        </w:trPr>
        <w:tc>
          <w:tcPr>
            <w:tcW w:w="2047"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Тип услуги</w:t>
            </w:r>
          </w:p>
        </w:tc>
        <w:tc>
          <w:tcPr>
            <w:tcW w:w="1593"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Полностью удовлетворена</w:t>
            </w:r>
          </w:p>
        </w:tc>
        <w:tc>
          <w:tcPr>
            <w:tcW w:w="1593"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В целом удовлетворена</w:t>
            </w:r>
          </w:p>
        </w:tc>
        <w:tc>
          <w:tcPr>
            <w:tcW w:w="1593"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Частично удовлетворена</w:t>
            </w:r>
          </w:p>
        </w:tc>
        <w:tc>
          <w:tcPr>
            <w:tcW w:w="1593"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Не удовлетворена</w:t>
            </w:r>
          </w:p>
        </w:tc>
        <w:tc>
          <w:tcPr>
            <w:tcW w:w="1612"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Не используем</w:t>
            </w:r>
          </w:p>
        </w:tc>
      </w:tr>
      <w:tr w:rsidR="00851FF9" w:rsidRPr="00851FF9" w:rsidTr="003A1D5A">
        <w:tc>
          <w:tcPr>
            <w:tcW w:w="204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РКО</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8,9%</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66,7%</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20,0%</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4,4%</w:t>
            </w:r>
          </w:p>
        </w:tc>
        <w:tc>
          <w:tcPr>
            <w:tcW w:w="161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0,0%</w:t>
            </w:r>
          </w:p>
        </w:tc>
      </w:tr>
      <w:tr w:rsidR="00851FF9" w:rsidRPr="00851FF9" w:rsidTr="003A1D5A">
        <w:tc>
          <w:tcPr>
            <w:tcW w:w="204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Кредитование</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11,9%</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50,0%</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26,2%</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7,1%</w:t>
            </w:r>
          </w:p>
        </w:tc>
        <w:tc>
          <w:tcPr>
            <w:tcW w:w="161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4,8%</w:t>
            </w:r>
          </w:p>
        </w:tc>
      </w:tr>
      <w:tr w:rsidR="00851FF9" w:rsidRPr="00851FF9" w:rsidTr="003A1D5A">
        <w:tc>
          <w:tcPr>
            <w:tcW w:w="204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Услуги эквайринга</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14,0%</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44,2%</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16,3%</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7,0%</w:t>
            </w:r>
          </w:p>
        </w:tc>
        <w:tc>
          <w:tcPr>
            <w:tcW w:w="161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18,6%</w:t>
            </w:r>
          </w:p>
        </w:tc>
      </w:tr>
      <w:tr w:rsidR="00851FF9" w:rsidRPr="00851FF9" w:rsidTr="003A1D5A">
        <w:tc>
          <w:tcPr>
            <w:tcW w:w="204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Зарплатные проекты</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12,5%</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57,5%</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15,0%</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5,0%</w:t>
            </w:r>
          </w:p>
        </w:tc>
        <w:tc>
          <w:tcPr>
            <w:tcW w:w="161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10,0%</w:t>
            </w:r>
          </w:p>
        </w:tc>
      </w:tr>
      <w:tr w:rsidR="00851FF9" w:rsidRPr="00851FF9" w:rsidTr="003A1D5A">
        <w:tc>
          <w:tcPr>
            <w:tcW w:w="204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Страхование имущества</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5,6%</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30,6%</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30,6%</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11,1%</w:t>
            </w:r>
          </w:p>
        </w:tc>
        <w:tc>
          <w:tcPr>
            <w:tcW w:w="161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22,2%</w:t>
            </w:r>
          </w:p>
        </w:tc>
      </w:tr>
      <w:tr w:rsidR="00851FF9" w:rsidRPr="00851FF9" w:rsidTr="003A1D5A">
        <w:tc>
          <w:tcPr>
            <w:tcW w:w="204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ДМС работников</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2,9%</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34,3%</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25,7%</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11,4%</w:t>
            </w:r>
          </w:p>
        </w:tc>
        <w:tc>
          <w:tcPr>
            <w:tcW w:w="161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25,7%</w:t>
            </w:r>
          </w:p>
        </w:tc>
      </w:tr>
      <w:tr w:rsidR="00851FF9" w:rsidRPr="00851FF9" w:rsidTr="003A1D5A">
        <w:tc>
          <w:tcPr>
            <w:tcW w:w="204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Профессиональные участники рынка ценных бумаг</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3,0%</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27,3%</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6,1%</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6,1%</w:t>
            </w:r>
          </w:p>
        </w:tc>
        <w:tc>
          <w:tcPr>
            <w:tcW w:w="161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57,6%</w:t>
            </w:r>
          </w:p>
        </w:tc>
      </w:tr>
      <w:tr w:rsidR="00851FF9" w:rsidRPr="00851FF9" w:rsidTr="003A1D5A">
        <w:tc>
          <w:tcPr>
            <w:tcW w:w="204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Микрофинансовые организации</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8,3%</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30,6%</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2,8%</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8,3%</w:t>
            </w:r>
          </w:p>
        </w:tc>
        <w:tc>
          <w:tcPr>
            <w:tcW w:w="161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50,0%</w:t>
            </w:r>
          </w:p>
        </w:tc>
      </w:tr>
    </w:tbl>
    <w:p w:rsidR="00851FF9" w:rsidRPr="00851FF9" w:rsidRDefault="00851FF9" w:rsidP="00851FF9">
      <w:pPr>
        <w:spacing w:after="0" w:line="360" w:lineRule="auto"/>
        <w:ind w:firstLine="709"/>
        <w:jc w:val="both"/>
        <w:rPr>
          <w:rFonts w:ascii="Times New Roman" w:eastAsia="Times New Roman" w:hAnsi="Times New Roman" w:cs="Times New Roman"/>
          <w:color w:val="000000"/>
          <w:sz w:val="28"/>
          <w:szCs w:val="28"/>
          <w:lang w:eastAsia="ru-RU"/>
        </w:rPr>
      </w:pPr>
    </w:p>
    <w:p w:rsidR="00851FF9" w:rsidRPr="0010260C" w:rsidRDefault="00851FF9" w:rsidP="00851FF9">
      <w:pPr>
        <w:spacing w:after="0" w:line="360" w:lineRule="auto"/>
        <w:ind w:firstLine="709"/>
        <w:jc w:val="both"/>
        <w:rPr>
          <w:rFonts w:ascii="Times New Roman" w:eastAsia="Times New Roman" w:hAnsi="Times New Roman" w:cs="Times New Roman"/>
          <w:color w:val="000000"/>
          <w:sz w:val="24"/>
          <w:szCs w:val="24"/>
          <w:lang w:eastAsia="ru-RU"/>
        </w:rPr>
      </w:pPr>
      <w:r w:rsidRPr="0010260C">
        <w:rPr>
          <w:rFonts w:ascii="Times New Roman" w:eastAsia="Times New Roman" w:hAnsi="Times New Roman" w:cs="Times New Roman"/>
          <w:color w:val="000000"/>
          <w:sz w:val="24"/>
          <w:szCs w:val="24"/>
          <w:lang w:eastAsia="ru-RU"/>
        </w:rPr>
        <w:t xml:space="preserve">Динамика качества услуг за </w:t>
      </w:r>
      <w:r w:rsidR="0010260C" w:rsidRPr="0010260C">
        <w:rPr>
          <w:rFonts w:ascii="Times New Roman" w:eastAsia="Times New Roman" w:hAnsi="Times New Roman" w:cs="Times New Roman"/>
          <w:color w:val="000000"/>
          <w:sz w:val="24"/>
          <w:szCs w:val="24"/>
          <w:lang w:eastAsia="ru-RU"/>
        </w:rPr>
        <w:t>последние годы</w:t>
      </w:r>
      <w:r w:rsidRPr="0010260C">
        <w:rPr>
          <w:rFonts w:ascii="Times New Roman" w:eastAsia="Times New Roman" w:hAnsi="Times New Roman" w:cs="Times New Roman"/>
          <w:color w:val="000000"/>
          <w:sz w:val="24"/>
          <w:szCs w:val="24"/>
          <w:lang w:eastAsia="ru-RU"/>
        </w:rPr>
        <w:t xml:space="preserve"> в целом незначительна (Таблица </w:t>
      </w:r>
      <w:r w:rsidR="0010260C" w:rsidRPr="0010260C">
        <w:rPr>
          <w:rFonts w:ascii="Times New Roman" w:eastAsia="Times New Roman" w:hAnsi="Times New Roman" w:cs="Times New Roman"/>
          <w:color w:val="000000"/>
          <w:sz w:val="24"/>
          <w:szCs w:val="24"/>
          <w:lang w:eastAsia="ru-RU"/>
        </w:rPr>
        <w:t>35</w:t>
      </w:r>
      <w:r w:rsidRPr="0010260C">
        <w:rPr>
          <w:rFonts w:ascii="Times New Roman" w:eastAsia="Times New Roman" w:hAnsi="Times New Roman" w:cs="Times New Roman"/>
          <w:color w:val="000000"/>
          <w:sz w:val="24"/>
          <w:szCs w:val="24"/>
          <w:lang w:eastAsia="ru-RU"/>
        </w:rPr>
        <w:t>). Некоторая положительная динамика наблюдается в отнош</w:t>
      </w:r>
      <w:r w:rsidR="00F71AD2">
        <w:rPr>
          <w:rFonts w:ascii="Times New Roman" w:eastAsia="Times New Roman" w:hAnsi="Times New Roman" w:cs="Times New Roman"/>
          <w:color w:val="000000"/>
          <w:sz w:val="24"/>
          <w:szCs w:val="24"/>
          <w:lang w:eastAsia="ru-RU"/>
        </w:rPr>
        <w:t>ении качества услуг РКО (ответ «</w:t>
      </w:r>
      <w:r w:rsidRPr="0010260C">
        <w:rPr>
          <w:rFonts w:ascii="Times New Roman" w:eastAsia="Times New Roman" w:hAnsi="Times New Roman" w:cs="Times New Roman"/>
          <w:color w:val="000000"/>
          <w:sz w:val="24"/>
          <w:szCs w:val="24"/>
          <w:lang w:eastAsia="ru-RU"/>
        </w:rPr>
        <w:t>заметно увеличилась</w:t>
      </w:r>
      <w:r w:rsidR="00F71AD2">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 xml:space="preserve"> - 4,4%, </w:t>
      </w:r>
      <w:r w:rsidR="00F71AD2">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уменьшилась</w:t>
      </w:r>
      <w:r w:rsidR="00F71AD2">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 xml:space="preserve"> - 0,0%). Неоднозначно оценивается динамика качества услуг п</w:t>
      </w:r>
      <w:r w:rsidR="00F71AD2">
        <w:rPr>
          <w:rFonts w:ascii="Times New Roman" w:eastAsia="Times New Roman" w:hAnsi="Times New Roman" w:cs="Times New Roman"/>
          <w:color w:val="000000"/>
          <w:sz w:val="24"/>
          <w:szCs w:val="24"/>
          <w:lang w:eastAsia="ru-RU"/>
        </w:rPr>
        <w:t>о страхованию имущества (ответ «уменьшилась»</w:t>
      </w:r>
      <w:r w:rsidRPr="0010260C">
        <w:rPr>
          <w:rFonts w:ascii="Times New Roman" w:eastAsia="Times New Roman" w:hAnsi="Times New Roman" w:cs="Times New Roman"/>
          <w:color w:val="000000"/>
          <w:sz w:val="24"/>
          <w:szCs w:val="24"/>
          <w:lang w:eastAsia="ru-RU"/>
        </w:rPr>
        <w:t xml:space="preserve"> - 11,8% при ответах </w:t>
      </w:r>
      <w:r w:rsidR="00F71AD2">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увеличилась</w:t>
      </w:r>
      <w:r w:rsidR="00F71AD2">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 xml:space="preserve"> - 2,9% и "незначительно увеличилась – 20,6%).</w:t>
      </w:r>
    </w:p>
    <w:p w:rsidR="00851FF9" w:rsidRPr="00851FF9" w:rsidRDefault="00851FF9" w:rsidP="00851FF9">
      <w:pPr>
        <w:spacing w:after="0" w:line="360" w:lineRule="auto"/>
        <w:ind w:firstLine="709"/>
        <w:jc w:val="both"/>
        <w:rPr>
          <w:rFonts w:ascii="Times New Roman" w:eastAsia="Times New Roman" w:hAnsi="Times New Roman" w:cs="Times New Roman"/>
          <w:color w:val="000000"/>
          <w:sz w:val="28"/>
          <w:szCs w:val="28"/>
          <w:lang w:eastAsia="ru-RU"/>
        </w:rPr>
      </w:pPr>
    </w:p>
    <w:p w:rsidR="00851FF9" w:rsidRPr="00851FF9" w:rsidRDefault="00851FF9" w:rsidP="0010260C">
      <w:pPr>
        <w:keepNext/>
        <w:keepLines/>
        <w:pageBreakBefore/>
        <w:spacing w:before="120" w:after="120" w:line="240" w:lineRule="auto"/>
        <w:jc w:val="center"/>
        <w:rPr>
          <w:rFonts w:ascii="Times New Roman" w:eastAsia="Calibri" w:hAnsi="Times New Roman" w:cs="Times New Roman"/>
          <w:iCs/>
          <w:color w:val="000000"/>
          <w:sz w:val="24"/>
          <w:szCs w:val="28"/>
        </w:rPr>
      </w:pPr>
      <w:r w:rsidRPr="00851FF9">
        <w:rPr>
          <w:rFonts w:ascii="Times New Roman" w:eastAsia="Calibri" w:hAnsi="Times New Roman" w:cs="Times New Roman"/>
          <w:iCs/>
          <w:color w:val="000000"/>
          <w:sz w:val="24"/>
          <w:szCs w:val="28"/>
        </w:rPr>
        <w:t xml:space="preserve">Таблица </w:t>
      </w:r>
      <w:r w:rsidR="0010260C">
        <w:rPr>
          <w:rFonts w:ascii="Times New Roman" w:eastAsia="Calibri" w:hAnsi="Times New Roman" w:cs="Times New Roman"/>
          <w:iCs/>
          <w:color w:val="000000"/>
          <w:sz w:val="24"/>
          <w:szCs w:val="28"/>
        </w:rPr>
        <w:t>35</w:t>
      </w:r>
      <w:r w:rsidRPr="00851FF9">
        <w:rPr>
          <w:rFonts w:ascii="Times New Roman" w:eastAsia="Calibri" w:hAnsi="Times New Roman" w:cs="Times New Roman"/>
          <w:iCs/>
          <w:color w:val="000000"/>
          <w:sz w:val="24"/>
          <w:szCs w:val="28"/>
        </w:rPr>
        <w:t xml:space="preserve">. </w:t>
      </w:r>
      <w:r w:rsidRPr="00851FF9">
        <w:rPr>
          <w:rFonts w:ascii="Times New Roman" w:eastAsia="Calibri" w:hAnsi="Times New Roman" w:cs="Times New Roman"/>
          <w:b/>
          <w:bCs/>
          <w:iCs/>
          <w:color w:val="000000"/>
          <w:sz w:val="24"/>
          <w:szCs w:val="28"/>
        </w:rPr>
        <w:t xml:space="preserve">Как изменилась удовлетворенность Вашей компанией финансовыми услугами в Вашем регионе за </w:t>
      </w:r>
      <w:r w:rsidR="0010260C">
        <w:rPr>
          <w:rFonts w:ascii="Times New Roman" w:eastAsia="Calibri" w:hAnsi="Times New Roman" w:cs="Times New Roman"/>
          <w:b/>
          <w:bCs/>
          <w:iCs/>
          <w:color w:val="000000"/>
          <w:sz w:val="24"/>
          <w:szCs w:val="28"/>
        </w:rPr>
        <w:t>последние годы</w:t>
      </w:r>
      <w:r w:rsidRPr="00851FF9">
        <w:rPr>
          <w:rFonts w:ascii="Times New Roman" w:eastAsia="Calibri" w:hAnsi="Times New Roman" w:cs="Times New Roman"/>
          <w:b/>
          <w:bCs/>
          <w:iCs/>
          <w:color w:val="000000"/>
          <w:sz w:val="24"/>
          <w:szCs w:val="28"/>
        </w:rPr>
        <w:t xml:space="preserve"> (качество услуги)?</w:t>
      </w:r>
      <w:r w:rsidRPr="00851FF9">
        <w:rPr>
          <w:rFonts w:ascii="Times New Roman" w:eastAsia="Calibri" w:hAnsi="Times New Roman" w:cs="Times New Roman"/>
          <w:iCs/>
          <w:color w:val="000000"/>
          <w:sz w:val="24"/>
          <w:szCs w:val="28"/>
        </w:rPr>
        <w:t xml:space="preserve"> (данные аналитического обзора Центрального Банка Российской Федерации)</w:t>
      </w:r>
    </w:p>
    <w:tbl>
      <w:tblPr>
        <w:tblStyle w:val="260"/>
        <w:tblW w:w="0" w:type="auto"/>
        <w:tblLayout w:type="fixed"/>
        <w:tblLook w:val="04A0" w:firstRow="1" w:lastRow="0" w:firstColumn="1" w:lastColumn="0" w:noHBand="0" w:noVBand="1"/>
      </w:tblPr>
      <w:tblGrid>
        <w:gridCol w:w="2066"/>
        <w:gridCol w:w="1564"/>
        <w:gridCol w:w="1565"/>
        <w:gridCol w:w="1564"/>
        <w:gridCol w:w="1565"/>
        <w:gridCol w:w="1565"/>
      </w:tblGrid>
      <w:tr w:rsidR="00851FF9" w:rsidRPr="00851FF9" w:rsidTr="003A1D5A">
        <w:trPr>
          <w:tblHeader/>
        </w:trPr>
        <w:tc>
          <w:tcPr>
            <w:tcW w:w="2066"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Тип услуги</w:t>
            </w:r>
          </w:p>
        </w:tc>
        <w:tc>
          <w:tcPr>
            <w:tcW w:w="1564"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Заметно увеличилась</w:t>
            </w:r>
          </w:p>
        </w:tc>
        <w:tc>
          <w:tcPr>
            <w:tcW w:w="156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Незначительно увеличилась</w:t>
            </w:r>
          </w:p>
        </w:tc>
        <w:tc>
          <w:tcPr>
            <w:tcW w:w="1564"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Не изменилась</w:t>
            </w:r>
          </w:p>
        </w:tc>
        <w:tc>
          <w:tcPr>
            <w:tcW w:w="156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Уменьшилась</w:t>
            </w:r>
          </w:p>
        </w:tc>
        <w:tc>
          <w:tcPr>
            <w:tcW w:w="156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Не используем</w:t>
            </w:r>
          </w:p>
        </w:tc>
      </w:tr>
      <w:tr w:rsidR="00851FF9" w:rsidRPr="00851FF9" w:rsidTr="003A1D5A">
        <w:tc>
          <w:tcPr>
            <w:tcW w:w="2066"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РКО</w:t>
            </w:r>
          </w:p>
        </w:tc>
        <w:tc>
          <w:tcPr>
            <w:tcW w:w="1564"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4,4%</w:t>
            </w:r>
          </w:p>
        </w:tc>
        <w:tc>
          <w:tcPr>
            <w:tcW w:w="156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35,6%</w:t>
            </w:r>
          </w:p>
        </w:tc>
        <w:tc>
          <w:tcPr>
            <w:tcW w:w="1564"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60,0%</w:t>
            </w:r>
          </w:p>
        </w:tc>
        <w:tc>
          <w:tcPr>
            <w:tcW w:w="156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0,0%</w:t>
            </w:r>
          </w:p>
        </w:tc>
        <w:tc>
          <w:tcPr>
            <w:tcW w:w="156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0,0%</w:t>
            </w:r>
          </w:p>
        </w:tc>
      </w:tr>
      <w:tr w:rsidR="00851FF9" w:rsidRPr="00851FF9" w:rsidTr="003A1D5A">
        <w:tc>
          <w:tcPr>
            <w:tcW w:w="2066"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Кредитование</w:t>
            </w:r>
          </w:p>
        </w:tc>
        <w:tc>
          <w:tcPr>
            <w:tcW w:w="1564"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0,0%</w:t>
            </w:r>
          </w:p>
        </w:tc>
        <w:tc>
          <w:tcPr>
            <w:tcW w:w="156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35,0%</w:t>
            </w:r>
          </w:p>
        </w:tc>
        <w:tc>
          <w:tcPr>
            <w:tcW w:w="1564"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55,0%</w:t>
            </w:r>
          </w:p>
        </w:tc>
        <w:tc>
          <w:tcPr>
            <w:tcW w:w="156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2,5%</w:t>
            </w:r>
          </w:p>
        </w:tc>
        <w:tc>
          <w:tcPr>
            <w:tcW w:w="156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7,5%</w:t>
            </w:r>
          </w:p>
        </w:tc>
      </w:tr>
      <w:tr w:rsidR="00851FF9" w:rsidRPr="00851FF9" w:rsidTr="003A1D5A">
        <w:tc>
          <w:tcPr>
            <w:tcW w:w="2066"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Услуги эквайринга</w:t>
            </w:r>
          </w:p>
        </w:tc>
        <w:tc>
          <w:tcPr>
            <w:tcW w:w="1564"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2,4%</w:t>
            </w:r>
          </w:p>
        </w:tc>
        <w:tc>
          <w:tcPr>
            <w:tcW w:w="156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26,8%</w:t>
            </w:r>
          </w:p>
        </w:tc>
        <w:tc>
          <w:tcPr>
            <w:tcW w:w="1564"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46,3%</w:t>
            </w:r>
          </w:p>
        </w:tc>
        <w:tc>
          <w:tcPr>
            <w:tcW w:w="156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7,3%</w:t>
            </w:r>
          </w:p>
        </w:tc>
        <w:tc>
          <w:tcPr>
            <w:tcW w:w="156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17,1%</w:t>
            </w:r>
          </w:p>
        </w:tc>
      </w:tr>
      <w:tr w:rsidR="00851FF9" w:rsidRPr="00851FF9" w:rsidTr="003A1D5A">
        <w:tc>
          <w:tcPr>
            <w:tcW w:w="2066"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Зарплатные проекты</w:t>
            </w:r>
          </w:p>
        </w:tc>
        <w:tc>
          <w:tcPr>
            <w:tcW w:w="1564"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2,5%</w:t>
            </w:r>
          </w:p>
        </w:tc>
        <w:tc>
          <w:tcPr>
            <w:tcW w:w="156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22,5%</w:t>
            </w:r>
          </w:p>
        </w:tc>
        <w:tc>
          <w:tcPr>
            <w:tcW w:w="1564"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60,0%</w:t>
            </w:r>
          </w:p>
        </w:tc>
        <w:tc>
          <w:tcPr>
            <w:tcW w:w="156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5,0%</w:t>
            </w:r>
          </w:p>
        </w:tc>
        <w:tc>
          <w:tcPr>
            <w:tcW w:w="156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10,0%</w:t>
            </w:r>
          </w:p>
        </w:tc>
      </w:tr>
      <w:tr w:rsidR="00851FF9" w:rsidRPr="00851FF9" w:rsidTr="003A1D5A">
        <w:tc>
          <w:tcPr>
            <w:tcW w:w="2066"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Страхование имущества</w:t>
            </w:r>
          </w:p>
        </w:tc>
        <w:tc>
          <w:tcPr>
            <w:tcW w:w="1564"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2,9%</w:t>
            </w:r>
          </w:p>
        </w:tc>
        <w:tc>
          <w:tcPr>
            <w:tcW w:w="156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20,6%</w:t>
            </w:r>
          </w:p>
        </w:tc>
        <w:tc>
          <w:tcPr>
            <w:tcW w:w="1564"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44,1%</w:t>
            </w:r>
          </w:p>
        </w:tc>
        <w:tc>
          <w:tcPr>
            <w:tcW w:w="156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11,8%</w:t>
            </w:r>
          </w:p>
        </w:tc>
        <w:tc>
          <w:tcPr>
            <w:tcW w:w="156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20,6%</w:t>
            </w:r>
          </w:p>
        </w:tc>
      </w:tr>
      <w:tr w:rsidR="00851FF9" w:rsidRPr="00851FF9" w:rsidTr="003A1D5A">
        <w:tc>
          <w:tcPr>
            <w:tcW w:w="2066"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ДМС работников</w:t>
            </w:r>
          </w:p>
        </w:tc>
        <w:tc>
          <w:tcPr>
            <w:tcW w:w="1564"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0,0%</w:t>
            </w:r>
          </w:p>
        </w:tc>
        <w:tc>
          <w:tcPr>
            <w:tcW w:w="156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11,4%</w:t>
            </w:r>
          </w:p>
        </w:tc>
        <w:tc>
          <w:tcPr>
            <w:tcW w:w="1564"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60,0%</w:t>
            </w:r>
          </w:p>
        </w:tc>
        <w:tc>
          <w:tcPr>
            <w:tcW w:w="156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5,7%</w:t>
            </w:r>
          </w:p>
        </w:tc>
        <w:tc>
          <w:tcPr>
            <w:tcW w:w="156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22,9%</w:t>
            </w:r>
          </w:p>
        </w:tc>
      </w:tr>
      <w:tr w:rsidR="00851FF9" w:rsidRPr="00851FF9" w:rsidTr="003A1D5A">
        <w:tc>
          <w:tcPr>
            <w:tcW w:w="2066"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Профессиональные участники рынка ценных бумаг</w:t>
            </w:r>
          </w:p>
        </w:tc>
        <w:tc>
          <w:tcPr>
            <w:tcW w:w="1564"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5,9%</w:t>
            </w:r>
          </w:p>
        </w:tc>
        <w:tc>
          <w:tcPr>
            <w:tcW w:w="156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0,0%</w:t>
            </w:r>
          </w:p>
        </w:tc>
        <w:tc>
          <w:tcPr>
            <w:tcW w:w="1564"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29,4%</w:t>
            </w:r>
          </w:p>
        </w:tc>
        <w:tc>
          <w:tcPr>
            <w:tcW w:w="156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5,9%</w:t>
            </w:r>
          </w:p>
        </w:tc>
        <w:tc>
          <w:tcPr>
            <w:tcW w:w="156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58,8%</w:t>
            </w:r>
          </w:p>
        </w:tc>
      </w:tr>
      <w:tr w:rsidR="00851FF9" w:rsidRPr="00851FF9" w:rsidTr="003A1D5A">
        <w:tc>
          <w:tcPr>
            <w:tcW w:w="2066"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Микрофинансовые организации</w:t>
            </w:r>
          </w:p>
        </w:tc>
        <w:tc>
          <w:tcPr>
            <w:tcW w:w="1564"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5,4%</w:t>
            </w:r>
          </w:p>
        </w:tc>
        <w:tc>
          <w:tcPr>
            <w:tcW w:w="156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13,5%</w:t>
            </w:r>
          </w:p>
        </w:tc>
        <w:tc>
          <w:tcPr>
            <w:tcW w:w="1564"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35,1%</w:t>
            </w:r>
          </w:p>
        </w:tc>
        <w:tc>
          <w:tcPr>
            <w:tcW w:w="156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5,4%</w:t>
            </w:r>
          </w:p>
        </w:tc>
        <w:tc>
          <w:tcPr>
            <w:tcW w:w="156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40,5%</w:t>
            </w:r>
          </w:p>
        </w:tc>
      </w:tr>
    </w:tbl>
    <w:p w:rsidR="00851FF9" w:rsidRPr="00851FF9" w:rsidRDefault="00851FF9" w:rsidP="00851FF9">
      <w:pPr>
        <w:rPr>
          <w:rFonts w:ascii="Times New Roman" w:eastAsia="Calibri" w:hAnsi="Times New Roman" w:cs="Times New Roman"/>
          <w:color w:val="000000"/>
        </w:rPr>
      </w:pPr>
    </w:p>
    <w:p w:rsidR="00851FF9" w:rsidRPr="00851FF9" w:rsidRDefault="00851FF9" w:rsidP="00851FF9">
      <w:pPr>
        <w:spacing w:after="0" w:line="360" w:lineRule="auto"/>
        <w:ind w:firstLine="709"/>
        <w:jc w:val="both"/>
        <w:rPr>
          <w:rFonts w:ascii="Times New Roman" w:eastAsia="Times New Roman" w:hAnsi="Times New Roman" w:cs="Times New Roman"/>
          <w:color w:val="000000"/>
          <w:sz w:val="28"/>
          <w:szCs w:val="28"/>
          <w:lang w:eastAsia="ru-RU"/>
        </w:rPr>
      </w:pPr>
      <w:r w:rsidRPr="00851FF9">
        <w:rPr>
          <w:rFonts w:ascii="Times New Roman" w:eastAsia="Times New Roman" w:hAnsi="Times New Roman" w:cs="Times New Roman"/>
          <w:color w:val="000000"/>
          <w:sz w:val="28"/>
          <w:szCs w:val="28"/>
          <w:lang w:eastAsia="ru-RU"/>
        </w:rPr>
        <w:t xml:space="preserve">Как показывает Таблица </w:t>
      </w:r>
      <w:r w:rsidR="0010260C">
        <w:rPr>
          <w:rFonts w:ascii="Times New Roman" w:eastAsia="Times New Roman" w:hAnsi="Times New Roman" w:cs="Times New Roman"/>
          <w:color w:val="000000"/>
          <w:sz w:val="28"/>
          <w:szCs w:val="28"/>
          <w:lang w:eastAsia="ru-RU"/>
        </w:rPr>
        <w:t>36</w:t>
      </w:r>
      <w:r w:rsidRPr="00851FF9">
        <w:rPr>
          <w:rFonts w:ascii="Times New Roman" w:eastAsia="Times New Roman" w:hAnsi="Times New Roman" w:cs="Times New Roman"/>
          <w:color w:val="000000"/>
          <w:sz w:val="28"/>
          <w:szCs w:val="28"/>
          <w:lang w:eastAsia="ru-RU"/>
        </w:rPr>
        <w:t xml:space="preserve">, качество услуг финансовых организаций в Ленинградской области в целом воспринимается как соответствующее качеству услуг в соседних регионах. Наиболее негативно воспринимаются цены на кредитование (ответ </w:t>
      </w:r>
      <w:r w:rsidR="00F71AD2">
        <w:rPr>
          <w:rFonts w:ascii="Times New Roman" w:eastAsia="Times New Roman" w:hAnsi="Times New Roman" w:cs="Times New Roman"/>
          <w:color w:val="000000"/>
          <w:sz w:val="28"/>
          <w:szCs w:val="28"/>
          <w:lang w:eastAsia="ru-RU"/>
        </w:rPr>
        <w:t>«</w:t>
      </w:r>
      <w:r w:rsidRPr="00851FF9">
        <w:rPr>
          <w:rFonts w:ascii="Times New Roman" w:eastAsia="Times New Roman" w:hAnsi="Times New Roman" w:cs="Times New Roman"/>
          <w:color w:val="000000"/>
          <w:sz w:val="28"/>
          <w:szCs w:val="28"/>
          <w:lang w:eastAsia="ru-RU"/>
        </w:rPr>
        <w:t>цены выше, чем в соседних</w:t>
      </w:r>
      <w:r w:rsidR="00F71AD2">
        <w:rPr>
          <w:rFonts w:ascii="Times New Roman" w:eastAsia="Times New Roman" w:hAnsi="Times New Roman" w:cs="Times New Roman"/>
          <w:color w:val="000000"/>
          <w:sz w:val="28"/>
          <w:szCs w:val="28"/>
          <w:lang w:eastAsia="ru-RU"/>
        </w:rPr>
        <w:t xml:space="preserve"> регионах» - 10,5%) и РКО (ответ «</w:t>
      </w:r>
      <w:r w:rsidRPr="00851FF9">
        <w:rPr>
          <w:rFonts w:ascii="Times New Roman" w:eastAsia="Times New Roman" w:hAnsi="Times New Roman" w:cs="Times New Roman"/>
          <w:color w:val="000000"/>
          <w:sz w:val="28"/>
          <w:szCs w:val="28"/>
          <w:lang w:eastAsia="ru-RU"/>
        </w:rPr>
        <w:t>цены выше, чем в соседних регионах</w:t>
      </w:r>
      <w:r w:rsidR="00F71AD2">
        <w:rPr>
          <w:rFonts w:ascii="Times New Roman" w:eastAsia="Times New Roman" w:hAnsi="Times New Roman" w:cs="Times New Roman"/>
          <w:color w:val="000000"/>
          <w:sz w:val="28"/>
          <w:szCs w:val="28"/>
          <w:lang w:eastAsia="ru-RU"/>
        </w:rPr>
        <w:t>»</w:t>
      </w:r>
      <w:r w:rsidRPr="00851FF9">
        <w:rPr>
          <w:rFonts w:ascii="Times New Roman" w:eastAsia="Times New Roman" w:hAnsi="Times New Roman" w:cs="Times New Roman"/>
          <w:color w:val="000000"/>
          <w:sz w:val="28"/>
          <w:szCs w:val="28"/>
          <w:lang w:eastAsia="ru-RU"/>
        </w:rPr>
        <w:t xml:space="preserve"> - 7,9%).</w:t>
      </w:r>
    </w:p>
    <w:p w:rsidR="00851FF9" w:rsidRPr="00851FF9" w:rsidRDefault="00851FF9" w:rsidP="0010260C">
      <w:pPr>
        <w:keepNext/>
        <w:keepLines/>
        <w:spacing w:before="120" w:after="120" w:line="240" w:lineRule="auto"/>
        <w:jc w:val="center"/>
        <w:rPr>
          <w:rFonts w:ascii="Times New Roman" w:eastAsia="Calibri" w:hAnsi="Times New Roman" w:cs="Times New Roman"/>
          <w:iCs/>
          <w:color w:val="000000"/>
          <w:sz w:val="24"/>
          <w:szCs w:val="28"/>
        </w:rPr>
      </w:pPr>
      <w:r w:rsidRPr="00851FF9">
        <w:rPr>
          <w:rFonts w:ascii="Times New Roman" w:eastAsia="Calibri" w:hAnsi="Times New Roman" w:cs="Times New Roman"/>
          <w:iCs/>
          <w:color w:val="000000"/>
          <w:sz w:val="24"/>
          <w:szCs w:val="28"/>
        </w:rPr>
        <w:t xml:space="preserve">Таблица </w:t>
      </w:r>
      <w:r w:rsidR="0010260C">
        <w:rPr>
          <w:rFonts w:ascii="Times New Roman" w:eastAsia="Calibri" w:hAnsi="Times New Roman" w:cs="Times New Roman"/>
          <w:iCs/>
          <w:color w:val="000000"/>
          <w:sz w:val="24"/>
          <w:szCs w:val="28"/>
        </w:rPr>
        <w:t>36</w:t>
      </w:r>
      <w:r w:rsidRPr="00851FF9">
        <w:rPr>
          <w:rFonts w:ascii="Times New Roman" w:eastAsia="Calibri" w:hAnsi="Times New Roman" w:cs="Times New Roman"/>
          <w:iCs/>
          <w:color w:val="000000"/>
          <w:sz w:val="24"/>
          <w:szCs w:val="28"/>
        </w:rPr>
        <w:t xml:space="preserve">. </w:t>
      </w:r>
      <w:r w:rsidRPr="00851FF9">
        <w:rPr>
          <w:rFonts w:ascii="Times New Roman" w:eastAsia="Calibri" w:hAnsi="Times New Roman" w:cs="Times New Roman"/>
          <w:b/>
          <w:bCs/>
          <w:iCs/>
          <w:color w:val="000000"/>
          <w:sz w:val="24"/>
          <w:szCs w:val="28"/>
        </w:rPr>
        <w:t>Как соотносится качество финансовых услуг в Вашем регионе с соседними субъектами Российской Федерации?</w:t>
      </w:r>
      <w:r w:rsidRPr="00851FF9">
        <w:rPr>
          <w:rFonts w:ascii="Times New Roman" w:eastAsia="Calibri" w:hAnsi="Times New Roman" w:cs="Times New Roman"/>
          <w:iCs/>
          <w:color w:val="000000"/>
          <w:sz w:val="24"/>
          <w:szCs w:val="28"/>
        </w:rPr>
        <w:t xml:space="preserve"> (данные аналитического обзора Центрального Банка Российской Федерации)</w:t>
      </w:r>
    </w:p>
    <w:tbl>
      <w:tblPr>
        <w:tblStyle w:val="260"/>
        <w:tblW w:w="0" w:type="auto"/>
        <w:tblLook w:val="04A0" w:firstRow="1" w:lastRow="0" w:firstColumn="1" w:lastColumn="0" w:noHBand="0" w:noVBand="1"/>
      </w:tblPr>
      <w:tblGrid>
        <w:gridCol w:w="2518"/>
        <w:gridCol w:w="1842"/>
        <w:gridCol w:w="1843"/>
        <w:gridCol w:w="1843"/>
        <w:gridCol w:w="1843"/>
      </w:tblGrid>
      <w:tr w:rsidR="00851FF9" w:rsidRPr="00851FF9" w:rsidTr="003A1D5A">
        <w:trPr>
          <w:tblHeader/>
        </w:trPr>
        <w:tc>
          <w:tcPr>
            <w:tcW w:w="2518"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Тип услуги</w:t>
            </w:r>
          </w:p>
        </w:tc>
        <w:tc>
          <w:tcPr>
            <w:tcW w:w="1842"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Цены выше, чем в соседних регионах</w:t>
            </w:r>
          </w:p>
        </w:tc>
        <w:tc>
          <w:tcPr>
            <w:tcW w:w="1843"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Цены в целом такие же</w:t>
            </w:r>
          </w:p>
        </w:tc>
        <w:tc>
          <w:tcPr>
            <w:tcW w:w="1843"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Цены ниже, чем в соседних регионах</w:t>
            </w:r>
          </w:p>
        </w:tc>
        <w:tc>
          <w:tcPr>
            <w:tcW w:w="1843" w:type="dxa"/>
            <w:vAlign w:val="center"/>
          </w:tcPr>
          <w:p w:rsidR="00851FF9" w:rsidRPr="00F71AD2" w:rsidRDefault="00851FF9" w:rsidP="00851FF9">
            <w:pPr>
              <w:spacing w:before="120" w:after="120" w:line="269" w:lineRule="auto"/>
              <w:jc w:val="center"/>
              <w:rPr>
                <w:rFonts w:ascii="Times New Roman" w:eastAsia="Calibri" w:hAnsi="Times New Roman" w:cs="Times New Roman"/>
                <w:b/>
                <w:color w:val="000000"/>
              </w:rPr>
            </w:pPr>
            <w:r w:rsidRPr="00F71AD2">
              <w:rPr>
                <w:rFonts w:ascii="Times New Roman" w:eastAsia="Calibri" w:hAnsi="Times New Roman" w:cs="Times New Roman"/>
                <w:b/>
                <w:color w:val="000000"/>
              </w:rPr>
              <w:t>Сравнение не проводилось</w:t>
            </w:r>
          </w:p>
        </w:tc>
      </w:tr>
      <w:tr w:rsidR="00851FF9" w:rsidRPr="00851FF9" w:rsidTr="003A1D5A">
        <w:tc>
          <w:tcPr>
            <w:tcW w:w="2518"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РКО</w:t>
            </w:r>
          </w:p>
        </w:tc>
        <w:tc>
          <w:tcPr>
            <w:tcW w:w="184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7,9%</w:t>
            </w:r>
          </w:p>
        </w:tc>
        <w:tc>
          <w:tcPr>
            <w:tcW w:w="184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28,9%</w:t>
            </w:r>
          </w:p>
        </w:tc>
        <w:tc>
          <w:tcPr>
            <w:tcW w:w="184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0,0%</w:t>
            </w:r>
          </w:p>
        </w:tc>
        <w:tc>
          <w:tcPr>
            <w:tcW w:w="184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63,2%</w:t>
            </w:r>
          </w:p>
        </w:tc>
      </w:tr>
      <w:tr w:rsidR="00851FF9" w:rsidRPr="00851FF9" w:rsidTr="003A1D5A">
        <w:tc>
          <w:tcPr>
            <w:tcW w:w="2518"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Кредитование</w:t>
            </w:r>
          </w:p>
        </w:tc>
        <w:tc>
          <w:tcPr>
            <w:tcW w:w="184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10,5%</w:t>
            </w:r>
          </w:p>
        </w:tc>
        <w:tc>
          <w:tcPr>
            <w:tcW w:w="184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18,4%</w:t>
            </w:r>
          </w:p>
        </w:tc>
        <w:tc>
          <w:tcPr>
            <w:tcW w:w="184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0,0%</w:t>
            </w:r>
          </w:p>
        </w:tc>
        <w:tc>
          <w:tcPr>
            <w:tcW w:w="184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71,1%</w:t>
            </w:r>
          </w:p>
        </w:tc>
      </w:tr>
      <w:tr w:rsidR="00851FF9" w:rsidRPr="00851FF9" w:rsidTr="003A1D5A">
        <w:tc>
          <w:tcPr>
            <w:tcW w:w="2518"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Услуги эквайринга</w:t>
            </w:r>
          </w:p>
        </w:tc>
        <w:tc>
          <w:tcPr>
            <w:tcW w:w="184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5,6%</w:t>
            </w:r>
          </w:p>
        </w:tc>
        <w:tc>
          <w:tcPr>
            <w:tcW w:w="184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22,2%</w:t>
            </w:r>
          </w:p>
        </w:tc>
        <w:tc>
          <w:tcPr>
            <w:tcW w:w="184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5,6%</w:t>
            </w:r>
          </w:p>
        </w:tc>
        <w:tc>
          <w:tcPr>
            <w:tcW w:w="184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66,7%</w:t>
            </w:r>
          </w:p>
        </w:tc>
      </w:tr>
      <w:tr w:rsidR="00851FF9" w:rsidRPr="00851FF9" w:rsidTr="003A1D5A">
        <w:tc>
          <w:tcPr>
            <w:tcW w:w="2518"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Зарплатные проекты</w:t>
            </w:r>
          </w:p>
        </w:tc>
        <w:tc>
          <w:tcPr>
            <w:tcW w:w="184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6,3%</w:t>
            </w:r>
          </w:p>
        </w:tc>
        <w:tc>
          <w:tcPr>
            <w:tcW w:w="184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18,8%</w:t>
            </w:r>
          </w:p>
        </w:tc>
        <w:tc>
          <w:tcPr>
            <w:tcW w:w="184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3,1%</w:t>
            </w:r>
          </w:p>
        </w:tc>
        <w:tc>
          <w:tcPr>
            <w:tcW w:w="184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71,9%</w:t>
            </w:r>
          </w:p>
        </w:tc>
      </w:tr>
      <w:tr w:rsidR="00851FF9" w:rsidRPr="00851FF9" w:rsidTr="003A1D5A">
        <w:tc>
          <w:tcPr>
            <w:tcW w:w="2518"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Страхование имущества</w:t>
            </w:r>
          </w:p>
        </w:tc>
        <w:tc>
          <w:tcPr>
            <w:tcW w:w="184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0,0%</w:t>
            </w:r>
          </w:p>
        </w:tc>
        <w:tc>
          <w:tcPr>
            <w:tcW w:w="184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12,9%</w:t>
            </w:r>
          </w:p>
        </w:tc>
        <w:tc>
          <w:tcPr>
            <w:tcW w:w="184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3,2%</w:t>
            </w:r>
          </w:p>
        </w:tc>
        <w:tc>
          <w:tcPr>
            <w:tcW w:w="184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83,9%</w:t>
            </w:r>
          </w:p>
        </w:tc>
      </w:tr>
      <w:tr w:rsidR="00851FF9" w:rsidRPr="00851FF9" w:rsidTr="003A1D5A">
        <w:tc>
          <w:tcPr>
            <w:tcW w:w="2518"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ДМС работников</w:t>
            </w:r>
          </w:p>
        </w:tc>
        <w:tc>
          <w:tcPr>
            <w:tcW w:w="184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0,0%</w:t>
            </w:r>
          </w:p>
        </w:tc>
        <w:tc>
          <w:tcPr>
            <w:tcW w:w="184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16,7%</w:t>
            </w:r>
          </w:p>
        </w:tc>
        <w:tc>
          <w:tcPr>
            <w:tcW w:w="184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3,3%</w:t>
            </w:r>
          </w:p>
        </w:tc>
        <w:tc>
          <w:tcPr>
            <w:tcW w:w="184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80,0%</w:t>
            </w:r>
          </w:p>
        </w:tc>
      </w:tr>
      <w:tr w:rsidR="00851FF9" w:rsidRPr="00851FF9" w:rsidTr="003A1D5A">
        <w:tc>
          <w:tcPr>
            <w:tcW w:w="2518"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Профессиональные участники рынка ценных бумаг</w:t>
            </w:r>
          </w:p>
        </w:tc>
        <w:tc>
          <w:tcPr>
            <w:tcW w:w="184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3,0%</w:t>
            </w:r>
          </w:p>
        </w:tc>
        <w:tc>
          <w:tcPr>
            <w:tcW w:w="184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9,1%</w:t>
            </w:r>
          </w:p>
        </w:tc>
        <w:tc>
          <w:tcPr>
            <w:tcW w:w="184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6,1%</w:t>
            </w:r>
          </w:p>
        </w:tc>
        <w:tc>
          <w:tcPr>
            <w:tcW w:w="184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81,8%</w:t>
            </w:r>
          </w:p>
        </w:tc>
      </w:tr>
      <w:tr w:rsidR="00851FF9" w:rsidRPr="00851FF9" w:rsidTr="003A1D5A">
        <w:tc>
          <w:tcPr>
            <w:tcW w:w="2518"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Микрофинансовые организации</w:t>
            </w:r>
          </w:p>
        </w:tc>
        <w:tc>
          <w:tcPr>
            <w:tcW w:w="184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7,9%</w:t>
            </w:r>
          </w:p>
        </w:tc>
        <w:tc>
          <w:tcPr>
            <w:tcW w:w="184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28,9%</w:t>
            </w:r>
          </w:p>
        </w:tc>
        <w:tc>
          <w:tcPr>
            <w:tcW w:w="184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0,0%</w:t>
            </w:r>
          </w:p>
        </w:tc>
        <w:tc>
          <w:tcPr>
            <w:tcW w:w="184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63,2%</w:t>
            </w:r>
          </w:p>
        </w:tc>
      </w:tr>
    </w:tbl>
    <w:p w:rsidR="00851FF9" w:rsidRPr="00851FF9" w:rsidRDefault="00851FF9" w:rsidP="00851FF9">
      <w:pPr>
        <w:spacing w:after="0" w:line="360" w:lineRule="auto"/>
        <w:ind w:firstLine="709"/>
        <w:jc w:val="both"/>
        <w:rPr>
          <w:rFonts w:ascii="Times New Roman" w:eastAsia="Times New Roman" w:hAnsi="Times New Roman" w:cs="Times New Roman"/>
          <w:color w:val="000000"/>
          <w:sz w:val="28"/>
          <w:szCs w:val="28"/>
          <w:lang w:eastAsia="ru-RU"/>
        </w:rPr>
      </w:pPr>
    </w:p>
    <w:p w:rsidR="00851FF9" w:rsidRPr="0010260C" w:rsidRDefault="00851FF9" w:rsidP="00851FF9">
      <w:pPr>
        <w:spacing w:after="0" w:line="360" w:lineRule="auto"/>
        <w:ind w:firstLine="709"/>
        <w:jc w:val="both"/>
        <w:rPr>
          <w:rFonts w:ascii="Times New Roman" w:eastAsia="Times New Roman" w:hAnsi="Times New Roman" w:cs="Times New Roman"/>
          <w:color w:val="000000"/>
          <w:sz w:val="24"/>
          <w:szCs w:val="24"/>
          <w:lang w:eastAsia="ru-RU"/>
        </w:rPr>
      </w:pPr>
      <w:r w:rsidRPr="0010260C">
        <w:rPr>
          <w:rFonts w:ascii="Times New Roman" w:eastAsia="Times New Roman" w:hAnsi="Times New Roman" w:cs="Times New Roman"/>
          <w:color w:val="000000"/>
          <w:sz w:val="24"/>
          <w:szCs w:val="24"/>
          <w:lang w:eastAsia="ru-RU"/>
        </w:rPr>
        <w:t xml:space="preserve">Что касается удовлетворенности ценами на услуги финансовых организаций, по данным исследования Центрального Банка Российской Федерации, представленным в ответе на запрос о предоставлении информации №Т-241-1-10/5639 от 08.11.2022, она существенно варьируется в зависимости от вида услуги (Таблица 5.5.5). Наибольшая удовлетворенность отмечается в отношении услуг РКО (сумма ответов </w:t>
      </w:r>
      <w:r w:rsidR="00F71AD2">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полностью удовлетворена</w:t>
      </w:r>
      <w:r w:rsidR="00F71AD2">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 xml:space="preserve"> и </w:t>
      </w:r>
      <w:r w:rsidR="00F71AD2">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в целом удовлетворена</w:t>
      </w:r>
      <w:r w:rsidR="00F71AD2">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 xml:space="preserve"> - 71,7%) и зарплатных проектов (сумма ответов </w:t>
      </w:r>
      <w:r w:rsidR="008212CA">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полностью удовлетворена</w:t>
      </w:r>
      <w:r w:rsidR="008212CA">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 xml:space="preserve"> и </w:t>
      </w:r>
      <w:r w:rsidR="008212CA">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в целом удовлетворена</w:t>
      </w:r>
      <w:r w:rsidR="00F71AD2">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 xml:space="preserve"> - 69,1%). Наименьшая удовлетворенность отмечается в отношении услуг эквайринга (ответ </w:t>
      </w:r>
      <w:r w:rsidR="008212CA">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не удовлетворена</w:t>
      </w:r>
      <w:r w:rsidR="008212CA">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 xml:space="preserve"> – 13,6%) и ДМС работников (ответ </w:t>
      </w:r>
      <w:r w:rsidR="008212CA">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не удовлетворена</w:t>
      </w:r>
      <w:r w:rsidR="008212CA">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 xml:space="preserve"> – 13,2%).</w:t>
      </w:r>
    </w:p>
    <w:p w:rsidR="00851FF9" w:rsidRPr="00851FF9" w:rsidRDefault="00851FF9" w:rsidP="0010260C">
      <w:pPr>
        <w:keepNext/>
        <w:keepLines/>
        <w:spacing w:before="120" w:after="120" w:line="240" w:lineRule="auto"/>
        <w:jc w:val="center"/>
        <w:rPr>
          <w:rFonts w:ascii="Times New Roman" w:eastAsia="Calibri" w:hAnsi="Times New Roman" w:cs="Times New Roman"/>
          <w:iCs/>
          <w:color w:val="000000"/>
          <w:sz w:val="24"/>
          <w:szCs w:val="28"/>
        </w:rPr>
      </w:pPr>
      <w:r w:rsidRPr="00851FF9">
        <w:rPr>
          <w:rFonts w:ascii="Times New Roman" w:eastAsia="Calibri" w:hAnsi="Times New Roman" w:cs="Times New Roman"/>
          <w:iCs/>
          <w:color w:val="000000"/>
          <w:sz w:val="24"/>
          <w:szCs w:val="28"/>
        </w:rPr>
        <w:t xml:space="preserve">Таблица </w:t>
      </w:r>
      <w:r w:rsidR="0010260C">
        <w:rPr>
          <w:rFonts w:ascii="Times New Roman" w:eastAsia="Calibri" w:hAnsi="Times New Roman" w:cs="Times New Roman"/>
          <w:iCs/>
          <w:color w:val="000000"/>
          <w:sz w:val="24"/>
          <w:szCs w:val="28"/>
        </w:rPr>
        <w:t>37</w:t>
      </w:r>
      <w:r w:rsidRPr="00851FF9">
        <w:rPr>
          <w:rFonts w:ascii="Times New Roman" w:eastAsia="Calibri" w:hAnsi="Times New Roman" w:cs="Times New Roman"/>
          <w:iCs/>
          <w:color w:val="000000"/>
          <w:sz w:val="24"/>
          <w:szCs w:val="28"/>
        </w:rPr>
        <w:t xml:space="preserve">. </w:t>
      </w:r>
      <w:r w:rsidRPr="00851FF9">
        <w:rPr>
          <w:rFonts w:ascii="Times New Roman" w:eastAsia="Calibri" w:hAnsi="Times New Roman" w:cs="Times New Roman"/>
          <w:b/>
          <w:bCs/>
          <w:iCs/>
          <w:color w:val="000000"/>
          <w:sz w:val="24"/>
          <w:szCs w:val="28"/>
        </w:rPr>
        <w:t>Насколько Ваша компания удовлетворена финансовыми услугами в Вашем регионе (цена услуги)?</w:t>
      </w:r>
      <w:r w:rsidRPr="00851FF9">
        <w:rPr>
          <w:rFonts w:ascii="Times New Roman" w:eastAsia="Calibri" w:hAnsi="Times New Roman" w:cs="Times New Roman"/>
          <w:iCs/>
          <w:color w:val="000000"/>
          <w:sz w:val="24"/>
          <w:szCs w:val="28"/>
        </w:rPr>
        <w:t xml:space="preserve"> (данные аналитического обзора Центрального Банка Российской Федерации)</w:t>
      </w:r>
    </w:p>
    <w:tbl>
      <w:tblPr>
        <w:tblStyle w:val="260"/>
        <w:tblW w:w="0" w:type="auto"/>
        <w:tblLook w:val="04A0" w:firstRow="1" w:lastRow="0" w:firstColumn="1" w:lastColumn="0" w:noHBand="0" w:noVBand="1"/>
      </w:tblPr>
      <w:tblGrid>
        <w:gridCol w:w="2047"/>
        <w:gridCol w:w="1681"/>
        <w:gridCol w:w="1681"/>
        <w:gridCol w:w="1681"/>
        <w:gridCol w:w="1681"/>
        <w:gridCol w:w="1470"/>
      </w:tblGrid>
      <w:tr w:rsidR="00851FF9" w:rsidRPr="00851FF9" w:rsidTr="003A1D5A">
        <w:trPr>
          <w:tblHeader/>
        </w:trPr>
        <w:tc>
          <w:tcPr>
            <w:tcW w:w="2047" w:type="dxa"/>
            <w:vAlign w:val="center"/>
          </w:tcPr>
          <w:p w:rsidR="00851FF9" w:rsidRPr="008212CA" w:rsidRDefault="00851FF9" w:rsidP="00851FF9">
            <w:pPr>
              <w:spacing w:before="120" w:after="120" w:line="269" w:lineRule="auto"/>
              <w:jc w:val="center"/>
              <w:rPr>
                <w:rFonts w:ascii="Times New Roman" w:eastAsia="Calibri" w:hAnsi="Times New Roman" w:cs="Times New Roman"/>
                <w:b/>
                <w:color w:val="000000"/>
              </w:rPr>
            </w:pPr>
            <w:r w:rsidRPr="008212CA">
              <w:rPr>
                <w:rFonts w:ascii="Times New Roman" w:eastAsia="Calibri" w:hAnsi="Times New Roman" w:cs="Times New Roman"/>
                <w:b/>
                <w:color w:val="000000"/>
              </w:rPr>
              <w:t>Тип услуги</w:t>
            </w:r>
          </w:p>
        </w:tc>
        <w:tc>
          <w:tcPr>
            <w:tcW w:w="1593" w:type="dxa"/>
            <w:vAlign w:val="center"/>
          </w:tcPr>
          <w:p w:rsidR="00851FF9" w:rsidRPr="008212CA" w:rsidRDefault="00851FF9" w:rsidP="00851FF9">
            <w:pPr>
              <w:spacing w:before="120" w:after="120" w:line="269" w:lineRule="auto"/>
              <w:jc w:val="center"/>
              <w:rPr>
                <w:rFonts w:ascii="Times New Roman" w:eastAsia="Calibri" w:hAnsi="Times New Roman" w:cs="Times New Roman"/>
                <w:b/>
                <w:color w:val="000000"/>
              </w:rPr>
            </w:pPr>
            <w:r w:rsidRPr="008212CA">
              <w:rPr>
                <w:rFonts w:ascii="Times New Roman" w:eastAsia="Calibri" w:hAnsi="Times New Roman" w:cs="Times New Roman"/>
                <w:b/>
                <w:color w:val="000000"/>
              </w:rPr>
              <w:t>Полностью удовлетворена</w:t>
            </w:r>
          </w:p>
        </w:tc>
        <w:tc>
          <w:tcPr>
            <w:tcW w:w="1593" w:type="dxa"/>
            <w:vAlign w:val="center"/>
          </w:tcPr>
          <w:p w:rsidR="00851FF9" w:rsidRPr="008212CA" w:rsidRDefault="00851FF9" w:rsidP="00851FF9">
            <w:pPr>
              <w:spacing w:before="120" w:after="120" w:line="269" w:lineRule="auto"/>
              <w:jc w:val="center"/>
              <w:rPr>
                <w:rFonts w:ascii="Times New Roman" w:eastAsia="Calibri" w:hAnsi="Times New Roman" w:cs="Times New Roman"/>
                <w:b/>
                <w:color w:val="000000"/>
              </w:rPr>
            </w:pPr>
            <w:r w:rsidRPr="008212CA">
              <w:rPr>
                <w:rFonts w:ascii="Times New Roman" w:eastAsia="Calibri" w:hAnsi="Times New Roman" w:cs="Times New Roman"/>
                <w:b/>
                <w:color w:val="000000"/>
              </w:rPr>
              <w:t>В целом удовлетворена</w:t>
            </w:r>
          </w:p>
        </w:tc>
        <w:tc>
          <w:tcPr>
            <w:tcW w:w="1593" w:type="dxa"/>
            <w:vAlign w:val="center"/>
          </w:tcPr>
          <w:p w:rsidR="00851FF9" w:rsidRPr="008212CA" w:rsidRDefault="00851FF9" w:rsidP="00851FF9">
            <w:pPr>
              <w:spacing w:before="120" w:after="120" w:line="269" w:lineRule="auto"/>
              <w:jc w:val="center"/>
              <w:rPr>
                <w:rFonts w:ascii="Times New Roman" w:eastAsia="Calibri" w:hAnsi="Times New Roman" w:cs="Times New Roman"/>
                <w:b/>
                <w:color w:val="000000"/>
              </w:rPr>
            </w:pPr>
            <w:r w:rsidRPr="008212CA">
              <w:rPr>
                <w:rFonts w:ascii="Times New Roman" w:eastAsia="Calibri" w:hAnsi="Times New Roman" w:cs="Times New Roman"/>
                <w:b/>
                <w:color w:val="000000"/>
              </w:rPr>
              <w:t>Частично удовлетворена</w:t>
            </w:r>
          </w:p>
        </w:tc>
        <w:tc>
          <w:tcPr>
            <w:tcW w:w="1593" w:type="dxa"/>
            <w:vAlign w:val="center"/>
          </w:tcPr>
          <w:p w:rsidR="00851FF9" w:rsidRPr="008212CA" w:rsidRDefault="00851FF9" w:rsidP="00851FF9">
            <w:pPr>
              <w:spacing w:before="120" w:after="120" w:line="269" w:lineRule="auto"/>
              <w:jc w:val="center"/>
              <w:rPr>
                <w:rFonts w:ascii="Times New Roman" w:eastAsia="Calibri" w:hAnsi="Times New Roman" w:cs="Times New Roman"/>
                <w:b/>
                <w:color w:val="000000"/>
              </w:rPr>
            </w:pPr>
            <w:r w:rsidRPr="008212CA">
              <w:rPr>
                <w:rFonts w:ascii="Times New Roman" w:eastAsia="Calibri" w:hAnsi="Times New Roman" w:cs="Times New Roman"/>
                <w:b/>
                <w:color w:val="000000"/>
              </w:rPr>
              <w:t>Не удовлетворена</w:t>
            </w:r>
          </w:p>
        </w:tc>
        <w:tc>
          <w:tcPr>
            <w:tcW w:w="1470" w:type="dxa"/>
            <w:vAlign w:val="center"/>
          </w:tcPr>
          <w:p w:rsidR="00851FF9" w:rsidRPr="008212CA" w:rsidRDefault="00851FF9" w:rsidP="00851FF9">
            <w:pPr>
              <w:spacing w:before="120" w:after="120" w:line="269" w:lineRule="auto"/>
              <w:jc w:val="center"/>
              <w:rPr>
                <w:rFonts w:ascii="Times New Roman" w:eastAsia="Calibri" w:hAnsi="Times New Roman" w:cs="Times New Roman"/>
                <w:b/>
                <w:color w:val="000000"/>
              </w:rPr>
            </w:pPr>
            <w:r w:rsidRPr="008212CA">
              <w:rPr>
                <w:rFonts w:ascii="Times New Roman" w:eastAsia="Calibri" w:hAnsi="Times New Roman" w:cs="Times New Roman"/>
                <w:b/>
                <w:color w:val="000000"/>
              </w:rPr>
              <w:t>Не используем</w:t>
            </w:r>
          </w:p>
        </w:tc>
      </w:tr>
      <w:tr w:rsidR="00851FF9" w:rsidRPr="00851FF9" w:rsidTr="003A1D5A">
        <w:tc>
          <w:tcPr>
            <w:tcW w:w="204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РКО</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15,2%</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56,5%</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19,6%</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6,5%</w:t>
            </w:r>
          </w:p>
        </w:tc>
        <w:tc>
          <w:tcPr>
            <w:tcW w:w="1470"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2,2%</w:t>
            </w:r>
          </w:p>
        </w:tc>
      </w:tr>
      <w:tr w:rsidR="00851FF9" w:rsidRPr="00851FF9" w:rsidTr="003A1D5A">
        <w:tc>
          <w:tcPr>
            <w:tcW w:w="204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Кредитование</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9,3%</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20,9%</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48,8%</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9,3%</w:t>
            </w:r>
          </w:p>
        </w:tc>
        <w:tc>
          <w:tcPr>
            <w:tcW w:w="1470"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11,6%</w:t>
            </w:r>
          </w:p>
        </w:tc>
      </w:tr>
      <w:tr w:rsidR="00851FF9" w:rsidRPr="00851FF9" w:rsidTr="003A1D5A">
        <w:tc>
          <w:tcPr>
            <w:tcW w:w="204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Услуги эквайринга</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9,1%</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34,1%</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22,7%</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13,6%</w:t>
            </w:r>
          </w:p>
        </w:tc>
        <w:tc>
          <w:tcPr>
            <w:tcW w:w="1470"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20,5%</w:t>
            </w:r>
          </w:p>
        </w:tc>
      </w:tr>
      <w:tr w:rsidR="00851FF9" w:rsidRPr="00851FF9" w:rsidTr="003A1D5A">
        <w:tc>
          <w:tcPr>
            <w:tcW w:w="204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Зарплатные проекты</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16,7%</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52,4%</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16,7%</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2,4%</w:t>
            </w:r>
          </w:p>
        </w:tc>
        <w:tc>
          <w:tcPr>
            <w:tcW w:w="1470"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11,9%</w:t>
            </w:r>
          </w:p>
        </w:tc>
      </w:tr>
      <w:tr w:rsidR="00851FF9" w:rsidRPr="00851FF9" w:rsidTr="003A1D5A">
        <w:tc>
          <w:tcPr>
            <w:tcW w:w="204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Страхование имущества</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7,9%</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23,7%</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34,2%</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7,9%</w:t>
            </w:r>
          </w:p>
        </w:tc>
        <w:tc>
          <w:tcPr>
            <w:tcW w:w="1470"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26,3%</w:t>
            </w:r>
          </w:p>
        </w:tc>
      </w:tr>
      <w:tr w:rsidR="00851FF9" w:rsidRPr="00851FF9" w:rsidTr="003A1D5A">
        <w:tc>
          <w:tcPr>
            <w:tcW w:w="204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ДМС работников</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0,0%</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15,8%</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36,8%</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13,2%</w:t>
            </w:r>
          </w:p>
        </w:tc>
        <w:tc>
          <w:tcPr>
            <w:tcW w:w="1470"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34,2%</w:t>
            </w:r>
          </w:p>
        </w:tc>
      </w:tr>
      <w:tr w:rsidR="00851FF9" w:rsidRPr="00851FF9" w:rsidTr="003A1D5A">
        <w:tc>
          <w:tcPr>
            <w:tcW w:w="204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Профессиональные участники рынка ценных бумаг</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0,0%</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28,6%</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5,7%</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0,0%</w:t>
            </w:r>
          </w:p>
        </w:tc>
        <w:tc>
          <w:tcPr>
            <w:tcW w:w="1470"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65,7%</w:t>
            </w:r>
          </w:p>
        </w:tc>
      </w:tr>
      <w:tr w:rsidR="00851FF9" w:rsidRPr="00851FF9" w:rsidTr="003A1D5A">
        <w:tc>
          <w:tcPr>
            <w:tcW w:w="204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Микрофинансовые организации</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10,3%</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15,4%</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15,4%</w:t>
            </w:r>
          </w:p>
        </w:tc>
        <w:tc>
          <w:tcPr>
            <w:tcW w:w="159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7,7%</w:t>
            </w:r>
          </w:p>
        </w:tc>
        <w:tc>
          <w:tcPr>
            <w:tcW w:w="1470"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51,3%</w:t>
            </w:r>
          </w:p>
        </w:tc>
      </w:tr>
    </w:tbl>
    <w:p w:rsidR="00851FF9" w:rsidRPr="00851FF9" w:rsidRDefault="00851FF9" w:rsidP="00851FF9">
      <w:pPr>
        <w:spacing w:after="0" w:line="360" w:lineRule="auto"/>
        <w:ind w:firstLine="709"/>
        <w:jc w:val="both"/>
        <w:rPr>
          <w:rFonts w:ascii="Times New Roman" w:eastAsia="Times New Roman" w:hAnsi="Times New Roman" w:cs="Times New Roman"/>
          <w:color w:val="000000"/>
          <w:sz w:val="28"/>
          <w:szCs w:val="28"/>
          <w:lang w:eastAsia="ru-RU"/>
        </w:rPr>
      </w:pPr>
    </w:p>
    <w:p w:rsidR="00851FF9" w:rsidRPr="0010260C" w:rsidRDefault="00851FF9" w:rsidP="00851FF9">
      <w:pPr>
        <w:spacing w:after="0" w:line="360" w:lineRule="auto"/>
        <w:ind w:firstLine="709"/>
        <w:jc w:val="both"/>
        <w:rPr>
          <w:rFonts w:ascii="Times New Roman" w:eastAsia="Times New Roman" w:hAnsi="Times New Roman" w:cs="Times New Roman"/>
          <w:color w:val="000000"/>
          <w:sz w:val="24"/>
          <w:szCs w:val="24"/>
          <w:lang w:eastAsia="ru-RU"/>
        </w:rPr>
      </w:pPr>
      <w:r w:rsidRPr="0010260C">
        <w:rPr>
          <w:rFonts w:ascii="Times New Roman" w:eastAsia="Times New Roman" w:hAnsi="Times New Roman" w:cs="Times New Roman"/>
          <w:color w:val="000000"/>
          <w:sz w:val="24"/>
          <w:szCs w:val="24"/>
          <w:lang w:eastAsia="ru-RU"/>
        </w:rPr>
        <w:t xml:space="preserve">Наиболее выраженная динамика удовлетворенности ценами на услуги финансовых организаций отмечается в отношении услуг страхования имущества (ответ </w:t>
      </w:r>
      <w:r w:rsidR="008212CA">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"заметно увеличилась</w:t>
      </w:r>
      <w:r w:rsidR="008212CA">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 xml:space="preserve"> - 8,6% опрошенных, ответ </w:t>
      </w:r>
      <w:r w:rsidR="008212CA">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уменьшилась</w:t>
      </w:r>
      <w:r w:rsidR="008212CA">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 xml:space="preserve"> – 14,3%). Положительная динамика отмечается в отноше</w:t>
      </w:r>
      <w:r w:rsidR="008212CA">
        <w:rPr>
          <w:rFonts w:ascii="Times New Roman" w:eastAsia="Times New Roman" w:hAnsi="Times New Roman" w:cs="Times New Roman"/>
          <w:color w:val="000000"/>
          <w:sz w:val="24"/>
          <w:szCs w:val="24"/>
          <w:lang w:eastAsia="ru-RU"/>
        </w:rPr>
        <w:t>нии зарплатных проектов (ответ «</w:t>
      </w:r>
      <w:r w:rsidRPr="0010260C">
        <w:rPr>
          <w:rFonts w:ascii="Times New Roman" w:eastAsia="Times New Roman" w:hAnsi="Times New Roman" w:cs="Times New Roman"/>
          <w:color w:val="000000"/>
          <w:sz w:val="24"/>
          <w:szCs w:val="24"/>
          <w:lang w:eastAsia="ru-RU"/>
        </w:rPr>
        <w:t>заметно увеличилась</w:t>
      </w:r>
      <w:r w:rsidR="008212CA">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 xml:space="preserve"> - 7,5%) и РКО (6,7%). Отрицательная динамика отмечается в отношении услуг ДМС работников (ответ </w:t>
      </w:r>
      <w:r w:rsidR="008212CA">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уменьшилась</w:t>
      </w:r>
      <w:r w:rsidR="008212CA">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 xml:space="preserve"> - 17,1%).</w:t>
      </w:r>
    </w:p>
    <w:p w:rsidR="00851FF9" w:rsidRPr="00851FF9" w:rsidRDefault="00851FF9" w:rsidP="00851FF9">
      <w:pPr>
        <w:spacing w:after="0" w:line="360" w:lineRule="auto"/>
        <w:ind w:firstLine="709"/>
        <w:jc w:val="both"/>
        <w:rPr>
          <w:rFonts w:ascii="Times New Roman" w:eastAsia="Times New Roman" w:hAnsi="Times New Roman" w:cs="Times New Roman"/>
          <w:color w:val="000000"/>
          <w:sz w:val="28"/>
          <w:szCs w:val="28"/>
          <w:lang w:eastAsia="ru-RU"/>
        </w:rPr>
      </w:pPr>
      <w:r w:rsidRPr="00851FF9">
        <w:rPr>
          <w:rFonts w:ascii="Times New Roman" w:eastAsia="Times New Roman" w:hAnsi="Times New Roman" w:cs="Times New Roman"/>
          <w:color w:val="000000"/>
          <w:sz w:val="28"/>
          <w:szCs w:val="28"/>
          <w:lang w:eastAsia="ru-RU"/>
        </w:rPr>
        <w:t xml:space="preserve"> </w:t>
      </w:r>
    </w:p>
    <w:p w:rsidR="00851FF9" w:rsidRPr="00851FF9" w:rsidRDefault="00851FF9" w:rsidP="0010260C">
      <w:pPr>
        <w:keepNext/>
        <w:keepLines/>
        <w:spacing w:before="120" w:after="120" w:line="240" w:lineRule="auto"/>
        <w:jc w:val="center"/>
        <w:rPr>
          <w:rFonts w:ascii="Times New Roman" w:eastAsia="Calibri" w:hAnsi="Times New Roman" w:cs="Times New Roman"/>
          <w:iCs/>
          <w:color w:val="000000"/>
          <w:sz w:val="24"/>
          <w:szCs w:val="28"/>
        </w:rPr>
      </w:pPr>
      <w:r w:rsidRPr="00851FF9">
        <w:rPr>
          <w:rFonts w:ascii="Times New Roman" w:eastAsia="Calibri" w:hAnsi="Times New Roman" w:cs="Times New Roman"/>
          <w:iCs/>
          <w:color w:val="000000"/>
          <w:sz w:val="24"/>
          <w:szCs w:val="28"/>
        </w:rPr>
        <w:t xml:space="preserve">Таблица </w:t>
      </w:r>
      <w:r w:rsidR="0010260C">
        <w:rPr>
          <w:rFonts w:ascii="Times New Roman" w:eastAsia="Calibri" w:hAnsi="Times New Roman" w:cs="Times New Roman"/>
          <w:iCs/>
          <w:color w:val="000000"/>
          <w:sz w:val="24"/>
          <w:szCs w:val="28"/>
        </w:rPr>
        <w:t>38</w:t>
      </w:r>
      <w:r w:rsidRPr="00851FF9">
        <w:rPr>
          <w:rFonts w:ascii="Times New Roman" w:eastAsia="Calibri" w:hAnsi="Times New Roman" w:cs="Times New Roman"/>
          <w:iCs/>
          <w:color w:val="000000"/>
          <w:sz w:val="24"/>
          <w:szCs w:val="28"/>
        </w:rPr>
        <w:t xml:space="preserve">. </w:t>
      </w:r>
      <w:r w:rsidRPr="00851FF9">
        <w:rPr>
          <w:rFonts w:ascii="Times New Roman" w:eastAsia="Calibri" w:hAnsi="Times New Roman" w:cs="Times New Roman"/>
          <w:b/>
          <w:bCs/>
          <w:iCs/>
          <w:color w:val="000000"/>
          <w:sz w:val="24"/>
          <w:szCs w:val="28"/>
        </w:rPr>
        <w:t xml:space="preserve">Как изменилась удовлетворенность Вашей компанией финансовыми услугами в Вашем регионе за </w:t>
      </w:r>
      <w:r w:rsidR="0010260C">
        <w:rPr>
          <w:rFonts w:ascii="Times New Roman" w:eastAsia="Calibri" w:hAnsi="Times New Roman" w:cs="Times New Roman"/>
          <w:b/>
          <w:bCs/>
          <w:iCs/>
          <w:color w:val="000000"/>
          <w:sz w:val="24"/>
          <w:szCs w:val="28"/>
        </w:rPr>
        <w:t>последние годы</w:t>
      </w:r>
      <w:r w:rsidRPr="00851FF9">
        <w:rPr>
          <w:rFonts w:ascii="Times New Roman" w:eastAsia="Calibri" w:hAnsi="Times New Roman" w:cs="Times New Roman"/>
          <w:b/>
          <w:bCs/>
          <w:iCs/>
          <w:color w:val="000000"/>
          <w:sz w:val="24"/>
          <w:szCs w:val="28"/>
        </w:rPr>
        <w:t xml:space="preserve"> (цена услуги)?</w:t>
      </w:r>
      <w:r w:rsidRPr="00851FF9">
        <w:rPr>
          <w:rFonts w:ascii="Times New Roman" w:eastAsia="Calibri" w:hAnsi="Times New Roman" w:cs="Times New Roman"/>
          <w:iCs/>
          <w:color w:val="000000"/>
          <w:sz w:val="24"/>
          <w:szCs w:val="28"/>
        </w:rPr>
        <w:t xml:space="preserve"> (данные аналитического обзора Центрального Банка Российской Федерации)</w:t>
      </w:r>
    </w:p>
    <w:tbl>
      <w:tblPr>
        <w:tblStyle w:val="260"/>
        <w:tblW w:w="0" w:type="auto"/>
        <w:tblLook w:val="04A0" w:firstRow="1" w:lastRow="0" w:firstColumn="1" w:lastColumn="0" w:noHBand="0" w:noVBand="1"/>
      </w:tblPr>
      <w:tblGrid>
        <w:gridCol w:w="2060"/>
        <w:gridCol w:w="1491"/>
        <w:gridCol w:w="1744"/>
        <w:gridCol w:w="1647"/>
        <w:gridCol w:w="1628"/>
        <w:gridCol w:w="1709"/>
      </w:tblGrid>
      <w:tr w:rsidR="00851FF9" w:rsidRPr="00851FF9" w:rsidTr="003A1D5A">
        <w:trPr>
          <w:tblHeader/>
        </w:trPr>
        <w:tc>
          <w:tcPr>
            <w:tcW w:w="2060" w:type="dxa"/>
            <w:vAlign w:val="center"/>
          </w:tcPr>
          <w:p w:rsidR="00851FF9" w:rsidRPr="008212CA" w:rsidRDefault="00851FF9" w:rsidP="00851FF9">
            <w:pPr>
              <w:spacing w:before="120" w:after="120" w:line="269" w:lineRule="auto"/>
              <w:jc w:val="center"/>
              <w:rPr>
                <w:rFonts w:ascii="Times New Roman" w:eastAsia="Calibri" w:hAnsi="Times New Roman" w:cs="Times New Roman"/>
                <w:b/>
                <w:color w:val="000000"/>
              </w:rPr>
            </w:pPr>
            <w:r w:rsidRPr="008212CA">
              <w:rPr>
                <w:rFonts w:ascii="Times New Roman" w:eastAsia="Calibri" w:hAnsi="Times New Roman" w:cs="Times New Roman"/>
                <w:b/>
                <w:color w:val="000000"/>
              </w:rPr>
              <w:t>Тип услуги</w:t>
            </w:r>
          </w:p>
        </w:tc>
        <w:tc>
          <w:tcPr>
            <w:tcW w:w="1415" w:type="dxa"/>
            <w:vAlign w:val="center"/>
          </w:tcPr>
          <w:p w:rsidR="00851FF9" w:rsidRPr="008212CA" w:rsidRDefault="00851FF9" w:rsidP="00851FF9">
            <w:pPr>
              <w:spacing w:before="120" w:after="120" w:line="269" w:lineRule="auto"/>
              <w:jc w:val="center"/>
              <w:rPr>
                <w:rFonts w:ascii="Times New Roman" w:eastAsia="Calibri" w:hAnsi="Times New Roman" w:cs="Times New Roman"/>
                <w:b/>
                <w:color w:val="000000"/>
              </w:rPr>
            </w:pPr>
            <w:r w:rsidRPr="008212CA">
              <w:rPr>
                <w:rFonts w:ascii="Times New Roman" w:eastAsia="Calibri" w:hAnsi="Times New Roman" w:cs="Times New Roman"/>
                <w:b/>
                <w:color w:val="000000"/>
              </w:rPr>
              <w:t>Заметно увеличилась</w:t>
            </w:r>
          </w:p>
        </w:tc>
        <w:tc>
          <w:tcPr>
            <w:tcW w:w="1642" w:type="dxa"/>
            <w:vAlign w:val="center"/>
          </w:tcPr>
          <w:p w:rsidR="00851FF9" w:rsidRPr="008212CA" w:rsidRDefault="00851FF9" w:rsidP="00851FF9">
            <w:pPr>
              <w:spacing w:before="120" w:after="120" w:line="269" w:lineRule="auto"/>
              <w:jc w:val="center"/>
              <w:rPr>
                <w:rFonts w:ascii="Times New Roman" w:eastAsia="Calibri" w:hAnsi="Times New Roman" w:cs="Times New Roman"/>
                <w:b/>
                <w:color w:val="000000"/>
              </w:rPr>
            </w:pPr>
            <w:r w:rsidRPr="008212CA">
              <w:rPr>
                <w:rFonts w:ascii="Times New Roman" w:eastAsia="Calibri" w:hAnsi="Times New Roman" w:cs="Times New Roman"/>
                <w:b/>
                <w:color w:val="000000"/>
              </w:rPr>
              <w:t>Незначительно увеличилась</w:t>
            </w:r>
          </w:p>
        </w:tc>
        <w:tc>
          <w:tcPr>
            <w:tcW w:w="1648" w:type="dxa"/>
            <w:vAlign w:val="center"/>
          </w:tcPr>
          <w:p w:rsidR="00851FF9" w:rsidRPr="008212CA" w:rsidRDefault="00851FF9" w:rsidP="00851FF9">
            <w:pPr>
              <w:spacing w:before="120" w:after="120" w:line="269" w:lineRule="auto"/>
              <w:jc w:val="center"/>
              <w:rPr>
                <w:rFonts w:ascii="Times New Roman" w:eastAsia="Calibri" w:hAnsi="Times New Roman" w:cs="Times New Roman"/>
                <w:b/>
                <w:color w:val="000000"/>
              </w:rPr>
            </w:pPr>
            <w:r w:rsidRPr="008212CA">
              <w:rPr>
                <w:rFonts w:ascii="Times New Roman" w:eastAsia="Calibri" w:hAnsi="Times New Roman" w:cs="Times New Roman"/>
                <w:b/>
                <w:color w:val="000000"/>
              </w:rPr>
              <w:t>Не изменилась</w:t>
            </w:r>
          </w:p>
        </w:tc>
        <w:tc>
          <w:tcPr>
            <w:tcW w:w="1520" w:type="dxa"/>
            <w:vAlign w:val="center"/>
          </w:tcPr>
          <w:p w:rsidR="00851FF9" w:rsidRPr="008212CA" w:rsidRDefault="00851FF9" w:rsidP="00851FF9">
            <w:pPr>
              <w:spacing w:before="120" w:after="120" w:line="269" w:lineRule="auto"/>
              <w:jc w:val="center"/>
              <w:rPr>
                <w:rFonts w:ascii="Times New Roman" w:eastAsia="Calibri" w:hAnsi="Times New Roman" w:cs="Times New Roman"/>
                <w:b/>
                <w:color w:val="000000"/>
              </w:rPr>
            </w:pPr>
            <w:r w:rsidRPr="008212CA">
              <w:rPr>
                <w:rFonts w:ascii="Times New Roman" w:eastAsia="Calibri" w:hAnsi="Times New Roman" w:cs="Times New Roman"/>
                <w:b/>
                <w:color w:val="000000"/>
              </w:rPr>
              <w:t>Уменьшилась</w:t>
            </w:r>
          </w:p>
        </w:tc>
        <w:tc>
          <w:tcPr>
            <w:tcW w:w="1710" w:type="dxa"/>
            <w:vAlign w:val="center"/>
          </w:tcPr>
          <w:p w:rsidR="00851FF9" w:rsidRPr="008212CA" w:rsidRDefault="00851FF9" w:rsidP="00851FF9">
            <w:pPr>
              <w:spacing w:before="120" w:after="120" w:line="269" w:lineRule="auto"/>
              <w:jc w:val="center"/>
              <w:rPr>
                <w:rFonts w:ascii="Times New Roman" w:eastAsia="Calibri" w:hAnsi="Times New Roman" w:cs="Times New Roman"/>
                <w:b/>
                <w:color w:val="000000"/>
              </w:rPr>
            </w:pPr>
            <w:r w:rsidRPr="008212CA">
              <w:rPr>
                <w:rFonts w:ascii="Times New Roman" w:eastAsia="Calibri" w:hAnsi="Times New Roman" w:cs="Times New Roman"/>
                <w:b/>
                <w:color w:val="000000"/>
              </w:rPr>
              <w:t>Не используем</w:t>
            </w:r>
          </w:p>
        </w:tc>
      </w:tr>
      <w:tr w:rsidR="00851FF9" w:rsidRPr="00851FF9" w:rsidTr="003A1D5A">
        <w:tc>
          <w:tcPr>
            <w:tcW w:w="2060"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РКО</w:t>
            </w:r>
          </w:p>
        </w:tc>
        <w:tc>
          <w:tcPr>
            <w:tcW w:w="141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6,7%</w:t>
            </w:r>
          </w:p>
        </w:tc>
        <w:tc>
          <w:tcPr>
            <w:tcW w:w="164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15,6%</w:t>
            </w:r>
          </w:p>
        </w:tc>
        <w:tc>
          <w:tcPr>
            <w:tcW w:w="164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75,6%</w:t>
            </w:r>
          </w:p>
        </w:tc>
        <w:tc>
          <w:tcPr>
            <w:tcW w:w="1520"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2,2%</w:t>
            </w:r>
          </w:p>
        </w:tc>
        <w:tc>
          <w:tcPr>
            <w:tcW w:w="1710"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0,0%</w:t>
            </w:r>
          </w:p>
        </w:tc>
      </w:tr>
      <w:tr w:rsidR="00851FF9" w:rsidRPr="00851FF9" w:rsidTr="003A1D5A">
        <w:tc>
          <w:tcPr>
            <w:tcW w:w="2060"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Кредитование</w:t>
            </w:r>
          </w:p>
        </w:tc>
        <w:tc>
          <w:tcPr>
            <w:tcW w:w="141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4,7%</w:t>
            </w:r>
          </w:p>
        </w:tc>
        <w:tc>
          <w:tcPr>
            <w:tcW w:w="164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27,9%</w:t>
            </w:r>
          </w:p>
        </w:tc>
        <w:tc>
          <w:tcPr>
            <w:tcW w:w="164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48,8%</w:t>
            </w:r>
          </w:p>
        </w:tc>
        <w:tc>
          <w:tcPr>
            <w:tcW w:w="1520"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9,3%</w:t>
            </w:r>
          </w:p>
        </w:tc>
        <w:tc>
          <w:tcPr>
            <w:tcW w:w="1710"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9,3%</w:t>
            </w:r>
          </w:p>
        </w:tc>
      </w:tr>
      <w:tr w:rsidR="00851FF9" w:rsidRPr="00851FF9" w:rsidTr="003A1D5A">
        <w:tc>
          <w:tcPr>
            <w:tcW w:w="2060"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Услуги эквайринга</w:t>
            </w:r>
          </w:p>
        </w:tc>
        <w:tc>
          <w:tcPr>
            <w:tcW w:w="141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0,0%</w:t>
            </w:r>
          </w:p>
        </w:tc>
        <w:tc>
          <w:tcPr>
            <w:tcW w:w="164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22,0%</w:t>
            </w:r>
          </w:p>
        </w:tc>
        <w:tc>
          <w:tcPr>
            <w:tcW w:w="164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48,8%</w:t>
            </w:r>
          </w:p>
        </w:tc>
        <w:tc>
          <w:tcPr>
            <w:tcW w:w="1520"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9,8%</w:t>
            </w:r>
          </w:p>
        </w:tc>
        <w:tc>
          <w:tcPr>
            <w:tcW w:w="1710"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19,5%</w:t>
            </w:r>
          </w:p>
        </w:tc>
      </w:tr>
      <w:tr w:rsidR="00851FF9" w:rsidRPr="00851FF9" w:rsidTr="003A1D5A">
        <w:tc>
          <w:tcPr>
            <w:tcW w:w="2060"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Зарплатные проекты</w:t>
            </w:r>
          </w:p>
        </w:tc>
        <w:tc>
          <w:tcPr>
            <w:tcW w:w="141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7,5%</w:t>
            </w:r>
          </w:p>
        </w:tc>
        <w:tc>
          <w:tcPr>
            <w:tcW w:w="164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15,0%</w:t>
            </w:r>
          </w:p>
        </w:tc>
        <w:tc>
          <w:tcPr>
            <w:tcW w:w="164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65,0%</w:t>
            </w:r>
          </w:p>
        </w:tc>
        <w:tc>
          <w:tcPr>
            <w:tcW w:w="1520"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2,5%</w:t>
            </w:r>
          </w:p>
        </w:tc>
        <w:tc>
          <w:tcPr>
            <w:tcW w:w="1710"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10,0%</w:t>
            </w:r>
          </w:p>
        </w:tc>
      </w:tr>
      <w:tr w:rsidR="00851FF9" w:rsidRPr="00851FF9" w:rsidTr="003A1D5A">
        <w:tc>
          <w:tcPr>
            <w:tcW w:w="2060"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Страхование имущества</w:t>
            </w:r>
          </w:p>
        </w:tc>
        <w:tc>
          <w:tcPr>
            <w:tcW w:w="141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8,6%</w:t>
            </w:r>
          </w:p>
        </w:tc>
        <w:tc>
          <w:tcPr>
            <w:tcW w:w="164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28,6%</w:t>
            </w:r>
          </w:p>
        </w:tc>
        <w:tc>
          <w:tcPr>
            <w:tcW w:w="164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31,4%</w:t>
            </w:r>
          </w:p>
        </w:tc>
        <w:tc>
          <w:tcPr>
            <w:tcW w:w="1520"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14,3%</w:t>
            </w:r>
          </w:p>
        </w:tc>
        <w:tc>
          <w:tcPr>
            <w:tcW w:w="1710"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17,1%</w:t>
            </w:r>
          </w:p>
        </w:tc>
      </w:tr>
      <w:tr w:rsidR="00851FF9" w:rsidRPr="00851FF9" w:rsidTr="003A1D5A">
        <w:tc>
          <w:tcPr>
            <w:tcW w:w="2060"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ДМС работников</w:t>
            </w:r>
          </w:p>
        </w:tc>
        <w:tc>
          <w:tcPr>
            <w:tcW w:w="141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2,9%</w:t>
            </w:r>
          </w:p>
        </w:tc>
        <w:tc>
          <w:tcPr>
            <w:tcW w:w="164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14,3%</w:t>
            </w:r>
          </w:p>
        </w:tc>
        <w:tc>
          <w:tcPr>
            <w:tcW w:w="164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40,0%</w:t>
            </w:r>
          </w:p>
        </w:tc>
        <w:tc>
          <w:tcPr>
            <w:tcW w:w="1520"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17,1%</w:t>
            </w:r>
          </w:p>
        </w:tc>
        <w:tc>
          <w:tcPr>
            <w:tcW w:w="1710"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25,7%</w:t>
            </w:r>
          </w:p>
        </w:tc>
      </w:tr>
      <w:tr w:rsidR="00851FF9" w:rsidRPr="00851FF9" w:rsidTr="003A1D5A">
        <w:tc>
          <w:tcPr>
            <w:tcW w:w="2060"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Профессиональные участники рынка ценных бумаг</w:t>
            </w:r>
          </w:p>
        </w:tc>
        <w:tc>
          <w:tcPr>
            <w:tcW w:w="141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5,9%</w:t>
            </w:r>
          </w:p>
        </w:tc>
        <w:tc>
          <w:tcPr>
            <w:tcW w:w="164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17,6%</w:t>
            </w:r>
          </w:p>
        </w:tc>
        <w:tc>
          <w:tcPr>
            <w:tcW w:w="164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11,8%</w:t>
            </w:r>
          </w:p>
        </w:tc>
        <w:tc>
          <w:tcPr>
            <w:tcW w:w="1520"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2,9%</w:t>
            </w:r>
          </w:p>
        </w:tc>
        <w:tc>
          <w:tcPr>
            <w:tcW w:w="1710"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61,8%</w:t>
            </w:r>
          </w:p>
        </w:tc>
      </w:tr>
      <w:tr w:rsidR="00851FF9" w:rsidRPr="00851FF9" w:rsidTr="003A1D5A">
        <w:tc>
          <w:tcPr>
            <w:tcW w:w="2060"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Микрофинансовые организации</w:t>
            </w:r>
          </w:p>
        </w:tc>
        <w:tc>
          <w:tcPr>
            <w:tcW w:w="141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2,7%</w:t>
            </w:r>
          </w:p>
        </w:tc>
        <w:tc>
          <w:tcPr>
            <w:tcW w:w="164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13,5%</w:t>
            </w:r>
          </w:p>
        </w:tc>
        <w:tc>
          <w:tcPr>
            <w:tcW w:w="164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21,6%</w:t>
            </w:r>
          </w:p>
        </w:tc>
        <w:tc>
          <w:tcPr>
            <w:tcW w:w="1520"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5,4%</w:t>
            </w:r>
          </w:p>
        </w:tc>
        <w:tc>
          <w:tcPr>
            <w:tcW w:w="1710"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56,8%</w:t>
            </w:r>
          </w:p>
        </w:tc>
      </w:tr>
    </w:tbl>
    <w:p w:rsidR="00851FF9" w:rsidRPr="00851FF9" w:rsidRDefault="00851FF9" w:rsidP="00851FF9">
      <w:pPr>
        <w:spacing w:after="0" w:line="360" w:lineRule="auto"/>
        <w:ind w:firstLine="709"/>
        <w:jc w:val="both"/>
        <w:rPr>
          <w:rFonts w:ascii="Times New Roman" w:eastAsia="Times New Roman" w:hAnsi="Times New Roman" w:cs="Times New Roman"/>
          <w:color w:val="000000"/>
          <w:sz w:val="28"/>
          <w:szCs w:val="28"/>
          <w:lang w:eastAsia="ru-RU"/>
        </w:rPr>
      </w:pPr>
    </w:p>
    <w:p w:rsidR="00851FF9" w:rsidRPr="0010260C" w:rsidRDefault="00851FF9" w:rsidP="0010260C">
      <w:pPr>
        <w:spacing w:after="0" w:line="360" w:lineRule="auto"/>
        <w:ind w:firstLine="709"/>
        <w:jc w:val="both"/>
        <w:rPr>
          <w:rFonts w:ascii="Times New Roman" w:eastAsia="Times New Roman" w:hAnsi="Times New Roman" w:cs="Times New Roman"/>
          <w:color w:val="000000"/>
          <w:sz w:val="24"/>
          <w:szCs w:val="24"/>
          <w:lang w:eastAsia="ru-RU"/>
        </w:rPr>
      </w:pPr>
      <w:r w:rsidRPr="0010260C">
        <w:rPr>
          <w:rFonts w:ascii="Times New Roman" w:eastAsia="Times New Roman" w:hAnsi="Times New Roman" w:cs="Times New Roman"/>
          <w:color w:val="000000"/>
          <w:sz w:val="24"/>
          <w:szCs w:val="24"/>
          <w:lang w:eastAsia="ru-RU"/>
        </w:rPr>
        <w:t xml:space="preserve">Восприятие цен на услуги финансовых организаций в Ленинградской области и в соседних регионах демонстрирует в целом нейтральные оценки цен на большинство финансовых услуг в регионе. Умеренно негативно оцениваются только цены на услуги кредитования (ответ </w:t>
      </w:r>
      <w:r w:rsidR="008212CA">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цены выше, чем в соседних регионах</w:t>
      </w:r>
      <w:r w:rsidR="008212CA">
        <w:rPr>
          <w:rFonts w:ascii="Times New Roman" w:eastAsia="Times New Roman" w:hAnsi="Times New Roman" w:cs="Times New Roman"/>
          <w:color w:val="000000"/>
          <w:sz w:val="24"/>
          <w:szCs w:val="24"/>
          <w:lang w:eastAsia="ru-RU"/>
        </w:rPr>
        <w:t>»</w:t>
      </w:r>
      <w:r w:rsidRPr="0010260C">
        <w:rPr>
          <w:rFonts w:ascii="Times New Roman" w:eastAsia="Times New Roman" w:hAnsi="Times New Roman" w:cs="Times New Roman"/>
          <w:color w:val="000000"/>
          <w:sz w:val="24"/>
          <w:szCs w:val="24"/>
          <w:lang w:eastAsia="ru-RU"/>
        </w:rPr>
        <w:t xml:space="preserve"> - 7,1%).</w:t>
      </w:r>
    </w:p>
    <w:p w:rsidR="00851FF9" w:rsidRPr="00851FF9" w:rsidRDefault="00851FF9" w:rsidP="0010260C">
      <w:pPr>
        <w:keepNext/>
        <w:keepLines/>
        <w:spacing w:before="120" w:after="120" w:line="240" w:lineRule="auto"/>
        <w:jc w:val="center"/>
        <w:rPr>
          <w:rFonts w:ascii="Times New Roman" w:eastAsia="Calibri" w:hAnsi="Times New Roman" w:cs="Times New Roman"/>
          <w:iCs/>
          <w:color w:val="000000"/>
          <w:sz w:val="24"/>
          <w:szCs w:val="28"/>
        </w:rPr>
      </w:pPr>
      <w:r w:rsidRPr="00851FF9">
        <w:rPr>
          <w:rFonts w:ascii="Times New Roman" w:eastAsia="Calibri" w:hAnsi="Times New Roman" w:cs="Times New Roman"/>
          <w:iCs/>
          <w:color w:val="000000"/>
          <w:sz w:val="24"/>
          <w:szCs w:val="28"/>
        </w:rPr>
        <w:t xml:space="preserve">Таблица </w:t>
      </w:r>
      <w:r w:rsidR="0010260C">
        <w:rPr>
          <w:rFonts w:ascii="Times New Roman" w:eastAsia="Calibri" w:hAnsi="Times New Roman" w:cs="Times New Roman"/>
          <w:iCs/>
          <w:color w:val="000000"/>
          <w:sz w:val="24"/>
          <w:szCs w:val="28"/>
        </w:rPr>
        <w:t>39</w:t>
      </w:r>
      <w:r w:rsidRPr="00851FF9">
        <w:rPr>
          <w:rFonts w:ascii="Times New Roman" w:eastAsia="Calibri" w:hAnsi="Times New Roman" w:cs="Times New Roman"/>
          <w:iCs/>
          <w:color w:val="000000"/>
          <w:sz w:val="24"/>
          <w:szCs w:val="28"/>
        </w:rPr>
        <w:t xml:space="preserve">. </w:t>
      </w:r>
      <w:r w:rsidRPr="00851FF9">
        <w:rPr>
          <w:rFonts w:ascii="Times New Roman" w:eastAsia="Calibri" w:hAnsi="Times New Roman" w:cs="Times New Roman"/>
          <w:b/>
          <w:bCs/>
          <w:iCs/>
          <w:color w:val="000000"/>
          <w:sz w:val="24"/>
          <w:szCs w:val="28"/>
        </w:rPr>
        <w:t>Как соотносятся цены финансовых услуг в Вашем регионе с соседними субъектами Российской Федерации?</w:t>
      </w:r>
      <w:r w:rsidRPr="00851FF9">
        <w:rPr>
          <w:rFonts w:ascii="Times New Roman" w:eastAsia="Calibri" w:hAnsi="Times New Roman" w:cs="Times New Roman"/>
          <w:iCs/>
          <w:color w:val="000000"/>
          <w:sz w:val="24"/>
          <w:szCs w:val="28"/>
        </w:rPr>
        <w:t xml:space="preserve"> (данные аналитического обзора Центрального Банка Российской Федерации)</w:t>
      </w:r>
    </w:p>
    <w:tbl>
      <w:tblPr>
        <w:tblStyle w:val="260"/>
        <w:tblW w:w="0" w:type="auto"/>
        <w:tblLook w:val="04A0" w:firstRow="1" w:lastRow="0" w:firstColumn="1" w:lastColumn="0" w:noHBand="0" w:noVBand="1"/>
      </w:tblPr>
      <w:tblGrid>
        <w:gridCol w:w="2802"/>
        <w:gridCol w:w="1842"/>
        <w:gridCol w:w="1701"/>
        <w:gridCol w:w="1701"/>
        <w:gridCol w:w="1843"/>
      </w:tblGrid>
      <w:tr w:rsidR="00851FF9" w:rsidRPr="00851FF9" w:rsidTr="003A1D5A">
        <w:trPr>
          <w:tblHeader/>
        </w:trPr>
        <w:tc>
          <w:tcPr>
            <w:tcW w:w="2802" w:type="dxa"/>
            <w:vAlign w:val="center"/>
          </w:tcPr>
          <w:p w:rsidR="00851FF9" w:rsidRPr="008212CA" w:rsidRDefault="00851FF9" w:rsidP="00851FF9">
            <w:pPr>
              <w:spacing w:before="120" w:after="120" w:line="269" w:lineRule="auto"/>
              <w:jc w:val="center"/>
              <w:rPr>
                <w:rFonts w:ascii="Times New Roman" w:eastAsia="Calibri" w:hAnsi="Times New Roman" w:cs="Times New Roman"/>
                <w:b/>
                <w:color w:val="000000"/>
              </w:rPr>
            </w:pPr>
            <w:r w:rsidRPr="008212CA">
              <w:rPr>
                <w:rFonts w:ascii="Times New Roman" w:eastAsia="Calibri" w:hAnsi="Times New Roman" w:cs="Times New Roman"/>
                <w:b/>
                <w:color w:val="000000"/>
              </w:rPr>
              <w:t>Тип услуги</w:t>
            </w:r>
          </w:p>
        </w:tc>
        <w:tc>
          <w:tcPr>
            <w:tcW w:w="1842" w:type="dxa"/>
            <w:vAlign w:val="center"/>
          </w:tcPr>
          <w:p w:rsidR="00851FF9" w:rsidRPr="008212CA" w:rsidRDefault="00851FF9" w:rsidP="00851FF9">
            <w:pPr>
              <w:spacing w:before="120" w:after="120" w:line="269" w:lineRule="auto"/>
              <w:jc w:val="center"/>
              <w:rPr>
                <w:rFonts w:ascii="Times New Roman" w:eastAsia="Calibri" w:hAnsi="Times New Roman" w:cs="Times New Roman"/>
                <w:b/>
                <w:color w:val="000000"/>
              </w:rPr>
            </w:pPr>
            <w:r w:rsidRPr="008212CA">
              <w:rPr>
                <w:rFonts w:ascii="Times New Roman" w:eastAsia="Calibri" w:hAnsi="Times New Roman" w:cs="Times New Roman"/>
                <w:b/>
                <w:color w:val="000000"/>
              </w:rPr>
              <w:t>Цены выше, чем в соседних регионах</w:t>
            </w:r>
          </w:p>
        </w:tc>
        <w:tc>
          <w:tcPr>
            <w:tcW w:w="1701" w:type="dxa"/>
            <w:vAlign w:val="center"/>
          </w:tcPr>
          <w:p w:rsidR="00851FF9" w:rsidRPr="008212CA" w:rsidRDefault="00851FF9" w:rsidP="00851FF9">
            <w:pPr>
              <w:spacing w:before="120" w:after="120" w:line="269" w:lineRule="auto"/>
              <w:jc w:val="center"/>
              <w:rPr>
                <w:rFonts w:ascii="Times New Roman" w:eastAsia="Calibri" w:hAnsi="Times New Roman" w:cs="Times New Roman"/>
                <w:b/>
                <w:color w:val="000000"/>
              </w:rPr>
            </w:pPr>
            <w:r w:rsidRPr="008212CA">
              <w:rPr>
                <w:rFonts w:ascii="Times New Roman" w:eastAsia="Calibri" w:hAnsi="Times New Roman" w:cs="Times New Roman"/>
                <w:b/>
                <w:color w:val="000000"/>
              </w:rPr>
              <w:t>Цены в целом такие же</w:t>
            </w:r>
          </w:p>
        </w:tc>
        <w:tc>
          <w:tcPr>
            <w:tcW w:w="1701" w:type="dxa"/>
            <w:vAlign w:val="center"/>
          </w:tcPr>
          <w:p w:rsidR="00851FF9" w:rsidRPr="008212CA" w:rsidRDefault="00851FF9" w:rsidP="00851FF9">
            <w:pPr>
              <w:spacing w:before="120" w:after="120" w:line="269" w:lineRule="auto"/>
              <w:jc w:val="center"/>
              <w:rPr>
                <w:rFonts w:ascii="Times New Roman" w:eastAsia="Calibri" w:hAnsi="Times New Roman" w:cs="Times New Roman"/>
                <w:b/>
                <w:color w:val="000000"/>
              </w:rPr>
            </w:pPr>
            <w:r w:rsidRPr="008212CA">
              <w:rPr>
                <w:rFonts w:ascii="Times New Roman" w:eastAsia="Calibri" w:hAnsi="Times New Roman" w:cs="Times New Roman"/>
                <w:b/>
                <w:color w:val="000000"/>
              </w:rPr>
              <w:t>Цены ниже, чем в соседних регионах</w:t>
            </w:r>
          </w:p>
        </w:tc>
        <w:tc>
          <w:tcPr>
            <w:tcW w:w="1843" w:type="dxa"/>
            <w:vAlign w:val="center"/>
          </w:tcPr>
          <w:p w:rsidR="00851FF9" w:rsidRPr="008212CA" w:rsidRDefault="00851FF9" w:rsidP="00851FF9">
            <w:pPr>
              <w:spacing w:before="120" w:after="120" w:line="269" w:lineRule="auto"/>
              <w:jc w:val="center"/>
              <w:rPr>
                <w:rFonts w:ascii="Times New Roman" w:eastAsia="Calibri" w:hAnsi="Times New Roman" w:cs="Times New Roman"/>
                <w:b/>
                <w:color w:val="000000"/>
              </w:rPr>
            </w:pPr>
            <w:r w:rsidRPr="008212CA">
              <w:rPr>
                <w:rFonts w:ascii="Times New Roman" w:eastAsia="Calibri" w:hAnsi="Times New Roman" w:cs="Times New Roman"/>
                <w:b/>
                <w:color w:val="000000"/>
              </w:rPr>
              <w:t>Сравнение не проводилось</w:t>
            </w:r>
          </w:p>
        </w:tc>
      </w:tr>
      <w:tr w:rsidR="00851FF9" w:rsidRPr="00851FF9" w:rsidTr="003A1D5A">
        <w:tc>
          <w:tcPr>
            <w:tcW w:w="2802"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РКО</w:t>
            </w:r>
          </w:p>
        </w:tc>
        <w:tc>
          <w:tcPr>
            <w:tcW w:w="184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4,4%</w:t>
            </w:r>
          </w:p>
        </w:tc>
        <w:tc>
          <w:tcPr>
            <w:tcW w:w="1701"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33,3%</w:t>
            </w:r>
          </w:p>
        </w:tc>
        <w:tc>
          <w:tcPr>
            <w:tcW w:w="1701"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0,0%</w:t>
            </w:r>
          </w:p>
        </w:tc>
        <w:tc>
          <w:tcPr>
            <w:tcW w:w="184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62,2%</w:t>
            </w:r>
          </w:p>
        </w:tc>
      </w:tr>
      <w:tr w:rsidR="00851FF9" w:rsidRPr="00851FF9" w:rsidTr="003A1D5A">
        <w:tc>
          <w:tcPr>
            <w:tcW w:w="2802"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Кредитование</w:t>
            </w:r>
          </w:p>
        </w:tc>
        <w:tc>
          <w:tcPr>
            <w:tcW w:w="184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7,1%</w:t>
            </w:r>
          </w:p>
        </w:tc>
        <w:tc>
          <w:tcPr>
            <w:tcW w:w="1701"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31,0%</w:t>
            </w:r>
          </w:p>
        </w:tc>
        <w:tc>
          <w:tcPr>
            <w:tcW w:w="1701"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0,0%</w:t>
            </w:r>
          </w:p>
        </w:tc>
        <w:tc>
          <w:tcPr>
            <w:tcW w:w="184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61,9%</w:t>
            </w:r>
          </w:p>
        </w:tc>
      </w:tr>
      <w:tr w:rsidR="00851FF9" w:rsidRPr="00851FF9" w:rsidTr="003A1D5A">
        <w:tc>
          <w:tcPr>
            <w:tcW w:w="2802"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Услуги эквайринга</w:t>
            </w:r>
          </w:p>
        </w:tc>
        <w:tc>
          <w:tcPr>
            <w:tcW w:w="184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2,4%</w:t>
            </w:r>
          </w:p>
        </w:tc>
        <w:tc>
          <w:tcPr>
            <w:tcW w:w="1701"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21,4%</w:t>
            </w:r>
          </w:p>
        </w:tc>
        <w:tc>
          <w:tcPr>
            <w:tcW w:w="1701"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4,8%</w:t>
            </w:r>
          </w:p>
        </w:tc>
        <w:tc>
          <w:tcPr>
            <w:tcW w:w="184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71,4%</w:t>
            </w:r>
          </w:p>
        </w:tc>
      </w:tr>
      <w:tr w:rsidR="00851FF9" w:rsidRPr="00851FF9" w:rsidTr="003A1D5A">
        <w:tc>
          <w:tcPr>
            <w:tcW w:w="2802"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Зарплатные проекты</w:t>
            </w:r>
          </w:p>
        </w:tc>
        <w:tc>
          <w:tcPr>
            <w:tcW w:w="184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2,4%</w:t>
            </w:r>
          </w:p>
        </w:tc>
        <w:tc>
          <w:tcPr>
            <w:tcW w:w="1701"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26,8%</w:t>
            </w:r>
          </w:p>
        </w:tc>
        <w:tc>
          <w:tcPr>
            <w:tcW w:w="1701"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4,9%</w:t>
            </w:r>
          </w:p>
        </w:tc>
        <w:tc>
          <w:tcPr>
            <w:tcW w:w="184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65,9%</w:t>
            </w:r>
          </w:p>
        </w:tc>
      </w:tr>
      <w:tr w:rsidR="00851FF9" w:rsidRPr="00851FF9" w:rsidTr="003A1D5A">
        <w:tc>
          <w:tcPr>
            <w:tcW w:w="2802"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Страхование имущества</w:t>
            </w:r>
          </w:p>
        </w:tc>
        <w:tc>
          <w:tcPr>
            <w:tcW w:w="184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7,9%</w:t>
            </w:r>
          </w:p>
        </w:tc>
        <w:tc>
          <w:tcPr>
            <w:tcW w:w="1701"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18,4%</w:t>
            </w:r>
          </w:p>
        </w:tc>
        <w:tc>
          <w:tcPr>
            <w:tcW w:w="1701"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0,0%</w:t>
            </w:r>
          </w:p>
        </w:tc>
        <w:tc>
          <w:tcPr>
            <w:tcW w:w="184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73,7%</w:t>
            </w:r>
          </w:p>
        </w:tc>
      </w:tr>
      <w:tr w:rsidR="00851FF9" w:rsidRPr="00851FF9" w:rsidTr="003A1D5A">
        <w:tc>
          <w:tcPr>
            <w:tcW w:w="2802"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ДМС работников</w:t>
            </w:r>
          </w:p>
        </w:tc>
        <w:tc>
          <w:tcPr>
            <w:tcW w:w="184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5,9%</w:t>
            </w:r>
          </w:p>
        </w:tc>
        <w:tc>
          <w:tcPr>
            <w:tcW w:w="1701"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11,8%</w:t>
            </w:r>
          </w:p>
        </w:tc>
        <w:tc>
          <w:tcPr>
            <w:tcW w:w="1701"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2,9%</w:t>
            </w:r>
          </w:p>
        </w:tc>
        <w:tc>
          <w:tcPr>
            <w:tcW w:w="184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79,4%</w:t>
            </w:r>
          </w:p>
        </w:tc>
      </w:tr>
      <w:tr w:rsidR="00851FF9" w:rsidRPr="00851FF9" w:rsidTr="003A1D5A">
        <w:tc>
          <w:tcPr>
            <w:tcW w:w="2802"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Профессиональные участники рынка ценных бумаг</w:t>
            </w:r>
          </w:p>
        </w:tc>
        <w:tc>
          <w:tcPr>
            <w:tcW w:w="184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6,1%</w:t>
            </w:r>
          </w:p>
        </w:tc>
        <w:tc>
          <w:tcPr>
            <w:tcW w:w="1701"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15,2%</w:t>
            </w:r>
          </w:p>
        </w:tc>
        <w:tc>
          <w:tcPr>
            <w:tcW w:w="1701"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0,0%</w:t>
            </w:r>
          </w:p>
        </w:tc>
        <w:tc>
          <w:tcPr>
            <w:tcW w:w="184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78,8%</w:t>
            </w:r>
          </w:p>
        </w:tc>
      </w:tr>
      <w:tr w:rsidR="00851FF9" w:rsidRPr="00851FF9" w:rsidTr="003A1D5A">
        <w:tc>
          <w:tcPr>
            <w:tcW w:w="2802"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Микрофинансовые организации</w:t>
            </w:r>
          </w:p>
        </w:tc>
        <w:tc>
          <w:tcPr>
            <w:tcW w:w="1842"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0,0%</w:t>
            </w:r>
          </w:p>
        </w:tc>
        <w:tc>
          <w:tcPr>
            <w:tcW w:w="1701"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22,9%</w:t>
            </w:r>
          </w:p>
        </w:tc>
        <w:tc>
          <w:tcPr>
            <w:tcW w:w="1701"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0,0%</w:t>
            </w:r>
          </w:p>
        </w:tc>
        <w:tc>
          <w:tcPr>
            <w:tcW w:w="1843"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77,1%</w:t>
            </w:r>
          </w:p>
        </w:tc>
      </w:tr>
    </w:tbl>
    <w:p w:rsidR="00851FF9" w:rsidRPr="00851FF9" w:rsidRDefault="00851FF9" w:rsidP="00851FF9">
      <w:pPr>
        <w:spacing w:after="0" w:line="360" w:lineRule="auto"/>
        <w:ind w:firstLine="709"/>
        <w:jc w:val="both"/>
        <w:rPr>
          <w:rFonts w:ascii="Times New Roman" w:eastAsia="Times New Roman" w:hAnsi="Times New Roman" w:cs="Times New Roman"/>
          <w:color w:val="000000"/>
          <w:sz w:val="28"/>
          <w:szCs w:val="28"/>
          <w:lang w:eastAsia="ru-RU"/>
        </w:rPr>
      </w:pPr>
    </w:p>
    <w:p w:rsidR="00851FF9" w:rsidRPr="0010260C" w:rsidRDefault="00851FF9" w:rsidP="00851FF9">
      <w:pPr>
        <w:spacing w:after="0" w:line="360" w:lineRule="auto"/>
        <w:ind w:firstLine="709"/>
        <w:jc w:val="both"/>
        <w:rPr>
          <w:rFonts w:ascii="Times New Roman" w:eastAsia="Times New Roman" w:hAnsi="Times New Roman" w:cs="Times New Roman"/>
          <w:color w:val="000000"/>
          <w:sz w:val="24"/>
          <w:szCs w:val="24"/>
          <w:lang w:eastAsia="ru-RU"/>
        </w:rPr>
      </w:pPr>
      <w:r w:rsidRPr="0010260C">
        <w:rPr>
          <w:rFonts w:ascii="Times New Roman" w:eastAsia="Times New Roman" w:hAnsi="Times New Roman" w:cs="Times New Roman"/>
          <w:color w:val="000000"/>
          <w:sz w:val="24"/>
          <w:szCs w:val="24"/>
          <w:lang w:eastAsia="ru-RU"/>
        </w:rPr>
        <w:t>Уровень удовлетворенности предпринимателей работой финансовых организаций, осуществляющих деятельность в Ленинградской области, по каждому типу финансовых организаций, а также в разрезе территориального и размера бизнеса рассчитан от числа опрошенных представлен в таблице ниже.</w:t>
      </w:r>
    </w:p>
    <w:p w:rsidR="00851FF9" w:rsidRPr="00851FF9" w:rsidRDefault="00851FF9" w:rsidP="0010260C">
      <w:pPr>
        <w:keepNext/>
        <w:keepLines/>
        <w:spacing w:before="120" w:after="120" w:line="240" w:lineRule="auto"/>
        <w:jc w:val="center"/>
        <w:rPr>
          <w:rFonts w:ascii="Times New Roman" w:eastAsia="Calibri" w:hAnsi="Times New Roman" w:cs="Times New Roman"/>
          <w:b/>
          <w:iCs/>
          <w:color w:val="000000"/>
          <w:sz w:val="24"/>
          <w:szCs w:val="28"/>
        </w:rPr>
      </w:pPr>
      <w:r w:rsidRPr="00851FF9">
        <w:rPr>
          <w:rFonts w:ascii="Times New Roman" w:eastAsia="Calibri" w:hAnsi="Times New Roman" w:cs="Times New Roman"/>
          <w:iCs/>
          <w:color w:val="000000"/>
          <w:sz w:val="24"/>
          <w:szCs w:val="28"/>
        </w:rPr>
        <w:t xml:space="preserve">Таблица </w:t>
      </w:r>
      <w:r w:rsidR="0010260C">
        <w:rPr>
          <w:rFonts w:ascii="Times New Roman" w:eastAsia="Calibri" w:hAnsi="Times New Roman" w:cs="Times New Roman"/>
          <w:iCs/>
          <w:color w:val="000000"/>
          <w:sz w:val="24"/>
          <w:szCs w:val="28"/>
        </w:rPr>
        <w:t>40</w:t>
      </w:r>
      <w:r w:rsidRPr="00851FF9">
        <w:rPr>
          <w:rFonts w:ascii="Times New Roman" w:eastAsia="Calibri" w:hAnsi="Times New Roman" w:cs="Times New Roman"/>
          <w:iCs/>
          <w:color w:val="000000"/>
          <w:sz w:val="24"/>
          <w:szCs w:val="28"/>
        </w:rPr>
        <w:t xml:space="preserve">. </w:t>
      </w:r>
      <w:r w:rsidRPr="00851FF9">
        <w:rPr>
          <w:rFonts w:ascii="Times New Roman" w:eastAsia="Calibri" w:hAnsi="Times New Roman" w:cs="Times New Roman"/>
          <w:b/>
          <w:iCs/>
          <w:color w:val="000000"/>
          <w:sz w:val="24"/>
          <w:szCs w:val="28"/>
        </w:rPr>
        <w:t xml:space="preserve">Уровень удовлетворенности предпринимателей работой финансовых организаций </w:t>
      </w:r>
      <w:r w:rsidRPr="00851FF9">
        <w:rPr>
          <w:rFonts w:ascii="Times New Roman" w:eastAsia="Calibri" w:hAnsi="Times New Roman" w:cs="Times New Roman"/>
          <w:noProof/>
          <w:color w:val="000000"/>
          <w:sz w:val="24"/>
          <w:szCs w:val="24"/>
        </w:rPr>
        <w:t xml:space="preserve">(опрос предпринимателей, </w:t>
      </w:r>
      <w:r w:rsidRPr="00851FF9">
        <w:rPr>
          <w:rFonts w:ascii="Times New Roman" w:eastAsia="Calibri" w:hAnsi="Times New Roman" w:cs="Times New Roman"/>
          <w:color w:val="000000"/>
          <w:sz w:val="24"/>
          <w:szCs w:val="24"/>
        </w:rPr>
        <w:t>% от числа опрошенных)</w:t>
      </w:r>
    </w:p>
    <w:tbl>
      <w:tblPr>
        <w:tblW w:w="50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1"/>
        <w:gridCol w:w="1168"/>
        <w:gridCol w:w="871"/>
        <w:gridCol w:w="877"/>
        <w:gridCol w:w="803"/>
        <w:gridCol w:w="1091"/>
        <w:gridCol w:w="1020"/>
        <w:gridCol w:w="1020"/>
        <w:gridCol w:w="1163"/>
        <w:gridCol w:w="25"/>
      </w:tblGrid>
      <w:tr w:rsidR="00851FF9" w:rsidRPr="00851FF9" w:rsidTr="003B4122">
        <w:trPr>
          <w:gridAfter w:val="1"/>
          <w:wAfter w:w="14" w:type="pct"/>
          <w:cantSplit/>
          <w:trHeight w:val="1695"/>
          <w:tblHeader/>
        </w:trPr>
        <w:tc>
          <w:tcPr>
            <w:tcW w:w="1124" w:type="pct"/>
            <w:shd w:val="clear" w:color="auto" w:fill="auto"/>
            <w:noWrap/>
            <w:vAlign w:val="center"/>
          </w:tcPr>
          <w:p w:rsidR="00851FF9" w:rsidRPr="00851FF9" w:rsidRDefault="00851FF9" w:rsidP="00851FF9">
            <w:pPr>
              <w:spacing w:after="0" w:line="240" w:lineRule="auto"/>
              <w:jc w:val="center"/>
              <w:rPr>
                <w:rFonts w:ascii="Times New Roman" w:eastAsia="Times New Roman" w:hAnsi="Times New Roman" w:cs="Times New Roman"/>
                <w:color w:val="000000"/>
                <w:lang w:eastAsia="ru-RU"/>
              </w:rPr>
            </w:pPr>
          </w:p>
        </w:tc>
        <w:tc>
          <w:tcPr>
            <w:tcW w:w="563" w:type="pct"/>
            <w:shd w:val="clear" w:color="auto" w:fill="auto"/>
            <w:textDirection w:val="btLr"/>
            <w:vAlign w:val="center"/>
          </w:tcPr>
          <w:p w:rsidR="00851FF9" w:rsidRPr="00851FF9" w:rsidRDefault="00851FF9" w:rsidP="00851FF9">
            <w:pPr>
              <w:spacing w:after="0" w:line="240" w:lineRule="auto"/>
              <w:ind w:left="113" w:right="113"/>
              <w:jc w:val="center"/>
              <w:rPr>
                <w:rFonts w:ascii="Times New Roman" w:eastAsia="Times New Roman" w:hAnsi="Times New Roman" w:cs="Times New Roman"/>
                <w:b/>
                <w:bCs/>
                <w:color w:val="000000"/>
                <w:sz w:val="18"/>
                <w:szCs w:val="18"/>
                <w:lang w:eastAsia="ru-RU"/>
              </w:rPr>
            </w:pPr>
            <w:r w:rsidRPr="00851FF9">
              <w:rPr>
                <w:rFonts w:ascii="Times New Roman" w:eastAsia="Calibri" w:hAnsi="Times New Roman" w:cs="Times New Roman"/>
                <w:b/>
                <w:color w:val="000000"/>
                <w:sz w:val="18"/>
                <w:szCs w:val="18"/>
              </w:rPr>
              <w:t>Банки</w:t>
            </w:r>
          </w:p>
        </w:tc>
        <w:tc>
          <w:tcPr>
            <w:tcW w:w="420" w:type="pct"/>
            <w:shd w:val="clear" w:color="auto" w:fill="auto"/>
            <w:textDirection w:val="btLr"/>
            <w:vAlign w:val="center"/>
          </w:tcPr>
          <w:p w:rsidR="00851FF9" w:rsidRPr="00851FF9" w:rsidRDefault="00851FF9" w:rsidP="00851FF9">
            <w:pPr>
              <w:spacing w:after="0" w:line="240" w:lineRule="auto"/>
              <w:ind w:left="113" w:right="113"/>
              <w:jc w:val="center"/>
              <w:rPr>
                <w:rFonts w:ascii="Times New Roman" w:eastAsia="Times New Roman" w:hAnsi="Times New Roman" w:cs="Times New Roman"/>
                <w:b/>
                <w:bCs/>
                <w:color w:val="000000"/>
                <w:sz w:val="18"/>
                <w:szCs w:val="18"/>
                <w:lang w:eastAsia="ru-RU"/>
              </w:rPr>
            </w:pPr>
            <w:r w:rsidRPr="00851FF9">
              <w:rPr>
                <w:rFonts w:ascii="Times New Roman" w:eastAsia="Times New Roman" w:hAnsi="Times New Roman" w:cs="Times New Roman"/>
                <w:b/>
                <w:bCs/>
                <w:color w:val="000000"/>
                <w:sz w:val="18"/>
                <w:szCs w:val="18"/>
                <w:lang w:eastAsia="ru-RU"/>
              </w:rPr>
              <w:t>Микрофинсовые организации</w:t>
            </w:r>
          </w:p>
        </w:tc>
        <w:tc>
          <w:tcPr>
            <w:tcW w:w="423" w:type="pct"/>
            <w:shd w:val="clear" w:color="auto" w:fill="auto"/>
            <w:textDirection w:val="btLr"/>
            <w:vAlign w:val="center"/>
          </w:tcPr>
          <w:p w:rsidR="00851FF9" w:rsidRPr="00851FF9" w:rsidRDefault="00851FF9" w:rsidP="00851FF9">
            <w:pPr>
              <w:spacing w:after="0" w:line="240" w:lineRule="auto"/>
              <w:ind w:left="113" w:right="113"/>
              <w:jc w:val="center"/>
              <w:rPr>
                <w:rFonts w:ascii="Times New Roman" w:eastAsia="Times New Roman" w:hAnsi="Times New Roman" w:cs="Times New Roman"/>
                <w:b/>
                <w:bCs/>
                <w:color w:val="000000"/>
                <w:sz w:val="18"/>
                <w:szCs w:val="18"/>
                <w:lang w:eastAsia="ru-RU"/>
              </w:rPr>
            </w:pPr>
            <w:r w:rsidRPr="00851FF9">
              <w:rPr>
                <w:rFonts w:ascii="Times New Roman" w:eastAsia="Times New Roman" w:hAnsi="Times New Roman" w:cs="Times New Roman"/>
                <w:b/>
                <w:bCs/>
                <w:color w:val="000000"/>
                <w:sz w:val="18"/>
                <w:szCs w:val="18"/>
                <w:lang w:eastAsia="ru-RU"/>
              </w:rPr>
              <w:t>Кредитные потребительские кооперативы</w:t>
            </w:r>
          </w:p>
        </w:tc>
        <w:tc>
          <w:tcPr>
            <w:tcW w:w="387" w:type="pct"/>
            <w:shd w:val="clear" w:color="auto" w:fill="auto"/>
            <w:textDirection w:val="btLr"/>
            <w:vAlign w:val="center"/>
          </w:tcPr>
          <w:p w:rsidR="00851FF9" w:rsidRPr="00851FF9" w:rsidRDefault="00851FF9" w:rsidP="00851FF9">
            <w:pPr>
              <w:spacing w:after="0" w:line="240" w:lineRule="auto"/>
              <w:ind w:left="113" w:right="113"/>
              <w:jc w:val="center"/>
              <w:rPr>
                <w:rFonts w:ascii="Times New Roman" w:eastAsia="Calibri" w:hAnsi="Times New Roman" w:cs="Times New Roman"/>
                <w:b/>
                <w:color w:val="000000"/>
                <w:sz w:val="18"/>
                <w:szCs w:val="18"/>
              </w:rPr>
            </w:pPr>
            <w:r w:rsidRPr="00851FF9">
              <w:rPr>
                <w:rFonts w:ascii="Times New Roman" w:eastAsia="Calibri" w:hAnsi="Times New Roman" w:cs="Times New Roman"/>
                <w:b/>
                <w:color w:val="000000"/>
                <w:sz w:val="18"/>
                <w:szCs w:val="18"/>
              </w:rPr>
              <w:t>Ломбарды</w:t>
            </w:r>
          </w:p>
        </w:tc>
        <w:tc>
          <w:tcPr>
            <w:tcW w:w="526" w:type="pct"/>
            <w:shd w:val="clear" w:color="auto" w:fill="auto"/>
            <w:textDirection w:val="btLr"/>
            <w:vAlign w:val="center"/>
          </w:tcPr>
          <w:p w:rsidR="00851FF9" w:rsidRPr="00851FF9" w:rsidRDefault="00851FF9" w:rsidP="00851FF9">
            <w:pPr>
              <w:spacing w:after="0" w:line="240" w:lineRule="auto"/>
              <w:ind w:left="113" w:right="113"/>
              <w:jc w:val="center"/>
              <w:rPr>
                <w:rFonts w:ascii="Times New Roman" w:eastAsia="Calibri" w:hAnsi="Times New Roman" w:cs="Times New Roman"/>
                <w:b/>
                <w:color w:val="000000"/>
                <w:sz w:val="18"/>
                <w:szCs w:val="18"/>
              </w:rPr>
            </w:pPr>
            <w:r w:rsidRPr="00851FF9">
              <w:rPr>
                <w:rFonts w:ascii="Times New Roman" w:eastAsia="Calibri" w:hAnsi="Times New Roman" w:cs="Times New Roman"/>
                <w:b/>
                <w:color w:val="000000"/>
                <w:sz w:val="18"/>
                <w:szCs w:val="18"/>
              </w:rPr>
              <w:t>Субъекты страхового дела</w:t>
            </w:r>
          </w:p>
        </w:tc>
        <w:tc>
          <w:tcPr>
            <w:tcW w:w="492" w:type="pct"/>
            <w:shd w:val="clear" w:color="auto" w:fill="auto"/>
            <w:textDirection w:val="btLr"/>
            <w:vAlign w:val="center"/>
          </w:tcPr>
          <w:p w:rsidR="00851FF9" w:rsidRPr="00851FF9" w:rsidRDefault="00851FF9" w:rsidP="00851FF9">
            <w:pPr>
              <w:spacing w:after="0" w:line="240" w:lineRule="auto"/>
              <w:ind w:left="113" w:right="113"/>
              <w:jc w:val="center"/>
              <w:rPr>
                <w:rFonts w:ascii="Times New Roman" w:eastAsia="Calibri" w:hAnsi="Times New Roman" w:cs="Times New Roman"/>
                <w:b/>
                <w:color w:val="000000"/>
                <w:sz w:val="18"/>
                <w:szCs w:val="18"/>
              </w:rPr>
            </w:pPr>
            <w:r w:rsidRPr="00851FF9">
              <w:rPr>
                <w:rFonts w:ascii="Times New Roman" w:eastAsia="Calibri" w:hAnsi="Times New Roman" w:cs="Times New Roman"/>
                <w:b/>
                <w:color w:val="000000"/>
                <w:sz w:val="18"/>
                <w:szCs w:val="18"/>
              </w:rPr>
              <w:t>Сельскохозяйственные кредитные потребительские кооперативы</w:t>
            </w:r>
          </w:p>
        </w:tc>
        <w:tc>
          <w:tcPr>
            <w:tcW w:w="492" w:type="pct"/>
            <w:shd w:val="clear" w:color="auto" w:fill="auto"/>
            <w:textDirection w:val="btLr"/>
            <w:vAlign w:val="center"/>
          </w:tcPr>
          <w:p w:rsidR="00851FF9" w:rsidRPr="00851FF9" w:rsidRDefault="00851FF9" w:rsidP="00851FF9">
            <w:pPr>
              <w:spacing w:after="0" w:line="240" w:lineRule="auto"/>
              <w:ind w:left="113" w:right="113"/>
              <w:jc w:val="center"/>
              <w:rPr>
                <w:rFonts w:ascii="Times New Roman" w:eastAsia="Times New Roman" w:hAnsi="Times New Roman" w:cs="Times New Roman"/>
                <w:b/>
                <w:bCs/>
                <w:color w:val="000000"/>
                <w:sz w:val="18"/>
                <w:szCs w:val="18"/>
                <w:lang w:eastAsia="ru-RU"/>
              </w:rPr>
            </w:pPr>
            <w:r w:rsidRPr="00851FF9">
              <w:rPr>
                <w:rFonts w:ascii="Times New Roman" w:eastAsia="Calibri" w:hAnsi="Times New Roman" w:cs="Times New Roman"/>
                <w:b/>
                <w:color w:val="000000"/>
                <w:sz w:val="18"/>
                <w:szCs w:val="18"/>
              </w:rPr>
              <w:t>Негосударственные пенсионные фонды</w:t>
            </w:r>
          </w:p>
        </w:tc>
        <w:tc>
          <w:tcPr>
            <w:tcW w:w="561" w:type="pct"/>
            <w:shd w:val="clear" w:color="auto" w:fill="auto"/>
            <w:textDirection w:val="btLr"/>
            <w:vAlign w:val="center"/>
          </w:tcPr>
          <w:p w:rsidR="00851FF9" w:rsidRPr="00851FF9" w:rsidRDefault="00851FF9" w:rsidP="00851FF9">
            <w:pPr>
              <w:spacing w:after="0" w:line="240" w:lineRule="auto"/>
              <w:ind w:left="113" w:right="113"/>
              <w:jc w:val="center"/>
              <w:rPr>
                <w:rFonts w:ascii="Times New Roman" w:eastAsia="Times New Roman" w:hAnsi="Times New Roman" w:cs="Times New Roman"/>
                <w:b/>
                <w:bCs/>
                <w:color w:val="000000"/>
                <w:sz w:val="18"/>
                <w:szCs w:val="18"/>
                <w:lang w:eastAsia="ru-RU"/>
              </w:rPr>
            </w:pPr>
            <w:r w:rsidRPr="00851FF9">
              <w:rPr>
                <w:rFonts w:ascii="Times New Roman" w:eastAsia="Calibri" w:hAnsi="Times New Roman" w:cs="Times New Roman"/>
                <w:b/>
                <w:color w:val="000000"/>
                <w:sz w:val="18"/>
                <w:szCs w:val="18"/>
              </w:rPr>
              <w:t>Брокеры</w:t>
            </w:r>
          </w:p>
        </w:tc>
      </w:tr>
      <w:tr w:rsidR="00851FF9" w:rsidRPr="00851FF9" w:rsidTr="003B4122">
        <w:trPr>
          <w:gridAfter w:val="1"/>
          <w:wAfter w:w="14" w:type="pct"/>
          <w:trHeight w:val="8"/>
        </w:trPr>
        <w:tc>
          <w:tcPr>
            <w:tcW w:w="1124" w:type="pct"/>
            <w:shd w:val="clear" w:color="auto" w:fill="auto"/>
            <w:vAlign w:val="center"/>
            <w:hideMark/>
          </w:tcPr>
          <w:p w:rsidR="00851FF9" w:rsidRPr="00851FF9" w:rsidRDefault="00851FF9" w:rsidP="00851FF9">
            <w:pPr>
              <w:spacing w:beforeLines="60" w:before="144" w:afterLines="60" w:after="144" w:line="269" w:lineRule="auto"/>
              <w:rPr>
                <w:rFonts w:ascii="Times New Roman" w:eastAsia="Times New Roman" w:hAnsi="Times New Roman" w:cs="Times New Roman"/>
                <w:b/>
                <w:color w:val="000000"/>
                <w:lang w:eastAsia="ru-RU"/>
              </w:rPr>
            </w:pPr>
            <w:r w:rsidRPr="00851FF9">
              <w:rPr>
                <w:rFonts w:ascii="Times New Roman" w:eastAsia="Times New Roman" w:hAnsi="Times New Roman" w:cs="Times New Roman"/>
                <w:b/>
                <w:color w:val="000000"/>
                <w:lang w:eastAsia="ru-RU"/>
              </w:rPr>
              <w:t>В целом по Ленинградской области</w:t>
            </w:r>
          </w:p>
        </w:tc>
        <w:tc>
          <w:tcPr>
            <w:tcW w:w="563" w:type="pct"/>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b/>
                <w:color w:val="000000"/>
              </w:rPr>
            </w:pPr>
            <w:r w:rsidRPr="00851FF9">
              <w:rPr>
                <w:rFonts w:ascii="Times New Roman" w:eastAsia="Calibri" w:hAnsi="Times New Roman" w:cs="Times New Roman"/>
                <w:b/>
                <w:color w:val="000000"/>
              </w:rPr>
              <w:t>70%</w:t>
            </w:r>
          </w:p>
        </w:tc>
        <w:tc>
          <w:tcPr>
            <w:tcW w:w="420" w:type="pct"/>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b/>
                <w:color w:val="000000"/>
              </w:rPr>
            </w:pPr>
            <w:r w:rsidRPr="00851FF9">
              <w:rPr>
                <w:rFonts w:ascii="Times New Roman" w:eastAsia="Calibri" w:hAnsi="Times New Roman" w:cs="Times New Roman"/>
                <w:b/>
                <w:color w:val="000000"/>
              </w:rPr>
              <w:t>19%</w:t>
            </w:r>
          </w:p>
        </w:tc>
        <w:tc>
          <w:tcPr>
            <w:tcW w:w="423" w:type="pct"/>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b/>
                <w:bCs/>
                <w:color w:val="000000"/>
              </w:rPr>
            </w:pPr>
            <w:r w:rsidRPr="00851FF9">
              <w:rPr>
                <w:rFonts w:ascii="Times New Roman" w:eastAsia="Calibri" w:hAnsi="Times New Roman" w:cs="Times New Roman"/>
                <w:b/>
                <w:color w:val="000000"/>
              </w:rPr>
              <w:t>24%</w:t>
            </w:r>
          </w:p>
        </w:tc>
        <w:tc>
          <w:tcPr>
            <w:tcW w:w="387" w:type="pct"/>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b/>
                <w:color w:val="000000"/>
              </w:rPr>
            </w:pPr>
            <w:r w:rsidRPr="00851FF9">
              <w:rPr>
                <w:rFonts w:ascii="Times New Roman" w:eastAsia="Calibri" w:hAnsi="Times New Roman" w:cs="Times New Roman"/>
                <w:b/>
                <w:color w:val="000000"/>
              </w:rPr>
              <w:t>21%</w:t>
            </w:r>
          </w:p>
        </w:tc>
        <w:tc>
          <w:tcPr>
            <w:tcW w:w="526" w:type="pct"/>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b/>
                <w:color w:val="000000"/>
              </w:rPr>
            </w:pPr>
            <w:r w:rsidRPr="00851FF9">
              <w:rPr>
                <w:rFonts w:ascii="Times New Roman" w:eastAsia="Calibri" w:hAnsi="Times New Roman" w:cs="Times New Roman"/>
                <w:b/>
                <w:color w:val="000000"/>
              </w:rPr>
              <w:t>42%</w:t>
            </w:r>
          </w:p>
        </w:tc>
        <w:tc>
          <w:tcPr>
            <w:tcW w:w="492" w:type="pct"/>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b/>
                <w:color w:val="000000"/>
              </w:rPr>
            </w:pPr>
            <w:r w:rsidRPr="00851FF9">
              <w:rPr>
                <w:rFonts w:ascii="Times New Roman" w:eastAsia="Calibri" w:hAnsi="Times New Roman" w:cs="Times New Roman"/>
                <w:b/>
                <w:color w:val="000000"/>
              </w:rPr>
              <w:t>24%</w:t>
            </w:r>
          </w:p>
        </w:tc>
        <w:tc>
          <w:tcPr>
            <w:tcW w:w="492" w:type="pct"/>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b/>
                <w:color w:val="000000"/>
              </w:rPr>
            </w:pPr>
            <w:r w:rsidRPr="00851FF9">
              <w:rPr>
                <w:rFonts w:ascii="Times New Roman" w:eastAsia="Calibri" w:hAnsi="Times New Roman" w:cs="Times New Roman"/>
                <w:b/>
                <w:color w:val="000000"/>
              </w:rPr>
              <w:t>28%</w:t>
            </w:r>
          </w:p>
        </w:tc>
        <w:tc>
          <w:tcPr>
            <w:tcW w:w="561" w:type="pct"/>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b/>
                <w:bCs/>
                <w:color w:val="000000"/>
              </w:rPr>
            </w:pPr>
            <w:r w:rsidRPr="00851FF9">
              <w:rPr>
                <w:rFonts w:ascii="Times New Roman" w:eastAsia="Calibri" w:hAnsi="Times New Roman" w:cs="Times New Roman"/>
                <w:b/>
                <w:color w:val="000000"/>
              </w:rPr>
              <w:t>24%</w:t>
            </w:r>
          </w:p>
        </w:tc>
      </w:tr>
      <w:tr w:rsidR="00851FF9" w:rsidRPr="00851FF9" w:rsidTr="003A1D5A">
        <w:trPr>
          <w:trHeight w:val="8"/>
        </w:trPr>
        <w:tc>
          <w:tcPr>
            <w:tcW w:w="5000" w:type="pct"/>
            <w:gridSpan w:val="10"/>
            <w:shd w:val="clear" w:color="auto" w:fill="auto"/>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b/>
                <w:color w:val="000000"/>
              </w:rPr>
              <w:t>В разрезе по размеру бизнеса</w:t>
            </w:r>
          </w:p>
        </w:tc>
      </w:tr>
      <w:tr w:rsidR="00851FF9" w:rsidRPr="00851FF9" w:rsidTr="003A1D5A">
        <w:trPr>
          <w:gridAfter w:val="1"/>
          <w:wAfter w:w="14" w:type="pct"/>
          <w:trHeight w:val="8"/>
        </w:trPr>
        <w:tc>
          <w:tcPr>
            <w:tcW w:w="1124" w:type="pct"/>
            <w:shd w:val="clear" w:color="auto" w:fill="auto"/>
          </w:tcPr>
          <w:p w:rsidR="00851FF9" w:rsidRPr="00851FF9" w:rsidRDefault="00851FF9" w:rsidP="00851FF9">
            <w:pPr>
              <w:spacing w:beforeLines="60" w:before="144" w:afterLines="60" w:after="144" w:line="269" w:lineRule="auto"/>
              <w:rPr>
                <w:rFonts w:ascii="Times New Roman" w:eastAsia="Times New Roman" w:hAnsi="Times New Roman" w:cs="Times New Roman"/>
                <w:color w:val="000000"/>
                <w:lang w:eastAsia="ru-RU"/>
              </w:rPr>
            </w:pPr>
            <w:r w:rsidRPr="00851FF9">
              <w:rPr>
                <w:rFonts w:ascii="Times New Roman" w:eastAsia="Calibri" w:hAnsi="Times New Roman" w:cs="Times New Roman"/>
                <w:color w:val="000000"/>
              </w:rPr>
              <w:t>До 120 млн. рублей (микропредприятие)</w:t>
            </w:r>
          </w:p>
        </w:tc>
        <w:tc>
          <w:tcPr>
            <w:tcW w:w="563" w:type="pct"/>
            <w:tcBorders>
              <w:top w:val="single" w:sz="4" w:space="0" w:color="auto"/>
              <w:left w:val="nil"/>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69%</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15%</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bCs/>
                <w:color w:val="000000"/>
              </w:rPr>
            </w:pPr>
            <w:r w:rsidRPr="00851FF9">
              <w:rPr>
                <w:rFonts w:ascii="Times New Roman" w:eastAsia="Calibri" w:hAnsi="Times New Roman" w:cs="Times New Roman"/>
                <w:color w:val="000000"/>
              </w:rPr>
              <w:t>21%</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15%</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31%</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16%</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bCs/>
                <w:color w:val="000000"/>
              </w:rPr>
            </w:pPr>
            <w:r w:rsidRPr="00851FF9">
              <w:rPr>
                <w:rFonts w:ascii="Times New Roman" w:eastAsia="Calibri" w:hAnsi="Times New Roman" w:cs="Times New Roman"/>
                <w:color w:val="000000"/>
              </w:rPr>
              <w:t>18%</w:t>
            </w:r>
          </w:p>
        </w:tc>
      </w:tr>
      <w:tr w:rsidR="00851FF9" w:rsidRPr="00851FF9" w:rsidTr="003A1D5A">
        <w:trPr>
          <w:gridAfter w:val="1"/>
          <w:wAfter w:w="14" w:type="pct"/>
          <w:trHeight w:val="8"/>
        </w:trPr>
        <w:tc>
          <w:tcPr>
            <w:tcW w:w="1124" w:type="pct"/>
            <w:shd w:val="clear" w:color="auto" w:fill="auto"/>
          </w:tcPr>
          <w:p w:rsidR="00851FF9" w:rsidRPr="00851FF9" w:rsidRDefault="00851FF9" w:rsidP="00851FF9">
            <w:pPr>
              <w:spacing w:beforeLines="60" w:before="144" w:afterLines="60" w:after="144" w:line="269" w:lineRule="auto"/>
              <w:rPr>
                <w:rFonts w:ascii="Times New Roman" w:eastAsia="Times New Roman" w:hAnsi="Times New Roman" w:cs="Times New Roman"/>
                <w:color w:val="000000"/>
                <w:lang w:eastAsia="ru-RU"/>
              </w:rPr>
            </w:pPr>
            <w:r w:rsidRPr="00851FF9">
              <w:rPr>
                <w:rFonts w:ascii="Times New Roman" w:eastAsia="Calibri" w:hAnsi="Times New Roman" w:cs="Times New Roman"/>
                <w:color w:val="000000"/>
              </w:rPr>
              <w:t>От 120 до 800 млн. рублей (малое предприятие)</w:t>
            </w:r>
          </w:p>
        </w:tc>
        <w:tc>
          <w:tcPr>
            <w:tcW w:w="563" w:type="pct"/>
            <w:tcBorders>
              <w:top w:val="single" w:sz="4" w:space="0" w:color="auto"/>
              <w:left w:val="nil"/>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78%</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28%</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bCs/>
                <w:color w:val="000000"/>
              </w:rPr>
            </w:pPr>
            <w:r w:rsidRPr="00851FF9">
              <w:rPr>
                <w:rFonts w:ascii="Times New Roman" w:eastAsia="Calibri" w:hAnsi="Times New Roman" w:cs="Times New Roman"/>
                <w:color w:val="000000"/>
              </w:rPr>
              <w:t>30%</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32%</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56%</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31%</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bCs/>
                <w:color w:val="000000"/>
              </w:rPr>
            </w:pPr>
            <w:r w:rsidRPr="00851FF9">
              <w:rPr>
                <w:rFonts w:ascii="Times New Roman" w:eastAsia="Calibri" w:hAnsi="Times New Roman" w:cs="Times New Roman"/>
                <w:color w:val="000000"/>
              </w:rPr>
              <w:t>36%</w:t>
            </w:r>
          </w:p>
        </w:tc>
      </w:tr>
      <w:tr w:rsidR="00851FF9" w:rsidRPr="00851FF9" w:rsidTr="003A1D5A">
        <w:trPr>
          <w:gridAfter w:val="1"/>
          <w:wAfter w:w="14" w:type="pct"/>
          <w:trHeight w:val="8"/>
        </w:trPr>
        <w:tc>
          <w:tcPr>
            <w:tcW w:w="1124" w:type="pct"/>
            <w:shd w:val="clear" w:color="auto" w:fill="auto"/>
          </w:tcPr>
          <w:p w:rsidR="00851FF9" w:rsidRPr="00851FF9" w:rsidRDefault="00851FF9" w:rsidP="00851FF9">
            <w:pPr>
              <w:spacing w:beforeLines="60" w:before="144" w:afterLines="60" w:after="144" w:line="269" w:lineRule="auto"/>
              <w:rPr>
                <w:rFonts w:ascii="Times New Roman" w:eastAsia="Times New Roman" w:hAnsi="Times New Roman" w:cs="Times New Roman"/>
                <w:color w:val="000000"/>
                <w:lang w:eastAsia="ru-RU"/>
              </w:rPr>
            </w:pPr>
            <w:r w:rsidRPr="00851FF9">
              <w:rPr>
                <w:rFonts w:ascii="Times New Roman" w:eastAsia="Calibri" w:hAnsi="Times New Roman" w:cs="Times New Roman"/>
                <w:color w:val="000000"/>
              </w:rPr>
              <w:t>От 800 до 2000 млн. рублей (среднее предприятие)</w:t>
            </w:r>
          </w:p>
        </w:tc>
        <w:tc>
          <w:tcPr>
            <w:tcW w:w="563" w:type="pct"/>
            <w:tcBorders>
              <w:top w:val="single" w:sz="4" w:space="0" w:color="auto"/>
              <w:left w:val="nil"/>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70%</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28%</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bCs/>
                <w:color w:val="000000"/>
              </w:rPr>
            </w:pPr>
            <w:r w:rsidRPr="00851FF9">
              <w:rPr>
                <w:rFonts w:ascii="Times New Roman" w:eastAsia="Calibri" w:hAnsi="Times New Roman" w:cs="Times New Roman"/>
                <w:color w:val="000000"/>
              </w:rPr>
              <w:t>37%</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35%</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56%</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35%</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bCs/>
                <w:color w:val="000000"/>
              </w:rPr>
            </w:pPr>
            <w:r w:rsidRPr="00851FF9">
              <w:rPr>
                <w:rFonts w:ascii="Times New Roman" w:eastAsia="Calibri" w:hAnsi="Times New Roman" w:cs="Times New Roman"/>
                <w:color w:val="000000"/>
              </w:rPr>
              <w:t>40%</w:t>
            </w:r>
          </w:p>
        </w:tc>
      </w:tr>
      <w:tr w:rsidR="00851FF9" w:rsidRPr="00851FF9" w:rsidTr="003A1D5A">
        <w:trPr>
          <w:gridAfter w:val="1"/>
          <w:wAfter w:w="14" w:type="pct"/>
          <w:trHeight w:val="8"/>
        </w:trPr>
        <w:tc>
          <w:tcPr>
            <w:tcW w:w="1124" w:type="pct"/>
            <w:shd w:val="clear" w:color="auto" w:fill="auto"/>
          </w:tcPr>
          <w:p w:rsidR="00851FF9" w:rsidRPr="00851FF9" w:rsidRDefault="00851FF9" w:rsidP="00851FF9">
            <w:pPr>
              <w:spacing w:beforeLines="60" w:before="144" w:afterLines="60" w:after="144" w:line="269" w:lineRule="auto"/>
              <w:rPr>
                <w:rFonts w:ascii="Times New Roman" w:eastAsia="Times New Roman" w:hAnsi="Times New Roman" w:cs="Times New Roman"/>
                <w:color w:val="000000"/>
                <w:lang w:eastAsia="ru-RU"/>
              </w:rPr>
            </w:pPr>
            <w:r w:rsidRPr="00851FF9">
              <w:rPr>
                <w:rFonts w:ascii="Times New Roman" w:eastAsia="Calibri" w:hAnsi="Times New Roman" w:cs="Times New Roman"/>
                <w:color w:val="000000"/>
              </w:rPr>
              <w:t>Более 2000 млн. рублей (крупное предприятие)</w:t>
            </w:r>
          </w:p>
        </w:tc>
        <w:tc>
          <w:tcPr>
            <w:tcW w:w="563" w:type="pct"/>
            <w:tcBorders>
              <w:top w:val="single" w:sz="4" w:space="0" w:color="auto"/>
              <w:left w:val="nil"/>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66%</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20%</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bCs/>
                <w:color w:val="000000"/>
              </w:rPr>
            </w:pPr>
            <w:r w:rsidRPr="00851FF9">
              <w:rPr>
                <w:rFonts w:ascii="Times New Roman" w:eastAsia="Calibri" w:hAnsi="Times New Roman" w:cs="Times New Roman"/>
                <w:color w:val="000000"/>
              </w:rPr>
              <w:t>29%</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27%</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54%</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36%</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39%</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bCs/>
                <w:color w:val="000000"/>
              </w:rPr>
            </w:pPr>
            <w:r w:rsidRPr="00851FF9">
              <w:rPr>
                <w:rFonts w:ascii="Times New Roman" w:eastAsia="Calibri" w:hAnsi="Times New Roman" w:cs="Times New Roman"/>
                <w:color w:val="000000"/>
              </w:rPr>
              <w:t>36%</w:t>
            </w:r>
          </w:p>
        </w:tc>
      </w:tr>
      <w:tr w:rsidR="00851FF9" w:rsidRPr="00851FF9" w:rsidTr="003A1D5A">
        <w:trPr>
          <w:gridAfter w:val="1"/>
          <w:wAfter w:w="14" w:type="pct"/>
          <w:trHeight w:val="8"/>
        </w:trPr>
        <w:tc>
          <w:tcPr>
            <w:tcW w:w="1124" w:type="pct"/>
            <w:shd w:val="clear" w:color="auto" w:fill="auto"/>
          </w:tcPr>
          <w:p w:rsidR="00851FF9" w:rsidRPr="00851FF9" w:rsidRDefault="00851FF9" w:rsidP="00851FF9">
            <w:pPr>
              <w:spacing w:beforeLines="60" w:before="144" w:afterLines="60" w:after="144"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Затрудняюсь ответить</w:t>
            </w:r>
          </w:p>
        </w:tc>
        <w:tc>
          <w:tcPr>
            <w:tcW w:w="563" w:type="pct"/>
            <w:tcBorders>
              <w:top w:val="single" w:sz="4" w:space="0" w:color="auto"/>
              <w:left w:val="nil"/>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66%</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12%</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18%</w:t>
            </w:r>
          </w:p>
        </w:tc>
        <w:tc>
          <w:tcPr>
            <w:tcW w:w="387"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12%</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36%</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20%</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13%</w:t>
            </w:r>
          </w:p>
        </w:tc>
      </w:tr>
    </w:tbl>
    <w:p w:rsidR="00851FF9" w:rsidRPr="00851FF9" w:rsidRDefault="00851FF9" w:rsidP="00851FF9">
      <w:pPr>
        <w:spacing w:after="0" w:line="240" w:lineRule="auto"/>
        <w:jc w:val="both"/>
        <w:rPr>
          <w:rFonts w:ascii="Times New Roman" w:eastAsia="Times New Roman" w:hAnsi="Times New Roman" w:cs="Times New Roman"/>
          <w:color w:val="000000"/>
          <w:sz w:val="28"/>
          <w:szCs w:val="28"/>
          <w:lang w:eastAsia="ru-RU"/>
        </w:rPr>
      </w:pPr>
      <w:r w:rsidRPr="00851FF9">
        <w:rPr>
          <w:rFonts w:ascii="Times New Roman" w:eastAsia="Calibri" w:hAnsi="Times New Roman" w:cs="Times New Roman"/>
          <w:color w:val="000000"/>
          <w:sz w:val="20"/>
          <w:szCs w:val="20"/>
        </w:rPr>
        <w:t>*Уровень удовлетворенности рассчитывался как "полностью удовлетворен" + "скорее удовлетворен" от числа опрошенных предприятий</w:t>
      </w:r>
    </w:p>
    <w:p w:rsidR="00851FF9" w:rsidRPr="00851FF9" w:rsidRDefault="00851FF9" w:rsidP="00851FF9">
      <w:pPr>
        <w:spacing w:after="0" w:line="360" w:lineRule="auto"/>
        <w:ind w:firstLine="709"/>
        <w:jc w:val="both"/>
        <w:rPr>
          <w:rFonts w:ascii="Times New Roman" w:eastAsia="Times New Roman" w:hAnsi="Times New Roman" w:cs="Times New Roman"/>
          <w:color w:val="000000"/>
          <w:sz w:val="16"/>
          <w:szCs w:val="16"/>
          <w:lang w:eastAsia="ru-RU"/>
        </w:rPr>
      </w:pPr>
    </w:p>
    <w:p w:rsidR="00851FF9" w:rsidRPr="0010260C" w:rsidRDefault="00851FF9" w:rsidP="00851FF9">
      <w:pPr>
        <w:spacing w:after="0" w:line="360" w:lineRule="auto"/>
        <w:ind w:firstLine="709"/>
        <w:jc w:val="both"/>
        <w:rPr>
          <w:rFonts w:ascii="Times New Roman" w:eastAsia="Times New Roman" w:hAnsi="Times New Roman" w:cs="Times New Roman"/>
          <w:color w:val="000000"/>
          <w:sz w:val="24"/>
          <w:szCs w:val="24"/>
          <w:lang w:eastAsia="ru-RU"/>
        </w:rPr>
      </w:pPr>
      <w:r w:rsidRPr="0010260C">
        <w:rPr>
          <w:rFonts w:ascii="Times New Roman" w:eastAsia="Times New Roman" w:hAnsi="Times New Roman" w:cs="Times New Roman"/>
          <w:color w:val="000000"/>
          <w:sz w:val="24"/>
          <w:szCs w:val="24"/>
          <w:lang w:eastAsia="ru-RU"/>
        </w:rPr>
        <w:t>В разрезе по размеру бизнеса участников опроса обращает на себя внимание, что малые предприятия более позитивно оценивают доступность выбора банков (78%) и ломбардов (32%). Средние предприятия дали выше остальных оценку работы кредитных потребительских кооперативов (37%) и брокеров (40%). Малые и средние предприятия позитивнее оценили работу микрофинансовых организаций и субъектов страхового дела (по 28% и 56% соответственно). Представители крупного бизнеса более довольны работой сельских кредитных потребительских кооперативов (36%) и негосударственных пенсионных фондов (39%).</w:t>
      </w:r>
    </w:p>
    <w:p w:rsidR="00851FF9" w:rsidRPr="0010260C" w:rsidRDefault="0010260C" w:rsidP="00851FF9">
      <w:pPr>
        <w:keepNext/>
        <w:keepLines/>
        <w:spacing w:before="40" w:after="240" w:line="240" w:lineRule="auto"/>
        <w:jc w:val="center"/>
        <w:outlineLvl w:val="2"/>
        <w:rPr>
          <w:rFonts w:ascii="Times New Roman" w:eastAsia="Arial" w:hAnsi="Times New Roman" w:cs="Times New Roman"/>
          <w:b/>
          <w:color w:val="000000"/>
          <w:sz w:val="24"/>
          <w:szCs w:val="24"/>
          <w:lang w:eastAsia="ru-RU"/>
        </w:rPr>
      </w:pPr>
      <w:bookmarkStart w:id="77" w:name="_Toc119695549"/>
      <w:bookmarkStart w:id="78" w:name="_Toc122720252"/>
      <w:r w:rsidRPr="0010260C">
        <w:rPr>
          <w:rFonts w:ascii="Times New Roman" w:eastAsia="Arial" w:hAnsi="Times New Roman" w:cs="Times New Roman"/>
          <w:b/>
          <w:color w:val="000000"/>
          <w:sz w:val="24"/>
          <w:szCs w:val="24"/>
          <w:lang w:eastAsia="ru-RU"/>
        </w:rPr>
        <w:t>3.6</w:t>
      </w:r>
      <w:r w:rsidR="00851FF9" w:rsidRPr="0010260C">
        <w:rPr>
          <w:rFonts w:ascii="Times New Roman" w:eastAsia="Arial" w:hAnsi="Times New Roman" w:cs="Times New Roman"/>
          <w:b/>
          <w:color w:val="000000"/>
          <w:sz w:val="24"/>
          <w:szCs w:val="24"/>
          <w:lang w:eastAsia="ru-RU"/>
        </w:rPr>
        <w:t xml:space="preserve">.6. Об </w:t>
      </w:r>
      <w:r w:rsidR="00851FF9" w:rsidRPr="0010260C">
        <w:rPr>
          <w:rFonts w:ascii="Times New Roman" w:eastAsia="Calibri" w:hAnsi="Times New Roman" w:cs="Times New Roman"/>
          <w:b/>
          <w:bCs/>
          <w:color w:val="000000"/>
          <w:sz w:val="24"/>
          <w:szCs w:val="24"/>
          <w:lang w:eastAsia="ru-RU"/>
        </w:rPr>
        <w:t>уровне удовлетворенности субъектов малого и среднего предпринимательства (юридических лиц) различными финансовыми продуктами и услугами (в рамках кредитования, сбережения и размещения свободных денежных средств, оказания платежных услуг, услуг страхования)</w:t>
      </w:r>
      <w:bookmarkEnd w:id="77"/>
      <w:bookmarkEnd w:id="78"/>
    </w:p>
    <w:p w:rsidR="00851FF9" w:rsidRPr="0010260C" w:rsidRDefault="00851FF9" w:rsidP="00851FF9">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10260C">
        <w:rPr>
          <w:rFonts w:ascii="Times New Roman" w:eastAsia="Times New Roman" w:hAnsi="Times New Roman" w:cs="Times New Roman"/>
          <w:color w:val="000000"/>
          <w:sz w:val="24"/>
          <w:szCs w:val="24"/>
          <w:lang w:eastAsia="ru-RU"/>
        </w:rPr>
        <w:t>По данным исследования Центральн</w:t>
      </w:r>
      <w:r w:rsidR="0010260C">
        <w:rPr>
          <w:rFonts w:ascii="Times New Roman" w:eastAsia="Times New Roman" w:hAnsi="Times New Roman" w:cs="Times New Roman"/>
          <w:color w:val="000000"/>
          <w:sz w:val="24"/>
          <w:szCs w:val="24"/>
          <w:lang w:eastAsia="ru-RU"/>
        </w:rPr>
        <w:t xml:space="preserve">ого Банка Российской Федерации </w:t>
      </w:r>
      <w:r w:rsidRPr="0010260C">
        <w:rPr>
          <w:rFonts w:ascii="Times New Roman" w:eastAsia="Times New Roman" w:hAnsi="Times New Roman" w:cs="Times New Roman"/>
          <w:color w:val="000000"/>
          <w:sz w:val="24"/>
          <w:szCs w:val="24"/>
          <w:lang w:eastAsia="ru-RU"/>
        </w:rPr>
        <w:t>количество услуг финансовых организаций в Ленинградской области оценивается субъектами малого и среднего предпринимательства как достаточное (данные по состоянию на конец 2021 г.).</w:t>
      </w:r>
    </w:p>
    <w:p w:rsidR="00851FF9" w:rsidRDefault="00851FF9" w:rsidP="0010260C">
      <w:pPr>
        <w:keepNext/>
        <w:keepLines/>
        <w:spacing w:before="120" w:after="120" w:line="240" w:lineRule="auto"/>
        <w:contextualSpacing/>
        <w:jc w:val="center"/>
        <w:rPr>
          <w:rFonts w:ascii="Times New Roman" w:eastAsia="Times New Roman" w:hAnsi="Times New Roman" w:cs="Times New Roman"/>
          <w:color w:val="000000"/>
          <w:sz w:val="24"/>
          <w:szCs w:val="24"/>
          <w:lang w:eastAsia="ru-RU"/>
        </w:rPr>
      </w:pPr>
      <w:r w:rsidRPr="00851FF9">
        <w:rPr>
          <w:rFonts w:ascii="Times New Roman" w:eastAsia="Times New Roman" w:hAnsi="Times New Roman" w:cs="Times New Roman"/>
          <w:color w:val="000000"/>
          <w:sz w:val="24"/>
          <w:szCs w:val="24"/>
          <w:lang w:eastAsia="ru-RU"/>
        </w:rPr>
        <w:t xml:space="preserve">Таблица </w:t>
      </w:r>
      <w:r w:rsidR="0010260C">
        <w:rPr>
          <w:rFonts w:ascii="Times New Roman" w:eastAsia="Times New Roman" w:hAnsi="Times New Roman" w:cs="Times New Roman"/>
          <w:color w:val="000000"/>
          <w:sz w:val="24"/>
          <w:szCs w:val="24"/>
          <w:lang w:eastAsia="ru-RU"/>
        </w:rPr>
        <w:t>41</w:t>
      </w:r>
      <w:r w:rsidRPr="00851FF9">
        <w:rPr>
          <w:rFonts w:ascii="Times New Roman" w:eastAsia="Times New Roman" w:hAnsi="Times New Roman" w:cs="Times New Roman"/>
          <w:color w:val="000000"/>
          <w:sz w:val="24"/>
          <w:szCs w:val="24"/>
          <w:lang w:eastAsia="ru-RU"/>
        </w:rPr>
        <w:t xml:space="preserve">. </w:t>
      </w:r>
      <w:r w:rsidRPr="00851FF9">
        <w:rPr>
          <w:rFonts w:ascii="Times New Roman" w:eastAsia="Times New Roman" w:hAnsi="Times New Roman" w:cs="Times New Roman"/>
          <w:b/>
          <w:bCs/>
          <w:color w:val="000000"/>
          <w:sz w:val="24"/>
          <w:szCs w:val="24"/>
          <w:lang w:eastAsia="ru-RU"/>
        </w:rPr>
        <w:t>Какое количество финансовых организаций предоставляет финансовые услуги в Вашем регионе?</w:t>
      </w:r>
      <w:r w:rsidRPr="00851FF9">
        <w:rPr>
          <w:rFonts w:ascii="Times New Roman" w:eastAsia="Times New Roman" w:hAnsi="Times New Roman" w:cs="Times New Roman"/>
          <w:color w:val="000000"/>
          <w:sz w:val="24"/>
          <w:szCs w:val="24"/>
          <w:lang w:eastAsia="ru-RU"/>
        </w:rPr>
        <w:t xml:space="preserve"> (данные исследования Центрального Банка Российской Федерации)</w:t>
      </w:r>
    </w:p>
    <w:p w:rsidR="0010260C" w:rsidRPr="00851FF9" w:rsidRDefault="0010260C" w:rsidP="0010260C">
      <w:pPr>
        <w:keepNext/>
        <w:keepLines/>
        <w:spacing w:before="120" w:after="120" w:line="240" w:lineRule="auto"/>
        <w:contextualSpacing/>
        <w:jc w:val="center"/>
        <w:rPr>
          <w:rFonts w:ascii="Times New Roman" w:eastAsia="Times New Roman" w:hAnsi="Times New Roman" w:cs="Times New Roman"/>
          <w:color w:val="000000"/>
          <w:sz w:val="24"/>
          <w:szCs w:val="24"/>
          <w:lang w:eastAsia="ru-RU"/>
        </w:rPr>
      </w:pPr>
    </w:p>
    <w:tbl>
      <w:tblPr>
        <w:tblStyle w:val="260"/>
        <w:tblW w:w="0" w:type="auto"/>
        <w:tblLook w:val="04A0" w:firstRow="1" w:lastRow="0" w:firstColumn="1" w:lastColumn="0" w:noHBand="0" w:noVBand="1"/>
      </w:tblPr>
      <w:tblGrid>
        <w:gridCol w:w="2047"/>
        <w:gridCol w:w="1557"/>
        <w:gridCol w:w="1557"/>
        <w:gridCol w:w="1558"/>
        <w:gridCol w:w="1558"/>
        <w:gridCol w:w="1896"/>
      </w:tblGrid>
      <w:tr w:rsidR="00851FF9" w:rsidRPr="00851FF9" w:rsidTr="0010260C">
        <w:trPr>
          <w:tblHeader/>
        </w:trPr>
        <w:tc>
          <w:tcPr>
            <w:tcW w:w="204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Тип услуги</w:t>
            </w:r>
          </w:p>
        </w:tc>
        <w:tc>
          <w:tcPr>
            <w:tcW w:w="155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Избыточно</w:t>
            </w:r>
          </w:p>
        </w:tc>
        <w:tc>
          <w:tcPr>
            <w:tcW w:w="155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Достаточно</w:t>
            </w:r>
          </w:p>
        </w:tc>
        <w:tc>
          <w:tcPr>
            <w:tcW w:w="155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Мало</w:t>
            </w:r>
          </w:p>
        </w:tc>
        <w:tc>
          <w:tcPr>
            <w:tcW w:w="155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Нет совсем</w:t>
            </w:r>
          </w:p>
        </w:tc>
        <w:tc>
          <w:tcPr>
            <w:tcW w:w="1896"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Не используем</w:t>
            </w:r>
          </w:p>
        </w:tc>
      </w:tr>
      <w:tr w:rsidR="00851FF9" w:rsidRPr="00851FF9" w:rsidTr="0010260C">
        <w:tc>
          <w:tcPr>
            <w:tcW w:w="204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РКО</w:t>
            </w:r>
          </w:p>
        </w:tc>
        <w:tc>
          <w:tcPr>
            <w:tcW w:w="155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4,0%</w:t>
            </w:r>
          </w:p>
        </w:tc>
        <w:tc>
          <w:tcPr>
            <w:tcW w:w="155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86,0%</w:t>
            </w:r>
          </w:p>
        </w:tc>
        <w:tc>
          <w:tcPr>
            <w:tcW w:w="155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4,0%</w:t>
            </w:r>
          </w:p>
        </w:tc>
        <w:tc>
          <w:tcPr>
            <w:tcW w:w="155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0,0%</w:t>
            </w:r>
          </w:p>
        </w:tc>
        <w:tc>
          <w:tcPr>
            <w:tcW w:w="1896"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6,0%</w:t>
            </w:r>
          </w:p>
        </w:tc>
      </w:tr>
      <w:tr w:rsidR="00851FF9" w:rsidRPr="00851FF9" w:rsidTr="0010260C">
        <w:tc>
          <w:tcPr>
            <w:tcW w:w="204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Кредитование</w:t>
            </w:r>
          </w:p>
        </w:tc>
        <w:tc>
          <w:tcPr>
            <w:tcW w:w="155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10,0%</w:t>
            </w:r>
          </w:p>
        </w:tc>
        <w:tc>
          <w:tcPr>
            <w:tcW w:w="155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60,0%</w:t>
            </w:r>
          </w:p>
        </w:tc>
        <w:tc>
          <w:tcPr>
            <w:tcW w:w="155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10,0%</w:t>
            </w:r>
          </w:p>
        </w:tc>
        <w:tc>
          <w:tcPr>
            <w:tcW w:w="155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2,0%</w:t>
            </w:r>
          </w:p>
        </w:tc>
        <w:tc>
          <w:tcPr>
            <w:tcW w:w="1896"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18,0%</w:t>
            </w:r>
          </w:p>
        </w:tc>
      </w:tr>
      <w:tr w:rsidR="00851FF9" w:rsidRPr="00851FF9" w:rsidTr="0010260C">
        <w:tc>
          <w:tcPr>
            <w:tcW w:w="204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Услуги эквайринга</w:t>
            </w:r>
          </w:p>
        </w:tc>
        <w:tc>
          <w:tcPr>
            <w:tcW w:w="155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2,0%</w:t>
            </w:r>
          </w:p>
        </w:tc>
        <w:tc>
          <w:tcPr>
            <w:tcW w:w="155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64,0%</w:t>
            </w:r>
          </w:p>
        </w:tc>
        <w:tc>
          <w:tcPr>
            <w:tcW w:w="155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6,0%</w:t>
            </w:r>
          </w:p>
        </w:tc>
        <w:tc>
          <w:tcPr>
            <w:tcW w:w="155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2,0%</w:t>
            </w:r>
          </w:p>
        </w:tc>
        <w:tc>
          <w:tcPr>
            <w:tcW w:w="1896"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26,0%</w:t>
            </w:r>
          </w:p>
        </w:tc>
      </w:tr>
      <w:tr w:rsidR="00851FF9" w:rsidRPr="00851FF9" w:rsidTr="0010260C">
        <w:tc>
          <w:tcPr>
            <w:tcW w:w="204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Зарплатные проекты</w:t>
            </w:r>
          </w:p>
        </w:tc>
        <w:tc>
          <w:tcPr>
            <w:tcW w:w="155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4,1%</w:t>
            </w:r>
          </w:p>
        </w:tc>
        <w:tc>
          <w:tcPr>
            <w:tcW w:w="155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63,3%</w:t>
            </w:r>
          </w:p>
        </w:tc>
        <w:tc>
          <w:tcPr>
            <w:tcW w:w="155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16,3%</w:t>
            </w:r>
          </w:p>
        </w:tc>
        <w:tc>
          <w:tcPr>
            <w:tcW w:w="155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0,0%</w:t>
            </w:r>
          </w:p>
        </w:tc>
        <w:tc>
          <w:tcPr>
            <w:tcW w:w="1896"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16,3%</w:t>
            </w:r>
          </w:p>
        </w:tc>
      </w:tr>
      <w:tr w:rsidR="00851FF9" w:rsidRPr="00851FF9" w:rsidTr="0010260C">
        <w:tc>
          <w:tcPr>
            <w:tcW w:w="204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Страхование имущества</w:t>
            </w:r>
          </w:p>
        </w:tc>
        <w:tc>
          <w:tcPr>
            <w:tcW w:w="155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4,2%</w:t>
            </w:r>
          </w:p>
        </w:tc>
        <w:tc>
          <w:tcPr>
            <w:tcW w:w="155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52,1%</w:t>
            </w:r>
          </w:p>
        </w:tc>
        <w:tc>
          <w:tcPr>
            <w:tcW w:w="155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14,6%</w:t>
            </w:r>
          </w:p>
        </w:tc>
        <w:tc>
          <w:tcPr>
            <w:tcW w:w="155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0,0%</w:t>
            </w:r>
          </w:p>
        </w:tc>
        <w:tc>
          <w:tcPr>
            <w:tcW w:w="1896"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29,2%</w:t>
            </w:r>
          </w:p>
        </w:tc>
      </w:tr>
      <w:tr w:rsidR="00851FF9" w:rsidRPr="00851FF9" w:rsidTr="0010260C">
        <w:tc>
          <w:tcPr>
            <w:tcW w:w="204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ДМС работников</w:t>
            </w:r>
          </w:p>
        </w:tc>
        <w:tc>
          <w:tcPr>
            <w:tcW w:w="155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2,2%</w:t>
            </w:r>
          </w:p>
        </w:tc>
        <w:tc>
          <w:tcPr>
            <w:tcW w:w="155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35,6%</w:t>
            </w:r>
          </w:p>
        </w:tc>
        <w:tc>
          <w:tcPr>
            <w:tcW w:w="155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20,0%</w:t>
            </w:r>
          </w:p>
        </w:tc>
        <w:tc>
          <w:tcPr>
            <w:tcW w:w="155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2,2%</w:t>
            </w:r>
          </w:p>
        </w:tc>
        <w:tc>
          <w:tcPr>
            <w:tcW w:w="1896"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40,0%</w:t>
            </w:r>
          </w:p>
        </w:tc>
      </w:tr>
      <w:tr w:rsidR="00851FF9" w:rsidRPr="00851FF9" w:rsidTr="0010260C">
        <w:tc>
          <w:tcPr>
            <w:tcW w:w="204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Профессиональные участники рынка ценных бумаг</w:t>
            </w:r>
          </w:p>
        </w:tc>
        <w:tc>
          <w:tcPr>
            <w:tcW w:w="155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2,2%</w:t>
            </w:r>
          </w:p>
        </w:tc>
        <w:tc>
          <w:tcPr>
            <w:tcW w:w="155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28,9%</w:t>
            </w:r>
          </w:p>
        </w:tc>
        <w:tc>
          <w:tcPr>
            <w:tcW w:w="155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0,0%</w:t>
            </w:r>
          </w:p>
        </w:tc>
        <w:tc>
          <w:tcPr>
            <w:tcW w:w="155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0,0%</w:t>
            </w:r>
          </w:p>
        </w:tc>
        <w:tc>
          <w:tcPr>
            <w:tcW w:w="1896"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68,9%</w:t>
            </w:r>
          </w:p>
        </w:tc>
      </w:tr>
      <w:tr w:rsidR="00851FF9" w:rsidRPr="00851FF9" w:rsidTr="0010260C">
        <w:tc>
          <w:tcPr>
            <w:tcW w:w="204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Микрофинансовые организации</w:t>
            </w:r>
          </w:p>
        </w:tc>
        <w:tc>
          <w:tcPr>
            <w:tcW w:w="155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8,5%</w:t>
            </w:r>
          </w:p>
        </w:tc>
        <w:tc>
          <w:tcPr>
            <w:tcW w:w="155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25,5%</w:t>
            </w:r>
          </w:p>
        </w:tc>
        <w:tc>
          <w:tcPr>
            <w:tcW w:w="155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14,9%</w:t>
            </w:r>
          </w:p>
        </w:tc>
        <w:tc>
          <w:tcPr>
            <w:tcW w:w="155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0,0%</w:t>
            </w:r>
          </w:p>
        </w:tc>
        <w:tc>
          <w:tcPr>
            <w:tcW w:w="1896"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51,1%</w:t>
            </w:r>
          </w:p>
        </w:tc>
      </w:tr>
    </w:tbl>
    <w:p w:rsidR="00851FF9" w:rsidRPr="00851FF9" w:rsidRDefault="00851FF9" w:rsidP="00851FF9">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851FF9">
        <w:rPr>
          <w:rFonts w:ascii="Times New Roman" w:eastAsia="Times New Roman" w:hAnsi="Times New Roman" w:cs="Times New Roman"/>
          <w:color w:val="000000"/>
          <w:sz w:val="28"/>
          <w:szCs w:val="28"/>
          <w:lang w:eastAsia="ru-RU"/>
        </w:rPr>
        <w:t xml:space="preserve"> </w:t>
      </w:r>
    </w:p>
    <w:p w:rsidR="00851FF9" w:rsidRPr="0010260C" w:rsidRDefault="00851FF9" w:rsidP="00851FF9">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10260C">
        <w:rPr>
          <w:rFonts w:ascii="Times New Roman" w:eastAsia="Times New Roman" w:hAnsi="Times New Roman" w:cs="Times New Roman"/>
          <w:color w:val="000000"/>
          <w:sz w:val="24"/>
          <w:szCs w:val="24"/>
          <w:lang w:eastAsia="ru-RU"/>
        </w:rPr>
        <w:t xml:space="preserve">Рынок услуг финансовых организаций за </w:t>
      </w:r>
      <w:r w:rsidR="0010260C" w:rsidRPr="0010260C">
        <w:rPr>
          <w:rFonts w:ascii="Times New Roman" w:eastAsia="Times New Roman" w:hAnsi="Times New Roman" w:cs="Times New Roman"/>
          <w:color w:val="000000"/>
          <w:sz w:val="24"/>
          <w:szCs w:val="24"/>
          <w:lang w:eastAsia="ru-RU"/>
        </w:rPr>
        <w:t>последние годы</w:t>
      </w:r>
      <w:r w:rsidRPr="0010260C">
        <w:rPr>
          <w:rFonts w:ascii="Times New Roman" w:eastAsia="Times New Roman" w:hAnsi="Times New Roman" w:cs="Times New Roman"/>
          <w:color w:val="000000"/>
          <w:sz w:val="24"/>
          <w:szCs w:val="24"/>
          <w:lang w:eastAsia="ru-RU"/>
        </w:rPr>
        <w:t xml:space="preserve"> характеризуется как в целом статичный. Наибольшая динамика отмечается в отношении таких услуг как РКО, кредитование и зарплатные проекты.</w:t>
      </w:r>
    </w:p>
    <w:p w:rsidR="00851FF9" w:rsidRDefault="00851FF9" w:rsidP="0010260C">
      <w:pPr>
        <w:keepNext/>
        <w:keepLines/>
        <w:spacing w:before="120" w:after="120" w:line="240" w:lineRule="auto"/>
        <w:contextualSpacing/>
        <w:jc w:val="center"/>
        <w:rPr>
          <w:rFonts w:ascii="Times New Roman" w:eastAsia="Times New Roman" w:hAnsi="Times New Roman" w:cs="Times New Roman"/>
          <w:color w:val="000000"/>
          <w:sz w:val="24"/>
          <w:szCs w:val="24"/>
          <w:lang w:eastAsia="ru-RU"/>
        </w:rPr>
      </w:pPr>
      <w:r w:rsidRPr="00851FF9">
        <w:rPr>
          <w:rFonts w:ascii="Times New Roman" w:eastAsia="Times New Roman" w:hAnsi="Times New Roman" w:cs="Times New Roman"/>
          <w:color w:val="000000"/>
          <w:sz w:val="24"/>
          <w:szCs w:val="24"/>
          <w:lang w:eastAsia="ru-RU"/>
        </w:rPr>
        <w:t xml:space="preserve">Таблица </w:t>
      </w:r>
      <w:r w:rsidR="0010260C">
        <w:rPr>
          <w:rFonts w:ascii="Times New Roman" w:eastAsia="Times New Roman" w:hAnsi="Times New Roman" w:cs="Times New Roman"/>
          <w:color w:val="000000"/>
          <w:sz w:val="24"/>
          <w:szCs w:val="24"/>
          <w:lang w:eastAsia="ru-RU"/>
        </w:rPr>
        <w:t>42</w:t>
      </w:r>
      <w:r w:rsidRPr="00851FF9">
        <w:rPr>
          <w:rFonts w:ascii="Times New Roman" w:eastAsia="Times New Roman" w:hAnsi="Times New Roman" w:cs="Times New Roman"/>
          <w:color w:val="000000"/>
          <w:sz w:val="24"/>
          <w:szCs w:val="24"/>
          <w:lang w:eastAsia="ru-RU"/>
        </w:rPr>
        <w:t xml:space="preserve">. </w:t>
      </w:r>
      <w:r w:rsidRPr="00851FF9">
        <w:rPr>
          <w:rFonts w:ascii="Times New Roman" w:eastAsia="Times New Roman" w:hAnsi="Times New Roman" w:cs="Times New Roman"/>
          <w:b/>
          <w:bCs/>
          <w:color w:val="000000"/>
          <w:sz w:val="24"/>
          <w:szCs w:val="24"/>
          <w:lang w:eastAsia="ru-RU"/>
        </w:rPr>
        <w:t>Как изменилось количество организаций, которые предоставляют фина</w:t>
      </w:r>
      <w:r w:rsidR="0010260C">
        <w:rPr>
          <w:rFonts w:ascii="Times New Roman" w:eastAsia="Times New Roman" w:hAnsi="Times New Roman" w:cs="Times New Roman"/>
          <w:b/>
          <w:bCs/>
          <w:color w:val="000000"/>
          <w:sz w:val="24"/>
          <w:szCs w:val="24"/>
          <w:lang w:eastAsia="ru-RU"/>
        </w:rPr>
        <w:t>нсовые услуги в вашем регионе</w:t>
      </w:r>
      <w:r w:rsidRPr="00851FF9">
        <w:rPr>
          <w:rFonts w:ascii="Times New Roman" w:eastAsia="Times New Roman" w:hAnsi="Times New Roman" w:cs="Times New Roman"/>
          <w:b/>
          <w:bCs/>
          <w:color w:val="000000"/>
          <w:sz w:val="24"/>
          <w:szCs w:val="24"/>
          <w:lang w:eastAsia="ru-RU"/>
        </w:rPr>
        <w:t>?</w:t>
      </w:r>
      <w:r w:rsidRPr="00851FF9">
        <w:rPr>
          <w:rFonts w:ascii="Times New Roman" w:eastAsia="Times New Roman" w:hAnsi="Times New Roman" w:cs="Times New Roman"/>
          <w:color w:val="000000"/>
          <w:sz w:val="24"/>
          <w:szCs w:val="24"/>
          <w:lang w:eastAsia="ru-RU"/>
        </w:rPr>
        <w:t xml:space="preserve"> (данные исследования Центрального Банка Российской Федерации)</w:t>
      </w:r>
    </w:p>
    <w:p w:rsidR="0010260C" w:rsidRPr="00851FF9" w:rsidRDefault="0010260C" w:rsidP="0010260C">
      <w:pPr>
        <w:keepNext/>
        <w:keepLines/>
        <w:spacing w:before="120" w:after="120" w:line="240" w:lineRule="auto"/>
        <w:contextualSpacing/>
        <w:jc w:val="center"/>
        <w:rPr>
          <w:rFonts w:ascii="Times New Roman" w:eastAsia="Times New Roman" w:hAnsi="Times New Roman" w:cs="Times New Roman"/>
          <w:color w:val="000000"/>
          <w:sz w:val="24"/>
          <w:szCs w:val="24"/>
          <w:lang w:eastAsia="ru-RU"/>
        </w:rPr>
      </w:pPr>
    </w:p>
    <w:tbl>
      <w:tblPr>
        <w:tblStyle w:val="260"/>
        <w:tblW w:w="0" w:type="auto"/>
        <w:tblLook w:val="04A0" w:firstRow="1" w:lastRow="0" w:firstColumn="1" w:lastColumn="0" w:noHBand="0" w:noVBand="1"/>
      </w:tblPr>
      <w:tblGrid>
        <w:gridCol w:w="2048"/>
        <w:gridCol w:w="1550"/>
        <w:gridCol w:w="1744"/>
        <w:gridCol w:w="1539"/>
        <w:gridCol w:w="1628"/>
        <w:gridCol w:w="1770"/>
      </w:tblGrid>
      <w:tr w:rsidR="00851FF9" w:rsidRPr="00851FF9" w:rsidTr="0010260C">
        <w:trPr>
          <w:tblHeader/>
        </w:trPr>
        <w:tc>
          <w:tcPr>
            <w:tcW w:w="2047" w:type="dxa"/>
            <w:vAlign w:val="center"/>
          </w:tcPr>
          <w:p w:rsidR="00851FF9" w:rsidRPr="008212CA" w:rsidRDefault="00851FF9" w:rsidP="00851FF9">
            <w:pPr>
              <w:spacing w:before="120" w:after="120" w:line="269" w:lineRule="auto"/>
              <w:jc w:val="center"/>
              <w:rPr>
                <w:rFonts w:ascii="Times New Roman" w:eastAsia="Calibri" w:hAnsi="Times New Roman" w:cs="Times New Roman"/>
                <w:b/>
                <w:color w:val="000000"/>
              </w:rPr>
            </w:pPr>
            <w:r w:rsidRPr="008212CA">
              <w:rPr>
                <w:rFonts w:ascii="Times New Roman" w:eastAsia="Calibri" w:hAnsi="Times New Roman" w:cs="Times New Roman"/>
                <w:b/>
                <w:color w:val="000000"/>
              </w:rPr>
              <w:t>Тип услуги</w:t>
            </w:r>
          </w:p>
        </w:tc>
        <w:tc>
          <w:tcPr>
            <w:tcW w:w="1557" w:type="dxa"/>
            <w:vAlign w:val="center"/>
          </w:tcPr>
          <w:p w:rsidR="00851FF9" w:rsidRPr="008212CA" w:rsidRDefault="00851FF9" w:rsidP="00851FF9">
            <w:pPr>
              <w:spacing w:before="120" w:after="120" w:line="269" w:lineRule="auto"/>
              <w:jc w:val="center"/>
              <w:rPr>
                <w:rFonts w:ascii="Times New Roman" w:eastAsia="Calibri" w:hAnsi="Times New Roman" w:cs="Times New Roman"/>
                <w:b/>
                <w:color w:val="000000"/>
              </w:rPr>
            </w:pPr>
            <w:r w:rsidRPr="008212CA">
              <w:rPr>
                <w:rFonts w:ascii="Times New Roman" w:eastAsia="Calibri" w:hAnsi="Times New Roman" w:cs="Times New Roman"/>
                <w:b/>
                <w:color w:val="000000"/>
              </w:rPr>
              <w:t>Заметно увеличилось</w:t>
            </w:r>
          </w:p>
        </w:tc>
        <w:tc>
          <w:tcPr>
            <w:tcW w:w="1635" w:type="dxa"/>
            <w:vAlign w:val="center"/>
          </w:tcPr>
          <w:p w:rsidR="00851FF9" w:rsidRPr="008212CA" w:rsidRDefault="00851FF9" w:rsidP="00851FF9">
            <w:pPr>
              <w:spacing w:before="120" w:after="120" w:line="269" w:lineRule="auto"/>
              <w:jc w:val="center"/>
              <w:rPr>
                <w:rFonts w:ascii="Times New Roman" w:eastAsia="Calibri" w:hAnsi="Times New Roman" w:cs="Times New Roman"/>
                <w:b/>
                <w:color w:val="000000"/>
              </w:rPr>
            </w:pPr>
            <w:r w:rsidRPr="008212CA">
              <w:rPr>
                <w:rFonts w:ascii="Times New Roman" w:eastAsia="Calibri" w:hAnsi="Times New Roman" w:cs="Times New Roman"/>
                <w:b/>
                <w:color w:val="000000"/>
              </w:rPr>
              <w:t>Незначительно увеличилось</w:t>
            </w:r>
          </w:p>
        </w:tc>
        <w:tc>
          <w:tcPr>
            <w:tcW w:w="1558" w:type="dxa"/>
            <w:vAlign w:val="center"/>
          </w:tcPr>
          <w:p w:rsidR="00851FF9" w:rsidRPr="008212CA" w:rsidRDefault="00851FF9" w:rsidP="00851FF9">
            <w:pPr>
              <w:spacing w:before="120" w:after="120" w:line="269" w:lineRule="auto"/>
              <w:jc w:val="center"/>
              <w:rPr>
                <w:rFonts w:ascii="Times New Roman" w:eastAsia="Calibri" w:hAnsi="Times New Roman" w:cs="Times New Roman"/>
                <w:b/>
                <w:color w:val="000000"/>
              </w:rPr>
            </w:pPr>
            <w:r w:rsidRPr="008212CA">
              <w:rPr>
                <w:rFonts w:ascii="Times New Roman" w:eastAsia="Calibri" w:hAnsi="Times New Roman" w:cs="Times New Roman"/>
                <w:b/>
                <w:color w:val="000000"/>
              </w:rPr>
              <w:t>Не изменилось</w:t>
            </w:r>
          </w:p>
        </w:tc>
        <w:tc>
          <w:tcPr>
            <w:tcW w:w="1558" w:type="dxa"/>
            <w:vAlign w:val="center"/>
          </w:tcPr>
          <w:p w:rsidR="00851FF9" w:rsidRPr="008212CA" w:rsidRDefault="00851FF9" w:rsidP="00851FF9">
            <w:pPr>
              <w:spacing w:before="120" w:after="120" w:line="269" w:lineRule="auto"/>
              <w:jc w:val="center"/>
              <w:rPr>
                <w:rFonts w:ascii="Times New Roman" w:eastAsia="Calibri" w:hAnsi="Times New Roman" w:cs="Times New Roman"/>
                <w:b/>
                <w:color w:val="000000"/>
              </w:rPr>
            </w:pPr>
            <w:r w:rsidRPr="008212CA">
              <w:rPr>
                <w:rFonts w:ascii="Times New Roman" w:eastAsia="Calibri" w:hAnsi="Times New Roman" w:cs="Times New Roman"/>
                <w:b/>
                <w:color w:val="000000"/>
              </w:rPr>
              <w:t>Уменьшилось</w:t>
            </w:r>
          </w:p>
        </w:tc>
        <w:tc>
          <w:tcPr>
            <w:tcW w:w="1818" w:type="dxa"/>
            <w:vAlign w:val="center"/>
          </w:tcPr>
          <w:p w:rsidR="00851FF9" w:rsidRPr="008212CA" w:rsidRDefault="00851FF9" w:rsidP="00851FF9">
            <w:pPr>
              <w:spacing w:before="120" w:after="120" w:line="269" w:lineRule="auto"/>
              <w:jc w:val="center"/>
              <w:rPr>
                <w:rFonts w:ascii="Times New Roman" w:eastAsia="Calibri" w:hAnsi="Times New Roman" w:cs="Times New Roman"/>
                <w:b/>
                <w:color w:val="000000"/>
              </w:rPr>
            </w:pPr>
            <w:r w:rsidRPr="008212CA">
              <w:rPr>
                <w:rFonts w:ascii="Times New Roman" w:eastAsia="Calibri" w:hAnsi="Times New Roman" w:cs="Times New Roman"/>
                <w:b/>
                <w:color w:val="000000"/>
              </w:rPr>
              <w:t>Не используем</w:t>
            </w:r>
          </w:p>
        </w:tc>
      </w:tr>
      <w:tr w:rsidR="00851FF9" w:rsidRPr="00851FF9" w:rsidTr="0010260C">
        <w:tc>
          <w:tcPr>
            <w:tcW w:w="204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РКО</w:t>
            </w:r>
          </w:p>
        </w:tc>
        <w:tc>
          <w:tcPr>
            <w:tcW w:w="155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2,1%</w:t>
            </w:r>
          </w:p>
        </w:tc>
        <w:tc>
          <w:tcPr>
            <w:tcW w:w="163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31,9%</w:t>
            </w:r>
          </w:p>
        </w:tc>
        <w:tc>
          <w:tcPr>
            <w:tcW w:w="155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48,9%</w:t>
            </w:r>
          </w:p>
        </w:tc>
        <w:tc>
          <w:tcPr>
            <w:tcW w:w="155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12,8%</w:t>
            </w:r>
          </w:p>
        </w:tc>
        <w:tc>
          <w:tcPr>
            <w:tcW w:w="181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4,3%</w:t>
            </w:r>
          </w:p>
        </w:tc>
      </w:tr>
      <w:tr w:rsidR="00851FF9" w:rsidRPr="00851FF9" w:rsidTr="0010260C">
        <w:tc>
          <w:tcPr>
            <w:tcW w:w="204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Кредитование</w:t>
            </w:r>
          </w:p>
        </w:tc>
        <w:tc>
          <w:tcPr>
            <w:tcW w:w="155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2,2%</w:t>
            </w:r>
          </w:p>
        </w:tc>
        <w:tc>
          <w:tcPr>
            <w:tcW w:w="163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28,9%</w:t>
            </w:r>
          </w:p>
        </w:tc>
        <w:tc>
          <w:tcPr>
            <w:tcW w:w="155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44,4%</w:t>
            </w:r>
          </w:p>
        </w:tc>
        <w:tc>
          <w:tcPr>
            <w:tcW w:w="155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11,1%</w:t>
            </w:r>
          </w:p>
        </w:tc>
        <w:tc>
          <w:tcPr>
            <w:tcW w:w="181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13,3%</w:t>
            </w:r>
          </w:p>
        </w:tc>
      </w:tr>
      <w:tr w:rsidR="00851FF9" w:rsidRPr="00851FF9" w:rsidTr="0010260C">
        <w:tc>
          <w:tcPr>
            <w:tcW w:w="204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Услуги эквайринга</w:t>
            </w:r>
          </w:p>
        </w:tc>
        <w:tc>
          <w:tcPr>
            <w:tcW w:w="155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2,3%</w:t>
            </w:r>
          </w:p>
        </w:tc>
        <w:tc>
          <w:tcPr>
            <w:tcW w:w="163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18,2%</w:t>
            </w:r>
          </w:p>
        </w:tc>
        <w:tc>
          <w:tcPr>
            <w:tcW w:w="155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52,3%</w:t>
            </w:r>
          </w:p>
        </w:tc>
        <w:tc>
          <w:tcPr>
            <w:tcW w:w="155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4,5%</w:t>
            </w:r>
          </w:p>
        </w:tc>
        <w:tc>
          <w:tcPr>
            <w:tcW w:w="181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22,7%</w:t>
            </w:r>
          </w:p>
        </w:tc>
      </w:tr>
      <w:tr w:rsidR="00851FF9" w:rsidRPr="00851FF9" w:rsidTr="0010260C">
        <w:tc>
          <w:tcPr>
            <w:tcW w:w="204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Зарплатные проекты</w:t>
            </w:r>
          </w:p>
        </w:tc>
        <w:tc>
          <w:tcPr>
            <w:tcW w:w="155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2,3%</w:t>
            </w:r>
          </w:p>
        </w:tc>
        <w:tc>
          <w:tcPr>
            <w:tcW w:w="163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20,5%</w:t>
            </w:r>
          </w:p>
        </w:tc>
        <w:tc>
          <w:tcPr>
            <w:tcW w:w="155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54,5%</w:t>
            </w:r>
          </w:p>
        </w:tc>
        <w:tc>
          <w:tcPr>
            <w:tcW w:w="155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6,8%</w:t>
            </w:r>
          </w:p>
        </w:tc>
        <w:tc>
          <w:tcPr>
            <w:tcW w:w="181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15,9%</w:t>
            </w:r>
          </w:p>
        </w:tc>
      </w:tr>
      <w:tr w:rsidR="00851FF9" w:rsidRPr="00851FF9" w:rsidTr="0010260C">
        <w:tc>
          <w:tcPr>
            <w:tcW w:w="204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Страхование имущества</w:t>
            </w:r>
          </w:p>
        </w:tc>
        <w:tc>
          <w:tcPr>
            <w:tcW w:w="155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0,0%</w:t>
            </w:r>
          </w:p>
        </w:tc>
        <w:tc>
          <w:tcPr>
            <w:tcW w:w="163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12,8%</w:t>
            </w:r>
          </w:p>
        </w:tc>
        <w:tc>
          <w:tcPr>
            <w:tcW w:w="155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56,4%</w:t>
            </w:r>
          </w:p>
        </w:tc>
        <w:tc>
          <w:tcPr>
            <w:tcW w:w="155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7,7%</w:t>
            </w:r>
          </w:p>
        </w:tc>
        <w:tc>
          <w:tcPr>
            <w:tcW w:w="181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23,1%</w:t>
            </w:r>
          </w:p>
        </w:tc>
      </w:tr>
      <w:tr w:rsidR="00851FF9" w:rsidRPr="00851FF9" w:rsidTr="0010260C">
        <w:tc>
          <w:tcPr>
            <w:tcW w:w="204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ДМС работников</w:t>
            </w:r>
          </w:p>
        </w:tc>
        <w:tc>
          <w:tcPr>
            <w:tcW w:w="155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2,6%</w:t>
            </w:r>
          </w:p>
        </w:tc>
        <w:tc>
          <w:tcPr>
            <w:tcW w:w="163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21,1%</w:t>
            </w:r>
          </w:p>
        </w:tc>
        <w:tc>
          <w:tcPr>
            <w:tcW w:w="155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28,9%</w:t>
            </w:r>
          </w:p>
        </w:tc>
        <w:tc>
          <w:tcPr>
            <w:tcW w:w="155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13,2%</w:t>
            </w:r>
          </w:p>
        </w:tc>
        <w:tc>
          <w:tcPr>
            <w:tcW w:w="181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34,2%</w:t>
            </w:r>
          </w:p>
        </w:tc>
      </w:tr>
      <w:tr w:rsidR="00851FF9" w:rsidRPr="00851FF9" w:rsidTr="0010260C">
        <w:tc>
          <w:tcPr>
            <w:tcW w:w="204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Профессиональные участники рынка ценных бумаг</w:t>
            </w:r>
          </w:p>
        </w:tc>
        <w:tc>
          <w:tcPr>
            <w:tcW w:w="155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5,1%</w:t>
            </w:r>
          </w:p>
        </w:tc>
        <w:tc>
          <w:tcPr>
            <w:tcW w:w="163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10,3%</w:t>
            </w:r>
          </w:p>
        </w:tc>
        <w:tc>
          <w:tcPr>
            <w:tcW w:w="155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20,5%</w:t>
            </w:r>
          </w:p>
        </w:tc>
        <w:tc>
          <w:tcPr>
            <w:tcW w:w="155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0,0%</w:t>
            </w:r>
          </w:p>
        </w:tc>
        <w:tc>
          <w:tcPr>
            <w:tcW w:w="181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64,1%</w:t>
            </w:r>
          </w:p>
        </w:tc>
      </w:tr>
      <w:tr w:rsidR="00851FF9" w:rsidRPr="00851FF9" w:rsidTr="0010260C">
        <w:tc>
          <w:tcPr>
            <w:tcW w:w="2047" w:type="dxa"/>
            <w:vAlign w:val="center"/>
          </w:tcPr>
          <w:p w:rsidR="00851FF9" w:rsidRPr="00851FF9" w:rsidRDefault="00851FF9" w:rsidP="00851FF9">
            <w:pPr>
              <w:spacing w:before="120" w:after="120"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Микрофинансовые организации</w:t>
            </w:r>
          </w:p>
        </w:tc>
        <w:tc>
          <w:tcPr>
            <w:tcW w:w="1557"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5,0%</w:t>
            </w:r>
          </w:p>
        </w:tc>
        <w:tc>
          <w:tcPr>
            <w:tcW w:w="1635"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7,5%</w:t>
            </w:r>
          </w:p>
        </w:tc>
        <w:tc>
          <w:tcPr>
            <w:tcW w:w="155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32,5%</w:t>
            </w:r>
          </w:p>
        </w:tc>
        <w:tc>
          <w:tcPr>
            <w:tcW w:w="155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10,0%</w:t>
            </w:r>
          </w:p>
        </w:tc>
        <w:tc>
          <w:tcPr>
            <w:tcW w:w="1818" w:type="dxa"/>
            <w:vAlign w:val="center"/>
          </w:tcPr>
          <w:p w:rsidR="00851FF9" w:rsidRPr="00851FF9" w:rsidRDefault="00851FF9" w:rsidP="00851FF9">
            <w:pPr>
              <w:spacing w:before="120" w:after="120" w:line="269"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45,0%</w:t>
            </w:r>
          </w:p>
        </w:tc>
      </w:tr>
    </w:tbl>
    <w:p w:rsidR="00851FF9" w:rsidRPr="00851FF9" w:rsidRDefault="00851FF9" w:rsidP="00851FF9">
      <w:pPr>
        <w:spacing w:after="0" w:line="360" w:lineRule="auto"/>
        <w:ind w:firstLine="709"/>
        <w:contextualSpacing/>
        <w:jc w:val="both"/>
        <w:rPr>
          <w:rFonts w:ascii="Times New Roman" w:eastAsia="Times New Roman" w:hAnsi="Times New Roman" w:cs="Times New Roman"/>
          <w:color w:val="000000"/>
          <w:sz w:val="28"/>
          <w:szCs w:val="28"/>
          <w:lang w:eastAsia="ru-RU"/>
        </w:rPr>
      </w:pPr>
    </w:p>
    <w:p w:rsidR="00851FF9" w:rsidRPr="0010260C" w:rsidRDefault="00851FF9" w:rsidP="00851FF9">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10260C">
        <w:rPr>
          <w:rFonts w:ascii="Times New Roman" w:eastAsia="Times New Roman" w:hAnsi="Times New Roman" w:cs="Times New Roman"/>
          <w:color w:val="000000"/>
          <w:sz w:val="24"/>
          <w:szCs w:val="24"/>
          <w:lang w:eastAsia="ru-RU"/>
        </w:rPr>
        <w:t>Как показывают результаты опроса, проведенного в рамках текущего мониторинга, уровень удовлетворенности финансовыми продуктами и услугами среди предпринимателей Ленинградской области достаточно высокий. Наибольшее количество положительных оценок участники опроса дали услугам по зарплатным проектам (80% удовлетворены от числа ответивших на вопрос), и расчетно-кассовому обслуживания (78%) их компаний. Менее всего предприниматели удовлетворены услугами микрофинансовых организаций (24%).</w:t>
      </w:r>
    </w:p>
    <w:p w:rsidR="00851FF9" w:rsidRPr="00851FF9" w:rsidRDefault="00851FF9" w:rsidP="0010260C">
      <w:pPr>
        <w:keepNext/>
        <w:keepLines/>
        <w:spacing w:before="120" w:after="120" w:line="240" w:lineRule="auto"/>
        <w:jc w:val="center"/>
        <w:rPr>
          <w:rFonts w:ascii="Times New Roman" w:eastAsia="Calibri" w:hAnsi="Times New Roman" w:cs="Times New Roman"/>
          <w:b/>
          <w:iCs/>
          <w:color w:val="000000"/>
          <w:sz w:val="24"/>
          <w:szCs w:val="24"/>
        </w:rPr>
      </w:pPr>
      <w:r w:rsidRPr="00851FF9">
        <w:rPr>
          <w:rFonts w:ascii="Times New Roman" w:eastAsia="Calibri" w:hAnsi="Times New Roman" w:cs="Times New Roman"/>
          <w:iCs/>
          <w:color w:val="000000"/>
          <w:sz w:val="24"/>
          <w:szCs w:val="24"/>
        </w:rPr>
        <w:t xml:space="preserve">Рисунок </w:t>
      </w:r>
      <w:r w:rsidR="0010260C">
        <w:rPr>
          <w:rFonts w:ascii="Times New Roman" w:eastAsia="Calibri" w:hAnsi="Times New Roman" w:cs="Times New Roman"/>
          <w:iCs/>
          <w:color w:val="000000"/>
          <w:sz w:val="24"/>
          <w:szCs w:val="24"/>
        </w:rPr>
        <w:t>48</w:t>
      </w:r>
      <w:r w:rsidRPr="00851FF9">
        <w:rPr>
          <w:rFonts w:ascii="Times New Roman" w:eastAsia="Calibri" w:hAnsi="Times New Roman" w:cs="Times New Roman"/>
          <w:iCs/>
          <w:color w:val="000000"/>
          <w:sz w:val="24"/>
          <w:szCs w:val="24"/>
        </w:rPr>
        <w:t xml:space="preserve">. </w:t>
      </w:r>
      <w:r w:rsidRPr="00851FF9">
        <w:rPr>
          <w:rFonts w:ascii="Times New Roman" w:eastAsia="Calibri" w:hAnsi="Times New Roman" w:cs="Times New Roman"/>
          <w:b/>
          <w:color w:val="000000"/>
          <w:sz w:val="24"/>
          <w:szCs w:val="24"/>
        </w:rPr>
        <w:t>Насколько Вы удовлетворены следующими услугами, предоставленными бизнесу финансовыми организациями</w:t>
      </w:r>
      <w:r w:rsidRPr="00851FF9">
        <w:rPr>
          <w:rFonts w:ascii="Times New Roman" w:eastAsia="Calibri" w:hAnsi="Times New Roman" w:cs="Times New Roman"/>
          <w:b/>
          <w:iCs/>
          <w:color w:val="000000"/>
          <w:sz w:val="24"/>
          <w:szCs w:val="24"/>
        </w:rPr>
        <w:t xml:space="preserve">? </w:t>
      </w:r>
      <w:r w:rsidRPr="00851FF9">
        <w:rPr>
          <w:rFonts w:ascii="Times New Roman" w:eastAsia="Calibri" w:hAnsi="Times New Roman" w:cs="Times New Roman"/>
          <w:noProof/>
          <w:color w:val="000000"/>
          <w:sz w:val="24"/>
          <w:szCs w:val="24"/>
        </w:rPr>
        <w:t>(опрос предпринимателей, % от числа ответивших на вопрос</w:t>
      </w:r>
      <w:r w:rsidRPr="00851FF9">
        <w:rPr>
          <w:rFonts w:ascii="Times New Roman" w:eastAsia="Calibri" w:hAnsi="Times New Roman" w:cs="Times New Roman"/>
          <w:color w:val="000000"/>
          <w:sz w:val="24"/>
          <w:szCs w:val="24"/>
        </w:rPr>
        <w:t>)</w:t>
      </w:r>
    </w:p>
    <w:p w:rsidR="00851FF9" w:rsidRPr="00851FF9" w:rsidRDefault="00851FF9" w:rsidP="00851FF9">
      <w:pPr>
        <w:spacing w:before="120" w:after="120" w:line="360" w:lineRule="auto"/>
        <w:jc w:val="both"/>
        <w:rPr>
          <w:rFonts w:ascii="Times New Roman" w:eastAsia="Arial" w:hAnsi="Times New Roman" w:cs="Times New Roman"/>
          <w:color w:val="000000"/>
          <w:sz w:val="28"/>
          <w:szCs w:val="28"/>
          <w:lang w:eastAsia="ru-RU"/>
        </w:rPr>
      </w:pPr>
      <w:r w:rsidRPr="00851FF9">
        <w:rPr>
          <w:rFonts w:ascii="Times New Roman" w:eastAsia="Franklin Gothic Book" w:hAnsi="Times New Roman" w:cs="Times New Roman"/>
          <w:noProof/>
          <w:color w:val="000000"/>
          <w:szCs w:val="24"/>
          <w:u w:color="000000"/>
          <w:lang w:eastAsia="ru-RU"/>
        </w:rPr>
        <w:drawing>
          <wp:inline distT="0" distB="0" distL="0" distR="0" wp14:anchorId="0ADF72E3" wp14:editId="3947185A">
            <wp:extent cx="6193155" cy="4438650"/>
            <wp:effectExtent l="0" t="0" r="0" b="0"/>
            <wp:docPr id="1057" name="Диаграмма 10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851FF9" w:rsidRPr="0010260C" w:rsidRDefault="00851FF9" w:rsidP="00851FF9">
      <w:pPr>
        <w:spacing w:after="0" w:line="360" w:lineRule="auto"/>
        <w:ind w:firstLine="709"/>
        <w:jc w:val="both"/>
        <w:rPr>
          <w:rFonts w:ascii="Times New Roman" w:eastAsia="Times New Roman" w:hAnsi="Times New Roman" w:cs="Times New Roman"/>
          <w:color w:val="000000"/>
          <w:sz w:val="24"/>
          <w:szCs w:val="24"/>
          <w:lang w:eastAsia="ru-RU"/>
        </w:rPr>
      </w:pPr>
      <w:r w:rsidRPr="0010260C">
        <w:rPr>
          <w:rFonts w:ascii="Times New Roman" w:eastAsia="Times New Roman" w:hAnsi="Times New Roman" w:cs="Times New Roman"/>
          <w:color w:val="000000"/>
          <w:sz w:val="24"/>
          <w:szCs w:val="24"/>
          <w:lang w:eastAsia="ru-RU"/>
        </w:rPr>
        <w:t>Уровень удовлетворенности финансовыми продуктами и услугами предпринимателей, осуществляющих деятельность в Ленинградской области, в разрезе по размеру бизнеса представлен в таблице ниже.</w:t>
      </w:r>
    </w:p>
    <w:p w:rsidR="00851FF9" w:rsidRDefault="00851FF9" w:rsidP="0010260C">
      <w:pPr>
        <w:keepNext/>
        <w:keepLines/>
        <w:spacing w:before="120" w:after="120" w:line="240" w:lineRule="auto"/>
        <w:jc w:val="center"/>
        <w:rPr>
          <w:rFonts w:ascii="Times New Roman" w:eastAsia="Calibri" w:hAnsi="Times New Roman" w:cs="Times New Roman"/>
          <w:color w:val="000000"/>
          <w:sz w:val="24"/>
          <w:szCs w:val="24"/>
        </w:rPr>
      </w:pPr>
      <w:r w:rsidRPr="00851FF9">
        <w:rPr>
          <w:rFonts w:ascii="Times New Roman" w:eastAsia="Calibri" w:hAnsi="Times New Roman" w:cs="Times New Roman"/>
          <w:iCs/>
          <w:color w:val="000000"/>
          <w:sz w:val="24"/>
          <w:szCs w:val="28"/>
        </w:rPr>
        <w:t xml:space="preserve">Таблица </w:t>
      </w:r>
      <w:r w:rsidR="0010260C">
        <w:rPr>
          <w:rFonts w:ascii="Times New Roman" w:eastAsia="Calibri" w:hAnsi="Times New Roman" w:cs="Times New Roman"/>
          <w:iCs/>
          <w:color w:val="000000"/>
          <w:sz w:val="24"/>
          <w:szCs w:val="28"/>
        </w:rPr>
        <w:t>43</w:t>
      </w:r>
      <w:r w:rsidRPr="00851FF9">
        <w:rPr>
          <w:rFonts w:ascii="Times New Roman" w:eastAsia="Calibri" w:hAnsi="Times New Roman" w:cs="Times New Roman"/>
          <w:iCs/>
          <w:color w:val="000000"/>
          <w:sz w:val="24"/>
          <w:szCs w:val="28"/>
        </w:rPr>
        <w:t>. Уровень удовлетворенности предпринимателей работой финансовых организаций</w:t>
      </w:r>
      <w:r w:rsidRPr="00851FF9">
        <w:rPr>
          <w:rFonts w:ascii="Times New Roman" w:eastAsia="Calibri" w:hAnsi="Times New Roman" w:cs="Times New Roman"/>
          <w:b/>
          <w:iCs/>
          <w:color w:val="000000"/>
          <w:sz w:val="24"/>
          <w:szCs w:val="28"/>
        </w:rPr>
        <w:t xml:space="preserve"> </w:t>
      </w:r>
      <w:r w:rsidRPr="00851FF9">
        <w:rPr>
          <w:rFonts w:ascii="Times New Roman" w:eastAsia="Calibri" w:hAnsi="Times New Roman" w:cs="Times New Roman"/>
          <w:noProof/>
          <w:color w:val="000000"/>
          <w:sz w:val="24"/>
          <w:szCs w:val="24"/>
        </w:rPr>
        <w:t xml:space="preserve">(опрос предпринимателей, </w:t>
      </w:r>
      <w:r w:rsidRPr="00851FF9">
        <w:rPr>
          <w:rFonts w:ascii="Times New Roman" w:eastAsia="Calibri" w:hAnsi="Times New Roman" w:cs="Times New Roman"/>
          <w:color w:val="000000"/>
          <w:sz w:val="24"/>
          <w:szCs w:val="24"/>
        </w:rPr>
        <w:t>% от числа ответивших)</w:t>
      </w:r>
    </w:p>
    <w:p w:rsidR="00812FC6" w:rsidRPr="00851FF9" w:rsidRDefault="00812FC6" w:rsidP="0010260C">
      <w:pPr>
        <w:keepNext/>
        <w:keepLines/>
        <w:spacing w:before="120" w:after="120" w:line="240" w:lineRule="auto"/>
        <w:jc w:val="center"/>
        <w:rPr>
          <w:rFonts w:ascii="Times New Roman" w:eastAsia="Calibri" w:hAnsi="Times New Roman" w:cs="Times New Roman"/>
          <w:b/>
          <w:iCs/>
          <w:color w:val="000000"/>
          <w:sz w:val="24"/>
          <w:szCs w:val="28"/>
        </w:rPr>
      </w:pP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6"/>
        <w:gridCol w:w="1389"/>
        <w:gridCol w:w="1389"/>
        <w:gridCol w:w="1389"/>
        <w:gridCol w:w="1389"/>
        <w:gridCol w:w="1276"/>
        <w:gridCol w:w="1274"/>
      </w:tblGrid>
      <w:tr w:rsidR="00851FF9" w:rsidRPr="00851FF9" w:rsidTr="00812FC6">
        <w:trPr>
          <w:cantSplit/>
          <w:trHeight w:val="2094"/>
          <w:tblHeader/>
        </w:trPr>
        <w:tc>
          <w:tcPr>
            <w:tcW w:w="1015" w:type="pct"/>
            <w:shd w:val="clear" w:color="auto" w:fill="DAEEF3"/>
            <w:noWrap/>
            <w:vAlign w:val="center"/>
          </w:tcPr>
          <w:p w:rsidR="00851FF9" w:rsidRPr="00851FF9" w:rsidRDefault="00851FF9" w:rsidP="00851FF9">
            <w:pPr>
              <w:spacing w:after="0" w:line="240" w:lineRule="auto"/>
              <w:jc w:val="center"/>
              <w:rPr>
                <w:rFonts w:ascii="Times New Roman" w:eastAsia="Times New Roman" w:hAnsi="Times New Roman" w:cs="Times New Roman"/>
                <w:color w:val="000000"/>
                <w:lang w:eastAsia="ru-RU"/>
              </w:rPr>
            </w:pPr>
          </w:p>
        </w:tc>
        <w:tc>
          <w:tcPr>
            <w:tcW w:w="683" w:type="pct"/>
            <w:shd w:val="clear" w:color="auto" w:fill="DAEEF3"/>
            <w:textDirection w:val="btLr"/>
            <w:vAlign w:val="center"/>
          </w:tcPr>
          <w:p w:rsidR="00851FF9" w:rsidRPr="00851FF9" w:rsidRDefault="00851FF9" w:rsidP="00851FF9">
            <w:pPr>
              <w:spacing w:after="0" w:line="240" w:lineRule="auto"/>
              <w:ind w:left="113" w:right="113"/>
              <w:jc w:val="center"/>
              <w:rPr>
                <w:rFonts w:ascii="Times New Roman" w:eastAsia="Times New Roman" w:hAnsi="Times New Roman" w:cs="Times New Roman"/>
                <w:b/>
                <w:bCs/>
                <w:color w:val="000000"/>
                <w:sz w:val="20"/>
                <w:szCs w:val="20"/>
                <w:lang w:eastAsia="ru-RU"/>
              </w:rPr>
            </w:pPr>
            <w:r w:rsidRPr="00851FF9">
              <w:rPr>
                <w:rFonts w:ascii="Times New Roman" w:eastAsia="Times New Roman" w:hAnsi="Times New Roman" w:cs="Times New Roman"/>
                <w:b/>
                <w:color w:val="000000"/>
                <w:sz w:val="20"/>
                <w:szCs w:val="20"/>
                <w:lang w:eastAsia="ru-RU"/>
              </w:rPr>
              <w:t>В целом по области</w:t>
            </w:r>
          </w:p>
        </w:tc>
        <w:tc>
          <w:tcPr>
            <w:tcW w:w="683" w:type="pct"/>
            <w:shd w:val="clear" w:color="auto" w:fill="DAEEF3"/>
            <w:textDirection w:val="btLr"/>
            <w:vAlign w:val="center"/>
          </w:tcPr>
          <w:p w:rsidR="00851FF9" w:rsidRPr="00851FF9" w:rsidRDefault="00851FF9" w:rsidP="00851FF9">
            <w:pPr>
              <w:spacing w:after="0" w:line="240" w:lineRule="auto"/>
              <w:ind w:left="113" w:right="113"/>
              <w:jc w:val="center"/>
              <w:rPr>
                <w:rFonts w:ascii="Times New Roman" w:eastAsia="Times New Roman" w:hAnsi="Times New Roman" w:cs="Times New Roman"/>
                <w:b/>
                <w:bCs/>
                <w:color w:val="000000"/>
                <w:sz w:val="20"/>
                <w:szCs w:val="20"/>
                <w:lang w:val="en-US" w:eastAsia="ru-RU"/>
              </w:rPr>
            </w:pPr>
            <w:r w:rsidRPr="00851FF9">
              <w:rPr>
                <w:rFonts w:ascii="Times New Roman" w:eastAsia="Times New Roman" w:hAnsi="Times New Roman" w:cs="Times New Roman"/>
                <w:b/>
                <w:bCs/>
                <w:color w:val="000000"/>
                <w:sz w:val="20"/>
                <w:szCs w:val="20"/>
                <w:lang w:eastAsia="ru-RU"/>
              </w:rPr>
              <w:t xml:space="preserve">Микро-предприятие </w:t>
            </w:r>
          </w:p>
        </w:tc>
        <w:tc>
          <w:tcPr>
            <w:tcW w:w="683" w:type="pct"/>
            <w:shd w:val="clear" w:color="auto" w:fill="DAEEF3"/>
            <w:textDirection w:val="btLr"/>
            <w:vAlign w:val="center"/>
          </w:tcPr>
          <w:p w:rsidR="00851FF9" w:rsidRPr="00851FF9" w:rsidRDefault="00851FF9" w:rsidP="00851FF9">
            <w:pPr>
              <w:spacing w:after="0" w:line="240" w:lineRule="auto"/>
              <w:ind w:left="113" w:right="113"/>
              <w:jc w:val="center"/>
              <w:rPr>
                <w:rFonts w:ascii="Times New Roman" w:eastAsia="Times New Roman" w:hAnsi="Times New Roman" w:cs="Times New Roman"/>
                <w:b/>
                <w:bCs/>
                <w:color w:val="000000"/>
                <w:sz w:val="20"/>
                <w:szCs w:val="20"/>
                <w:lang w:eastAsia="ru-RU"/>
              </w:rPr>
            </w:pPr>
            <w:r w:rsidRPr="00851FF9">
              <w:rPr>
                <w:rFonts w:ascii="Times New Roman" w:eastAsia="Times New Roman" w:hAnsi="Times New Roman" w:cs="Times New Roman"/>
                <w:b/>
                <w:bCs/>
                <w:color w:val="000000"/>
                <w:sz w:val="20"/>
                <w:szCs w:val="20"/>
                <w:lang w:eastAsia="ru-RU"/>
              </w:rPr>
              <w:t>Малое предприятие</w:t>
            </w:r>
          </w:p>
        </w:tc>
        <w:tc>
          <w:tcPr>
            <w:tcW w:w="683" w:type="pct"/>
            <w:shd w:val="clear" w:color="auto" w:fill="DAEEF3"/>
            <w:textDirection w:val="btLr"/>
            <w:vAlign w:val="center"/>
          </w:tcPr>
          <w:p w:rsidR="00851FF9" w:rsidRPr="00851FF9" w:rsidRDefault="00851FF9" w:rsidP="00851FF9">
            <w:pPr>
              <w:spacing w:after="0" w:line="240" w:lineRule="auto"/>
              <w:ind w:left="113" w:right="113"/>
              <w:jc w:val="center"/>
              <w:rPr>
                <w:rFonts w:ascii="Times New Roman" w:eastAsia="Calibri" w:hAnsi="Times New Roman" w:cs="Times New Roman"/>
                <w:b/>
                <w:color w:val="000000"/>
                <w:sz w:val="20"/>
                <w:szCs w:val="20"/>
              </w:rPr>
            </w:pPr>
            <w:r w:rsidRPr="00851FF9">
              <w:rPr>
                <w:rFonts w:ascii="Times New Roman" w:eastAsia="Calibri" w:hAnsi="Times New Roman" w:cs="Times New Roman"/>
                <w:b/>
                <w:color w:val="000000"/>
                <w:sz w:val="20"/>
                <w:szCs w:val="20"/>
              </w:rPr>
              <w:t>Среднее предприятие</w:t>
            </w:r>
          </w:p>
        </w:tc>
        <w:tc>
          <w:tcPr>
            <w:tcW w:w="627" w:type="pct"/>
            <w:shd w:val="clear" w:color="auto" w:fill="DAEEF3"/>
            <w:textDirection w:val="btLr"/>
            <w:vAlign w:val="center"/>
          </w:tcPr>
          <w:p w:rsidR="00851FF9" w:rsidRPr="00851FF9" w:rsidRDefault="00851FF9" w:rsidP="00851FF9">
            <w:pPr>
              <w:spacing w:after="0" w:line="240" w:lineRule="auto"/>
              <w:ind w:left="113" w:right="113"/>
              <w:jc w:val="center"/>
              <w:rPr>
                <w:rFonts w:ascii="Times New Roman" w:eastAsia="Calibri" w:hAnsi="Times New Roman" w:cs="Times New Roman"/>
                <w:b/>
                <w:color w:val="000000"/>
                <w:sz w:val="20"/>
                <w:szCs w:val="20"/>
              </w:rPr>
            </w:pPr>
            <w:r w:rsidRPr="00851FF9">
              <w:rPr>
                <w:rFonts w:ascii="Times New Roman" w:eastAsia="Calibri" w:hAnsi="Times New Roman" w:cs="Times New Roman"/>
                <w:b/>
                <w:color w:val="000000"/>
                <w:sz w:val="20"/>
                <w:szCs w:val="20"/>
              </w:rPr>
              <w:t>Крупное предприятие</w:t>
            </w:r>
          </w:p>
        </w:tc>
        <w:tc>
          <w:tcPr>
            <w:tcW w:w="627" w:type="pct"/>
            <w:shd w:val="clear" w:color="auto" w:fill="DAEEF3"/>
            <w:textDirection w:val="btLr"/>
            <w:vAlign w:val="center"/>
          </w:tcPr>
          <w:p w:rsidR="00851FF9" w:rsidRPr="00851FF9" w:rsidRDefault="00851FF9" w:rsidP="00851FF9">
            <w:pPr>
              <w:spacing w:after="0" w:line="240" w:lineRule="auto"/>
              <w:ind w:left="113" w:right="113"/>
              <w:jc w:val="center"/>
              <w:rPr>
                <w:rFonts w:ascii="Times New Roman" w:eastAsia="Calibri" w:hAnsi="Times New Roman" w:cs="Times New Roman"/>
                <w:b/>
                <w:color w:val="000000"/>
                <w:sz w:val="20"/>
                <w:szCs w:val="20"/>
              </w:rPr>
            </w:pPr>
            <w:r w:rsidRPr="00851FF9">
              <w:rPr>
                <w:rFonts w:ascii="Times New Roman" w:eastAsia="Calibri" w:hAnsi="Times New Roman" w:cs="Times New Roman"/>
                <w:b/>
                <w:color w:val="000000"/>
                <w:sz w:val="20"/>
                <w:szCs w:val="20"/>
              </w:rPr>
              <w:t>Затрудняюсь ответить</w:t>
            </w:r>
          </w:p>
        </w:tc>
      </w:tr>
      <w:tr w:rsidR="00851FF9" w:rsidRPr="00851FF9" w:rsidTr="00812FC6">
        <w:trPr>
          <w:trHeight w:val="9"/>
        </w:trPr>
        <w:tc>
          <w:tcPr>
            <w:tcW w:w="1015" w:type="pct"/>
            <w:shd w:val="clear" w:color="auto" w:fill="auto"/>
          </w:tcPr>
          <w:p w:rsidR="00851FF9" w:rsidRPr="00851FF9" w:rsidRDefault="00851FF9" w:rsidP="00851FF9">
            <w:pPr>
              <w:spacing w:beforeLines="60" w:before="144" w:afterLines="60" w:after="144" w:line="269" w:lineRule="auto"/>
              <w:rPr>
                <w:rFonts w:ascii="Times New Roman" w:eastAsia="Times New Roman" w:hAnsi="Times New Roman" w:cs="Times New Roman"/>
                <w:b/>
                <w:color w:val="000000"/>
                <w:lang w:eastAsia="ru-RU"/>
              </w:rPr>
            </w:pPr>
            <w:r w:rsidRPr="00851FF9">
              <w:rPr>
                <w:rFonts w:ascii="Times New Roman" w:eastAsia="Calibri" w:hAnsi="Times New Roman" w:cs="Times New Roman"/>
                <w:color w:val="000000"/>
              </w:rPr>
              <w:t>Зарплатные проекты</w:t>
            </w:r>
          </w:p>
        </w:tc>
        <w:tc>
          <w:tcPr>
            <w:tcW w:w="683" w:type="pct"/>
            <w:vAlign w:val="center"/>
          </w:tcPr>
          <w:p w:rsidR="00851FF9" w:rsidRPr="00851FF9" w:rsidRDefault="00851FF9" w:rsidP="00851FF9">
            <w:pPr>
              <w:spacing w:after="0" w:line="240" w:lineRule="auto"/>
              <w:jc w:val="center"/>
              <w:rPr>
                <w:rFonts w:ascii="Times New Roman" w:eastAsia="Calibri" w:hAnsi="Times New Roman" w:cs="Times New Roman"/>
                <w:b/>
                <w:bCs/>
                <w:color w:val="000000"/>
              </w:rPr>
            </w:pPr>
            <w:r w:rsidRPr="00851FF9">
              <w:rPr>
                <w:rFonts w:ascii="Times New Roman" w:eastAsia="Calibri" w:hAnsi="Times New Roman" w:cs="Times New Roman"/>
                <w:b/>
                <w:bCs/>
                <w:color w:val="000000"/>
              </w:rPr>
              <w:t>80%</w:t>
            </w:r>
          </w:p>
        </w:tc>
        <w:tc>
          <w:tcPr>
            <w:tcW w:w="683" w:type="pct"/>
            <w:tcBorders>
              <w:top w:val="single" w:sz="4" w:space="0" w:color="auto"/>
              <w:left w:val="single" w:sz="8" w:space="0" w:color="auto"/>
              <w:bottom w:val="nil"/>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84%</w:t>
            </w:r>
          </w:p>
        </w:tc>
        <w:tc>
          <w:tcPr>
            <w:tcW w:w="683" w:type="pct"/>
            <w:tcBorders>
              <w:top w:val="single" w:sz="4" w:space="0" w:color="auto"/>
              <w:left w:val="nil"/>
              <w:bottom w:val="nil"/>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bCs/>
                <w:color w:val="000000"/>
              </w:rPr>
            </w:pPr>
            <w:r w:rsidRPr="00851FF9">
              <w:rPr>
                <w:rFonts w:ascii="Times New Roman" w:eastAsia="Calibri" w:hAnsi="Times New Roman" w:cs="Times New Roman"/>
                <w:color w:val="000000"/>
              </w:rPr>
              <w:t>93%</w:t>
            </w:r>
          </w:p>
        </w:tc>
        <w:tc>
          <w:tcPr>
            <w:tcW w:w="683" w:type="pct"/>
            <w:tcBorders>
              <w:top w:val="single" w:sz="4" w:space="0" w:color="auto"/>
              <w:left w:val="nil"/>
              <w:bottom w:val="nil"/>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82%</w:t>
            </w:r>
          </w:p>
        </w:tc>
        <w:tc>
          <w:tcPr>
            <w:tcW w:w="627" w:type="pct"/>
            <w:tcBorders>
              <w:top w:val="single" w:sz="4" w:space="0" w:color="auto"/>
              <w:left w:val="nil"/>
              <w:bottom w:val="nil"/>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78%</w:t>
            </w:r>
          </w:p>
        </w:tc>
        <w:tc>
          <w:tcPr>
            <w:tcW w:w="627" w:type="pct"/>
            <w:tcBorders>
              <w:top w:val="single" w:sz="4" w:space="0" w:color="auto"/>
              <w:left w:val="nil"/>
              <w:bottom w:val="nil"/>
              <w:right w:val="single" w:sz="4" w:space="0" w:color="auto"/>
            </w:tcBorders>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69%</w:t>
            </w:r>
          </w:p>
        </w:tc>
      </w:tr>
      <w:tr w:rsidR="00851FF9" w:rsidRPr="00851FF9" w:rsidTr="00812FC6">
        <w:trPr>
          <w:trHeight w:val="9"/>
        </w:trPr>
        <w:tc>
          <w:tcPr>
            <w:tcW w:w="1015" w:type="pct"/>
            <w:shd w:val="clear" w:color="auto" w:fill="auto"/>
          </w:tcPr>
          <w:p w:rsidR="00851FF9" w:rsidRPr="00851FF9" w:rsidRDefault="00851FF9" w:rsidP="00851FF9">
            <w:pPr>
              <w:spacing w:beforeLines="60" w:before="144" w:afterLines="60" w:after="144" w:line="269" w:lineRule="auto"/>
              <w:rPr>
                <w:rFonts w:ascii="Times New Roman" w:eastAsia="Times New Roman" w:hAnsi="Times New Roman" w:cs="Times New Roman"/>
                <w:color w:val="000000"/>
                <w:lang w:eastAsia="ru-RU"/>
              </w:rPr>
            </w:pPr>
            <w:r w:rsidRPr="00851FF9">
              <w:rPr>
                <w:rFonts w:ascii="Times New Roman" w:eastAsia="Calibri" w:hAnsi="Times New Roman" w:cs="Times New Roman"/>
                <w:color w:val="000000"/>
              </w:rPr>
              <w:t>Расчетно-кассовое обслуживание</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b/>
                <w:bCs/>
                <w:color w:val="000000"/>
              </w:rPr>
            </w:pPr>
            <w:r w:rsidRPr="00851FF9">
              <w:rPr>
                <w:rFonts w:ascii="Times New Roman" w:eastAsia="Calibri" w:hAnsi="Times New Roman" w:cs="Times New Roman"/>
                <w:b/>
                <w:bCs/>
                <w:color w:val="000000"/>
              </w:rPr>
              <w:t>78%</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85%</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bCs/>
                <w:color w:val="000000"/>
              </w:rPr>
            </w:pPr>
            <w:r w:rsidRPr="00851FF9">
              <w:rPr>
                <w:rFonts w:ascii="Times New Roman" w:eastAsia="Calibri" w:hAnsi="Times New Roman" w:cs="Times New Roman"/>
                <w:color w:val="000000"/>
              </w:rPr>
              <w:t>84%</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89%</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74%</w:t>
            </w:r>
          </w:p>
        </w:tc>
        <w:tc>
          <w:tcPr>
            <w:tcW w:w="627" w:type="pct"/>
            <w:tcBorders>
              <w:top w:val="single" w:sz="4" w:space="0" w:color="auto"/>
              <w:left w:val="single" w:sz="4" w:space="0" w:color="auto"/>
              <w:bottom w:val="single" w:sz="4" w:space="0" w:color="auto"/>
              <w:right w:val="single" w:sz="4" w:space="0" w:color="auto"/>
            </w:tcBorders>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64%</w:t>
            </w:r>
          </w:p>
        </w:tc>
      </w:tr>
      <w:tr w:rsidR="00851FF9" w:rsidRPr="00851FF9" w:rsidTr="00812FC6">
        <w:trPr>
          <w:trHeight w:val="9"/>
        </w:trPr>
        <w:tc>
          <w:tcPr>
            <w:tcW w:w="1015" w:type="pct"/>
            <w:shd w:val="clear" w:color="auto" w:fill="auto"/>
          </w:tcPr>
          <w:p w:rsidR="00851FF9" w:rsidRPr="00851FF9" w:rsidRDefault="00851FF9" w:rsidP="00851FF9">
            <w:pPr>
              <w:spacing w:beforeLines="60" w:before="144" w:afterLines="60" w:after="144" w:line="269" w:lineRule="auto"/>
              <w:rPr>
                <w:rFonts w:ascii="Times New Roman" w:eastAsia="Times New Roman" w:hAnsi="Times New Roman" w:cs="Times New Roman"/>
                <w:color w:val="000000"/>
                <w:lang w:eastAsia="ru-RU"/>
              </w:rPr>
            </w:pPr>
            <w:r w:rsidRPr="00851FF9">
              <w:rPr>
                <w:rFonts w:ascii="Times New Roman" w:eastAsia="Calibri" w:hAnsi="Times New Roman" w:cs="Times New Roman"/>
                <w:color w:val="000000"/>
              </w:rPr>
              <w:t>Добровольное медицинское страхование работников (ДМС)</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b/>
                <w:bCs/>
                <w:color w:val="000000"/>
              </w:rPr>
            </w:pPr>
            <w:r w:rsidRPr="00851FF9">
              <w:rPr>
                <w:rFonts w:ascii="Times New Roman" w:eastAsia="Calibri" w:hAnsi="Times New Roman" w:cs="Times New Roman"/>
                <w:b/>
                <w:bCs/>
                <w:color w:val="000000"/>
              </w:rPr>
              <w:t>67%</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61%</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bCs/>
                <w:color w:val="000000"/>
              </w:rPr>
            </w:pPr>
            <w:r w:rsidRPr="00851FF9">
              <w:rPr>
                <w:rFonts w:ascii="Times New Roman" w:eastAsia="Calibri" w:hAnsi="Times New Roman" w:cs="Times New Roman"/>
                <w:color w:val="000000"/>
              </w:rPr>
              <w:t>67%</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76%</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74%</w:t>
            </w:r>
          </w:p>
        </w:tc>
        <w:tc>
          <w:tcPr>
            <w:tcW w:w="627" w:type="pct"/>
            <w:tcBorders>
              <w:top w:val="single" w:sz="4" w:space="0" w:color="auto"/>
              <w:left w:val="single" w:sz="4" w:space="0" w:color="auto"/>
              <w:bottom w:val="single" w:sz="4" w:space="0" w:color="auto"/>
              <w:right w:val="single" w:sz="4" w:space="0" w:color="auto"/>
            </w:tcBorders>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64%</w:t>
            </w:r>
          </w:p>
        </w:tc>
      </w:tr>
      <w:tr w:rsidR="00851FF9" w:rsidRPr="00851FF9" w:rsidTr="00812FC6">
        <w:trPr>
          <w:trHeight w:val="9"/>
        </w:trPr>
        <w:tc>
          <w:tcPr>
            <w:tcW w:w="1015" w:type="pct"/>
            <w:shd w:val="clear" w:color="auto" w:fill="auto"/>
          </w:tcPr>
          <w:p w:rsidR="00851FF9" w:rsidRPr="00851FF9" w:rsidRDefault="00851FF9" w:rsidP="00851FF9">
            <w:pPr>
              <w:spacing w:beforeLines="60" w:before="144" w:afterLines="60" w:after="144" w:line="269" w:lineRule="auto"/>
              <w:rPr>
                <w:rFonts w:ascii="Times New Roman" w:eastAsia="Times New Roman" w:hAnsi="Times New Roman" w:cs="Times New Roman"/>
                <w:color w:val="000000"/>
                <w:lang w:eastAsia="ru-RU"/>
              </w:rPr>
            </w:pPr>
            <w:r w:rsidRPr="00851FF9">
              <w:rPr>
                <w:rFonts w:ascii="Times New Roman" w:eastAsia="Calibri" w:hAnsi="Times New Roman" w:cs="Times New Roman"/>
                <w:color w:val="000000"/>
              </w:rPr>
              <w:t>Страхование имущества</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b/>
                <w:bCs/>
                <w:color w:val="000000"/>
              </w:rPr>
            </w:pPr>
            <w:r w:rsidRPr="00851FF9">
              <w:rPr>
                <w:rFonts w:ascii="Times New Roman" w:eastAsia="Calibri" w:hAnsi="Times New Roman" w:cs="Times New Roman"/>
                <w:b/>
                <w:bCs/>
                <w:color w:val="000000"/>
              </w:rPr>
              <w:t>60%</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58%</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bCs/>
                <w:color w:val="000000"/>
              </w:rPr>
            </w:pPr>
            <w:r w:rsidRPr="00851FF9">
              <w:rPr>
                <w:rFonts w:ascii="Times New Roman" w:eastAsia="Calibri" w:hAnsi="Times New Roman" w:cs="Times New Roman"/>
                <w:color w:val="000000"/>
              </w:rPr>
              <w:t>66%</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70%</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67%</w:t>
            </w:r>
          </w:p>
        </w:tc>
        <w:tc>
          <w:tcPr>
            <w:tcW w:w="627" w:type="pct"/>
            <w:tcBorders>
              <w:top w:val="single" w:sz="4" w:space="0" w:color="auto"/>
              <w:left w:val="single" w:sz="4" w:space="0" w:color="auto"/>
              <w:bottom w:val="single" w:sz="4" w:space="0" w:color="auto"/>
              <w:right w:val="single" w:sz="4" w:space="0" w:color="auto"/>
            </w:tcBorders>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52%</w:t>
            </w:r>
          </w:p>
        </w:tc>
      </w:tr>
      <w:tr w:rsidR="00851FF9" w:rsidRPr="00851FF9" w:rsidTr="00812FC6">
        <w:trPr>
          <w:trHeight w:val="9"/>
        </w:trPr>
        <w:tc>
          <w:tcPr>
            <w:tcW w:w="1015" w:type="pct"/>
            <w:shd w:val="clear" w:color="auto" w:fill="auto"/>
          </w:tcPr>
          <w:p w:rsidR="00851FF9" w:rsidRPr="00851FF9" w:rsidRDefault="00851FF9" w:rsidP="00851FF9">
            <w:pPr>
              <w:spacing w:beforeLines="60" w:before="144" w:afterLines="60" w:after="144" w:line="269" w:lineRule="auto"/>
              <w:rPr>
                <w:rFonts w:ascii="Times New Roman" w:eastAsia="Times New Roman" w:hAnsi="Times New Roman" w:cs="Times New Roman"/>
                <w:color w:val="000000"/>
                <w:lang w:eastAsia="ru-RU"/>
              </w:rPr>
            </w:pPr>
            <w:r w:rsidRPr="00851FF9">
              <w:rPr>
                <w:rFonts w:ascii="Times New Roman" w:eastAsia="Calibri" w:hAnsi="Times New Roman" w:cs="Times New Roman"/>
                <w:color w:val="000000"/>
              </w:rPr>
              <w:t>Услуги эквайринга</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b/>
                <w:bCs/>
                <w:color w:val="000000"/>
              </w:rPr>
            </w:pPr>
            <w:r w:rsidRPr="00851FF9">
              <w:rPr>
                <w:rFonts w:ascii="Times New Roman" w:eastAsia="Calibri" w:hAnsi="Times New Roman" w:cs="Times New Roman"/>
                <w:b/>
                <w:bCs/>
                <w:color w:val="000000"/>
              </w:rPr>
              <w:t>53%</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54%</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bCs/>
                <w:color w:val="000000"/>
              </w:rPr>
            </w:pPr>
            <w:r w:rsidRPr="00851FF9">
              <w:rPr>
                <w:rFonts w:ascii="Times New Roman" w:eastAsia="Calibri" w:hAnsi="Times New Roman" w:cs="Times New Roman"/>
                <w:color w:val="000000"/>
              </w:rPr>
              <w:t>64%</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73%</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51%</w:t>
            </w:r>
          </w:p>
        </w:tc>
        <w:tc>
          <w:tcPr>
            <w:tcW w:w="627" w:type="pct"/>
            <w:tcBorders>
              <w:top w:val="single" w:sz="4" w:space="0" w:color="auto"/>
              <w:left w:val="single" w:sz="4" w:space="0" w:color="auto"/>
              <w:bottom w:val="single" w:sz="4" w:space="0" w:color="auto"/>
              <w:right w:val="single" w:sz="4" w:space="0" w:color="auto"/>
            </w:tcBorders>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38%</w:t>
            </w:r>
          </w:p>
        </w:tc>
      </w:tr>
      <w:tr w:rsidR="00851FF9" w:rsidRPr="00851FF9" w:rsidTr="00812FC6">
        <w:trPr>
          <w:trHeight w:val="9"/>
        </w:trPr>
        <w:tc>
          <w:tcPr>
            <w:tcW w:w="1015" w:type="pct"/>
            <w:shd w:val="clear" w:color="auto" w:fill="auto"/>
          </w:tcPr>
          <w:p w:rsidR="00851FF9" w:rsidRPr="00851FF9" w:rsidRDefault="00851FF9" w:rsidP="00851FF9">
            <w:pPr>
              <w:spacing w:beforeLines="60" w:before="144" w:afterLines="60" w:after="144"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Кредитование</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b/>
                <w:bCs/>
                <w:color w:val="000000"/>
              </w:rPr>
            </w:pPr>
            <w:r w:rsidRPr="00851FF9">
              <w:rPr>
                <w:rFonts w:ascii="Times New Roman" w:eastAsia="Calibri" w:hAnsi="Times New Roman" w:cs="Times New Roman"/>
                <w:b/>
                <w:bCs/>
                <w:color w:val="000000"/>
              </w:rPr>
              <w:t>51%</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57%</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bCs/>
                <w:color w:val="000000"/>
              </w:rPr>
            </w:pPr>
            <w:r w:rsidRPr="00851FF9">
              <w:rPr>
                <w:rFonts w:ascii="Times New Roman" w:eastAsia="Calibri" w:hAnsi="Times New Roman" w:cs="Times New Roman"/>
                <w:color w:val="000000"/>
              </w:rPr>
              <w:t>57%</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58%</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41%</w:t>
            </w:r>
          </w:p>
        </w:tc>
        <w:tc>
          <w:tcPr>
            <w:tcW w:w="627" w:type="pct"/>
            <w:tcBorders>
              <w:top w:val="single" w:sz="4" w:space="0" w:color="auto"/>
              <w:left w:val="single" w:sz="4" w:space="0" w:color="auto"/>
              <w:bottom w:val="single" w:sz="4" w:space="0" w:color="auto"/>
              <w:right w:val="single" w:sz="4" w:space="0" w:color="auto"/>
            </w:tcBorders>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43%</w:t>
            </w:r>
          </w:p>
        </w:tc>
      </w:tr>
      <w:tr w:rsidR="00851FF9" w:rsidRPr="00851FF9" w:rsidTr="00812FC6">
        <w:trPr>
          <w:trHeight w:val="9"/>
        </w:trPr>
        <w:tc>
          <w:tcPr>
            <w:tcW w:w="1015" w:type="pct"/>
            <w:shd w:val="clear" w:color="auto" w:fill="auto"/>
          </w:tcPr>
          <w:p w:rsidR="00851FF9" w:rsidRPr="00851FF9" w:rsidRDefault="00851FF9" w:rsidP="00851FF9">
            <w:pPr>
              <w:spacing w:beforeLines="60" w:before="144" w:afterLines="60" w:after="144"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Инвестиционные услуги</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b/>
                <w:bCs/>
                <w:color w:val="000000"/>
              </w:rPr>
            </w:pPr>
            <w:r w:rsidRPr="00851FF9">
              <w:rPr>
                <w:rFonts w:ascii="Times New Roman" w:eastAsia="Calibri" w:hAnsi="Times New Roman" w:cs="Times New Roman"/>
                <w:b/>
                <w:bCs/>
                <w:color w:val="000000"/>
              </w:rPr>
              <w:t>43%</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43%</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bCs/>
                <w:color w:val="000000"/>
              </w:rPr>
            </w:pPr>
            <w:r w:rsidRPr="00851FF9">
              <w:rPr>
                <w:rFonts w:ascii="Times New Roman" w:eastAsia="Calibri" w:hAnsi="Times New Roman" w:cs="Times New Roman"/>
                <w:color w:val="000000"/>
              </w:rPr>
              <w:t>48%</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60%</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53%</w:t>
            </w:r>
          </w:p>
        </w:tc>
        <w:tc>
          <w:tcPr>
            <w:tcW w:w="627" w:type="pct"/>
            <w:tcBorders>
              <w:top w:val="single" w:sz="4" w:space="0" w:color="auto"/>
              <w:left w:val="single" w:sz="4" w:space="0" w:color="auto"/>
              <w:bottom w:val="single" w:sz="4" w:space="0" w:color="auto"/>
              <w:right w:val="single" w:sz="4" w:space="0" w:color="auto"/>
            </w:tcBorders>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29%</w:t>
            </w:r>
          </w:p>
        </w:tc>
      </w:tr>
      <w:tr w:rsidR="00851FF9" w:rsidRPr="00851FF9" w:rsidTr="00812FC6">
        <w:trPr>
          <w:trHeight w:val="9"/>
        </w:trPr>
        <w:tc>
          <w:tcPr>
            <w:tcW w:w="1015" w:type="pct"/>
            <w:shd w:val="clear" w:color="auto" w:fill="auto"/>
          </w:tcPr>
          <w:p w:rsidR="00851FF9" w:rsidRPr="00851FF9" w:rsidRDefault="00851FF9" w:rsidP="00851FF9">
            <w:pPr>
              <w:spacing w:beforeLines="60" w:before="144" w:afterLines="60" w:after="144" w:line="269" w:lineRule="auto"/>
              <w:rPr>
                <w:rFonts w:ascii="Times New Roman" w:eastAsia="Calibri" w:hAnsi="Times New Roman" w:cs="Times New Roman"/>
                <w:color w:val="000000"/>
              </w:rPr>
            </w:pPr>
            <w:r w:rsidRPr="00851FF9">
              <w:rPr>
                <w:rFonts w:ascii="Times New Roman" w:eastAsia="Calibri" w:hAnsi="Times New Roman" w:cs="Times New Roman"/>
                <w:color w:val="000000"/>
              </w:rPr>
              <w:t>Услуги микрофинансовых организаций</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b/>
                <w:bCs/>
                <w:color w:val="000000"/>
              </w:rPr>
            </w:pPr>
            <w:r w:rsidRPr="00851FF9">
              <w:rPr>
                <w:rFonts w:ascii="Times New Roman" w:eastAsia="Calibri" w:hAnsi="Times New Roman" w:cs="Times New Roman"/>
                <w:b/>
                <w:bCs/>
                <w:color w:val="000000"/>
              </w:rPr>
              <w:t>24%</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24%</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bCs/>
                <w:color w:val="000000"/>
              </w:rPr>
            </w:pPr>
            <w:r w:rsidRPr="00851FF9">
              <w:rPr>
                <w:rFonts w:ascii="Times New Roman" w:eastAsia="Calibri" w:hAnsi="Times New Roman" w:cs="Times New Roman"/>
                <w:color w:val="000000"/>
              </w:rPr>
              <w:t>26%</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33%</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31%</w:t>
            </w:r>
          </w:p>
        </w:tc>
        <w:tc>
          <w:tcPr>
            <w:tcW w:w="627" w:type="pct"/>
            <w:tcBorders>
              <w:top w:val="single" w:sz="4" w:space="0" w:color="auto"/>
              <w:left w:val="single" w:sz="4" w:space="0" w:color="auto"/>
              <w:bottom w:val="single" w:sz="4" w:space="0" w:color="auto"/>
              <w:right w:val="single" w:sz="4" w:space="0" w:color="auto"/>
            </w:tcBorders>
            <w:vAlign w:val="center"/>
          </w:tcPr>
          <w:p w:rsidR="00851FF9" w:rsidRPr="00851FF9" w:rsidRDefault="00851FF9" w:rsidP="00851FF9">
            <w:pPr>
              <w:spacing w:after="0" w:line="240" w:lineRule="auto"/>
              <w:jc w:val="center"/>
              <w:rPr>
                <w:rFonts w:ascii="Times New Roman" w:eastAsia="Calibri" w:hAnsi="Times New Roman" w:cs="Times New Roman"/>
                <w:color w:val="000000"/>
              </w:rPr>
            </w:pPr>
            <w:r w:rsidRPr="00851FF9">
              <w:rPr>
                <w:rFonts w:ascii="Times New Roman" w:eastAsia="Calibri" w:hAnsi="Times New Roman" w:cs="Times New Roman"/>
                <w:color w:val="000000"/>
              </w:rPr>
              <w:t>18%</w:t>
            </w:r>
          </w:p>
        </w:tc>
      </w:tr>
    </w:tbl>
    <w:p w:rsidR="00851FF9" w:rsidRPr="00851FF9" w:rsidRDefault="00851FF9" w:rsidP="00851FF9">
      <w:pPr>
        <w:spacing w:after="0" w:line="240" w:lineRule="auto"/>
        <w:jc w:val="both"/>
        <w:rPr>
          <w:rFonts w:ascii="Times New Roman" w:eastAsia="Times New Roman" w:hAnsi="Times New Roman" w:cs="Times New Roman"/>
          <w:color w:val="000000"/>
          <w:sz w:val="28"/>
          <w:szCs w:val="28"/>
          <w:lang w:eastAsia="ru-RU"/>
        </w:rPr>
      </w:pPr>
      <w:r w:rsidRPr="00851FF9">
        <w:rPr>
          <w:rFonts w:ascii="Times New Roman" w:eastAsia="Calibri" w:hAnsi="Times New Roman" w:cs="Times New Roman"/>
          <w:color w:val="000000"/>
          <w:sz w:val="20"/>
          <w:szCs w:val="20"/>
        </w:rPr>
        <w:t>*Уровень удовлетворенности рассчитывался как "полностью удовлетворен" + "скорее удовлетворен" от числа предприятий, ответивших на вопрос</w:t>
      </w:r>
    </w:p>
    <w:p w:rsidR="00851FF9" w:rsidRPr="00851FF9" w:rsidRDefault="00851FF9" w:rsidP="00851FF9">
      <w:pPr>
        <w:spacing w:after="0" w:line="360" w:lineRule="auto"/>
        <w:ind w:firstLine="709"/>
        <w:jc w:val="both"/>
        <w:rPr>
          <w:rFonts w:ascii="Times New Roman" w:eastAsia="Times New Roman" w:hAnsi="Times New Roman" w:cs="Times New Roman"/>
          <w:color w:val="000000"/>
          <w:sz w:val="16"/>
          <w:szCs w:val="16"/>
          <w:lang w:eastAsia="ru-RU"/>
        </w:rPr>
      </w:pPr>
    </w:p>
    <w:p w:rsidR="00851FF9" w:rsidRPr="0010260C" w:rsidRDefault="00851FF9" w:rsidP="0010260C">
      <w:pPr>
        <w:spacing w:after="0" w:line="360" w:lineRule="auto"/>
        <w:ind w:firstLine="709"/>
        <w:jc w:val="both"/>
        <w:rPr>
          <w:rFonts w:ascii="Times New Roman" w:eastAsia="Times New Roman" w:hAnsi="Times New Roman" w:cs="Times New Roman"/>
          <w:color w:val="000000"/>
          <w:sz w:val="24"/>
          <w:szCs w:val="24"/>
          <w:lang w:eastAsia="ru-RU"/>
        </w:rPr>
      </w:pPr>
      <w:r w:rsidRPr="0010260C">
        <w:rPr>
          <w:rFonts w:ascii="Times New Roman" w:eastAsia="Times New Roman" w:hAnsi="Times New Roman" w:cs="Times New Roman"/>
          <w:color w:val="000000"/>
          <w:sz w:val="24"/>
          <w:szCs w:val="24"/>
          <w:lang w:eastAsia="ru-RU"/>
        </w:rPr>
        <w:t>Наибольший уровень удовлетворенности финансовыми продуктами и услугами продемонстрировали средние предприятия, по большинству параметров они дали оценки, выше средних по региону в целом: услуги эквайринга (73% против 53% по региону), инвестиционные услуги (60% против 53%), расчетно-кассовое обслуживание (89% против 78%), ДМС сотрудников компании (76% против 67%). Представители малого бизнеса наиболее высоко оценили услуги по зарплатным проектам (93% против 80%), а также, как и представители среднего бизнеса, услуги эквайринга (64% против 53%).</w:t>
      </w:r>
    </w:p>
    <w:p w:rsidR="00851FF9" w:rsidRPr="0010260C" w:rsidRDefault="00851FF9" w:rsidP="0010260C">
      <w:pPr>
        <w:spacing w:after="0" w:line="360" w:lineRule="auto"/>
        <w:ind w:firstLine="709"/>
        <w:jc w:val="both"/>
        <w:rPr>
          <w:rFonts w:ascii="Times New Roman" w:eastAsia="Times New Roman" w:hAnsi="Times New Roman" w:cs="Times New Roman"/>
          <w:color w:val="000000"/>
          <w:sz w:val="24"/>
          <w:szCs w:val="24"/>
          <w:lang w:eastAsia="ru-RU"/>
        </w:rPr>
      </w:pPr>
      <w:r w:rsidRPr="0010260C">
        <w:rPr>
          <w:rFonts w:ascii="Times New Roman" w:eastAsia="Times New Roman" w:hAnsi="Times New Roman" w:cs="Times New Roman"/>
          <w:color w:val="000000"/>
          <w:sz w:val="24"/>
          <w:szCs w:val="24"/>
          <w:lang w:eastAsia="ru-RU"/>
        </w:rPr>
        <w:t>Кроме того, согласно данным исследования Центрального Банка Российской Федерации  позитивные тенденции наблюдаются в следующих сферах:</w:t>
      </w:r>
    </w:p>
    <w:p w:rsidR="00851FF9" w:rsidRPr="0010260C" w:rsidRDefault="00851FF9" w:rsidP="0010260C">
      <w:pPr>
        <w:numPr>
          <w:ilvl w:val="0"/>
          <w:numId w:val="27"/>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sidRPr="0010260C">
        <w:rPr>
          <w:rFonts w:ascii="Times New Roman" w:eastAsia="Times New Roman" w:hAnsi="Times New Roman" w:cs="Times New Roman"/>
          <w:color w:val="000000"/>
          <w:sz w:val="24"/>
          <w:szCs w:val="24"/>
          <w:lang w:eastAsia="ru-RU"/>
        </w:rPr>
        <w:t xml:space="preserve">Удовлетворенность субъектов малого и среднего предпринимательства качеством услуг финансовых организаций является в целом высокой. Наибольшая удовлетворенность отмечается в отношении услуг РКО (75,6%) и зарплатных проектов (70,0%). </w:t>
      </w:r>
    </w:p>
    <w:p w:rsidR="00851FF9" w:rsidRPr="0010260C" w:rsidRDefault="00851FF9" w:rsidP="0010260C">
      <w:pPr>
        <w:numPr>
          <w:ilvl w:val="0"/>
          <w:numId w:val="27"/>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sidRPr="0010260C">
        <w:rPr>
          <w:rFonts w:ascii="Times New Roman" w:eastAsia="Times New Roman" w:hAnsi="Times New Roman" w:cs="Times New Roman"/>
          <w:color w:val="000000"/>
          <w:sz w:val="24"/>
          <w:szCs w:val="24"/>
          <w:lang w:eastAsia="ru-RU"/>
        </w:rPr>
        <w:t xml:space="preserve">Положительная динамика удовлетворенности ценами на услуги финансовых организаций отмечается в отношении зарплатных проектов (ответ "заметно увеличилась" - 7,5%) и РКО (6,7%). </w:t>
      </w:r>
    </w:p>
    <w:p w:rsidR="00851FF9" w:rsidRPr="0010260C" w:rsidRDefault="00851FF9" w:rsidP="0010260C">
      <w:pPr>
        <w:numPr>
          <w:ilvl w:val="0"/>
          <w:numId w:val="27"/>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sidRPr="0010260C">
        <w:rPr>
          <w:rFonts w:ascii="Times New Roman" w:eastAsia="Times New Roman" w:hAnsi="Times New Roman" w:cs="Times New Roman"/>
          <w:color w:val="000000"/>
          <w:sz w:val="24"/>
          <w:szCs w:val="24"/>
          <w:lang w:eastAsia="ru-RU"/>
        </w:rPr>
        <w:t>Показатели удовлетворенности выбором финансовых услуг являются достаточно высокими. Наиболее высокий показатель удовлетворенности выбором услуг РКО (83,7%).</w:t>
      </w:r>
    </w:p>
    <w:p w:rsidR="00851FF9" w:rsidRPr="0010260C" w:rsidRDefault="00851FF9" w:rsidP="0010260C">
      <w:pPr>
        <w:numPr>
          <w:ilvl w:val="0"/>
          <w:numId w:val="27"/>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sidRPr="0010260C">
        <w:rPr>
          <w:rFonts w:ascii="Times New Roman" w:eastAsia="Times New Roman" w:hAnsi="Times New Roman" w:cs="Times New Roman"/>
          <w:color w:val="000000"/>
          <w:sz w:val="24"/>
          <w:szCs w:val="24"/>
          <w:lang w:eastAsia="ru-RU"/>
        </w:rPr>
        <w:t>Качество услуг финансовых организаций в Ленинградской области согласно данным исследования Центрального Банка Российской Федерации в целом воспринимается как соответствующее качеству услуг в соседних регионах.</w:t>
      </w:r>
    </w:p>
    <w:p w:rsidR="000F4C84" w:rsidRDefault="000F4C84" w:rsidP="000F4C84">
      <w:pPr>
        <w:pStyle w:val="a4"/>
        <w:widowControl w:val="0"/>
        <w:tabs>
          <w:tab w:val="left" w:pos="0"/>
          <w:tab w:val="center" w:pos="142"/>
        </w:tabs>
        <w:spacing w:after="0" w:line="360" w:lineRule="auto"/>
        <w:ind w:left="0"/>
        <w:rPr>
          <w:rFonts w:ascii="Times New Roman" w:eastAsia="Times New Roman" w:hAnsi="Times New Roman" w:cs="Times New Roman"/>
          <w:color w:val="000000"/>
          <w:sz w:val="24"/>
          <w:szCs w:val="24"/>
          <w:u w:val="single"/>
          <w:lang w:eastAsia="ru-RU" w:bidi="ru-RU"/>
        </w:rPr>
      </w:pPr>
    </w:p>
    <w:p w:rsidR="00C35167" w:rsidRPr="00812FC6" w:rsidRDefault="00C35167" w:rsidP="00C35167">
      <w:pPr>
        <w:keepNext/>
        <w:keepLines/>
        <w:pageBreakBefore/>
        <w:tabs>
          <w:tab w:val="left" w:pos="1963"/>
        </w:tabs>
        <w:spacing w:before="241" w:after="120" w:line="240" w:lineRule="auto"/>
        <w:ind w:right="-284" w:firstLine="284"/>
        <w:jc w:val="center"/>
        <w:outlineLvl w:val="1"/>
        <w:rPr>
          <w:rFonts w:ascii="Times New Roman" w:eastAsia="Arial" w:hAnsi="Times New Roman" w:cs="Times New Roman"/>
          <w:b/>
          <w:color w:val="000000"/>
          <w:sz w:val="24"/>
          <w:szCs w:val="24"/>
          <w:lang w:eastAsia="ru-RU"/>
        </w:rPr>
      </w:pPr>
      <w:bookmarkStart w:id="79" w:name="_Toc119695550"/>
      <w:bookmarkStart w:id="80" w:name="_Toc122720253"/>
      <w:r w:rsidRPr="00812FC6">
        <w:rPr>
          <w:rFonts w:ascii="Times New Roman" w:eastAsia="Arial" w:hAnsi="Times New Roman" w:cs="Times New Roman"/>
          <w:b/>
          <w:color w:val="000000"/>
          <w:sz w:val="24"/>
          <w:szCs w:val="24"/>
          <w:lang w:eastAsia="ru-RU"/>
        </w:rPr>
        <w:t>3.7. Результаты мониторинга доступности для населения финансовых услуг, оказываемых на территории Ленинградской области</w:t>
      </w:r>
      <w:bookmarkEnd w:id="79"/>
      <w:bookmarkEnd w:id="80"/>
    </w:p>
    <w:p w:rsidR="00C35167" w:rsidRPr="00812FC6" w:rsidRDefault="00C35167" w:rsidP="00C35167">
      <w:pPr>
        <w:keepNext/>
        <w:keepLines/>
        <w:spacing w:before="40" w:after="240" w:line="240" w:lineRule="auto"/>
        <w:jc w:val="center"/>
        <w:outlineLvl w:val="2"/>
        <w:rPr>
          <w:rFonts w:ascii="Times New Roman" w:eastAsia="Arial" w:hAnsi="Times New Roman" w:cs="Times New Roman"/>
          <w:b/>
          <w:color w:val="000000"/>
          <w:sz w:val="24"/>
          <w:szCs w:val="24"/>
          <w:lang w:eastAsia="ru-RU"/>
        </w:rPr>
      </w:pPr>
      <w:bookmarkStart w:id="81" w:name="_Toc119695551"/>
      <w:bookmarkStart w:id="82" w:name="_Toc122720254"/>
      <w:r w:rsidRPr="00812FC6">
        <w:rPr>
          <w:rFonts w:ascii="Times New Roman" w:eastAsia="Arial" w:hAnsi="Times New Roman" w:cs="Times New Roman"/>
          <w:b/>
          <w:color w:val="000000"/>
          <w:sz w:val="24"/>
          <w:szCs w:val="24"/>
          <w:lang w:eastAsia="ru-RU"/>
        </w:rPr>
        <w:t>3.7.1. Об использовании населением финансовых продуктов и услуг различных финансовых организаций за последний год</w:t>
      </w:r>
      <w:bookmarkEnd w:id="81"/>
      <w:bookmarkEnd w:id="82"/>
    </w:p>
    <w:p w:rsidR="00C35167" w:rsidRPr="00812FC6" w:rsidRDefault="00C35167"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812FC6">
        <w:rPr>
          <w:rFonts w:ascii="Times New Roman" w:eastAsia="Times New Roman" w:hAnsi="Times New Roman" w:cs="Times New Roman"/>
          <w:color w:val="000000"/>
          <w:sz w:val="24"/>
          <w:szCs w:val="24"/>
          <w:lang w:eastAsia="ru-RU"/>
        </w:rPr>
        <w:t>Уровень использования населением Ленинградской области финансовых продуктов и услуг различных финансовых организаций за последние 12 месяцев заме</w:t>
      </w:r>
      <w:r w:rsidR="008212CA">
        <w:rPr>
          <w:rFonts w:ascii="Times New Roman" w:eastAsia="Times New Roman" w:hAnsi="Times New Roman" w:cs="Times New Roman"/>
          <w:color w:val="000000"/>
          <w:sz w:val="24"/>
          <w:szCs w:val="24"/>
          <w:lang w:eastAsia="ru-RU"/>
        </w:rPr>
        <w:t>рялся по таким категориям, как «</w:t>
      </w:r>
      <w:r w:rsidRPr="00812FC6">
        <w:rPr>
          <w:rFonts w:ascii="Times New Roman" w:eastAsia="Times New Roman" w:hAnsi="Times New Roman" w:cs="Times New Roman"/>
          <w:color w:val="000000"/>
          <w:sz w:val="24"/>
          <w:szCs w:val="24"/>
          <w:lang w:eastAsia="ru-RU"/>
        </w:rPr>
        <w:t>Вклады и иные способы размещения средств</w:t>
      </w:r>
      <w:r w:rsidR="008212CA">
        <w:rPr>
          <w:rFonts w:ascii="Times New Roman" w:eastAsia="Times New Roman" w:hAnsi="Times New Roman" w:cs="Times New Roman"/>
          <w:color w:val="000000"/>
          <w:sz w:val="24"/>
          <w:szCs w:val="24"/>
          <w:lang w:eastAsia="ru-RU"/>
        </w:rPr>
        <w:t>», «</w:t>
      </w:r>
      <w:r w:rsidRPr="00812FC6">
        <w:rPr>
          <w:rFonts w:ascii="Times New Roman" w:eastAsia="Times New Roman" w:hAnsi="Times New Roman" w:cs="Times New Roman"/>
          <w:color w:val="000000"/>
          <w:sz w:val="24"/>
          <w:szCs w:val="24"/>
          <w:lang w:eastAsia="ru-RU"/>
        </w:rPr>
        <w:t>Кредитные продукты и займы</w:t>
      </w:r>
      <w:r w:rsidR="008212CA">
        <w:rPr>
          <w:rFonts w:ascii="Times New Roman" w:eastAsia="Times New Roman" w:hAnsi="Times New Roman" w:cs="Times New Roman"/>
          <w:color w:val="000000"/>
          <w:sz w:val="24"/>
          <w:szCs w:val="24"/>
          <w:lang w:eastAsia="ru-RU"/>
        </w:rPr>
        <w:t>»</w:t>
      </w:r>
      <w:r w:rsidRPr="00812FC6">
        <w:rPr>
          <w:rFonts w:ascii="Times New Roman" w:eastAsia="Times New Roman" w:hAnsi="Times New Roman" w:cs="Times New Roman"/>
          <w:color w:val="000000"/>
          <w:sz w:val="24"/>
          <w:szCs w:val="24"/>
          <w:lang w:eastAsia="ru-RU"/>
        </w:rPr>
        <w:t xml:space="preserve">, </w:t>
      </w:r>
      <w:r w:rsidR="008212CA">
        <w:rPr>
          <w:rFonts w:ascii="Times New Roman" w:eastAsia="Times New Roman" w:hAnsi="Times New Roman" w:cs="Times New Roman"/>
          <w:color w:val="000000"/>
          <w:sz w:val="24"/>
          <w:szCs w:val="24"/>
          <w:lang w:eastAsia="ru-RU"/>
        </w:rPr>
        <w:t>«</w:t>
      </w:r>
      <w:r w:rsidRPr="00812FC6">
        <w:rPr>
          <w:rFonts w:ascii="Times New Roman" w:eastAsia="Times New Roman" w:hAnsi="Times New Roman" w:cs="Times New Roman"/>
          <w:color w:val="000000"/>
          <w:sz w:val="24"/>
          <w:szCs w:val="24"/>
          <w:lang w:eastAsia="ru-RU"/>
        </w:rPr>
        <w:t>Платежные карты и расчетный счет</w:t>
      </w:r>
      <w:r w:rsidR="008212CA">
        <w:rPr>
          <w:rFonts w:ascii="Times New Roman" w:eastAsia="Times New Roman" w:hAnsi="Times New Roman" w:cs="Times New Roman"/>
          <w:color w:val="000000"/>
          <w:sz w:val="24"/>
          <w:szCs w:val="24"/>
          <w:lang w:eastAsia="ru-RU"/>
        </w:rPr>
        <w:t>»</w:t>
      </w:r>
      <w:r w:rsidRPr="00812FC6">
        <w:rPr>
          <w:rFonts w:ascii="Times New Roman" w:eastAsia="Times New Roman" w:hAnsi="Times New Roman" w:cs="Times New Roman"/>
          <w:color w:val="000000"/>
          <w:sz w:val="24"/>
          <w:szCs w:val="24"/>
          <w:lang w:eastAsia="ru-RU"/>
        </w:rPr>
        <w:t xml:space="preserve"> и </w:t>
      </w:r>
      <w:r w:rsidR="008212CA">
        <w:rPr>
          <w:rFonts w:ascii="Times New Roman" w:eastAsia="Times New Roman" w:hAnsi="Times New Roman" w:cs="Times New Roman"/>
          <w:color w:val="000000"/>
          <w:sz w:val="24"/>
          <w:szCs w:val="24"/>
          <w:lang w:eastAsia="ru-RU"/>
        </w:rPr>
        <w:t>«Страховые продукты»</w:t>
      </w:r>
      <w:r w:rsidRPr="00812FC6">
        <w:rPr>
          <w:rFonts w:ascii="Times New Roman" w:eastAsia="Times New Roman" w:hAnsi="Times New Roman" w:cs="Times New Roman"/>
          <w:color w:val="000000"/>
          <w:sz w:val="24"/>
          <w:szCs w:val="24"/>
          <w:lang w:eastAsia="ru-RU"/>
        </w:rPr>
        <w:t>. Информация о востребованности различных продуктов по перечисленным категориям представлена ниже.</w:t>
      </w:r>
    </w:p>
    <w:p w:rsidR="00C35167" w:rsidRPr="00C35167" w:rsidRDefault="00C35167" w:rsidP="00812FC6">
      <w:pPr>
        <w:keepNext/>
        <w:keepLines/>
        <w:spacing w:before="120" w:after="120" w:line="240" w:lineRule="auto"/>
        <w:jc w:val="center"/>
        <w:rPr>
          <w:rFonts w:ascii="Times New Roman" w:eastAsia="Calibri" w:hAnsi="Times New Roman" w:cs="Times New Roman"/>
          <w:color w:val="000000"/>
          <w:sz w:val="24"/>
          <w:szCs w:val="24"/>
        </w:rPr>
      </w:pPr>
      <w:r w:rsidRPr="00C35167">
        <w:rPr>
          <w:rFonts w:ascii="Times New Roman" w:eastAsia="Calibri" w:hAnsi="Times New Roman" w:cs="Times New Roman"/>
          <w:iCs/>
          <w:color w:val="000000"/>
          <w:sz w:val="24"/>
          <w:szCs w:val="28"/>
        </w:rPr>
        <w:t xml:space="preserve">Рисунок </w:t>
      </w:r>
      <w:r w:rsidR="00812FC6">
        <w:rPr>
          <w:rFonts w:ascii="Times New Roman" w:eastAsia="Calibri" w:hAnsi="Times New Roman" w:cs="Times New Roman"/>
          <w:iCs/>
          <w:color w:val="000000"/>
          <w:sz w:val="24"/>
          <w:szCs w:val="28"/>
        </w:rPr>
        <w:t>49</w:t>
      </w:r>
      <w:r w:rsidRPr="00C35167">
        <w:rPr>
          <w:rFonts w:ascii="Times New Roman" w:eastAsia="Calibri" w:hAnsi="Times New Roman" w:cs="Times New Roman"/>
          <w:iCs/>
          <w:color w:val="000000"/>
          <w:sz w:val="24"/>
          <w:szCs w:val="28"/>
        </w:rPr>
        <w:t xml:space="preserve">. </w:t>
      </w:r>
      <w:r w:rsidRPr="00C35167">
        <w:rPr>
          <w:rFonts w:ascii="Times New Roman" w:eastAsia="Calibri" w:hAnsi="Times New Roman" w:cs="Times New Roman"/>
          <w:b/>
          <w:iCs/>
          <w:color w:val="000000"/>
          <w:sz w:val="24"/>
          <w:szCs w:val="28"/>
        </w:rPr>
        <w:t xml:space="preserve">Какими из перечисленных финансовых продуктов (услуг) Вы пользовались за последние 12 месяцев? </w:t>
      </w:r>
      <w:r w:rsidRPr="00C35167">
        <w:rPr>
          <w:rFonts w:ascii="Times New Roman" w:eastAsia="Calibri" w:hAnsi="Times New Roman" w:cs="Times New Roman"/>
          <w:b/>
          <w:iCs/>
          <w:color w:val="000000"/>
          <w:sz w:val="24"/>
          <w:szCs w:val="28"/>
          <w:u w:val="single"/>
        </w:rPr>
        <w:t>Вклады и иные способы размещения средств</w:t>
      </w:r>
      <w:r w:rsidRPr="00C35167">
        <w:rPr>
          <w:rFonts w:ascii="Times New Roman" w:eastAsia="Calibri" w:hAnsi="Times New Roman" w:cs="Times New Roman"/>
          <w:b/>
          <w:iCs/>
          <w:color w:val="000000"/>
          <w:sz w:val="24"/>
          <w:szCs w:val="28"/>
        </w:rPr>
        <w:t xml:space="preserve">. </w:t>
      </w:r>
      <w:r w:rsidRPr="00C35167">
        <w:rPr>
          <w:rFonts w:ascii="Times New Roman" w:eastAsia="Calibri" w:hAnsi="Times New Roman" w:cs="Times New Roman"/>
          <w:noProof/>
          <w:color w:val="000000"/>
          <w:sz w:val="24"/>
          <w:szCs w:val="24"/>
        </w:rPr>
        <w:t xml:space="preserve">(опрос населения, </w:t>
      </w:r>
      <w:r w:rsidRPr="00C35167">
        <w:rPr>
          <w:rFonts w:ascii="Times New Roman" w:eastAsia="Calibri" w:hAnsi="Times New Roman" w:cs="Times New Roman"/>
          <w:color w:val="000000"/>
          <w:sz w:val="24"/>
          <w:szCs w:val="24"/>
        </w:rPr>
        <w:t>n=1200)</w:t>
      </w:r>
    </w:p>
    <w:p w:rsidR="00C35167" w:rsidRPr="00C35167" w:rsidRDefault="00C35167" w:rsidP="00C35167">
      <w:pPr>
        <w:spacing w:before="240" w:after="120" w:line="240" w:lineRule="auto"/>
        <w:jc w:val="both"/>
        <w:rPr>
          <w:rFonts w:ascii="Times New Roman" w:eastAsia="Calibri" w:hAnsi="Times New Roman" w:cs="Times New Roman"/>
          <w:color w:val="000000"/>
          <w:sz w:val="24"/>
          <w:szCs w:val="24"/>
        </w:rPr>
      </w:pPr>
      <w:r w:rsidRPr="00C35167">
        <w:rPr>
          <w:rFonts w:ascii="Times New Roman" w:eastAsia="Franklin Gothic Book" w:hAnsi="Times New Roman" w:cs="Times New Roman"/>
          <w:noProof/>
          <w:color w:val="000000"/>
          <w:szCs w:val="24"/>
          <w:u w:color="000000"/>
          <w:shd w:val="clear" w:color="auto" w:fill="C5E0B3"/>
          <w:lang w:eastAsia="ru-RU"/>
        </w:rPr>
        <w:drawing>
          <wp:inline distT="0" distB="0" distL="0" distR="0" wp14:anchorId="3D0C2D30" wp14:editId="172E5418">
            <wp:extent cx="6193155" cy="4640580"/>
            <wp:effectExtent l="0" t="0" r="0" b="7620"/>
            <wp:docPr id="1058" name="Диаграмма 10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C35167" w:rsidRDefault="00C35167" w:rsidP="00812FC6">
      <w:pPr>
        <w:keepNext/>
        <w:keepLines/>
        <w:spacing w:before="120" w:after="120" w:line="240" w:lineRule="auto"/>
        <w:jc w:val="center"/>
        <w:rPr>
          <w:rFonts w:ascii="Times New Roman" w:eastAsia="Calibri" w:hAnsi="Times New Roman" w:cs="Times New Roman"/>
          <w:iCs/>
          <w:color w:val="000000"/>
          <w:sz w:val="24"/>
          <w:szCs w:val="28"/>
        </w:rPr>
      </w:pPr>
      <w:r w:rsidRPr="00C35167">
        <w:rPr>
          <w:rFonts w:ascii="Times New Roman" w:eastAsia="Calibri" w:hAnsi="Times New Roman" w:cs="Times New Roman"/>
          <w:iCs/>
          <w:color w:val="000000"/>
          <w:sz w:val="24"/>
          <w:szCs w:val="28"/>
        </w:rPr>
        <w:t xml:space="preserve">Таблица </w:t>
      </w:r>
      <w:r w:rsidR="00812FC6">
        <w:rPr>
          <w:rFonts w:ascii="Times New Roman" w:eastAsia="Calibri" w:hAnsi="Times New Roman" w:cs="Times New Roman"/>
          <w:iCs/>
          <w:color w:val="000000"/>
          <w:sz w:val="24"/>
          <w:szCs w:val="28"/>
        </w:rPr>
        <w:t>44</w:t>
      </w:r>
      <w:r w:rsidRPr="00C35167">
        <w:rPr>
          <w:rFonts w:ascii="Times New Roman" w:eastAsia="Calibri" w:hAnsi="Times New Roman" w:cs="Times New Roman"/>
          <w:iCs/>
          <w:color w:val="000000"/>
          <w:sz w:val="24"/>
          <w:szCs w:val="28"/>
        </w:rPr>
        <w:t xml:space="preserve">. Использование финансовых продуктов (услуг) за последние 12 месяцев. </w:t>
      </w:r>
      <w:r w:rsidRPr="00C35167">
        <w:rPr>
          <w:rFonts w:ascii="Times New Roman" w:eastAsia="Calibri" w:hAnsi="Times New Roman" w:cs="Times New Roman"/>
          <w:iCs/>
          <w:color w:val="000000"/>
          <w:sz w:val="24"/>
          <w:szCs w:val="28"/>
          <w:u w:val="single"/>
        </w:rPr>
        <w:t>Вклады и иные способы размещения средств</w:t>
      </w:r>
      <w:r w:rsidRPr="00C35167">
        <w:rPr>
          <w:rFonts w:ascii="Times New Roman" w:eastAsia="Calibri" w:hAnsi="Times New Roman" w:cs="Times New Roman"/>
          <w:iCs/>
          <w:color w:val="000000"/>
          <w:sz w:val="24"/>
          <w:szCs w:val="28"/>
        </w:rPr>
        <w:t>. (опрос населения, n=1200)</w:t>
      </w:r>
    </w:p>
    <w:p w:rsidR="00812FC6" w:rsidRPr="00C35167" w:rsidRDefault="00812FC6" w:rsidP="00812FC6">
      <w:pPr>
        <w:keepNext/>
        <w:keepLines/>
        <w:spacing w:before="120" w:after="120" w:line="240" w:lineRule="auto"/>
        <w:jc w:val="center"/>
        <w:rPr>
          <w:rFonts w:ascii="Times New Roman" w:eastAsia="Calibri" w:hAnsi="Times New Roman" w:cs="Times New Roman"/>
          <w:color w:val="000000"/>
        </w:rPr>
      </w:pP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7"/>
        <w:gridCol w:w="879"/>
        <w:gridCol w:w="1074"/>
        <w:gridCol w:w="1072"/>
        <w:gridCol w:w="1074"/>
        <w:gridCol w:w="1074"/>
        <w:gridCol w:w="1180"/>
        <w:gridCol w:w="966"/>
        <w:gridCol w:w="836"/>
      </w:tblGrid>
      <w:tr w:rsidR="00C35167" w:rsidRPr="00C35167" w:rsidTr="003B4122">
        <w:trPr>
          <w:cantSplit/>
          <w:trHeight w:val="2286"/>
          <w:tblHeader/>
        </w:trPr>
        <w:tc>
          <w:tcPr>
            <w:tcW w:w="991" w:type="pct"/>
            <w:shd w:val="clear" w:color="auto" w:fill="auto"/>
            <w:noWrap/>
            <w:vAlign w:val="center"/>
          </w:tcPr>
          <w:p w:rsidR="00C35167" w:rsidRPr="003B4122" w:rsidRDefault="00C35167" w:rsidP="00C35167">
            <w:pPr>
              <w:spacing w:after="0" w:line="240" w:lineRule="auto"/>
              <w:jc w:val="center"/>
              <w:rPr>
                <w:rFonts w:ascii="Times New Roman" w:eastAsia="Times New Roman" w:hAnsi="Times New Roman" w:cs="Times New Roman"/>
                <w:color w:val="000000"/>
                <w:lang w:eastAsia="ru-RU"/>
              </w:rPr>
            </w:pPr>
          </w:p>
        </w:tc>
        <w:tc>
          <w:tcPr>
            <w:tcW w:w="432" w:type="pct"/>
            <w:shd w:val="clear" w:color="auto" w:fill="auto"/>
            <w:textDirection w:val="btLr"/>
            <w:vAlign w:val="cente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color w:val="000000"/>
              </w:rPr>
              <w:t>В целом по области</w:t>
            </w:r>
          </w:p>
        </w:tc>
        <w:tc>
          <w:tcPr>
            <w:tcW w:w="528" w:type="pct"/>
            <w:shd w:val="clear" w:color="auto" w:fill="auto"/>
            <w:textDirection w:val="btL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Работаю</w:t>
            </w:r>
          </w:p>
        </w:tc>
        <w:tc>
          <w:tcPr>
            <w:tcW w:w="527" w:type="pct"/>
            <w:shd w:val="clear" w:color="auto" w:fill="auto"/>
            <w:textDirection w:val="btL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Безработный</w:t>
            </w:r>
          </w:p>
        </w:tc>
        <w:tc>
          <w:tcPr>
            <w:tcW w:w="528" w:type="pct"/>
            <w:shd w:val="clear" w:color="auto" w:fill="auto"/>
            <w:textDirection w:val="btL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Учусь/студент</w:t>
            </w:r>
          </w:p>
        </w:tc>
        <w:tc>
          <w:tcPr>
            <w:tcW w:w="528" w:type="pct"/>
            <w:shd w:val="clear" w:color="auto" w:fill="auto"/>
            <w:textDirection w:val="btL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Домохозяйка (домохозяин)</w:t>
            </w:r>
          </w:p>
        </w:tc>
        <w:tc>
          <w:tcPr>
            <w:tcW w:w="580" w:type="pct"/>
            <w:shd w:val="clear" w:color="auto" w:fill="auto"/>
            <w:textDirection w:val="btL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Пенсионер (в т.ч. по инвалидности)</w:t>
            </w:r>
          </w:p>
        </w:tc>
        <w:tc>
          <w:tcPr>
            <w:tcW w:w="475" w:type="pct"/>
            <w:shd w:val="clear" w:color="auto" w:fill="auto"/>
            <w:textDirection w:val="btL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Самозанятый</w:t>
            </w:r>
          </w:p>
        </w:tc>
        <w:tc>
          <w:tcPr>
            <w:tcW w:w="409" w:type="pct"/>
            <w:shd w:val="clear" w:color="auto" w:fill="auto"/>
            <w:textDirection w:val="btL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Предприниматель</w:t>
            </w:r>
          </w:p>
        </w:tc>
      </w:tr>
      <w:tr w:rsidR="00C35167" w:rsidRPr="00C35167" w:rsidTr="00812FC6">
        <w:trPr>
          <w:trHeight w:val="401"/>
        </w:trPr>
        <w:tc>
          <w:tcPr>
            <w:tcW w:w="5000" w:type="pct"/>
            <w:gridSpan w:val="9"/>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b/>
                <w:bCs/>
                <w:color w:val="000000"/>
              </w:rPr>
              <w:t>Банковский вклад</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Times New Roman" w:hAnsi="Times New Roman" w:cs="Times New Roman"/>
                <w:b/>
                <w:color w:val="000000"/>
                <w:lang w:eastAsia="ru-RU"/>
              </w:rPr>
            </w:pPr>
            <w:r w:rsidRPr="003B4122">
              <w:rPr>
                <w:rFonts w:ascii="Times New Roman" w:eastAsia="Calibri" w:hAnsi="Times New Roman" w:cs="Times New Roman"/>
                <w:color w:val="000000"/>
              </w:rPr>
              <w:t>Имеется сейчас</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39%</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39%</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24%</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24%</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22%</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49%</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43%</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33%</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Times New Roman" w:hAnsi="Times New Roman" w:cs="Times New Roman"/>
                <w:b/>
                <w:color w:val="000000"/>
                <w:lang w:eastAsia="ru-RU"/>
              </w:rPr>
            </w:pPr>
            <w:r w:rsidRPr="003B4122">
              <w:rPr>
                <w:rFonts w:ascii="Times New Roman" w:eastAsia="Calibri" w:hAnsi="Times New Roman" w:cs="Times New Roman"/>
                <w:color w:val="000000"/>
              </w:rPr>
              <w:t>Не имеется сейчас, но использовался за последние 12 месяцев</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11%</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13%</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10%</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13%</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Times New Roman" w:hAnsi="Times New Roman" w:cs="Times New Roman"/>
                <w:b/>
                <w:color w:val="000000"/>
                <w:lang w:eastAsia="ru-RU"/>
              </w:rPr>
            </w:pPr>
            <w:r w:rsidRPr="003B4122">
              <w:rPr>
                <w:rFonts w:ascii="Times New Roman" w:eastAsia="Calibri" w:hAnsi="Times New Roman" w:cs="Times New Roman"/>
                <w:color w:val="000000"/>
              </w:rPr>
              <w:t>Не использовался за последние 12 месяцев</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49%</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48%</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67%</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69%</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68%</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43%</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44%</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65%</w:t>
            </w:r>
          </w:p>
        </w:tc>
      </w:tr>
      <w:tr w:rsidR="00C35167" w:rsidRPr="00C35167" w:rsidTr="00812FC6">
        <w:trPr>
          <w:trHeight w:val="391"/>
        </w:trPr>
        <w:tc>
          <w:tcPr>
            <w:tcW w:w="5000" w:type="pct"/>
            <w:gridSpan w:val="9"/>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b/>
                <w:bCs/>
                <w:color w:val="000000"/>
              </w:rPr>
              <w:t>Договор на размещение средств в форме займа в микрофинансовой организации </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Имеется сейчас</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4%</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13%</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Не имеется сейчас, но использовался за последние 12 месяцев</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4%</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11%</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0%</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21%</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Times New Roman" w:hAnsi="Times New Roman" w:cs="Times New Roman"/>
                <w:b/>
                <w:color w:val="000000"/>
                <w:lang w:eastAsia="ru-RU"/>
              </w:rPr>
            </w:pPr>
            <w:r w:rsidRPr="003B4122">
              <w:rPr>
                <w:rFonts w:ascii="Times New Roman" w:eastAsia="Calibri" w:hAnsi="Times New Roman" w:cs="Times New Roman"/>
                <w:color w:val="000000"/>
              </w:rPr>
              <w:t>Не использовался за последние 12 месяцев</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92%</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91%</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95%</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81%</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91%</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98%</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91%</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66%</w:t>
            </w:r>
          </w:p>
        </w:tc>
      </w:tr>
      <w:tr w:rsidR="00C35167" w:rsidRPr="00C35167" w:rsidTr="00812FC6">
        <w:trPr>
          <w:trHeight w:val="381"/>
        </w:trPr>
        <w:tc>
          <w:tcPr>
            <w:tcW w:w="5000" w:type="pct"/>
            <w:gridSpan w:val="9"/>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b/>
                <w:bCs/>
                <w:color w:val="000000"/>
              </w:rPr>
              <w:t>Договор на размещение средств в форме займа в кредитном потребительском кооперативе</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Имеется сейчас</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5%</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15%</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Не имеется сейчас, но использовался за последние 12 месяцев</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4%</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19%</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Не использовался за последние 12 месяцев</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91%</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90%</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91%</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89%</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90%</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98%</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89%</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66%</w:t>
            </w:r>
          </w:p>
        </w:tc>
      </w:tr>
      <w:tr w:rsidR="00C35167" w:rsidRPr="00C35167" w:rsidTr="00812FC6">
        <w:trPr>
          <w:trHeight w:val="6"/>
        </w:trPr>
        <w:tc>
          <w:tcPr>
            <w:tcW w:w="5000" w:type="pct"/>
            <w:gridSpan w:val="9"/>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b/>
                <w:bCs/>
                <w:color w:val="000000"/>
              </w:rPr>
              <w:t>Договор на размещение средств в форме займа в сельскохозяйственном кредитном потребительском кооперативе</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Имеется сейчас</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2%</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0%</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Не имеется сейчас, но использовался за последние 12 месяцев</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3%</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0%</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26%</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Не использовался за последние 12 месяцев</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95%</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94%</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99%</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87%</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97%</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99%</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98%</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66%</w:t>
            </w:r>
          </w:p>
        </w:tc>
      </w:tr>
      <w:tr w:rsidR="00C35167" w:rsidRPr="00C35167" w:rsidTr="00812FC6">
        <w:trPr>
          <w:trHeight w:val="333"/>
        </w:trPr>
        <w:tc>
          <w:tcPr>
            <w:tcW w:w="5000" w:type="pct"/>
            <w:gridSpan w:val="9"/>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b/>
                <w:bCs/>
                <w:color w:val="000000"/>
              </w:rPr>
              <w:t>Индивидуальный инвестиционный счет</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Имеется сейчас</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11%</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12%</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14%</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19%</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17%</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Не имеется сейчас, но использовался за последние 12 месяцев</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7%</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10%</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34%</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Не использовался за последние 12 месяцев</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82%</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81%</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87%</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77%</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83%</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88%</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71%</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49%</w:t>
            </w:r>
          </w:p>
        </w:tc>
      </w:tr>
      <w:tr w:rsidR="00C35167" w:rsidRPr="00C35167" w:rsidTr="00812FC6">
        <w:trPr>
          <w:trHeight w:val="376"/>
        </w:trPr>
        <w:tc>
          <w:tcPr>
            <w:tcW w:w="5000" w:type="pct"/>
            <w:gridSpan w:val="9"/>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b/>
                <w:bCs/>
                <w:color w:val="000000"/>
              </w:rPr>
              <w:t>Инвестиционное страхование жизни</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Имеется сейчас</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7%</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13%</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23%</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Не имеется сейчас, но использовался за последние 12 месяцев</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5%</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Не использовался за последние 12 месяцев</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88%</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87%</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95%</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84%</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97%</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93%</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85%</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71%</w:t>
            </w:r>
          </w:p>
        </w:tc>
      </w:tr>
      <w:tr w:rsidR="00C35167" w:rsidRPr="00C35167" w:rsidTr="00812FC6">
        <w:trPr>
          <w:trHeight w:val="252"/>
        </w:trPr>
        <w:tc>
          <w:tcPr>
            <w:tcW w:w="5000" w:type="pct"/>
            <w:gridSpan w:val="9"/>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b/>
                <w:bCs/>
                <w:color w:val="000000"/>
              </w:rPr>
              <w:t>Брокерский счет</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Имеется сейчас</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10%</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11%</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11%</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25%</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14%</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Не имеется сейчас, но использовался за последние 12 месяцев</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6%</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29%</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Не использовался за последние 12 месяцев</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85%</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84%</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87%</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84%</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91%</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91%</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70%</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57%</w:t>
            </w:r>
          </w:p>
        </w:tc>
      </w:tr>
      <w:tr w:rsidR="00C35167" w:rsidRPr="00C35167" w:rsidTr="00812FC6">
        <w:trPr>
          <w:trHeight w:val="381"/>
        </w:trPr>
        <w:tc>
          <w:tcPr>
            <w:tcW w:w="5000" w:type="pct"/>
            <w:gridSpan w:val="9"/>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b/>
                <w:bCs/>
                <w:color w:val="000000"/>
              </w:rPr>
              <w:t>Вложение средств в паевой инвестиционный фонд</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Имеется сейчас</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5%</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Не имеется сейчас, но использовался за последние 12 месяцев</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5%</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26%</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Не использовался за последние 12 месяцев</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90%</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89%</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92%</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87%</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95%</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93%</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92%</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72%</w:t>
            </w:r>
          </w:p>
        </w:tc>
      </w:tr>
    </w:tbl>
    <w:p w:rsidR="00812FC6" w:rsidRDefault="00812FC6" w:rsidP="00812FC6">
      <w:pPr>
        <w:spacing w:after="0" w:line="360" w:lineRule="auto"/>
        <w:ind w:firstLine="708"/>
        <w:contextualSpacing/>
        <w:jc w:val="both"/>
        <w:rPr>
          <w:rFonts w:ascii="Times New Roman" w:eastAsia="Times New Roman" w:hAnsi="Times New Roman" w:cs="Times New Roman"/>
          <w:color w:val="000000"/>
          <w:sz w:val="28"/>
          <w:szCs w:val="28"/>
          <w:lang w:eastAsia="ru-RU"/>
        </w:rPr>
      </w:pPr>
    </w:p>
    <w:p w:rsidR="00C35167" w:rsidRPr="00812FC6" w:rsidRDefault="00C35167" w:rsidP="00812FC6">
      <w:pPr>
        <w:spacing w:after="0" w:line="360" w:lineRule="auto"/>
        <w:ind w:firstLine="708"/>
        <w:contextualSpacing/>
        <w:jc w:val="both"/>
        <w:rPr>
          <w:rFonts w:ascii="Times New Roman" w:eastAsia="Times New Roman" w:hAnsi="Times New Roman" w:cs="Times New Roman"/>
          <w:color w:val="000000"/>
          <w:sz w:val="24"/>
          <w:szCs w:val="24"/>
          <w:lang w:eastAsia="ru-RU"/>
        </w:rPr>
      </w:pPr>
      <w:r w:rsidRPr="00812FC6">
        <w:rPr>
          <w:rFonts w:ascii="Times New Roman" w:eastAsia="Times New Roman" w:hAnsi="Times New Roman" w:cs="Times New Roman"/>
          <w:color w:val="000000"/>
          <w:sz w:val="24"/>
          <w:szCs w:val="24"/>
          <w:lang w:eastAsia="ru-RU"/>
        </w:rPr>
        <w:t>Банковский вклад является самым востребованным финансовым продуктом среди населения Ленинградской области (39% жителей указали, что используют его сейчас, еще 11% использовали в течение последних 12 месяцев). В разрезе по социальному статусу данный продукт наиболее популярен у пенсионеров (49% используют сейчас, 13 % - в течение года) и самозанятых (43% и 13% соответственно) Реже всего наличие банковского вклада подтверждали лица, занимающиеся домашним хозяйством (22% имеют сейчас, 10% имели в течение года), безработные (24% и 9% соответственно) и учащиеся/студенты (24% и 7% соответственно).</w:t>
      </w:r>
    </w:p>
    <w:p w:rsidR="00C35167" w:rsidRPr="00812FC6" w:rsidRDefault="00C35167"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812FC6">
        <w:rPr>
          <w:rFonts w:ascii="Times New Roman" w:eastAsia="Times New Roman" w:hAnsi="Times New Roman" w:cs="Times New Roman"/>
          <w:color w:val="000000"/>
          <w:sz w:val="24"/>
          <w:szCs w:val="24"/>
          <w:lang w:eastAsia="ru-RU"/>
        </w:rPr>
        <w:t xml:space="preserve">Следующий по популярности среди жителей региона продукт – индивидуальный инвестиционный счет (ИИС). О его наличии на момент проведения опроса заявили 11% респондентов, еще 7% использовали ИИС течение ближайших 12 месяцев. Чаще, чем в среднем по выборке, пользование ИИС отмечали самозанятые (19%), учащиеся/студенты (14%) и предприниматели (17%). Наименее востребован этот продукт у пенсионеров (88% не использовали в течение последнего года). </w:t>
      </w:r>
    </w:p>
    <w:p w:rsidR="00C35167" w:rsidRPr="00812FC6" w:rsidRDefault="00C35167"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812FC6">
        <w:rPr>
          <w:rFonts w:ascii="Times New Roman" w:eastAsia="Times New Roman" w:hAnsi="Times New Roman" w:cs="Times New Roman"/>
          <w:color w:val="000000"/>
          <w:sz w:val="24"/>
          <w:szCs w:val="24"/>
          <w:lang w:eastAsia="ru-RU"/>
        </w:rPr>
        <w:t>На третьем месте по востребованности у населения Ленинградской области находится брокерский счет. Его наличие на момент опроса подтвердили 10% жителей, еще 6% использовали данный продукт в течение прошедших 12 месяцев. Пользование брокерским счетом наиболее распространено среди самозанятых (25% используют сейчас, 5% - использовали в течение года). В наименьшей степени рассматриваемый финансовый продукт используется пенсионерами (91% не используют).</w:t>
      </w:r>
    </w:p>
    <w:p w:rsidR="00C35167" w:rsidRPr="00812FC6" w:rsidRDefault="00C35167"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812FC6">
        <w:rPr>
          <w:rFonts w:ascii="Times New Roman" w:eastAsia="Times New Roman" w:hAnsi="Times New Roman" w:cs="Times New Roman"/>
          <w:color w:val="000000"/>
          <w:sz w:val="24"/>
          <w:szCs w:val="24"/>
          <w:lang w:eastAsia="ru-RU"/>
        </w:rPr>
        <w:t xml:space="preserve">Инвестиционное страхование жизни на момент проведения исследования практиковали 7% опрошенных, еще 5% имели такой договор страхования ранее в течение 12 месяцев. Вновь самозанятые граждане демонстрируют самый высокий уровень активности по данному продукту (13% имеют сейчас, 2% имели ранее). Самый низкий спрос на инвестиционное страхование жизни зафиксирован по таким категориям, как лица, занимающиеся домашним хозяйством (97% не пользовались), безработные (95% не пользовались) и пенсионеры (93% не пользовались). </w:t>
      </w:r>
    </w:p>
    <w:p w:rsidR="00C35167" w:rsidRPr="00812FC6" w:rsidRDefault="00C35167"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812FC6">
        <w:rPr>
          <w:rFonts w:ascii="Times New Roman" w:eastAsia="Times New Roman" w:hAnsi="Times New Roman" w:cs="Times New Roman"/>
          <w:color w:val="000000"/>
          <w:sz w:val="24"/>
          <w:szCs w:val="24"/>
          <w:lang w:eastAsia="ru-RU"/>
        </w:rPr>
        <w:t>Все иные финансовые продукты из категории "Вклады и иные способы размещения средств" демонстрируют существенно более низкий уровень востребованности у населения Ленинградской области.</w:t>
      </w:r>
    </w:p>
    <w:p w:rsidR="00C35167" w:rsidRPr="00C35167" w:rsidRDefault="00C35167" w:rsidP="00812FC6">
      <w:pPr>
        <w:keepNext/>
        <w:keepLines/>
        <w:spacing w:before="120" w:after="120" w:line="240" w:lineRule="auto"/>
        <w:jc w:val="center"/>
        <w:rPr>
          <w:rFonts w:ascii="Times New Roman" w:eastAsia="Calibri" w:hAnsi="Times New Roman" w:cs="Times New Roman"/>
          <w:color w:val="000000"/>
          <w:sz w:val="24"/>
          <w:szCs w:val="24"/>
        </w:rPr>
      </w:pPr>
      <w:r w:rsidRPr="00C35167">
        <w:rPr>
          <w:rFonts w:ascii="Times New Roman" w:eastAsia="Calibri" w:hAnsi="Times New Roman" w:cs="Times New Roman"/>
          <w:iCs/>
          <w:color w:val="000000"/>
          <w:sz w:val="24"/>
          <w:szCs w:val="28"/>
        </w:rPr>
        <w:t xml:space="preserve">Рисунок </w:t>
      </w:r>
      <w:r w:rsidR="00812FC6">
        <w:rPr>
          <w:rFonts w:ascii="Times New Roman" w:eastAsia="Calibri" w:hAnsi="Times New Roman" w:cs="Times New Roman"/>
          <w:iCs/>
          <w:color w:val="000000"/>
          <w:sz w:val="24"/>
          <w:szCs w:val="28"/>
        </w:rPr>
        <w:t>50</w:t>
      </w:r>
      <w:r w:rsidRPr="00C35167">
        <w:rPr>
          <w:rFonts w:ascii="Times New Roman" w:eastAsia="Calibri" w:hAnsi="Times New Roman" w:cs="Times New Roman"/>
          <w:iCs/>
          <w:color w:val="000000"/>
          <w:sz w:val="24"/>
          <w:szCs w:val="28"/>
        </w:rPr>
        <w:t>. ВОПРОС:</w:t>
      </w:r>
      <w:r w:rsidRPr="00C35167">
        <w:rPr>
          <w:rFonts w:ascii="Times New Roman" w:eastAsia="Calibri" w:hAnsi="Times New Roman" w:cs="Times New Roman"/>
          <w:color w:val="000000"/>
        </w:rPr>
        <w:t xml:space="preserve"> </w:t>
      </w:r>
      <w:r w:rsidRPr="00C35167">
        <w:rPr>
          <w:rFonts w:ascii="Times New Roman" w:eastAsia="Calibri" w:hAnsi="Times New Roman" w:cs="Times New Roman"/>
          <w:b/>
          <w:iCs/>
          <w:color w:val="000000"/>
          <w:sz w:val="24"/>
          <w:szCs w:val="28"/>
        </w:rPr>
        <w:t xml:space="preserve">Какими из перечисленных финансовых продуктов (услуг) Вы пользовались за последние 12 месяцев? </w:t>
      </w:r>
      <w:r w:rsidRPr="00C35167">
        <w:rPr>
          <w:rFonts w:ascii="Times New Roman" w:eastAsia="Calibri" w:hAnsi="Times New Roman" w:cs="Times New Roman"/>
          <w:b/>
          <w:iCs/>
          <w:color w:val="000000"/>
          <w:sz w:val="24"/>
          <w:szCs w:val="28"/>
          <w:u w:val="single"/>
        </w:rPr>
        <w:t>Кредитные продукты и займы</w:t>
      </w:r>
      <w:r w:rsidRPr="00C35167">
        <w:rPr>
          <w:rFonts w:ascii="Times New Roman" w:eastAsia="Calibri" w:hAnsi="Times New Roman" w:cs="Times New Roman"/>
          <w:b/>
          <w:iCs/>
          <w:color w:val="000000"/>
          <w:sz w:val="24"/>
          <w:szCs w:val="28"/>
        </w:rPr>
        <w:t xml:space="preserve">. </w:t>
      </w:r>
      <w:r w:rsidRPr="00C35167">
        <w:rPr>
          <w:rFonts w:ascii="Times New Roman" w:eastAsia="Calibri" w:hAnsi="Times New Roman" w:cs="Times New Roman"/>
          <w:noProof/>
          <w:color w:val="000000"/>
          <w:sz w:val="24"/>
          <w:szCs w:val="24"/>
        </w:rPr>
        <w:t xml:space="preserve">(опрос населения, </w:t>
      </w:r>
      <w:r w:rsidRPr="00C35167">
        <w:rPr>
          <w:rFonts w:ascii="Times New Roman" w:eastAsia="Calibri" w:hAnsi="Times New Roman" w:cs="Times New Roman"/>
          <w:color w:val="000000"/>
          <w:sz w:val="24"/>
          <w:szCs w:val="24"/>
        </w:rPr>
        <w:t>n=1200)</w:t>
      </w:r>
    </w:p>
    <w:p w:rsidR="00C35167" w:rsidRPr="00C35167" w:rsidRDefault="00C35167" w:rsidP="00C35167">
      <w:pPr>
        <w:spacing w:before="240" w:after="120" w:line="240" w:lineRule="auto"/>
        <w:jc w:val="both"/>
        <w:rPr>
          <w:rFonts w:ascii="Times New Roman" w:eastAsia="Calibri" w:hAnsi="Times New Roman" w:cs="Times New Roman"/>
          <w:color w:val="000000"/>
          <w:sz w:val="24"/>
          <w:szCs w:val="24"/>
        </w:rPr>
      </w:pPr>
      <w:r w:rsidRPr="00C35167">
        <w:rPr>
          <w:rFonts w:ascii="Times New Roman" w:eastAsia="Franklin Gothic Book" w:hAnsi="Times New Roman" w:cs="Times New Roman"/>
          <w:noProof/>
          <w:color w:val="000000"/>
          <w:szCs w:val="24"/>
          <w:u w:color="000000"/>
          <w:lang w:eastAsia="ru-RU"/>
        </w:rPr>
        <w:drawing>
          <wp:inline distT="0" distB="0" distL="0" distR="0" wp14:anchorId="1AA987DC" wp14:editId="74CDCE5F">
            <wp:extent cx="6193155" cy="5210175"/>
            <wp:effectExtent l="0" t="0" r="0" b="0"/>
            <wp:docPr id="1059" name="Диаграмма 10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C35167" w:rsidRPr="00C35167" w:rsidRDefault="00C35167" w:rsidP="00C35167">
      <w:pPr>
        <w:spacing w:before="240" w:after="120" w:line="240" w:lineRule="auto"/>
        <w:jc w:val="both"/>
        <w:rPr>
          <w:rFonts w:ascii="Times New Roman" w:eastAsia="Calibri" w:hAnsi="Times New Roman" w:cs="Times New Roman"/>
          <w:color w:val="000000"/>
          <w:sz w:val="24"/>
          <w:szCs w:val="24"/>
        </w:rPr>
      </w:pPr>
    </w:p>
    <w:p w:rsidR="00C35167" w:rsidRPr="00C35167" w:rsidRDefault="00C35167" w:rsidP="00812FC6">
      <w:pPr>
        <w:keepNext/>
        <w:keepLines/>
        <w:spacing w:before="120" w:after="120" w:line="240" w:lineRule="auto"/>
        <w:jc w:val="center"/>
        <w:rPr>
          <w:rFonts w:ascii="Times New Roman" w:eastAsia="Calibri" w:hAnsi="Times New Roman" w:cs="Times New Roman"/>
          <w:color w:val="000000"/>
        </w:rPr>
      </w:pPr>
      <w:r w:rsidRPr="00C35167">
        <w:rPr>
          <w:rFonts w:ascii="Times New Roman" w:eastAsia="Calibri" w:hAnsi="Times New Roman" w:cs="Times New Roman"/>
          <w:iCs/>
          <w:color w:val="000000"/>
          <w:sz w:val="24"/>
          <w:szCs w:val="28"/>
        </w:rPr>
        <w:t xml:space="preserve">Таблица </w:t>
      </w:r>
      <w:r w:rsidR="00812FC6">
        <w:rPr>
          <w:rFonts w:ascii="Times New Roman" w:eastAsia="Calibri" w:hAnsi="Times New Roman" w:cs="Times New Roman"/>
          <w:iCs/>
          <w:color w:val="000000"/>
          <w:sz w:val="24"/>
          <w:szCs w:val="28"/>
        </w:rPr>
        <w:t>45</w:t>
      </w:r>
      <w:r w:rsidRPr="00C35167">
        <w:rPr>
          <w:rFonts w:ascii="Times New Roman" w:eastAsia="Calibri" w:hAnsi="Times New Roman" w:cs="Times New Roman"/>
          <w:iCs/>
          <w:color w:val="000000"/>
          <w:sz w:val="24"/>
          <w:szCs w:val="28"/>
        </w:rPr>
        <w:t xml:space="preserve">. Использование финансовых продуктов (услуг) за последние 12 месяцев. </w:t>
      </w:r>
      <w:r w:rsidRPr="00C35167">
        <w:rPr>
          <w:rFonts w:ascii="Times New Roman" w:eastAsia="Calibri" w:hAnsi="Times New Roman" w:cs="Times New Roman"/>
          <w:iCs/>
          <w:color w:val="000000"/>
          <w:sz w:val="24"/>
          <w:szCs w:val="28"/>
          <w:u w:val="single"/>
        </w:rPr>
        <w:t>Кредитные продукты и займы</w:t>
      </w:r>
      <w:r w:rsidRPr="00C35167">
        <w:rPr>
          <w:rFonts w:ascii="Times New Roman" w:eastAsia="Calibri" w:hAnsi="Times New Roman" w:cs="Times New Roman"/>
          <w:iCs/>
          <w:color w:val="000000"/>
          <w:sz w:val="24"/>
          <w:szCs w:val="28"/>
        </w:rPr>
        <w:t>. (опрос населения, n=1200)</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7"/>
        <w:gridCol w:w="879"/>
        <w:gridCol w:w="1074"/>
        <w:gridCol w:w="1072"/>
        <w:gridCol w:w="1074"/>
        <w:gridCol w:w="1074"/>
        <w:gridCol w:w="1180"/>
        <w:gridCol w:w="966"/>
        <w:gridCol w:w="836"/>
      </w:tblGrid>
      <w:tr w:rsidR="00C35167" w:rsidRPr="00C35167" w:rsidTr="003B4122">
        <w:trPr>
          <w:cantSplit/>
          <w:trHeight w:val="2286"/>
          <w:tblHeader/>
        </w:trPr>
        <w:tc>
          <w:tcPr>
            <w:tcW w:w="991" w:type="pct"/>
            <w:shd w:val="clear" w:color="auto" w:fill="auto"/>
            <w:noWrap/>
            <w:vAlign w:val="center"/>
          </w:tcPr>
          <w:p w:rsidR="00C35167" w:rsidRPr="003B4122" w:rsidRDefault="00C35167" w:rsidP="00C35167">
            <w:pPr>
              <w:spacing w:after="0" w:line="240" w:lineRule="auto"/>
              <w:jc w:val="center"/>
              <w:rPr>
                <w:rFonts w:ascii="Times New Roman" w:eastAsia="Times New Roman" w:hAnsi="Times New Roman" w:cs="Times New Roman"/>
                <w:color w:val="000000"/>
                <w:lang w:eastAsia="ru-RU"/>
              </w:rPr>
            </w:pPr>
          </w:p>
        </w:tc>
        <w:tc>
          <w:tcPr>
            <w:tcW w:w="432" w:type="pct"/>
            <w:shd w:val="clear" w:color="auto" w:fill="auto"/>
            <w:textDirection w:val="btLr"/>
            <w:vAlign w:val="cente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color w:val="000000"/>
              </w:rPr>
              <w:t>В целом по области</w:t>
            </w:r>
          </w:p>
        </w:tc>
        <w:tc>
          <w:tcPr>
            <w:tcW w:w="528" w:type="pct"/>
            <w:shd w:val="clear" w:color="auto" w:fill="auto"/>
            <w:textDirection w:val="btL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Работаю</w:t>
            </w:r>
          </w:p>
        </w:tc>
        <w:tc>
          <w:tcPr>
            <w:tcW w:w="527" w:type="pct"/>
            <w:shd w:val="clear" w:color="auto" w:fill="auto"/>
            <w:textDirection w:val="btL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Безработный</w:t>
            </w:r>
          </w:p>
        </w:tc>
        <w:tc>
          <w:tcPr>
            <w:tcW w:w="528" w:type="pct"/>
            <w:shd w:val="clear" w:color="auto" w:fill="auto"/>
            <w:textDirection w:val="btL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Учусь/студент</w:t>
            </w:r>
          </w:p>
        </w:tc>
        <w:tc>
          <w:tcPr>
            <w:tcW w:w="528" w:type="pct"/>
            <w:shd w:val="clear" w:color="auto" w:fill="auto"/>
            <w:textDirection w:val="btL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Домохозяйка (домохозяин)</w:t>
            </w:r>
          </w:p>
        </w:tc>
        <w:tc>
          <w:tcPr>
            <w:tcW w:w="580" w:type="pct"/>
            <w:shd w:val="clear" w:color="auto" w:fill="auto"/>
            <w:textDirection w:val="btL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Пенсионер (в т.ч. по инвалидности)</w:t>
            </w:r>
          </w:p>
        </w:tc>
        <w:tc>
          <w:tcPr>
            <w:tcW w:w="475" w:type="pct"/>
            <w:shd w:val="clear" w:color="auto" w:fill="auto"/>
            <w:textDirection w:val="btL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Самозанятый</w:t>
            </w:r>
          </w:p>
        </w:tc>
        <w:tc>
          <w:tcPr>
            <w:tcW w:w="409" w:type="pct"/>
            <w:shd w:val="clear" w:color="auto" w:fill="auto"/>
            <w:textDirection w:val="btL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Предприниматель</w:t>
            </w:r>
          </w:p>
        </w:tc>
      </w:tr>
      <w:tr w:rsidR="00C35167" w:rsidRPr="00C35167" w:rsidTr="00812FC6">
        <w:trPr>
          <w:trHeight w:val="401"/>
        </w:trPr>
        <w:tc>
          <w:tcPr>
            <w:tcW w:w="5000" w:type="pct"/>
            <w:gridSpan w:val="9"/>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b/>
                <w:bCs/>
                <w:color w:val="000000"/>
              </w:rPr>
              <w:t>Онлайн-кредит в банке</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Times New Roman" w:hAnsi="Times New Roman" w:cs="Times New Roman"/>
                <w:b/>
                <w:color w:val="000000"/>
                <w:lang w:eastAsia="ru-RU"/>
              </w:rPr>
            </w:pPr>
            <w:r w:rsidRPr="003B4122">
              <w:rPr>
                <w:rFonts w:ascii="Times New Roman" w:eastAsia="Calibri" w:hAnsi="Times New Roman" w:cs="Times New Roman"/>
                <w:color w:val="000000"/>
              </w:rPr>
              <w:t>Имеется сейчас</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16%</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21%</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10%</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12%</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Times New Roman" w:hAnsi="Times New Roman" w:cs="Times New Roman"/>
                <w:b/>
                <w:color w:val="000000"/>
                <w:lang w:eastAsia="ru-RU"/>
              </w:rPr>
            </w:pPr>
            <w:r w:rsidRPr="003B4122">
              <w:rPr>
                <w:rFonts w:ascii="Times New Roman" w:eastAsia="Calibri" w:hAnsi="Times New Roman" w:cs="Times New Roman"/>
                <w:color w:val="000000"/>
              </w:rPr>
              <w:t>Не имеется сейчас, но использовался за последние 12 месяцев</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6%</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Times New Roman" w:hAnsi="Times New Roman" w:cs="Times New Roman"/>
                <w:b/>
                <w:color w:val="000000"/>
                <w:lang w:eastAsia="ru-RU"/>
              </w:rPr>
            </w:pPr>
            <w:r w:rsidRPr="003B4122">
              <w:rPr>
                <w:rFonts w:ascii="Times New Roman" w:eastAsia="Calibri" w:hAnsi="Times New Roman" w:cs="Times New Roman"/>
                <w:color w:val="000000"/>
              </w:rPr>
              <w:t>Не использовался за последние 12 месяцев</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78%</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72%</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87%</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84%</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85%</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88%</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84%</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80%</w:t>
            </w:r>
          </w:p>
        </w:tc>
      </w:tr>
      <w:tr w:rsidR="00C35167" w:rsidRPr="00C35167" w:rsidTr="00812FC6">
        <w:trPr>
          <w:trHeight w:val="391"/>
        </w:trPr>
        <w:tc>
          <w:tcPr>
            <w:tcW w:w="5000" w:type="pct"/>
            <w:gridSpan w:val="9"/>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b/>
                <w:bCs/>
                <w:color w:val="000000"/>
              </w:rPr>
              <w:t>Иной кредит в банке, не являющийся онлайн-кредитом</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Имеется сейчас</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18%</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21%</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14%</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11%</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12%</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10%</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32%</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Не имеется сейчас, но использовался за последние 12 месяцев</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7%</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10%</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Times New Roman" w:hAnsi="Times New Roman" w:cs="Times New Roman"/>
                <w:b/>
                <w:color w:val="000000"/>
                <w:lang w:eastAsia="ru-RU"/>
              </w:rPr>
            </w:pPr>
            <w:r w:rsidRPr="003B4122">
              <w:rPr>
                <w:rFonts w:ascii="Times New Roman" w:eastAsia="Calibri" w:hAnsi="Times New Roman" w:cs="Times New Roman"/>
                <w:color w:val="000000"/>
              </w:rPr>
              <w:t>Не использовался за последние 12 месяцев</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75%</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70%</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82%</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85%</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87%</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84%</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81%</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65%</w:t>
            </w:r>
          </w:p>
        </w:tc>
      </w:tr>
      <w:tr w:rsidR="00C35167" w:rsidRPr="00C35167" w:rsidTr="00812FC6">
        <w:trPr>
          <w:trHeight w:val="381"/>
        </w:trPr>
        <w:tc>
          <w:tcPr>
            <w:tcW w:w="5000" w:type="pct"/>
            <w:gridSpan w:val="9"/>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b/>
                <w:bCs/>
                <w:color w:val="000000"/>
              </w:rPr>
              <w:t>Использование кредитного лимита по кредитной карте</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Имеется сейчас</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26%</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30%</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20%</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18%</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24%</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22%</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25%</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Не имеется сейчас, но использовался за последние 12 месяцев</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10%</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12%</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11%</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13%</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13%</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Не использовался за последние 12 месяцев</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64%</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58%</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74%</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83%</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78%</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70%</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65%</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63%</w:t>
            </w:r>
          </w:p>
        </w:tc>
      </w:tr>
      <w:tr w:rsidR="00C35167" w:rsidRPr="00C35167" w:rsidTr="00812FC6">
        <w:trPr>
          <w:trHeight w:val="394"/>
        </w:trPr>
        <w:tc>
          <w:tcPr>
            <w:tcW w:w="5000" w:type="pct"/>
            <w:gridSpan w:val="9"/>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b/>
                <w:bCs/>
                <w:color w:val="000000"/>
              </w:rPr>
              <w:t>Онлайн-заем в микрофинансовой организации</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Имеется сейчас</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5%</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Не имеется сейчас, но использовался за последние 12 месяцев</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8%</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12%</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32%</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Не использовался за последние 12 месяцев</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88%</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86%</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93%</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83%</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79%</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95%</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91%</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63%</w:t>
            </w:r>
          </w:p>
        </w:tc>
      </w:tr>
      <w:tr w:rsidR="00C35167" w:rsidRPr="00C35167" w:rsidTr="00812FC6">
        <w:trPr>
          <w:trHeight w:val="333"/>
        </w:trPr>
        <w:tc>
          <w:tcPr>
            <w:tcW w:w="5000" w:type="pct"/>
            <w:gridSpan w:val="9"/>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b/>
                <w:bCs/>
                <w:color w:val="000000"/>
              </w:rPr>
              <w:t>Иной заем в микрофинансовой организации, не являющийся онлайн-займом</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Имеется сейчас</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3%</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27%</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Не имеется сейчас, но использовался за последние 12 месяцев</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2%</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13%</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Не использовался за последние 12 месяцев</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95%</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94%</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95%</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84%</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93%</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100%</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98%</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60%</w:t>
            </w:r>
          </w:p>
        </w:tc>
      </w:tr>
      <w:tr w:rsidR="00C35167" w:rsidRPr="00C35167" w:rsidTr="00812FC6">
        <w:trPr>
          <w:trHeight w:val="376"/>
        </w:trPr>
        <w:tc>
          <w:tcPr>
            <w:tcW w:w="5000" w:type="pct"/>
            <w:gridSpan w:val="9"/>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b/>
                <w:bCs/>
                <w:color w:val="000000"/>
              </w:rPr>
              <w:t>Онлайн-заем в кредитном потребительском кооперативе</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Имеется сейчас</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3%</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Не имеется сейчас, но использовался за последние 12 месяцев</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3%</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31%</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Не использовался за последние 12 месяцев</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94%</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93%</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93%</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89%</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93%</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99%</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98%</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66%</w:t>
            </w:r>
          </w:p>
        </w:tc>
      </w:tr>
      <w:tr w:rsidR="00C35167" w:rsidRPr="00C35167" w:rsidTr="00812FC6">
        <w:trPr>
          <w:trHeight w:val="603"/>
        </w:trPr>
        <w:tc>
          <w:tcPr>
            <w:tcW w:w="5000" w:type="pct"/>
            <w:gridSpan w:val="9"/>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b/>
                <w:bCs/>
                <w:color w:val="000000"/>
              </w:rPr>
              <w:t>Иной заем в кредитном потребительском кооперативе, не являющийся онлайн-займом</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Имеется сейчас</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2%</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Не имеется сейчас, но использовался за последние 12 месяцев</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3%</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0%</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26%</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Не использовался за последние 12 месяцев</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95%</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94%</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93%</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96%</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95%</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100%</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97%</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66%</w:t>
            </w:r>
          </w:p>
        </w:tc>
      </w:tr>
      <w:tr w:rsidR="00C35167" w:rsidRPr="00C35167" w:rsidTr="00812FC6">
        <w:trPr>
          <w:trHeight w:val="381"/>
        </w:trPr>
        <w:tc>
          <w:tcPr>
            <w:tcW w:w="5000" w:type="pct"/>
            <w:gridSpan w:val="9"/>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b/>
                <w:bCs/>
                <w:color w:val="000000"/>
              </w:rPr>
              <w:t>Онлайн-заем в сельскохозяйственном кредитном потребительском кооперативе</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Имеется сейчас</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2%</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11%</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0%</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13%</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Не имеется сейчас, но использовался за последние 12 месяцев</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2%</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Не использовался за последние 12 месяцев</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97%</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96%</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98%</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82%</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97%</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100%</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98%</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85%</w:t>
            </w:r>
          </w:p>
        </w:tc>
      </w:tr>
      <w:tr w:rsidR="00C35167" w:rsidRPr="00C35167" w:rsidTr="00812FC6">
        <w:trPr>
          <w:trHeight w:val="603"/>
        </w:trPr>
        <w:tc>
          <w:tcPr>
            <w:tcW w:w="5000" w:type="pct"/>
            <w:gridSpan w:val="9"/>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b/>
                <w:bCs/>
                <w:color w:val="000000"/>
              </w:rPr>
              <w:t>Иной заем в сельскохозяйственном кредитном потребительском кооперативе, не являющийся онлайн-займом</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Имеется сейчас</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2%</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13%</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Не имеется сейчас, но использовался за последние 12 месяцев</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2%</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0%</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Не использовался за последние 12 месяцев</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96%</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95%</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96%</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89%</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100%</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100%</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98%</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79%</w:t>
            </w:r>
          </w:p>
        </w:tc>
      </w:tr>
      <w:tr w:rsidR="00C35167" w:rsidRPr="00C35167" w:rsidTr="00812FC6">
        <w:trPr>
          <w:trHeight w:val="381"/>
        </w:trPr>
        <w:tc>
          <w:tcPr>
            <w:tcW w:w="5000" w:type="pct"/>
            <w:gridSpan w:val="9"/>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b/>
                <w:bCs/>
                <w:color w:val="000000"/>
              </w:rPr>
              <w:t>Заем в ломбарде</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Имеется сейчас</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2%</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Не имеется сейчас, но использовался за последние 12 месяцев</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4%</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10%</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13%</w:t>
            </w:r>
          </w:p>
        </w:tc>
      </w:tr>
      <w:tr w:rsidR="00C35167" w:rsidRPr="00C35167" w:rsidTr="00812FC6">
        <w:trPr>
          <w:trHeight w:val="6"/>
        </w:trPr>
        <w:tc>
          <w:tcPr>
            <w:tcW w:w="991"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Не использовался за последние 12 месяцев</w:t>
            </w:r>
          </w:p>
        </w:tc>
        <w:tc>
          <w:tcPr>
            <w:tcW w:w="432"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94%</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93%</w:t>
            </w:r>
          </w:p>
        </w:tc>
        <w:tc>
          <w:tcPr>
            <w:tcW w:w="52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88%</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91%</w:t>
            </w:r>
          </w:p>
        </w:tc>
        <w:tc>
          <w:tcPr>
            <w:tcW w:w="528"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93%</w:t>
            </w:r>
          </w:p>
        </w:tc>
        <w:tc>
          <w:tcPr>
            <w:tcW w:w="5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97%</w:t>
            </w:r>
          </w:p>
        </w:tc>
        <w:tc>
          <w:tcPr>
            <w:tcW w:w="47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97%</w:t>
            </w:r>
          </w:p>
        </w:tc>
        <w:tc>
          <w:tcPr>
            <w:tcW w:w="409"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85%</w:t>
            </w:r>
          </w:p>
        </w:tc>
      </w:tr>
    </w:tbl>
    <w:p w:rsidR="00C35167" w:rsidRPr="00C35167" w:rsidRDefault="00C35167" w:rsidP="00C35167">
      <w:pPr>
        <w:spacing w:after="0" w:line="360" w:lineRule="auto"/>
        <w:ind w:firstLine="709"/>
        <w:contextualSpacing/>
        <w:jc w:val="both"/>
        <w:rPr>
          <w:rFonts w:ascii="Times New Roman" w:eastAsia="Times New Roman" w:hAnsi="Times New Roman" w:cs="Times New Roman"/>
          <w:color w:val="000000"/>
          <w:sz w:val="28"/>
          <w:szCs w:val="28"/>
          <w:lang w:eastAsia="ru-RU"/>
        </w:rPr>
      </w:pPr>
    </w:p>
    <w:p w:rsidR="00C35167" w:rsidRPr="00762548" w:rsidRDefault="00C35167"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762548">
        <w:rPr>
          <w:rFonts w:ascii="Times New Roman" w:eastAsia="Times New Roman" w:hAnsi="Times New Roman" w:cs="Times New Roman"/>
          <w:color w:val="000000"/>
          <w:sz w:val="24"/>
          <w:szCs w:val="24"/>
          <w:lang w:eastAsia="ru-RU"/>
        </w:rPr>
        <w:t>Среди рассматриваемых кредитных продуктов и услуг наиболее востребована населением Ленинградской области такая услуга, как использование кредитного лимита по кредитной карте (26% используют сейчас, 10% - в течение года). Чаще всего пользование данной услугой подтверждают работающие граждане (30% - в настоящее время, 12% - в течение последних 12 месяцев). В наименьшей мере данная услуга распространена среди учащихся/студентов (83% не пользовались), домохозяек/домохозяев (78% не пользовались), безработных (74% не пользовались) и пенсионеров (70% не пользовались).</w:t>
      </w:r>
    </w:p>
    <w:p w:rsidR="00C35167" w:rsidRPr="00762548" w:rsidRDefault="00C35167"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762548">
        <w:rPr>
          <w:rFonts w:ascii="Times New Roman" w:eastAsia="Times New Roman" w:hAnsi="Times New Roman" w:cs="Times New Roman"/>
          <w:color w:val="000000"/>
          <w:sz w:val="24"/>
          <w:szCs w:val="24"/>
          <w:lang w:eastAsia="ru-RU"/>
        </w:rPr>
        <w:t>Банковские кредитные продукты (онлайн кредит и иные кредиты, не являющиеся онлайн-кредитами) активно используют 16% и 18% населения области соответственно, еще 6% и 7% соответственно имели опыт использования данных продуктов в течение последних 12 месяцев. Онлайн кредит чаще представителей иных социальных групп оформляли работающие граждане (21% при среднем по области 16%). Иные кредитные продукты банков более востребованы предпринимателями (32%). Реже других о пользовании онлайн кредитами говорили пенсионеры и безработные (87% и 88% не пользовались соответственно). Иные банковские кредитные продукты реже имели спрос среди лиц, занимающихся домашним хозяйством и пенсионеров (87% и 84%).</w:t>
      </w:r>
    </w:p>
    <w:p w:rsidR="00C35167" w:rsidRPr="00762548" w:rsidRDefault="00C35167"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762548">
        <w:rPr>
          <w:rFonts w:ascii="Times New Roman" w:eastAsia="Times New Roman" w:hAnsi="Times New Roman" w:cs="Times New Roman"/>
          <w:color w:val="000000"/>
          <w:sz w:val="24"/>
          <w:szCs w:val="24"/>
          <w:lang w:eastAsia="ru-RU"/>
        </w:rPr>
        <w:t>Открытый онлайн-заем в микрофинансовой организации на момент опроса имели 5% респондентов, еще 8% использовали его в течение ближайших 12 месяцев. Чаще других пользование данным финансовым продуктом отмечали домохозяйки /домохозяева (9%), реже – пенсионеры (95% не использовали в течение года.</w:t>
      </w:r>
    </w:p>
    <w:p w:rsidR="00C35167" w:rsidRPr="00762548" w:rsidRDefault="00C35167"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762548">
        <w:rPr>
          <w:rFonts w:ascii="Times New Roman" w:eastAsia="Times New Roman" w:hAnsi="Times New Roman" w:cs="Times New Roman"/>
          <w:color w:val="000000"/>
          <w:sz w:val="24"/>
          <w:szCs w:val="24"/>
          <w:lang w:eastAsia="ru-RU"/>
        </w:rPr>
        <w:t xml:space="preserve">Доля потребителей по всем остальным кредитным продуктам и займам колеблется в пределах от 3% до 6%. В разрезе социального статуса можно констатировать лишь наименьшую распространенность этих продуктов и услуг среди пенсионеров. </w:t>
      </w:r>
    </w:p>
    <w:p w:rsidR="00C35167" w:rsidRPr="00C35167" w:rsidRDefault="00C35167" w:rsidP="00762548">
      <w:pPr>
        <w:keepNext/>
        <w:keepLines/>
        <w:spacing w:before="120" w:after="120" w:line="240" w:lineRule="auto"/>
        <w:jc w:val="center"/>
        <w:rPr>
          <w:rFonts w:ascii="Times New Roman" w:eastAsia="Calibri" w:hAnsi="Times New Roman" w:cs="Times New Roman"/>
          <w:color w:val="000000"/>
          <w:sz w:val="24"/>
          <w:szCs w:val="24"/>
        </w:rPr>
      </w:pPr>
      <w:r w:rsidRPr="00C35167">
        <w:rPr>
          <w:rFonts w:ascii="Times New Roman" w:eastAsia="Calibri" w:hAnsi="Times New Roman" w:cs="Times New Roman"/>
          <w:iCs/>
          <w:color w:val="000000"/>
          <w:sz w:val="24"/>
          <w:szCs w:val="28"/>
        </w:rPr>
        <w:t xml:space="preserve">Рисунок </w:t>
      </w:r>
      <w:r w:rsidR="00762548">
        <w:rPr>
          <w:rFonts w:ascii="Times New Roman" w:eastAsia="Calibri" w:hAnsi="Times New Roman" w:cs="Times New Roman"/>
          <w:iCs/>
          <w:color w:val="000000"/>
          <w:sz w:val="24"/>
          <w:szCs w:val="28"/>
        </w:rPr>
        <w:t>51</w:t>
      </w:r>
      <w:r w:rsidRPr="00C35167">
        <w:rPr>
          <w:rFonts w:ascii="Times New Roman" w:eastAsia="Calibri" w:hAnsi="Times New Roman" w:cs="Times New Roman"/>
          <w:iCs/>
          <w:color w:val="000000"/>
          <w:sz w:val="24"/>
          <w:szCs w:val="28"/>
        </w:rPr>
        <w:t>. ВОПРОС:</w:t>
      </w:r>
      <w:r w:rsidRPr="00C35167">
        <w:rPr>
          <w:rFonts w:ascii="Times New Roman" w:eastAsia="Calibri" w:hAnsi="Times New Roman" w:cs="Times New Roman"/>
          <w:color w:val="000000"/>
        </w:rPr>
        <w:t xml:space="preserve"> </w:t>
      </w:r>
      <w:r w:rsidRPr="00C35167">
        <w:rPr>
          <w:rFonts w:ascii="Times New Roman" w:eastAsia="Calibri" w:hAnsi="Times New Roman" w:cs="Times New Roman"/>
          <w:b/>
          <w:iCs/>
          <w:color w:val="000000"/>
          <w:sz w:val="24"/>
          <w:szCs w:val="28"/>
        </w:rPr>
        <w:t xml:space="preserve">Какими из перечисленных финансовых продуктов (услуг) Вы пользовались за последние 12 месяцев? </w:t>
      </w:r>
      <w:r w:rsidRPr="00C35167">
        <w:rPr>
          <w:rFonts w:ascii="Times New Roman" w:eastAsia="Calibri" w:hAnsi="Times New Roman" w:cs="Times New Roman"/>
          <w:b/>
          <w:iCs/>
          <w:color w:val="000000"/>
          <w:sz w:val="24"/>
          <w:szCs w:val="28"/>
          <w:u w:val="single"/>
        </w:rPr>
        <w:t>Платежные карты и расчетный счет</w:t>
      </w:r>
      <w:r w:rsidRPr="00C35167">
        <w:rPr>
          <w:rFonts w:ascii="Times New Roman" w:eastAsia="Calibri" w:hAnsi="Times New Roman" w:cs="Times New Roman"/>
          <w:b/>
          <w:iCs/>
          <w:color w:val="000000"/>
          <w:sz w:val="24"/>
          <w:szCs w:val="28"/>
        </w:rPr>
        <w:t xml:space="preserve">. </w:t>
      </w:r>
      <w:r w:rsidRPr="00C35167">
        <w:rPr>
          <w:rFonts w:ascii="Times New Roman" w:eastAsia="Calibri" w:hAnsi="Times New Roman" w:cs="Times New Roman"/>
          <w:noProof/>
          <w:color w:val="000000"/>
          <w:sz w:val="24"/>
          <w:szCs w:val="24"/>
        </w:rPr>
        <w:t xml:space="preserve">(опрос населения, </w:t>
      </w:r>
      <w:r w:rsidRPr="00C35167">
        <w:rPr>
          <w:rFonts w:ascii="Times New Roman" w:eastAsia="Calibri" w:hAnsi="Times New Roman" w:cs="Times New Roman"/>
          <w:color w:val="000000"/>
          <w:sz w:val="24"/>
          <w:szCs w:val="24"/>
        </w:rPr>
        <w:t>n=1200)</w:t>
      </w:r>
    </w:p>
    <w:p w:rsidR="00C35167" w:rsidRPr="00C35167" w:rsidRDefault="00C35167" w:rsidP="00C35167">
      <w:pPr>
        <w:spacing w:before="240" w:after="120" w:line="240" w:lineRule="auto"/>
        <w:jc w:val="both"/>
        <w:rPr>
          <w:rFonts w:ascii="Times New Roman" w:eastAsia="Calibri" w:hAnsi="Times New Roman" w:cs="Times New Roman"/>
          <w:color w:val="000000"/>
          <w:sz w:val="24"/>
          <w:szCs w:val="24"/>
        </w:rPr>
      </w:pPr>
      <w:r w:rsidRPr="00C35167">
        <w:rPr>
          <w:rFonts w:ascii="Times New Roman" w:eastAsia="Franklin Gothic Book" w:hAnsi="Times New Roman" w:cs="Times New Roman"/>
          <w:noProof/>
          <w:color w:val="000000"/>
          <w:szCs w:val="24"/>
          <w:u w:color="000000"/>
          <w:shd w:val="clear" w:color="auto" w:fill="C5E0B3"/>
          <w:lang w:eastAsia="ru-RU"/>
        </w:rPr>
        <w:drawing>
          <wp:inline distT="0" distB="0" distL="0" distR="0" wp14:anchorId="5CAF85F8" wp14:editId="54B36F3B">
            <wp:extent cx="6193155" cy="3914775"/>
            <wp:effectExtent l="0" t="0" r="0" b="0"/>
            <wp:docPr id="1060" name="Диаграмма 10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C35167" w:rsidRPr="00C35167" w:rsidRDefault="00C35167" w:rsidP="00C35167">
      <w:pPr>
        <w:jc w:val="both"/>
        <w:rPr>
          <w:rFonts w:ascii="Times New Roman" w:eastAsia="Calibri" w:hAnsi="Times New Roman" w:cs="Times New Roman"/>
          <w:iCs/>
          <w:color w:val="000000"/>
          <w:sz w:val="24"/>
          <w:szCs w:val="28"/>
        </w:rPr>
      </w:pPr>
    </w:p>
    <w:p w:rsidR="00C35167" w:rsidRPr="00C35167" w:rsidRDefault="00C35167" w:rsidP="00762548">
      <w:pPr>
        <w:keepNext/>
        <w:keepLines/>
        <w:spacing w:before="120" w:after="120" w:line="240" w:lineRule="auto"/>
        <w:jc w:val="center"/>
        <w:rPr>
          <w:rFonts w:ascii="Times New Roman" w:eastAsia="Calibri" w:hAnsi="Times New Roman" w:cs="Times New Roman"/>
          <w:color w:val="000000"/>
        </w:rPr>
      </w:pPr>
      <w:r w:rsidRPr="00C35167">
        <w:rPr>
          <w:rFonts w:ascii="Times New Roman" w:eastAsia="Calibri" w:hAnsi="Times New Roman" w:cs="Times New Roman"/>
          <w:iCs/>
          <w:color w:val="000000"/>
          <w:sz w:val="24"/>
          <w:szCs w:val="28"/>
        </w:rPr>
        <w:t xml:space="preserve">Таблица </w:t>
      </w:r>
      <w:r w:rsidR="00762548">
        <w:rPr>
          <w:rFonts w:ascii="Times New Roman" w:eastAsia="Calibri" w:hAnsi="Times New Roman" w:cs="Times New Roman"/>
          <w:iCs/>
          <w:color w:val="000000"/>
          <w:sz w:val="24"/>
          <w:szCs w:val="28"/>
        </w:rPr>
        <w:t>46</w:t>
      </w:r>
      <w:r w:rsidRPr="00C35167">
        <w:rPr>
          <w:rFonts w:ascii="Times New Roman" w:eastAsia="Calibri" w:hAnsi="Times New Roman" w:cs="Times New Roman"/>
          <w:iCs/>
          <w:color w:val="000000"/>
          <w:sz w:val="24"/>
          <w:szCs w:val="28"/>
        </w:rPr>
        <w:t xml:space="preserve">. Использование финансовых продуктов (услуг) за последние 12 месяцев. </w:t>
      </w:r>
      <w:r w:rsidRPr="00C35167">
        <w:rPr>
          <w:rFonts w:ascii="Times New Roman" w:eastAsia="Calibri" w:hAnsi="Times New Roman" w:cs="Times New Roman"/>
          <w:iCs/>
          <w:color w:val="000000"/>
          <w:sz w:val="24"/>
          <w:szCs w:val="28"/>
          <w:u w:val="single"/>
        </w:rPr>
        <w:t>Платежные карты и расчетный счет</w:t>
      </w:r>
      <w:r w:rsidRPr="00C35167">
        <w:rPr>
          <w:rFonts w:ascii="Times New Roman" w:eastAsia="Calibri" w:hAnsi="Times New Roman" w:cs="Times New Roman"/>
          <w:iCs/>
          <w:color w:val="000000"/>
          <w:sz w:val="24"/>
          <w:szCs w:val="28"/>
        </w:rPr>
        <w:t>. (опрос населения, n=1200)</w:t>
      </w:r>
    </w:p>
    <w:tbl>
      <w:tblPr>
        <w:tblW w:w="48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9"/>
        <w:gridCol w:w="880"/>
        <w:gridCol w:w="1075"/>
        <w:gridCol w:w="1073"/>
        <w:gridCol w:w="1075"/>
        <w:gridCol w:w="1075"/>
        <w:gridCol w:w="1177"/>
        <w:gridCol w:w="966"/>
        <w:gridCol w:w="833"/>
      </w:tblGrid>
      <w:tr w:rsidR="00C35167" w:rsidRPr="00C35167" w:rsidTr="003B4122">
        <w:trPr>
          <w:cantSplit/>
          <w:trHeight w:val="2286"/>
          <w:tblHeader/>
        </w:trPr>
        <w:tc>
          <w:tcPr>
            <w:tcW w:w="949" w:type="pct"/>
            <w:shd w:val="clear" w:color="auto" w:fill="auto"/>
            <w:noWrap/>
            <w:vAlign w:val="center"/>
          </w:tcPr>
          <w:p w:rsidR="00C35167" w:rsidRPr="003B4122" w:rsidRDefault="00C35167" w:rsidP="00C35167">
            <w:pPr>
              <w:spacing w:after="0" w:line="240" w:lineRule="auto"/>
              <w:jc w:val="center"/>
              <w:rPr>
                <w:rFonts w:ascii="Times New Roman" w:eastAsia="Times New Roman" w:hAnsi="Times New Roman" w:cs="Times New Roman"/>
                <w:color w:val="000000"/>
                <w:lang w:eastAsia="ru-RU"/>
              </w:rPr>
            </w:pPr>
          </w:p>
        </w:tc>
        <w:tc>
          <w:tcPr>
            <w:tcW w:w="437" w:type="pct"/>
            <w:shd w:val="clear" w:color="auto" w:fill="auto"/>
            <w:textDirection w:val="btLr"/>
            <w:vAlign w:val="cente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color w:val="000000"/>
              </w:rPr>
              <w:t>В целом по области</w:t>
            </w:r>
          </w:p>
        </w:tc>
        <w:tc>
          <w:tcPr>
            <w:tcW w:w="534" w:type="pct"/>
            <w:shd w:val="clear" w:color="auto" w:fill="auto"/>
            <w:textDirection w:val="btL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Работаю</w:t>
            </w:r>
          </w:p>
        </w:tc>
        <w:tc>
          <w:tcPr>
            <w:tcW w:w="533" w:type="pct"/>
            <w:shd w:val="clear" w:color="auto" w:fill="auto"/>
            <w:textDirection w:val="btL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Безработный</w:t>
            </w:r>
          </w:p>
        </w:tc>
        <w:tc>
          <w:tcPr>
            <w:tcW w:w="534" w:type="pct"/>
            <w:shd w:val="clear" w:color="auto" w:fill="auto"/>
            <w:textDirection w:val="btL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Учусь/студент</w:t>
            </w:r>
          </w:p>
        </w:tc>
        <w:tc>
          <w:tcPr>
            <w:tcW w:w="534" w:type="pct"/>
            <w:shd w:val="clear" w:color="auto" w:fill="auto"/>
            <w:textDirection w:val="btL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Домохозяйка (домохозяин)</w:t>
            </w:r>
          </w:p>
        </w:tc>
        <w:tc>
          <w:tcPr>
            <w:tcW w:w="585" w:type="pct"/>
            <w:shd w:val="clear" w:color="auto" w:fill="auto"/>
            <w:textDirection w:val="btL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Пенсионер (в т.ч. по инвалидности)</w:t>
            </w:r>
          </w:p>
        </w:tc>
        <w:tc>
          <w:tcPr>
            <w:tcW w:w="480" w:type="pct"/>
            <w:shd w:val="clear" w:color="auto" w:fill="auto"/>
            <w:textDirection w:val="btL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Самозанятый</w:t>
            </w:r>
          </w:p>
        </w:tc>
        <w:tc>
          <w:tcPr>
            <w:tcW w:w="415" w:type="pct"/>
            <w:shd w:val="clear" w:color="auto" w:fill="auto"/>
            <w:textDirection w:val="btL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Предприниматель</w:t>
            </w:r>
          </w:p>
        </w:tc>
      </w:tr>
      <w:tr w:rsidR="00C35167" w:rsidRPr="00C35167" w:rsidTr="00762548">
        <w:trPr>
          <w:trHeight w:val="401"/>
        </w:trPr>
        <w:tc>
          <w:tcPr>
            <w:tcW w:w="5000" w:type="pct"/>
            <w:gridSpan w:val="9"/>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b/>
                <w:bCs/>
                <w:color w:val="000000"/>
              </w:rPr>
              <w:t>Зарплатная карта</w:t>
            </w:r>
          </w:p>
        </w:tc>
      </w:tr>
      <w:tr w:rsidR="00C35167" w:rsidRPr="00C35167" w:rsidTr="00762548">
        <w:trPr>
          <w:trHeight w:val="633"/>
        </w:trPr>
        <w:tc>
          <w:tcPr>
            <w:tcW w:w="949" w:type="pct"/>
            <w:shd w:val="clear" w:color="auto" w:fill="auto"/>
            <w:vAlign w:val="center"/>
          </w:tcPr>
          <w:p w:rsidR="00C35167" w:rsidRPr="003B4122" w:rsidRDefault="00C35167" w:rsidP="00C35167">
            <w:pPr>
              <w:spacing w:after="0" w:line="240" w:lineRule="auto"/>
              <w:jc w:val="center"/>
              <w:rPr>
                <w:rFonts w:ascii="Times New Roman" w:eastAsia="Times New Roman" w:hAnsi="Times New Roman" w:cs="Times New Roman"/>
                <w:b/>
                <w:color w:val="000000"/>
                <w:lang w:eastAsia="ru-RU"/>
              </w:rPr>
            </w:pPr>
            <w:r w:rsidRPr="003B4122">
              <w:rPr>
                <w:rFonts w:ascii="Times New Roman" w:eastAsia="Calibri" w:hAnsi="Times New Roman" w:cs="Times New Roman"/>
                <w:color w:val="000000"/>
              </w:rPr>
              <w:t>Имеется сейчас</w:t>
            </w:r>
          </w:p>
        </w:tc>
        <w:tc>
          <w:tcPr>
            <w:tcW w:w="437"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67%</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88%</w:t>
            </w:r>
          </w:p>
        </w:tc>
        <w:tc>
          <w:tcPr>
            <w:tcW w:w="533"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40%</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60%</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45%</w:t>
            </w:r>
          </w:p>
        </w:tc>
        <w:tc>
          <w:tcPr>
            <w:tcW w:w="58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23%</w:t>
            </w:r>
          </w:p>
        </w:tc>
        <w:tc>
          <w:tcPr>
            <w:tcW w:w="4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50%</w:t>
            </w:r>
          </w:p>
        </w:tc>
        <w:tc>
          <w:tcPr>
            <w:tcW w:w="41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73%</w:t>
            </w:r>
          </w:p>
        </w:tc>
      </w:tr>
      <w:tr w:rsidR="00C35167" w:rsidRPr="00C35167" w:rsidTr="00762548">
        <w:trPr>
          <w:trHeight w:val="6"/>
        </w:trPr>
        <w:tc>
          <w:tcPr>
            <w:tcW w:w="949" w:type="pct"/>
            <w:shd w:val="clear" w:color="auto" w:fill="auto"/>
            <w:vAlign w:val="center"/>
          </w:tcPr>
          <w:p w:rsidR="00C35167" w:rsidRPr="003B4122" w:rsidRDefault="00C35167" w:rsidP="00C35167">
            <w:pPr>
              <w:spacing w:after="0" w:line="240" w:lineRule="auto"/>
              <w:jc w:val="center"/>
              <w:rPr>
                <w:rFonts w:ascii="Times New Roman" w:eastAsia="Times New Roman" w:hAnsi="Times New Roman" w:cs="Times New Roman"/>
                <w:b/>
                <w:color w:val="000000"/>
                <w:lang w:eastAsia="ru-RU"/>
              </w:rPr>
            </w:pPr>
            <w:r w:rsidRPr="003B4122">
              <w:rPr>
                <w:rFonts w:ascii="Times New Roman" w:eastAsia="Calibri" w:hAnsi="Times New Roman" w:cs="Times New Roman"/>
                <w:color w:val="000000"/>
              </w:rPr>
              <w:t>Не имеется сейчас, но использовался за последние 12 месяцев</w:t>
            </w:r>
          </w:p>
        </w:tc>
        <w:tc>
          <w:tcPr>
            <w:tcW w:w="437"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8%</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w:t>
            </w:r>
          </w:p>
        </w:tc>
        <w:tc>
          <w:tcPr>
            <w:tcW w:w="533"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23%</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18%</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13%</w:t>
            </w:r>
          </w:p>
        </w:tc>
        <w:tc>
          <w:tcPr>
            <w:tcW w:w="58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15%</w:t>
            </w:r>
          </w:p>
        </w:tc>
        <w:tc>
          <w:tcPr>
            <w:tcW w:w="4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13%</w:t>
            </w:r>
          </w:p>
        </w:tc>
        <w:tc>
          <w:tcPr>
            <w:tcW w:w="41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w:t>
            </w:r>
          </w:p>
        </w:tc>
      </w:tr>
      <w:tr w:rsidR="00C35167" w:rsidRPr="00C35167" w:rsidTr="00762548">
        <w:trPr>
          <w:trHeight w:val="6"/>
        </w:trPr>
        <w:tc>
          <w:tcPr>
            <w:tcW w:w="949" w:type="pct"/>
            <w:shd w:val="clear" w:color="auto" w:fill="auto"/>
            <w:vAlign w:val="center"/>
          </w:tcPr>
          <w:p w:rsidR="00C35167" w:rsidRPr="003B4122" w:rsidRDefault="00C35167" w:rsidP="00C35167">
            <w:pPr>
              <w:spacing w:after="0" w:line="240" w:lineRule="auto"/>
              <w:jc w:val="center"/>
              <w:rPr>
                <w:rFonts w:ascii="Times New Roman" w:eastAsia="Times New Roman" w:hAnsi="Times New Roman" w:cs="Times New Roman"/>
                <w:b/>
                <w:color w:val="000000"/>
                <w:lang w:eastAsia="ru-RU"/>
              </w:rPr>
            </w:pPr>
            <w:r w:rsidRPr="003B4122">
              <w:rPr>
                <w:rFonts w:ascii="Times New Roman" w:eastAsia="Calibri" w:hAnsi="Times New Roman" w:cs="Times New Roman"/>
                <w:color w:val="000000"/>
              </w:rPr>
              <w:t>Не использовался за последние 12 месяцев</w:t>
            </w:r>
          </w:p>
        </w:tc>
        <w:tc>
          <w:tcPr>
            <w:tcW w:w="437"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24%</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w:t>
            </w:r>
          </w:p>
        </w:tc>
        <w:tc>
          <w:tcPr>
            <w:tcW w:w="533"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37%</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21%</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42%</w:t>
            </w:r>
          </w:p>
        </w:tc>
        <w:tc>
          <w:tcPr>
            <w:tcW w:w="58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63%</w:t>
            </w:r>
          </w:p>
        </w:tc>
        <w:tc>
          <w:tcPr>
            <w:tcW w:w="4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37%</w:t>
            </w:r>
          </w:p>
        </w:tc>
        <w:tc>
          <w:tcPr>
            <w:tcW w:w="41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27%</w:t>
            </w:r>
          </w:p>
        </w:tc>
      </w:tr>
      <w:tr w:rsidR="00C35167" w:rsidRPr="00C35167" w:rsidTr="00762548">
        <w:trPr>
          <w:trHeight w:val="391"/>
        </w:trPr>
        <w:tc>
          <w:tcPr>
            <w:tcW w:w="5000" w:type="pct"/>
            <w:gridSpan w:val="9"/>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b/>
                <w:bCs/>
                <w:color w:val="000000"/>
              </w:rPr>
              <w:t>Расчетная (дебетовая) карта для получения пенсий и иных социальных выплат</w:t>
            </w:r>
          </w:p>
        </w:tc>
      </w:tr>
      <w:tr w:rsidR="00C35167" w:rsidRPr="00C35167" w:rsidTr="00762548">
        <w:trPr>
          <w:trHeight w:val="359"/>
        </w:trPr>
        <w:tc>
          <w:tcPr>
            <w:tcW w:w="949"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Имеется сейчас</w:t>
            </w:r>
          </w:p>
        </w:tc>
        <w:tc>
          <w:tcPr>
            <w:tcW w:w="437"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59%</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49%</w:t>
            </w:r>
          </w:p>
        </w:tc>
        <w:tc>
          <w:tcPr>
            <w:tcW w:w="533"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46%</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49%</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55%</w:t>
            </w:r>
          </w:p>
        </w:tc>
        <w:tc>
          <w:tcPr>
            <w:tcW w:w="58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94%</w:t>
            </w:r>
          </w:p>
        </w:tc>
        <w:tc>
          <w:tcPr>
            <w:tcW w:w="4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60%</w:t>
            </w:r>
          </w:p>
        </w:tc>
        <w:tc>
          <w:tcPr>
            <w:tcW w:w="41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60%</w:t>
            </w:r>
          </w:p>
        </w:tc>
      </w:tr>
      <w:tr w:rsidR="00C35167" w:rsidRPr="00C35167" w:rsidTr="00762548">
        <w:trPr>
          <w:trHeight w:val="6"/>
        </w:trPr>
        <w:tc>
          <w:tcPr>
            <w:tcW w:w="949"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Не имеется сейчас, но использовался за последние 12 месяцев</w:t>
            </w:r>
          </w:p>
        </w:tc>
        <w:tc>
          <w:tcPr>
            <w:tcW w:w="437"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3%</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w:t>
            </w:r>
          </w:p>
        </w:tc>
        <w:tc>
          <w:tcPr>
            <w:tcW w:w="533"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w:t>
            </w:r>
          </w:p>
        </w:tc>
        <w:tc>
          <w:tcPr>
            <w:tcW w:w="58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w:t>
            </w:r>
          </w:p>
        </w:tc>
        <w:tc>
          <w:tcPr>
            <w:tcW w:w="4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w:t>
            </w:r>
          </w:p>
        </w:tc>
        <w:tc>
          <w:tcPr>
            <w:tcW w:w="41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19%</w:t>
            </w:r>
          </w:p>
        </w:tc>
      </w:tr>
      <w:tr w:rsidR="00C35167" w:rsidRPr="00C35167" w:rsidTr="00762548">
        <w:trPr>
          <w:trHeight w:val="6"/>
        </w:trPr>
        <w:tc>
          <w:tcPr>
            <w:tcW w:w="949" w:type="pct"/>
            <w:shd w:val="clear" w:color="auto" w:fill="auto"/>
            <w:vAlign w:val="center"/>
          </w:tcPr>
          <w:p w:rsidR="00C35167" w:rsidRPr="003B4122" w:rsidRDefault="00C35167" w:rsidP="00C35167">
            <w:pPr>
              <w:spacing w:after="0" w:line="240" w:lineRule="auto"/>
              <w:jc w:val="center"/>
              <w:rPr>
                <w:rFonts w:ascii="Times New Roman" w:eastAsia="Times New Roman" w:hAnsi="Times New Roman" w:cs="Times New Roman"/>
                <w:b/>
                <w:color w:val="000000"/>
                <w:lang w:eastAsia="ru-RU"/>
              </w:rPr>
            </w:pPr>
            <w:r w:rsidRPr="003B4122">
              <w:rPr>
                <w:rFonts w:ascii="Times New Roman" w:eastAsia="Calibri" w:hAnsi="Times New Roman" w:cs="Times New Roman"/>
                <w:color w:val="000000"/>
              </w:rPr>
              <w:t>Не использовался за последние 12 месяцев</w:t>
            </w:r>
          </w:p>
        </w:tc>
        <w:tc>
          <w:tcPr>
            <w:tcW w:w="437"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38%</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48%</w:t>
            </w:r>
          </w:p>
        </w:tc>
        <w:tc>
          <w:tcPr>
            <w:tcW w:w="533"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51%</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46%</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44%</w:t>
            </w:r>
          </w:p>
        </w:tc>
        <w:tc>
          <w:tcPr>
            <w:tcW w:w="58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w:t>
            </w:r>
          </w:p>
        </w:tc>
        <w:tc>
          <w:tcPr>
            <w:tcW w:w="4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36%</w:t>
            </w:r>
          </w:p>
        </w:tc>
        <w:tc>
          <w:tcPr>
            <w:tcW w:w="41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22%</w:t>
            </w:r>
          </w:p>
        </w:tc>
      </w:tr>
      <w:tr w:rsidR="00C35167" w:rsidRPr="00C35167" w:rsidTr="00762548">
        <w:trPr>
          <w:trHeight w:val="381"/>
        </w:trPr>
        <w:tc>
          <w:tcPr>
            <w:tcW w:w="5000" w:type="pct"/>
            <w:gridSpan w:val="9"/>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b/>
                <w:bCs/>
                <w:color w:val="000000"/>
              </w:rPr>
              <w:t>Другая расчетная (дебетовая) карта</w:t>
            </w:r>
          </w:p>
        </w:tc>
      </w:tr>
      <w:tr w:rsidR="00C35167" w:rsidRPr="00C35167" w:rsidTr="00762548">
        <w:trPr>
          <w:trHeight w:val="347"/>
        </w:trPr>
        <w:tc>
          <w:tcPr>
            <w:tcW w:w="949"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Имеется сейчас</w:t>
            </w:r>
          </w:p>
        </w:tc>
        <w:tc>
          <w:tcPr>
            <w:tcW w:w="437"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47%</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47%</w:t>
            </w:r>
          </w:p>
        </w:tc>
        <w:tc>
          <w:tcPr>
            <w:tcW w:w="533"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40%</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30%</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52%</w:t>
            </w:r>
          </w:p>
        </w:tc>
        <w:tc>
          <w:tcPr>
            <w:tcW w:w="58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44%</w:t>
            </w:r>
          </w:p>
        </w:tc>
        <w:tc>
          <w:tcPr>
            <w:tcW w:w="4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69%</w:t>
            </w:r>
          </w:p>
        </w:tc>
        <w:tc>
          <w:tcPr>
            <w:tcW w:w="41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53%</w:t>
            </w:r>
          </w:p>
        </w:tc>
      </w:tr>
      <w:tr w:rsidR="00C35167" w:rsidRPr="00C35167" w:rsidTr="00762548">
        <w:trPr>
          <w:trHeight w:val="6"/>
        </w:trPr>
        <w:tc>
          <w:tcPr>
            <w:tcW w:w="949"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Не имеется сейчас, но использовался за последние 12 месяцев</w:t>
            </w:r>
          </w:p>
        </w:tc>
        <w:tc>
          <w:tcPr>
            <w:tcW w:w="437"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4%</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w:t>
            </w:r>
          </w:p>
        </w:tc>
        <w:tc>
          <w:tcPr>
            <w:tcW w:w="533"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11%</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w:t>
            </w:r>
          </w:p>
        </w:tc>
        <w:tc>
          <w:tcPr>
            <w:tcW w:w="58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w:t>
            </w:r>
          </w:p>
        </w:tc>
        <w:tc>
          <w:tcPr>
            <w:tcW w:w="4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w:t>
            </w:r>
          </w:p>
        </w:tc>
        <w:tc>
          <w:tcPr>
            <w:tcW w:w="41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14%</w:t>
            </w:r>
          </w:p>
        </w:tc>
      </w:tr>
      <w:tr w:rsidR="00C35167" w:rsidRPr="00C35167" w:rsidTr="00762548">
        <w:trPr>
          <w:trHeight w:val="6"/>
        </w:trPr>
        <w:tc>
          <w:tcPr>
            <w:tcW w:w="949"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Не использовался за последние 12 месяцев</w:t>
            </w:r>
          </w:p>
        </w:tc>
        <w:tc>
          <w:tcPr>
            <w:tcW w:w="437"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49%</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48%</w:t>
            </w:r>
          </w:p>
        </w:tc>
        <w:tc>
          <w:tcPr>
            <w:tcW w:w="533"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56%</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59%</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46%</w:t>
            </w:r>
          </w:p>
        </w:tc>
        <w:tc>
          <w:tcPr>
            <w:tcW w:w="58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55%</w:t>
            </w:r>
          </w:p>
        </w:tc>
        <w:tc>
          <w:tcPr>
            <w:tcW w:w="4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29%</w:t>
            </w:r>
          </w:p>
        </w:tc>
        <w:tc>
          <w:tcPr>
            <w:tcW w:w="41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33%</w:t>
            </w:r>
          </w:p>
        </w:tc>
      </w:tr>
      <w:tr w:rsidR="00C35167" w:rsidRPr="00C35167" w:rsidTr="00762548">
        <w:trPr>
          <w:trHeight w:val="348"/>
        </w:trPr>
        <w:tc>
          <w:tcPr>
            <w:tcW w:w="5000" w:type="pct"/>
            <w:gridSpan w:val="9"/>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b/>
                <w:bCs/>
                <w:color w:val="000000"/>
              </w:rPr>
              <w:t>Кредитная карта</w:t>
            </w:r>
          </w:p>
        </w:tc>
      </w:tr>
      <w:tr w:rsidR="00C35167" w:rsidRPr="00C35167" w:rsidTr="00762548">
        <w:trPr>
          <w:trHeight w:val="409"/>
        </w:trPr>
        <w:tc>
          <w:tcPr>
            <w:tcW w:w="949"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Имеется сейчас</w:t>
            </w:r>
          </w:p>
        </w:tc>
        <w:tc>
          <w:tcPr>
            <w:tcW w:w="437"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36%</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43%</w:t>
            </w:r>
          </w:p>
        </w:tc>
        <w:tc>
          <w:tcPr>
            <w:tcW w:w="533"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21%</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13%</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20%</w:t>
            </w:r>
          </w:p>
        </w:tc>
        <w:tc>
          <w:tcPr>
            <w:tcW w:w="58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30%</w:t>
            </w:r>
          </w:p>
        </w:tc>
        <w:tc>
          <w:tcPr>
            <w:tcW w:w="4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27%</w:t>
            </w:r>
          </w:p>
        </w:tc>
        <w:tc>
          <w:tcPr>
            <w:tcW w:w="41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41%</w:t>
            </w:r>
          </w:p>
        </w:tc>
      </w:tr>
      <w:tr w:rsidR="00C35167" w:rsidRPr="00C35167" w:rsidTr="00762548">
        <w:trPr>
          <w:trHeight w:val="6"/>
        </w:trPr>
        <w:tc>
          <w:tcPr>
            <w:tcW w:w="949"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Не имеется сейчас, но использовался за последние 12 месяцев</w:t>
            </w:r>
          </w:p>
        </w:tc>
        <w:tc>
          <w:tcPr>
            <w:tcW w:w="437"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5%</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w:t>
            </w:r>
          </w:p>
        </w:tc>
        <w:tc>
          <w:tcPr>
            <w:tcW w:w="533"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11%</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w:t>
            </w:r>
          </w:p>
        </w:tc>
        <w:tc>
          <w:tcPr>
            <w:tcW w:w="58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w:t>
            </w:r>
          </w:p>
        </w:tc>
        <w:tc>
          <w:tcPr>
            <w:tcW w:w="4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18%</w:t>
            </w:r>
          </w:p>
        </w:tc>
        <w:tc>
          <w:tcPr>
            <w:tcW w:w="41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w:t>
            </w:r>
          </w:p>
        </w:tc>
      </w:tr>
      <w:tr w:rsidR="00C35167" w:rsidRPr="00C35167" w:rsidTr="00762548">
        <w:trPr>
          <w:trHeight w:val="6"/>
        </w:trPr>
        <w:tc>
          <w:tcPr>
            <w:tcW w:w="949"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Не использовался за последние 12 месяцев</w:t>
            </w:r>
          </w:p>
        </w:tc>
        <w:tc>
          <w:tcPr>
            <w:tcW w:w="437"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58%</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52%</w:t>
            </w:r>
          </w:p>
        </w:tc>
        <w:tc>
          <w:tcPr>
            <w:tcW w:w="533"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76%</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76%</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72%</w:t>
            </w:r>
          </w:p>
        </w:tc>
        <w:tc>
          <w:tcPr>
            <w:tcW w:w="58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68%</w:t>
            </w:r>
          </w:p>
        </w:tc>
        <w:tc>
          <w:tcPr>
            <w:tcW w:w="4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55%</w:t>
            </w:r>
          </w:p>
        </w:tc>
        <w:tc>
          <w:tcPr>
            <w:tcW w:w="41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51%</w:t>
            </w:r>
          </w:p>
        </w:tc>
      </w:tr>
      <w:tr w:rsidR="00C35167" w:rsidRPr="00C35167" w:rsidTr="00762548">
        <w:trPr>
          <w:trHeight w:val="333"/>
        </w:trPr>
        <w:tc>
          <w:tcPr>
            <w:tcW w:w="5000" w:type="pct"/>
            <w:gridSpan w:val="9"/>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b/>
                <w:bCs/>
                <w:color w:val="000000"/>
              </w:rPr>
              <w:t>Расчетный счет</w:t>
            </w:r>
          </w:p>
        </w:tc>
      </w:tr>
      <w:tr w:rsidR="00C35167" w:rsidRPr="00C35167" w:rsidTr="00762548">
        <w:trPr>
          <w:trHeight w:val="415"/>
        </w:trPr>
        <w:tc>
          <w:tcPr>
            <w:tcW w:w="949"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Имеется сейчас</w:t>
            </w:r>
          </w:p>
        </w:tc>
        <w:tc>
          <w:tcPr>
            <w:tcW w:w="437"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32%</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35%</w:t>
            </w:r>
          </w:p>
        </w:tc>
        <w:tc>
          <w:tcPr>
            <w:tcW w:w="533"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31%</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20%</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15%</w:t>
            </w:r>
          </w:p>
        </w:tc>
        <w:tc>
          <w:tcPr>
            <w:tcW w:w="58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26%</w:t>
            </w:r>
          </w:p>
        </w:tc>
        <w:tc>
          <w:tcPr>
            <w:tcW w:w="4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36%</w:t>
            </w:r>
          </w:p>
        </w:tc>
        <w:tc>
          <w:tcPr>
            <w:tcW w:w="41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33%</w:t>
            </w:r>
          </w:p>
        </w:tc>
      </w:tr>
      <w:tr w:rsidR="00C35167" w:rsidRPr="00C35167" w:rsidTr="00762548">
        <w:trPr>
          <w:trHeight w:val="6"/>
        </w:trPr>
        <w:tc>
          <w:tcPr>
            <w:tcW w:w="949"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Не имеется сейчас, но использовался за последние 12 месяцев</w:t>
            </w:r>
          </w:p>
        </w:tc>
        <w:tc>
          <w:tcPr>
            <w:tcW w:w="437"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8%</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w:t>
            </w:r>
          </w:p>
        </w:tc>
        <w:tc>
          <w:tcPr>
            <w:tcW w:w="533"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13%</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11%</w:t>
            </w:r>
          </w:p>
        </w:tc>
        <w:tc>
          <w:tcPr>
            <w:tcW w:w="58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w:t>
            </w:r>
          </w:p>
        </w:tc>
        <w:tc>
          <w:tcPr>
            <w:tcW w:w="4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10%</w:t>
            </w:r>
          </w:p>
        </w:tc>
        <w:tc>
          <w:tcPr>
            <w:tcW w:w="41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w:t>
            </w:r>
          </w:p>
        </w:tc>
      </w:tr>
      <w:tr w:rsidR="00C35167" w:rsidRPr="00C35167" w:rsidTr="00762548">
        <w:trPr>
          <w:trHeight w:val="6"/>
        </w:trPr>
        <w:tc>
          <w:tcPr>
            <w:tcW w:w="949"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Не использовался за последние 12 месяцев</w:t>
            </w:r>
          </w:p>
        </w:tc>
        <w:tc>
          <w:tcPr>
            <w:tcW w:w="437"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60%</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56%</w:t>
            </w:r>
          </w:p>
        </w:tc>
        <w:tc>
          <w:tcPr>
            <w:tcW w:w="533"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57%</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73%</w:t>
            </w:r>
          </w:p>
        </w:tc>
        <w:tc>
          <w:tcPr>
            <w:tcW w:w="53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73%</w:t>
            </w:r>
          </w:p>
        </w:tc>
        <w:tc>
          <w:tcPr>
            <w:tcW w:w="58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69%</w:t>
            </w:r>
          </w:p>
        </w:tc>
        <w:tc>
          <w:tcPr>
            <w:tcW w:w="48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55%</w:t>
            </w:r>
          </w:p>
        </w:tc>
        <w:tc>
          <w:tcPr>
            <w:tcW w:w="41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59%</w:t>
            </w:r>
          </w:p>
        </w:tc>
      </w:tr>
    </w:tbl>
    <w:p w:rsidR="00C35167" w:rsidRPr="00C35167" w:rsidRDefault="00C35167" w:rsidP="00C35167">
      <w:pPr>
        <w:spacing w:after="0" w:line="360" w:lineRule="auto"/>
        <w:ind w:firstLine="709"/>
        <w:contextualSpacing/>
        <w:jc w:val="both"/>
        <w:rPr>
          <w:rFonts w:ascii="Times New Roman" w:eastAsia="Times New Roman" w:hAnsi="Times New Roman" w:cs="Times New Roman"/>
          <w:color w:val="000000"/>
          <w:sz w:val="28"/>
          <w:szCs w:val="28"/>
          <w:lang w:eastAsia="ru-RU"/>
        </w:rPr>
      </w:pPr>
    </w:p>
    <w:p w:rsidR="00C35167" w:rsidRPr="00762548" w:rsidRDefault="00C35167"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762548">
        <w:rPr>
          <w:rFonts w:ascii="Times New Roman" w:eastAsia="Times New Roman" w:hAnsi="Times New Roman" w:cs="Times New Roman"/>
          <w:color w:val="000000"/>
          <w:sz w:val="24"/>
          <w:szCs w:val="24"/>
          <w:lang w:eastAsia="ru-RU"/>
        </w:rPr>
        <w:t>Зарплатная карта является самой популярной из всех рассмотренных в ходе мониторинга платёжных карт. Она имелась на момент опроса у 67% жителей Ленинградской области, еще 8% подтвердили её наличие ранее в течение года. Активное использование зарплатной карты демонстрируют работающие граждане (88% пользуются сейчас, ещё 4% использовали в течение года) и предприниматели (73% имеют сейчас). В наименьшей мере данный продукт востребован пенсионерами (63% не имеют сейчас и не использовали в течение последних 12 месяцев). Также статистически реже, чем в среднем по выборке, пользуются зарплатной картой безработные, домохозяева/домохозяйки и самозанятые.</w:t>
      </w:r>
    </w:p>
    <w:p w:rsidR="00C35167" w:rsidRPr="00762548" w:rsidRDefault="00C35167"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762548">
        <w:rPr>
          <w:rFonts w:ascii="Times New Roman" w:eastAsia="Times New Roman" w:hAnsi="Times New Roman" w:cs="Times New Roman"/>
          <w:color w:val="000000"/>
          <w:sz w:val="24"/>
          <w:szCs w:val="24"/>
          <w:lang w:eastAsia="ru-RU"/>
        </w:rPr>
        <w:t>Наличие и использование в течение последних 12 месяцев дебетовой карты для получения пенсий и иных социальных выплат подтвердили 95% пенсионеров (средние данные по Ленинградской области – 62%, из них 59% имеют сейчас, 3% имели в течение года). Среди всех остальных категорий населения распространенность данного финансового продукта значимо ниже. Реже всего о использовании такой расчетной карты заявляют безработные граждане (49%).</w:t>
      </w:r>
    </w:p>
    <w:p w:rsidR="00C35167" w:rsidRPr="00762548" w:rsidRDefault="00C35167"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762548">
        <w:rPr>
          <w:rFonts w:ascii="Times New Roman" w:eastAsia="Times New Roman" w:hAnsi="Times New Roman" w:cs="Times New Roman"/>
          <w:color w:val="000000"/>
          <w:sz w:val="24"/>
          <w:szCs w:val="24"/>
          <w:lang w:eastAsia="ru-RU"/>
        </w:rPr>
        <w:t xml:space="preserve">Распространенность иных расчетных карт среди жителей региона составляет 51% (47% населения имеют такие карты в настоящее время, 4% имели ранее в течение года). Чаще всего факт пользования такими картами в течение последнего года подтверждают самозанятые граждане (70%). Наиболее редко использование иных расчетных карт практикуют студенты (30% имеют сейчас, 11% имели в течение года). </w:t>
      </w:r>
    </w:p>
    <w:p w:rsidR="00C35167" w:rsidRPr="00762548" w:rsidRDefault="00C35167"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762548">
        <w:rPr>
          <w:rFonts w:ascii="Times New Roman" w:eastAsia="Times New Roman" w:hAnsi="Times New Roman" w:cs="Times New Roman"/>
          <w:color w:val="000000"/>
          <w:sz w:val="24"/>
          <w:szCs w:val="24"/>
          <w:lang w:eastAsia="ru-RU"/>
        </w:rPr>
        <w:t>Уровень распространенности среди жителей региона кредитных карт составляет 40% (32% имели кредитную карту на момент опроса, еще 8% использовали ранее в течение года). В разрезе социального статуса отмечается самое активное пользование рассматриваемым финансовым продуктом среди работающих граждан (43% используют сейчас, 5% - в течение года). Наименьшая доля пользователей кредитных карт сосредоточена среди учащихся/студентов (13% используют сейчас, 11% - использовали ранее). Также статистически меньше, чем в среднем по области, пользуются кредитными картами лица, ведущие домашнее хозяйство и безработные.</w:t>
      </w:r>
    </w:p>
    <w:p w:rsidR="00C35167" w:rsidRPr="00762548" w:rsidRDefault="00C35167"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762548">
        <w:rPr>
          <w:rFonts w:ascii="Times New Roman" w:eastAsia="Times New Roman" w:hAnsi="Times New Roman" w:cs="Times New Roman"/>
          <w:color w:val="000000"/>
          <w:sz w:val="24"/>
          <w:szCs w:val="24"/>
          <w:lang w:eastAsia="ru-RU"/>
        </w:rPr>
        <w:t>Наличие в течение последних 12 месяцев текущего расчетного счета подтвердили 40% участников исследования (32% имели его на момент опроса, 8% - ранее в течение года). Статистически реже, чем в среднем по области, данный продукт использовали домохозяйки/домохозяева, учащиеся/студенты и пенсионеры.</w:t>
      </w:r>
    </w:p>
    <w:p w:rsidR="00C35167" w:rsidRPr="00C35167" w:rsidRDefault="00C35167" w:rsidP="00762548">
      <w:pPr>
        <w:keepNext/>
        <w:keepLines/>
        <w:spacing w:before="120" w:after="120" w:line="240" w:lineRule="auto"/>
        <w:jc w:val="center"/>
        <w:rPr>
          <w:rFonts w:ascii="Times New Roman" w:eastAsia="Calibri" w:hAnsi="Times New Roman" w:cs="Times New Roman"/>
          <w:color w:val="000000"/>
          <w:sz w:val="24"/>
          <w:szCs w:val="24"/>
        </w:rPr>
      </w:pPr>
      <w:r w:rsidRPr="00C35167">
        <w:rPr>
          <w:rFonts w:ascii="Times New Roman" w:eastAsia="Calibri" w:hAnsi="Times New Roman" w:cs="Times New Roman"/>
          <w:iCs/>
          <w:color w:val="000000"/>
          <w:sz w:val="24"/>
          <w:szCs w:val="28"/>
        </w:rPr>
        <w:t xml:space="preserve">Рисунок </w:t>
      </w:r>
      <w:r w:rsidR="00762548">
        <w:rPr>
          <w:rFonts w:ascii="Times New Roman" w:eastAsia="Calibri" w:hAnsi="Times New Roman" w:cs="Times New Roman"/>
          <w:iCs/>
          <w:color w:val="000000"/>
          <w:sz w:val="24"/>
          <w:szCs w:val="28"/>
        </w:rPr>
        <w:t>52</w:t>
      </w:r>
      <w:r w:rsidRPr="00C35167">
        <w:rPr>
          <w:rFonts w:ascii="Times New Roman" w:eastAsia="Calibri" w:hAnsi="Times New Roman" w:cs="Times New Roman"/>
          <w:iCs/>
          <w:color w:val="000000"/>
          <w:sz w:val="24"/>
          <w:szCs w:val="28"/>
        </w:rPr>
        <w:t>. ВОПРОС:</w:t>
      </w:r>
      <w:r w:rsidRPr="00C35167">
        <w:rPr>
          <w:rFonts w:ascii="Times New Roman" w:eastAsia="Calibri" w:hAnsi="Times New Roman" w:cs="Times New Roman"/>
          <w:color w:val="000000"/>
        </w:rPr>
        <w:t xml:space="preserve"> </w:t>
      </w:r>
      <w:r w:rsidRPr="00C35167">
        <w:rPr>
          <w:rFonts w:ascii="Times New Roman" w:eastAsia="Calibri" w:hAnsi="Times New Roman" w:cs="Times New Roman"/>
          <w:b/>
          <w:iCs/>
          <w:color w:val="000000"/>
          <w:sz w:val="24"/>
          <w:szCs w:val="28"/>
        </w:rPr>
        <w:t xml:space="preserve">Какими из перечисленных финансовых продуктов (услуг) Вы пользовались за последние 12 месяцев? </w:t>
      </w:r>
      <w:r w:rsidRPr="00C35167">
        <w:rPr>
          <w:rFonts w:ascii="Times New Roman" w:eastAsia="Calibri" w:hAnsi="Times New Roman" w:cs="Times New Roman"/>
          <w:b/>
          <w:iCs/>
          <w:color w:val="000000"/>
          <w:sz w:val="24"/>
          <w:szCs w:val="28"/>
          <w:u w:val="single"/>
        </w:rPr>
        <w:t>Страховые продукты</w:t>
      </w:r>
      <w:r w:rsidRPr="00C35167">
        <w:rPr>
          <w:rFonts w:ascii="Times New Roman" w:eastAsia="Calibri" w:hAnsi="Times New Roman" w:cs="Times New Roman"/>
          <w:b/>
          <w:iCs/>
          <w:color w:val="000000"/>
          <w:sz w:val="24"/>
          <w:szCs w:val="28"/>
        </w:rPr>
        <w:t xml:space="preserve">. </w:t>
      </w:r>
      <w:r w:rsidRPr="00C35167">
        <w:rPr>
          <w:rFonts w:ascii="Times New Roman" w:eastAsia="Calibri" w:hAnsi="Times New Roman" w:cs="Times New Roman"/>
          <w:noProof/>
          <w:color w:val="000000"/>
          <w:sz w:val="24"/>
          <w:szCs w:val="24"/>
        </w:rPr>
        <w:t xml:space="preserve">(опрос населения, </w:t>
      </w:r>
      <w:r w:rsidRPr="00C35167">
        <w:rPr>
          <w:rFonts w:ascii="Times New Roman" w:eastAsia="Calibri" w:hAnsi="Times New Roman" w:cs="Times New Roman"/>
          <w:color w:val="000000"/>
          <w:sz w:val="24"/>
          <w:szCs w:val="24"/>
        </w:rPr>
        <w:t>n=1200)</w:t>
      </w:r>
    </w:p>
    <w:p w:rsidR="00C35167" w:rsidRPr="00C35167" w:rsidRDefault="00C35167" w:rsidP="00C35167">
      <w:pPr>
        <w:spacing w:before="240" w:after="120" w:line="240" w:lineRule="auto"/>
        <w:jc w:val="both"/>
        <w:rPr>
          <w:rFonts w:ascii="Times New Roman" w:eastAsia="Calibri" w:hAnsi="Times New Roman" w:cs="Times New Roman"/>
          <w:color w:val="000000"/>
          <w:sz w:val="24"/>
          <w:szCs w:val="24"/>
        </w:rPr>
      </w:pPr>
      <w:r w:rsidRPr="00C35167">
        <w:rPr>
          <w:rFonts w:ascii="Times New Roman" w:eastAsia="Franklin Gothic Book" w:hAnsi="Times New Roman" w:cs="Times New Roman"/>
          <w:noProof/>
          <w:color w:val="000000"/>
          <w:szCs w:val="24"/>
          <w:u w:color="000000"/>
          <w:shd w:val="clear" w:color="auto" w:fill="C5E0B3"/>
          <w:lang w:eastAsia="ru-RU"/>
        </w:rPr>
        <w:drawing>
          <wp:inline distT="0" distB="0" distL="0" distR="0" wp14:anchorId="0CA118DC" wp14:editId="1B4359CF">
            <wp:extent cx="6193155" cy="2295525"/>
            <wp:effectExtent l="0" t="0" r="0" b="0"/>
            <wp:docPr id="1061" name="Диаграмма 10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C35167" w:rsidRPr="00C35167" w:rsidRDefault="00C35167" w:rsidP="00C35167">
      <w:pPr>
        <w:jc w:val="both"/>
        <w:rPr>
          <w:rFonts w:ascii="Times New Roman" w:eastAsia="Calibri" w:hAnsi="Times New Roman" w:cs="Times New Roman"/>
          <w:iCs/>
          <w:color w:val="000000"/>
          <w:sz w:val="16"/>
          <w:szCs w:val="16"/>
        </w:rPr>
      </w:pPr>
    </w:p>
    <w:p w:rsidR="00C35167" w:rsidRPr="00C35167" w:rsidRDefault="00C35167" w:rsidP="00762548">
      <w:pPr>
        <w:keepNext/>
        <w:keepLines/>
        <w:spacing w:before="120" w:after="120" w:line="240" w:lineRule="auto"/>
        <w:jc w:val="center"/>
        <w:rPr>
          <w:rFonts w:ascii="Times New Roman" w:eastAsia="Calibri" w:hAnsi="Times New Roman" w:cs="Times New Roman"/>
          <w:color w:val="000000"/>
        </w:rPr>
      </w:pPr>
      <w:r w:rsidRPr="00C35167">
        <w:rPr>
          <w:rFonts w:ascii="Times New Roman" w:eastAsia="Calibri" w:hAnsi="Times New Roman" w:cs="Times New Roman"/>
          <w:iCs/>
          <w:color w:val="000000"/>
          <w:sz w:val="24"/>
          <w:szCs w:val="28"/>
        </w:rPr>
        <w:t xml:space="preserve">Таблица </w:t>
      </w:r>
      <w:r w:rsidR="00762548">
        <w:rPr>
          <w:rFonts w:ascii="Times New Roman" w:eastAsia="Calibri" w:hAnsi="Times New Roman" w:cs="Times New Roman"/>
          <w:iCs/>
          <w:color w:val="000000"/>
          <w:sz w:val="24"/>
          <w:szCs w:val="28"/>
        </w:rPr>
        <w:t>47</w:t>
      </w:r>
      <w:r w:rsidRPr="00C35167">
        <w:rPr>
          <w:rFonts w:ascii="Times New Roman" w:eastAsia="Calibri" w:hAnsi="Times New Roman" w:cs="Times New Roman"/>
          <w:iCs/>
          <w:color w:val="000000"/>
          <w:sz w:val="24"/>
          <w:szCs w:val="28"/>
        </w:rPr>
        <w:t xml:space="preserve">. Использование финансовых продуктов (услуг) за последние 12 месяцев. </w:t>
      </w:r>
      <w:r w:rsidRPr="00C35167">
        <w:rPr>
          <w:rFonts w:ascii="Times New Roman" w:eastAsia="Calibri" w:hAnsi="Times New Roman" w:cs="Times New Roman"/>
          <w:iCs/>
          <w:color w:val="000000"/>
          <w:sz w:val="24"/>
          <w:szCs w:val="28"/>
          <w:u w:val="single"/>
        </w:rPr>
        <w:t>Страховые продукты</w:t>
      </w:r>
      <w:r w:rsidRPr="00C35167">
        <w:rPr>
          <w:rFonts w:ascii="Times New Roman" w:eastAsia="Calibri" w:hAnsi="Times New Roman" w:cs="Times New Roman"/>
          <w:iCs/>
          <w:color w:val="000000"/>
          <w:sz w:val="24"/>
          <w:szCs w:val="28"/>
        </w:rPr>
        <w:t>. (опрос населения, n=1200)</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859"/>
        <w:gridCol w:w="1058"/>
        <w:gridCol w:w="1056"/>
        <w:gridCol w:w="1058"/>
        <w:gridCol w:w="1058"/>
        <w:gridCol w:w="1160"/>
        <w:gridCol w:w="951"/>
        <w:gridCol w:w="1070"/>
      </w:tblGrid>
      <w:tr w:rsidR="00C35167" w:rsidRPr="00C35167" w:rsidTr="003B4122">
        <w:trPr>
          <w:cantSplit/>
          <w:trHeight w:val="2107"/>
          <w:tblHeader/>
        </w:trPr>
        <w:tc>
          <w:tcPr>
            <w:tcW w:w="966" w:type="pct"/>
            <w:shd w:val="clear" w:color="auto" w:fill="auto"/>
            <w:noWrap/>
            <w:vAlign w:val="center"/>
          </w:tcPr>
          <w:p w:rsidR="00C35167" w:rsidRPr="003B4122" w:rsidRDefault="00C35167" w:rsidP="00C35167">
            <w:pPr>
              <w:spacing w:after="0" w:line="240" w:lineRule="auto"/>
              <w:jc w:val="center"/>
              <w:rPr>
                <w:rFonts w:ascii="Times New Roman" w:eastAsia="Times New Roman" w:hAnsi="Times New Roman" w:cs="Times New Roman"/>
                <w:color w:val="000000"/>
                <w:lang w:eastAsia="ru-RU"/>
              </w:rPr>
            </w:pPr>
          </w:p>
        </w:tc>
        <w:tc>
          <w:tcPr>
            <w:tcW w:w="419" w:type="pct"/>
            <w:shd w:val="clear" w:color="auto" w:fill="auto"/>
            <w:textDirection w:val="btLr"/>
            <w:vAlign w:val="cente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color w:val="000000"/>
              </w:rPr>
              <w:t>В целом по области</w:t>
            </w:r>
          </w:p>
        </w:tc>
        <w:tc>
          <w:tcPr>
            <w:tcW w:w="516" w:type="pct"/>
            <w:shd w:val="clear" w:color="auto" w:fill="auto"/>
            <w:textDirection w:val="btL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Работаю</w:t>
            </w:r>
          </w:p>
        </w:tc>
        <w:tc>
          <w:tcPr>
            <w:tcW w:w="515" w:type="pct"/>
            <w:shd w:val="clear" w:color="auto" w:fill="auto"/>
            <w:textDirection w:val="btL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Безработный</w:t>
            </w:r>
          </w:p>
        </w:tc>
        <w:tc>
          <w:tcPr>
            <w:tcW w:w="516" w:type="pct"/>
            <w:shd w:val="clear" w:color="auto" w:fill="auto"/>
            <w:textDirection w:val="btL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Учусь/студент</w:t>
            </w:r>
          </w:p>
        </w:tc>
        <w:tc>
          <w:tcPr>
            <w:tcW w:w="516" w:type="pct"/>
            <w:shd w:val="clear" w:color="auto" w:fill="auto"/>
            <w:textDirection w:val="btL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Домохозяйка (домохозяин)</w:t>
            </w:r>
          </w:p>
        </w:tc>
        <w:tc>
          <w:tcPr>
            <w:tcW w:w="566" w:type="pct"/>
            <w:shd w:val="clear" w:color="auto" w:fill="auto"/>
            <w:textDirection w:val="btL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Пенсионер (в т.ч. по инвалидности)</w:t>
            </w:r>
          </w:p>
        </w:tc>
        <w:tc>
          <w:tcPr>
            <w:tcW w:w="464" w:type="pct"/>
            <w:shd w:val="clear" w:color="auto" w:fill="auto"/>
            <w:textDirection w:val="btL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Самозанятый</w:t>
            </w:r>
          </w:p>
        </w:tc>
        <w:tc>
          <w:tcPr>
            <w:tcW w:w="520" w:type="pct"/>
            <w:shd w:val="clear" w:color="auto" w:fill="auto"/>
            <w:textDirection w:val="btL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Предприниматель</w:t>
            </w:r>
          </w:p>
        </w:tc>
      </w:tr>
      <w:tr w:rsidR="00C35167" w:rsidRPr="00C35167" w:rsidTr="003A1D5A">
        <w:trPr>
          <w:trHeight w:val="414"/>
        </w:trPr>
        <w:tc>
          <w:tcPr>
            <w:tcW w:w="5000" w:type="pct"/>
            <w:gridSpan w:val="9"/>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b/>
                <w:bCs/>
                <w:color w:val="000000"/>
              </w:rPr>
              <w:t>Добровольное страхование жизни</w:t>
            </w:r>
          </w:p>
        </w:tc>
      </w:tr>
      <w:tr w:rsidR="00C35167" w:rsidRPr="00C35167" w:rsidTr="003A1D5A">
        <w:trPr>
          <w:trHeight w:val="655"/>
        </w:trPr>
        <w:tc>
          <w:tcPr>
            <w:tcW w:w="966" w:type="pct"/>
            <w:shd w:val="clear" w:color="auto" w:fill="auto"/>
            <w:vAlign w:val="center"/>
          </w:tcPr>
          <w:p w:rsidR="00C35167" w:rsidRPr="003B4122" w:rsidRDefault="00C35167" w:rsidP="00C35167">
            <w:pPr>
              <w:spacing w:after="0" w:line="240" w:lineRule="auto"/>
              <w:jc w:val="center"/>
              <w:rPr>
                <w:rFonts w:ascii="Times New Roman" w:eastAsia="Times New Roman" w:hAnsi="Times New Roman" w:cs="Times New Roman"/>
                <w:b/>
                <w:color w:val="000000"/>
                <w:lang w:eastAsia="ru-RU"/>
              </w:rPr>
            </w:pPr>
            <w:r w:rsidRPr="003B4122">
              <w:rPr>
                <w:rFonts w:ascii="Times New Roman" w:eastAsia="Calibri" w:hAnsi="Times New Roman" w:cs="Times New Roman"/>
                <w:color w:val="000000"/>
              </w:rPr>
              <w:t>Имеется сейчас</w:t>
            </w:r>
          </w:p>
        </w:tc>
        <w:tc>
          <w:tcPr>
            <w:tcW w:w="419"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14%</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16%</w:t>
            </w:r>
          </w:p>
        </w:tc>
        <w:tc>
          <w:tcPr>
            <w:tcW w:w="51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11%</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18%</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w:t>
            </w:r>
          </w:p>
        </w:tc>
        <w:tc>
          <w:tcPr>
            <w:tcW w:w="56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w:t>
            </w:r>
          </w:p>
        </w:tc>
        <w:tc>
          <w:tcPr>
            <w:tcW w:w="46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w:t>
            </w:r>
          </w:p>
        </w:tc>
        <w:tc>
          <w:tcPr>
            <w:tcW w:w="52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26%</w:t>
            </w:r>
          </w:p>
        </w:tc>
      </w:tr>
      <w:tr w:rsidR="00C35167" w:rsidRPr="00C35167" w:rsidTr="003A1D5A">
        <w:trPr>
          <w:trHeight w:val="6"/>
        </w:trPr>
        <w:tc>
          <w:tcPr>
            <w:tcW w:w="966" w:type="pct"/>
            <w:shd w:val="clear" w:color="auto" w:fill="auto"/>
            <w:vAlign w:val="center"/>
          </w:tcPr>
          <w:p w:rsidR="00C35167" w:rsidRPr="003B4122" w:rsidRDefault="00C35167" w:rsidP="00C35167">
            <w:pPr>
              <w:spacing w:after="0" w:line="240" w:lineRule="auto"/>
              <w:jc w:val="center"/>
              <w:rPr>
                <w:rFonts w:ascii="Times New Roman" w:eastAsia="Times New Roman" w:hAnsi="Times New Roman" w:cs="Times New Roman"/>
                <w:b/>
                <w:color w:val="000000"/>
                <w:lang w:eastAsia="ru-RU"/>
              </w:rPr>
            </w:pPr>
            <w:r w:rsidRPr="003B4122">
              <w:rPr>
                <w:rFonts w:ascii="Times New Roman" w:eastAsia="Calibri" w:hAnsi="Times New Roman" w:cs="Times New Roman"/>
                <w:color w:val="000000"/>
              </w:rPr>
              <w:t>Не имеется сейчас, но использовался за последние 12 месяцев</w:t>
            </w:r>
          </w:p>
        </w:tc>
        <w:tc>
          <w:tcPr>
            <w:tcW w:w="419"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9%</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11%</w:t>
            </w:r>
          </w:p>
        </w:tc>
        <w:tc>
          <w:tcPr>
            <w:tcW w:w="51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12%</w:t>
            </w:r>
          </w:p>
        </w:tc>
        <w:tc>
          <w:tcPr>
            <w:tcW w:w="56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w:t>
            </w:r>
          </w:p>
        </w:tc>
        <w:tc>
          <w:tcPr>
            <w:tcW w:w="46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13%</w:t>
            </w:r>
          </w:p>
        </w:tc>
        <w:tc>
          <w:tcPr>
            <w:tcW w:w="52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14%</w:t>
            </w:r>
          </w:p>
        </w:tc>
      </w:tr>
      <w:tr w:rsidR="00C35167" w:rsidRPr="00C35167" w:rsidTr="003A1D5A">
        <w:trPr>
          <w:trHeight w:val="6"/>
        </w:trPr>
        <w:tc>
          <w:tcPr>
            <w:tcW w:w="966" w:type="pct"/>
            <w:shd w:val="clear" w:color="auto" w:fill="auto"/>
            <w:vAlign w:val="center"/>
          </w:tcPr>
          <w:p w:rsidR="00C35167" w:rsidRPr="003B4122" w:rsidRDefault="00C35167" w:rsidP="00C35167">
            <w:pPr>
              <w:spacing w:after="0" w:line="240" w:lineRule="auto"/>
              <w:jc w:val="center"/>
              <w:rPr>
                <w:rFonts w:ascii="Times New Roman" w:eastAsia="Times New Roman" w:hAnsi="Times New Roman" w:cs="Times New Roman"/>
                <w:b/>
                <w:color w:val="000000"/>
                <w:lang w:eastAsia="ru-RU"/>
              </w:rPr>
            </w:pPr>
            <w:r w:rsidRPr="003B4122">
              <w:rPr>
                <w:rFonts w:ascii="Times New Roman" w:eastAsia="Calibri" w:hAnsi="Times New Roman" w:cs="Times New Roman"/>
                <w:color w:val="000000"/>
              </w:rPr>
              <w:t>Не использовался за последние 12 месяцев</w:t>
            </w:r>
          </w:p>
        </w:tc>
        <w:tc>
          <w:tcPr>
            <w:tcW w:w="419"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77%</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72%</w:t>
            </w:r>
          </w:p>
        </w:tc>
        <w:tc>
          <w:tcPr>
            <w:tcW w:w="51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84%</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80%</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83%</w:t>
            </w:r>
          </w:p>
        </w:tc>
        <w:tc>
          <w:tcPr>
            <w:tcW w:w="56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92%</w:t>
            </w:r>
          </w:p>
        </w:tc>
        <w:tc>
          <w:tcPr>
            <w:tcW w:w="46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79%</w:t>
            </w:r>
          </w:p>
        </w:tc>
        <w:tc>
          <w:tcPr>
            <w:tcW w:w="52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60%</w:t>
            </w:r>
          </w:p>
        </w:tc>
      </w:tr>
      <w:tr w:rsidR="00C35167" w:rsidRPr="00C35167" w:rsidTr="003A1D5A">
        <w:trPr>
          <w:trHeight w:val="404"/>
        </w:trPr>
        <w:tc>
          <w:tcPr>
            <w:tcW w:w="5000" w:type="pct"/>
            <w:gridSpan w:val="9"/>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b/>
                <w:bCs/>
                <w:color w:val="000000"/>
              </w:rPr>
              <w:t>Другое добровольное страхование, кроме страхования жизни</w:t>
            </w:r>
          </w:p>
        </w:tc>
      </w:tr>
      <w:tr w:rsidR="00C35167" w:rsidRPr="00C35167" w:rsidTr="003A1D5A">
        <w:trPr>
          <w:trHeight w:val="371"/>
        </w:trPr>
        <w:tc>
          <w:tcPr>
            <w:tcW w:w="966"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Имеется сейчас</w:t>
            </w:r>
          </w:p>
        </w:tc>
        <w:tc>
          <w:tcPr>
            <w:tcW w:w="419"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27%</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35%</w:t>
            </w:r>
          </w:p>
        </w:tc>
        <w:tc>
          <w:tcPr>
            <w:tcW w:w="51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16%</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15%</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13%</w:t>
            </w:r>
          </w:p>
        </w:tc>
        <w:tc>
          <w:tcPr>
            <w:tcW w:w="56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11%</w:t>
            </w:r>
          </w:p>
        </w:tc>
        <w:tc>
          <w:tcPr>
            <w:tcW w:w="46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25%</w:t>
            </w:r>
          </w:p>
        </w:tc>
        <w:tc>
          <w:tcPr>
            <w:tcW w:w="52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21%</w:t>
            </w:r>
          </w:p>
        </w:tc>
      </w:tr>
      <w:tr w:rsidR="00C35167" w:rsidRPr="00C35167" w:rsidTr="003A1D5A">
        <w:trPr>
          <w:trHeight w:val="6"/>
        </w:trPr>
        <w:tc>
          <w:tcPr>
            <w:tcW w:w="966"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Не имеется сейчас, но использовался за последние 12 месяцев</w:t>
            </w:r>
          </w:p>
        </w:tc>
        <w:tc>
          <w:tcPr>
            <w:tcW w:w="419"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6%</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w:t>
            </w:r>
          </w:p>
        </w:tc>
        <w:tc>
          <w:tcPr>
            <w:tcW w:w="51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10%</w:t>
            </w:r>
          </w:p>
        </w:tc>
        <w:tc>
          <w:tcPr>
            <w:tcW w:w="56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w:t>
            </w:r>
          </w:p>
        </w:tc>
        <w:tc>
          <w:tcPr>
            <w:tcW w:w="46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w:t>
            </w:r>
          </w:p>
        </w:tc>
        <w:tc>
          <w:tcPr>
            <w:tcW w:w="52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w:t>
            </w:r>
          </w:p>
        </w:tc>
      </w:tr>
      <w:tr w:rsidR="00C35167" w:rsidRPr="00C35167" w:rsidTr="003A1D5A">
        <w:trPr>
          <w:trHeight w:val="6"/>
        </w:trPr>
        <w:tc>
          <w:tcPr>
            <w:tcW w:w="966" w:type="pct"/>
            <w:shd w:val="clear" w:color="auto" w:fill="auto"/>
            <w:vAlign w:val="center"/>
          </w:tcPr>
          <w:p w:rsidR="00C35167" w:rsidRPr="003B4122" w:rsidRDefault="00C35167" w:rsidP="00C35167">
            <w:pPr>
              <w:spacing w:after="0" w:line="240" w:lineRule="auto"/>
              <w:jc w:val="center"/>
              <w:rPr>
                <w:rFonts w:ascii="Times New Roman" w:eastAsia="Times New Roman" w:hAnsi="Times New Roman" w:cs="Times New Roman"/>
                <w:b/>
                <w:color w:val="000000"/>
                <w:lang w:eastAsia="ru-RU"/>
              </w:rPr>
            </w:pPr>
            <w:r w:rsidRPr="003B4122">
              <w:rPr>
                <w:rFonts w:ascii="Times New Roman" w:eastAsia="Calibri" w:hAnsi="Times New Roman" w:cs="Times New Roman"/>
                <w:color w:val="000000"/>
              </w:rPr>
              <w:t>Не использовался за последние 12 месяцев</w:t>
            </w:r>
          </w:p>
        </w:tc>
        <w:tc>
          <w:tcPr>
            <w:tcW w:w="419"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67%</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59%</w:t>
            </w:r>
          </w:p>
        </w:tc>
        <w:tc>
          <w:tcPr>
            <w:tcW w:w="51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80%</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78%</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78%</w:t>
            </w:r>
          </w:p>
        </w:tc>
        <w:tc>
          <w:tcPr>
            <w:tcW w:w="56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85%</w:t>
            </w:r>
          </w:p>
        </w:tc>
        <w:tc>
          <w:tcPr>
            <w:tcW w:w="46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70%</w:t>
            </w:r>
          </w:p>
        </w:tc>
        <w:tc>
          <w:tcPr>
            <w:tcW w:w="52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79%</w:t>
            </w:r>
          </w:p>
        </w:tc>
      </w:tr>
      <w:tr w:rsidR="00C35167" w:rsidRPr="00C35167" w:rsidTr="003A1D5A">
        <w:trPr>
          <w:trHeight w:val="394"/>
        </w:trPr>
        <w:tc>
          <w:tcPr>
            <w:tcW w:w="5000" w:type="pct"/>
            <w:gridSpan w:val="9"/>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b/>
                <w:bCs/>
                <w:color w:val="000000"/>
              </w:rPr>
              <w:t>Другое обязательное страхование, кроме обязательного медицинского страхования</w:t>
            </w:r>
          </w:p>
        </w:tc>
      </w:tr>
      <w:tr w:rsidR="00C35167" w:rsidRPr="00C35167" w:rsidTr="003A1D5A">
        <w:trPr>
          <w:trHeight w:val="359"/>
        </w:trPr>
        <w:tc>
          <w:tcPr>
            <w:tcW w:w="966"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Имеется сейчас</w:t>
            </w:r>
          </w:p>
        </w:tc>
        <w:tc>
          <w:tcPr>
            <w:tcW w:w="419"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16%</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20%</w:t>
            </w:r>
          </w:p>
        </w:tc>
        <w:tc>
          <w:tcPr>
            <w:tcW w:w="51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13%</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w:t>
            </w:r>
          </w:p>
        </w:tc>
        <w:tc>
          <w:tcPr>
            <w:tcW w:w="56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w:t>
            </w:r>
          </w:p>
        </w:tc>
        <w:tc>
          <w:tcPr>
            <w:tcW w:w="46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13%</w:t>
            </w:r>
          </w:p>
        </w:tc>
        <w:tc>
          <w:tcPr>
            <w:tcW w:w="52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14%</w:t>
            </w:r>
          </w:p>
        </w:tc>
      </w:tr>
      <w:tr w:rsidR="00C35167" w:rsidRPr="00C35167" w:rsidTr="003A1D5A">
        <w:trPr>
          <w:trHeight w:val="6"/>
        </w:trPr>
        <w:tc>
          <w:tcPr>
            <w:tcW w:w="966"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Не имеется сейчас, но использовался за последние 12 месяцев</w:t>
            </w:r>
          </w:p>
        </w:tc>
        <w:tc>
          <w:tcPr>
            <w:tcW w:w="419"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8%</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10%</w:t>
            </w:r>
          </w:p>
        </w:tc>
        <w:tc>
          <w:tcPr>
            <w:tcW w:w="51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9%</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w:t>
            </w:r>
          </w:p>
        </w:tc>
        <w:tc>
          <w:tcPr>
            <w:tcW w:w="56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w:t>
            </w:r>
          </w:p>
        </w:tc>
        <w:tc>
          <w:tcPr>
            <w:tcW w:w="46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w:t>
            </w:r>
          </w:p>
        </w:tc>
        <w:tc>
          <w:tcPr>
            <w:tcW w:w="52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19%</w:t>
            </w:r>
          </w:p>
        </w:tc>
      </w:tr>
      <w:tr w:rsidR="00C35167" w:rsidRPr="00C35167" w:rsidTr="003A1D5A">
        <w:trPr>
          <w:trHeight w:val="6"/>
        </w:trPr>
        <w:tc>
          <w:tcPr>
            <w:tcW w:w="966"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Не использовался за последние 12 месяцев</w:t>
            </w:r>
          </w:p>
        </w:tc>
        <w:tc>
          <w:tcPr>
            <w:tcW w:w="419"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76%</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70%</w:t>
            </w:r>
          </w:p>
        </w:tc>
        <w:tc>
          <w:tcPr>
            <w:tcW w:w="51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85%</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84%</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87%</w:t>
            </w:r>
          </w:p>
        </w:tc>
        <w:tc>
          <w:tcPr>
            <w:tcW w:w="56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89%</w:t>
            </w:r>
          </w:p>
        </w:tc>
        <w:tc>
          <w:tcPr>
            <w:tcW w:w="46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79%</w:t>
            </w:r>
          </w:p>
        </w:tc>
        <w:tc>
          <w:tcPr>
            <w:tcW w:w="520"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67%</w:t>
            </w:r>
          </w:p>
        </w:tc>
      </w:tr>
    </w:tbl>
    <w:p w:rsidR="00C35167" w:rsidRPr="00C35167" w:rsidRDefault="00C35167" w:rsidP="00C35167">
      <w:pPr>
        <w:spacing w:after="0" w:line="360" w:lineRule="auto"/>
        <w:ind w:firstLine="709"/>
        <w:contextualSpacing/>
        <w:jc w:val="both"/>
        <w:rPr>
          <w:rFonts w:ascii="Times New Roman" w:eastAsia="Times New Roman" w:hAnsi="Times New Roman" w:cs="Times New Roman"/>
          <w:color w:val="000000"/>
          <w:sz w:val="28"/>
          <w:szCs w:val="28"/>
          <w:lang w:eastAsia="ru-RU"/>
        </w:rPr>
      </w:pPr>
    </w:p>
    <w:p w:rsidR="00C35167" w:rsidRPr="00762548" w:rsidRDefault="00C35167"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762548">
        <w:rPr>
          <w:rFonts w:ascii="Times New Roman" w:eastAsia="Times New Roman" w:hAnsi="Times New Roman" w:cs="Times New Roman"/>
          <w:color w:val="000000"/>
          <w:sz w:val="24"/>
          <w:szCs w:val="24"/>
          <w:lang w:eastAsia="ru-RU"/>
        </w:rPr>
        <w:t>Среди всех рассматриваемых страховых продуктов наименее популярным среди населения Ленинградской области является добровольное страхование жизни. В течение последних 12 месяцев пользовались данным продуктом 23% респондентов (14% использовали на момент опроса, 9% - ранее в течение года). В разрезе по социальному статусу участников исследования можно отметить наименьшую востребованность добровольного страхования жизни среди пенсионеров (92% не используют), лиц, занимающихся домашним хозяйством (83% не используют) и безработных (84% не используют). Иных статистически значимых отличий не зафиксировано.</w:t>
      </w:r>
    </w:p>
    <w:p w:rsidR="00C35167" w:rsidRPr="00762548" w:rsidRDefault="00C35167"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762548">
        <w:rPr>
          <w:rFonts w:ascii="Times New Roman" w:eastAsia="Times New Roman" w:hAnsi="Times New Roman" w:cs="Times New Roman"/>
          <w:color w:val="000000"/>
          <w:sz w:val="24"/>
          <w:szCs w:val="24"/>
          <w:lang w:eastAsia="ru-RU"/>
        </w:rPr>
        <w:t>Другое добровольное страхование, кроме страхования жизни, использовали в течение последнего года 33% жителей региона (27% использовали на момент опроса, 6% - ранее в течение 12 месяцев). Наиболее популярен данный продукт у работающего населения (35% и 7% соответственно). Минимальный спрос на рассматриваемый вид страхования демонстрируют пенсионеры (86% не пользовались) и безработные (80% не пользовались).</w:t>
      </w:r>
    </w:p>
    <w:p w:rsidR="00C35167" w:rsidRDefault="00C35167"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762548">
        <w:rPr>
          <w:rFonts w:ascii="Times New Roman" w:eastAsia="Times New Roman" w:hAnsi="Times New Roman" w:cs="Times New Roman"/>
          <w:color w:val="000000"/>
          <w:sz w:val="24"/>
          <w:szCs w:val="24"/>
          <w:lang w:eastAsia="ru-RU"/>
        </w:rPr>
        <w:t>Другое обязательное страхование, кроме обязательного медицинского страхования также более распространено среди работающих граждан (20% используют сейчас, 10% - использовали ранее; средние данные по Ленинградской области – 16% и 8% соответственно). Наименее востребован данный страховой продукт среди пенсионеров (89% не пользовались).</w:t>
      </w:r>
    </w:p>
    <w:p w:rsidR="003B4122" w:rsidRPr="00762548" w:rsidRDefault="003B4122"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p>
    <w:p w:rsidR="00C35167" w:rsidRPr="00762548" w:rsidRDefault="00C35167" w:rsidP="00C35167">
      <w:pPr>
        <w:keepNext/>
        <w:keepLines/>
        <w:spacing w:before="40" w:after="240" w:line="240" w:lineRule="auto"/>
        <w:jc w:val="center"/>
        <w:outlineLvl w:val="2"/>
        <w:rPr>
          <w:rFonts w:ascii="Times New Roman" w:eastAsia="Arial" w:hAnsi="Times New Roman" w:cs="Times New Roman"/>
          <w:b/>
          <w:color w:val="000000"/>
          <w:sz w:val="24"/>
          <w:szCs w:val="24"/>
          <w:lang w:eastAsia="ru-RU"/>
        </w:rPr>
      </w:pPr>
      <w:bookmarkStart w:id="83" w:name="_Toc119695552"/>
      <w:bookmarkStart w:id="84" w:name="_Toc122720255"/>
      <w:r w:rsidRPr="00762548">
        <w:rPr>
          <w:rFonts w:ascii="Times New Roman" w:eastAsia="Arial" w:hAnsi="Times New Roman" w:cs="Times New Roman"/>
          <w:b/>
          <w:color w:val="000000"/>
          <w:sz w:val="24"/>
          <w:szCs w:val="24"/>
          <w:lang w:eastAsia="ru-RU"/>
        </w:rPr>
        <w:t>3.7.2. О возможности использования населением различных каналов доступа к финансовым услугам (в том числе дистанционных)</w:t>
      </w:r>
      <w:bookmarkEnd w:id="83"/>
      <w:bookmarkEnd w:id="84"/>
    </w:p>
    <w:p w:rsidR="00C35167" w:rsidRPr="00762548" w:rsidRDefault="00C35167" w:rsidP="00C35167">
      <w:pPr>
        <w:spacing w:after="0" w:line="360" w:lineRule="auto"/>
        <w:ind w:firstLine="709"/>
        <w:contextualSpacing/>
        <w:jc w:val="both"/>
        <w:rPr>
          <w:rFonts w:ascii="Times New Roman" w:eastAsia="Calibri" w:hAnsi="Times New Roman" w:cs="Times New Roman"/>
          <w:iCs/>
          <w:color w:val="000000"/>
          <w:sz w:val="24"/>
          <w:szCs w:val="24"/>
        </w:rPr>
      </w:pPr>
      <w:r w:rsidRPr="00762548">
        <w:rPr>
          <w:rFonts w:ascii="Times New Roman" w:eastAsia="Calibri" w:hAnsi="Times New Roman" w:cs="Times New Roman"/>
          <w:iCs/>
          <w:color w:val="000000"/>
          <w:sz w:val="24"/>
          <w:szCs w:val="24"/>
        </w:rPr>
        <w:t xml:space="preserve">Согласно данным, опубликованным на официальном сайте Центрального Банка Российской Федерации, количество устройств для осуществления оффлайн-операций на территории Ленинградской области остается достаточно стабильным. Отмечается видимая положительная динамика количества терминалов (49509 по состоянию на 1 июля 2022 г. против 47760 по состоянию на 1 января 2022 г.) незначительная отрицательная количества банкоматов (1223 по состоянию на 1 июля 2022 г. против 1242 по состоянию на 1 января 2022 г.). </w:t>
      </w:r>
    </w:p>
    <w:p w:rsidR="00C35167" w:rsidRPr="00762548" w:rsidRDefault="00C35167" w:rsidP="00C35167">
      <w:pPr>
        <w:spacing w:after="0" w:line="360" w:lineRule="auto"/>
        <w:ind w:firstLine="709"/>
        <w:contextualSpacing/>
        <w:jc w:val="both"/>
        <w:rPr>
          <w:rFonts w:ascii="Times New Roman" w:eastAsia="Calibri" w:hAnsi="Times New Roman" w:cs="Times New Roman"/>
          <w:iCs/>
          <w:color w:val="000000"/>
          <w:sz w:val="24"/>
          <w:szCs w:val="24"/>
        </w:rPr>
      </w:pPr>
    </w:p>
    <w:p w:rsidR="00C35167" w:rsidRDefault="00C35167" w:rsidP="00762548">
      <w:pPr>
        <w:keepNext/>
        <w:keepLines/>
        <w:spacing w:before="120" w:after="120" w:line="240" w:lineRule="auto"/>
        <w:contextualSpacing/>
        <w:jc w:val="center"/>
        <w:rPr>
          <w:rFonts w:ascii="Times New Roman" w:eastAsia="Calibri" w:hAnsi="Times New Roman" w:cs="Times New Roman"/>
          <w:iCs/>
          <w:color w:val="000000"/>
          <w:sz w:val="24"/>
          <w:szCs w:val="24"/>
        </w:rPr>
      </w:pPr>
      <w:r w:rsidRPr="00C35167">
        <w:rPr>
          <w:rFonts w:ascii="Times New Roman" w:eastAsia="Calibri" w:hAnsi="Times New Roman" w:cs="Times New Roman"/>
          <w:iCs/>
          <w:color w:val="000000"/>
          <w:sz w:val="24"/>
          <w:szCs w:val="24"/>
        </w:rPr>
        <w:t xml:space="preserve">Таблица </w:t>
      </w:r>
      <w:r w:rsidR="00762548">
        <w:rPr>
          <w:rFonts w:ascii="Times New Roman" w:eastAsia="Calibri" w:hAnsi="Times New Roman" w:cs="Times New Roman"/>
          <w:iCs/>
          <w:color w:val="000000"/>
          <w:sz w:val="24"/>
          <w:szCs w:val="24"/>
        </w:rPr>
        <w:t>48</w:t>
      </w:r>
      <w:r w:rsidRPr="00C35167">
        <w:rPr>
          <w:rFonts w:ascii="Times New Roman" w:eastAsia="Calibri" w:hAnsi="Times New Roman" w:cs="Times New Roman"/>
          <w:iCs/>
          <w:color w:val="000000"/>
          <w:sz w:val="24"/>
          <w:szCs w:val="24"/>
        </w:rPr>
        <w:t xml:space="preserve">. </w:t>
      </w:r>
      <w:r w:rsidRPr="00C35167">
        <w:rPr>
          <w:rFonts w:ascii="Times New Roman" w:eastAsia="Calibri" w:hAnsi="Times New Roman" w:cs="Times New Roman"/>
          <w:bCs/>
          <w:iCs/>
          <w:color w:val="000000"/>
          <w:sz w:val="24"/>
          <w:szCs w:val="24"/>
        </w:rPr>
        <w:t>Сведения об устройствах, расположенных на территории региона и предназначенных для осуществления операций с использованием и без использования платежных карт на 01.07.2022</w:t>
      </w:r>
      <w:r w:rsidRPr="00C35167">
        <w:rPr>
          <w:rFonts w:ascii="Times New Roman" w:eastAsia="Calibri" w:hAnsi="Times New Roman" w:cs="Times New Roman"/>
          <w:iCs/>
          <w:color w:val="000000"/>
          <w:sz w:val="24"/>
          <w:szCs w:val="24"/>
        </w:rPr>
        <w:t xml:space="preserve"> (данные Центрального Банка Российской Федерации)</w:t>
      </w:r>
    </w:p>
    <w:p w:rsidR="00762548" w:rsidRPr="00C35167" w:rsidRDefault="00762548" w:rsidP="00C35167">
      <w:pPr>
        <w:keepNext/>
        <w:keepLines/>
        <w:spacing w:before="120" w:after="120" w:line="240" w:lineRule="auto"/>
        <w:contextualSpacing/>
        <w:jc w:val="both"/>
        <w:rPr>
          <w:rFonts w:ascii="Times New Roman" w:eastAsia="Calibri" w:hAnsi="Times New Roman" w:cs="Times New Roman"/>
          <w:iCs/>
          <w:color w:val="000000"/>
          <w:sz w:val="24"/>
          <w:szCs w:val="24"/>
        </w:rPr>
      </w:pPr>
    </w:p>
    <w:tbl>
      <w:tblPr>
        <w:tblStyle w:val="280"/>
        <w:tblW w:w="10173" w:type="dxa"/>
        <w:tblLook w:val="04A0" w:firstRow="1" w:lastRow="0" w:firstColumn="1" w:lastColumn="0" w:noHBand="0" w:noVBand="1"/>
      </w:tblPr>
      <w:tblGrid>
        <w:gridCol w:w="1526"/>
        <w:gridCol w:w="716"/>
        <w:gridCol w:w="831"/>
        <w:gridCol w:w="841"/>
        <w:gridCol w:w="831"/>
        <w:gridCol w:w="829"/>
        <w:gridCol w:w="913"/>
        <w:gridCol w:w="851"/>
        <w:gridCol w:w="850"/>
        <w:gridCol w:w="992"/>
        <w:gridCol w:w="993"/>
      </w:tblGrid>
      <w:tr w:rsidR="00C35167" w:rsidRPr="00C35167" w:rsidTr="00762548">
        <w:tc>
          <w:tcPr>
            <w:tcW w:w="1526" w:type="dxa"/>
            <w:vMerge w:val="restart"/>
            <w:vAlign w:val="center"/>
          </w:tcPr>
          <w:p w:rsidR="00C35167" w:rsidRPr="003B4122" w:rsidRDefault="00C35167" w:rsidP="00C35167">
            <w:pPr>
              <w:spacing w:before="120" w:after="120" w:line="269" w:lineRule="auto"/>
              <w:rPr>
                <w:rFonts w:ascii="Times New Roman" w:eastAsia="Calibri" w:hAnsi="Times New Roman" w:cs="Times New Roman"/>
                <w:color w:val="000000"/>
              </w:rPr>
            </w:pPr>
          </w:p>
        </w:tc>
        <w:tc>
          <w:tcPr>
            <w:tcW w:w="4048" w:type="dxa"/>
            <w:gridSpan w:val="5"/>
            <w:vAlign w:val="center"/>
          </w:tcPr>
          <w:p w:rsidR="00C35167" w:rsidRPr="003B4122" w:rsidRDefault="00C35167" w:rsidP="00C35167">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Количество банкоматов</w:t>
            </w:r>
          </w:p>
        </w:tc>
        <w:tc>
          <w:tcPr>
            <w:tcW w:w="4599" w:type="dxa"/>
            <w:gridSpan w:val="5"/>
            <w:vAlign w:val="center"/>
          </w:tcPr>
          <w:p w:rsidR="00C35167" w:rsidRPr="003B4122" w:rsidRDefault="00C35167" w:rsidP="00C35167">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Количество терминалов</w:t>
            </w:r>
          </w:p>
        </w:tc>
      </w:tr>
      <w:tr w:rsidR="00C35167" w:rsidRPr="00C35167" w:rsidTr="00762548">
        <w:trPr>
          <w:trHeight w:val="1020"/>
        </w:trPr>
        <w:tc>
          <w:tcPr>
            <w:tcW w:w="1526" w:type="dxa"/>
            <w:vMerge/>
            <w:vAlign w:val="center"/>
          </w:tcPr>
          <w:p w:rsidR="00C35167" w:rsidRPr="003B4122" w:rsidRDefault="00C35167" w:rsidP="00C35167">
            <w:pPr>
              <w:spacing w:before="120" w:after="120" w:line="269" w:lineRule="auto"/>
              <w:rPr>
                <w:rFonts w:ascii="Times New Roman" w:eastAsia="Calibri" w:hAnsi="Times New Roman" w:cs="Times New Roman"/>
                <w:color w:val="000000"/>
              </w:rPr>
            </w:pPr>
          </w:p>
        </w:tc>
        <w:tc>
          <w:tcPr>
            <w:tcW w:w="716" w:type="dxa"/>
            <w:vMerge w:val="restart"/>
            <w:vAlign w:val="center"/>
          </w:tcPr>
          <w:p w:rsidR="00C35167" w:rsidRPr="003B4122" w:rsidRDefault="00C35167" w:rsidP="00C35167">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всего</w:t>
            </w:r>
          </w:p>
        </w:tc>
        <w:tc>
          <w:tcPr>
            <w:tcW w:w="831" w:type="dxa"/>
            <w:vAlign w:val="center"/>
          </w:tcPr>
          <w:p w:rsidR="00C35167" w:rsidRPr="003B4122" w:rsidRDefault="00C35167" w:rsidP="00C35167">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из них</w:t>
            </w:r>
          </w:p>
        </w:tc>
        <w:tc>
          <w:tcPr>
            <w:tcW w:w="841" w:type="dxa"/>
            <w:vMerge w:val="restart"/>
            <w:vAlign w:val="center"/>
          </w:tcPr>
          <w:p w:rsidR="00C35167" w:rsidRPr="003B4122" w:rsidRDefault="00C35167" w:rsidP="00C35167">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всего</w:t>
            </w:r>
          </w:p>
        </w:tc>
        <w:tc>
          <w:tcPr>
            <w:tcW w:w="1660" w:type="dxa"/>
            <w:gridSpan w:val="2"/>
            <w:vAlign w:val="center"/>
          </w:tcPr>
          <w:p w:rsidR="00C35167" w:rsidRPr="003B4122" w:rsidRDefault="00C35167" w:rsidP="00C35167">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из них</w:t>
            </w:r>
          </w:p>
        </w:tc>
        <w:tc>
          <w:tcPr>
            <w:tcW w:w="913" w:type="dxa"/>
            <w:vMerge w:val="restart"/>
            <w:textDirection w:val="btLr"/>
            <w:vAlign w:val="center"/>
          </w:tcPr>
          <w:p w:rsidR="00C35167" w:rsidRPr="003B4122" w:rsidRDefault="00C35167" w:rsidP="00C35167">
            <w:pPr>
              <w:spacing w:before="120" w:after="120" w:line="269" w:lineRule="auto"/>
              <w:rPr>
                <w:rFonts w:ascii="Times New Roman" w:eastAsia="Calibri" w:hAnsi="Times New Roman" w:cs="Times New Roman"/>
                <w:color w:val="000000"/>
              </w:rPr>
            </w:pPr>
            <w:r w:rsidRPr="003B4122">
              <w:rPr>
                <w:rFonts w:ascii="Times New Roman" w:eastAsia="Calibri" w:hAnsi="Times New Roman" w:cs="Times New Roman"/>
                <w:color w:val="000000"/>
              </w:rPr>
              <w:t>электронных терминалов, установленных в организациях торговли / услуг</w:t>
            </w:r>
          </w:p>
        </w:tc>
        <w:tc>
          <w:tcPr>
            <w:tcW w:w="851" w:type="dxa"/>
            <w:vMerge w:val="restart"/>
            <w:textDirection w:val="btLr"/>
            <w:vAlign w:val="center"/>
          </w:tcPr>
          <w:p w:rsidR="00C35167" w:rsidRPr="003B4122" w:rsidRDefault="00C35167" w:rsidP="00C35167">
            <w:pPr>
              <w:spacing w:before="120" w:after="120" w:line="269" w:lineRule="auto"/>
              <w:rPr>
                <w:rFonts w:ascii="Times New Roman" w:eastAsia="Calibri" w:hAnsi="Times New Roman" w:cs="Times New Roman"/>
                <w:color w:val="000000"/>
              </w:rPr>
            </w:pPr>
            <w:r w:rsidRPr="003B4122">
              <w:rPr>
                <w:rFonts w:ascii="Times New Roman" w:eastAsia="Calibri" w:hAnsi="Times New Roman" w:cs="Times New Roman"/>
                <w:color w:val="000000"/>
              </w:rPr>
              <w:t>терминалов безналичной оплаты</w:t>
            </w:r>
          </w:p>
        </w:tc>
        <w:tc>
          <w:tcPr>
            <w:tcW w:w="850" w:type="dxa"/>
            <w:vMerge w:val="restart"/>
            <w:textDirection w:val="btLr"/>
            <w:vAlign w:val="center"/>
          </w:tcPr>
          <w:p w:rsidR="00C35167" w:rsidRPr="003B4122" w:rsidRDefault="00C35167" w:rsidP="00C35167">
            <w:pPr>
              <w:spacing w:before="120" w:after="120" w:line="269" w:lineRule="auto"/>
              <w:rPr>
                <w:rFonts w:ascii="Times New Roman" w:eastAsia="Calibri" w:hAnsi="Times New Roman" w:cs="Times New Roman"/>
                <w:color w:val="000000"/>
              </w:rPr>
            </w:pPr>
            <w:r w:rsidRPr="003B4122">
              <w:rPr>
                <w:rFonts w:ascii="Times New Roman" w:eastAsia="Calibri" w:hAnsi="Times New Roman" w:cs="Times New Roman"/>
                <w:color w:val="000000"/>
              </w:rPr>
              <w:t>электронных терминалов в пунктах выдачи наличных</w:t>
            </w:r>
          </w:p>
        </w:tc>
        <w:tc>
          <w:tcPr>
            <w:tcW w:w="992" w:type="dxa"/>
            <w:vMerge w:val="restart"/>
            <w:textDirection w:val="btLr"/>
            <w:vAlign w:val="center"/>
          </w:tcPr>
          <w:p w:rsidR="00C35167" w:rsidRPr="003B4122" w:rsidRDefault="00C35167" w:rsidP="00C35167">
            <w:pPr>
              <w:spacing w:before="120" w:after="120" w:line="269" w:lineRule="auto"/>
              <w:rPr>
                <w:rFonts w:ascii="Times New Roman" w:eastAsia="Calibri" w:hAnsi="Times New Roman" w:cs="Times New Roman"/>
                <w:color w:val="000000"/>
              </w:rPr>
            </w:pPr>
            <w:r w:rsidRPr="003B4122">
              <w:rPr>
                <w:rFonts w:ascii="Times New Roman" w:eastAsia="Calibri" w:hAnsi="Times New Roman" w:cs="Times New Roman"/>
                <w:color w:val="000000"/>
              </w:rPr>
              <w:t>импринтеров, установленных в организациях торговли / услуг</w:t>
            </w:r>
          </w:p>
        </w:tc>
        <w:tc>
          <w:tcPr>
            <w:tcW w:w="993" w:type="dxa"/>
            <w:vMerge w:val="restart"/>
            <w:textDirection w:val="btLr"/>
            <w:vAlign w:val="center"/>
          </w:tcPr>
          <w:p w:rsidR="00C35167" w:rsidRPr="003B4122" w:rsidRDefault="00C35167" w:rsidP="00C35167">
            <w:pPr>
              <w:spacing w:before="120" w:after="120" w:line="269" w:lineRule="auto"/>
              <w:rPr>
                <w:rFonts w:ascii="Times New Roman" w:eastAsia="Calibri" w:hAnsi="Times New Roman" w:cs="Times New Roman"/>
                <w:color w:val="000000"/>
              </w:rPr>
            </w:pPr>
            <w:r w:rsidRPr="003B4122">
              <w:rPr>
                <w:rFonts w:ascii="Times New Roman" w:eastAsia="Calibri" w:hAnsi="Times New Roman" w:cs="Times New Roman"/>
                <w:color w:val="000000"/>
              </w:rPr>
              <w:t>импринтеров в пунктах выдачи наличных</w:t>
            </w:r>
          </w:p>
        </w:tc>
      </w:tr>
      <w:tr w:rsidR="00C35167" w:rsidRPr="00C35167" w:rsidTr="00762548">
        <w:trPr>
          <w:cantSplit/>
          <w:trHeight w:val="3175"/>
        </w:trPr>
        <w:tc>
          <w:tcPr>
            <w:tcW w:w="1526" w:type="dxa"/>
            <w:vMerge/>
            <w:vAlign w:val="center"/>
          </w:tcPr>
          <w:p w:rsidR="00C35167" w:rsidRPr="003B4122" w:rsidRDefault="00C35167" w:rsidP="00C35167">
            <w:pPr>
              <w:spacing w:before="120" w:after="120" w:line="269" w:lineRule="auto"/>
              <w:rPr>
                <w:rFonts w:ascii="Times New Roman" w:eastAsia="Calibri" w:hAnsi="Times New Roman" w:cs="Times New Roman"/>
                <w:color w:val="000000"/>
              </w:rPr>
            </w:pPr>
          </w:p>
        </w:tc>
        <w:tc>
          <w:tcPr>
            <w:tcW w:w="716" w:type="dxa"/>
            <w:vMerge/>
            <w:vAlign w:val="center"/>
          </w:tcPr>
          <w:p w:rsidR="00C35167" w:rsidRPr="003B4122" w:rsidRDefault="00C35167" w:rsidP="00C35167">
            <w:pPr>
              <w:spacing w:before="120" w:after="120" w:line="269" w:lineRule="auto"/>
              <w:rPr>
                <w:rFonts w:ascii="Times New Roman" w:eastAsia="Calibri" w:hAnsi="Times New Roman" w:cs="Times New Roman"/>
                <w:color w:val="000000"/>
              </w:rPr>
            </w:pPr>
          </w:p>
        </w:tc>
        <w:tc>
          <w:tcPr>
            <w:tcW w:w="831" w:type="dxa"/>
            <w:textDirection w:val="btLr"/>
            <w:vAlign w:val="center"/>
          </w:tcPr>
          <w:p w:rsidR="00C35167" w:rsidRPr="003B4122" w:rsidRDefault="00C35167" w:rsidP="00C35167">
            <w:pPr>
              <w:spacing w:before="120" w:after="120" w:line="269" w:lineRule="auto"/>
              <w:rPr>
                <w:rFonts w:ascii="Times New Roman" w:eastAsia="Calibri" w:hAnsi="Times New Roman" w:cs="Times New Roman"/>
                <w:color w:val="000000"/>
              </w:rPr>
            </w:pPr>
            <w:r w:rsidRPr="003B4122">
              <w:rPr>
                <w:rFonts w:ascii="Times New Roman" w:eastAsia="Calibri" w:hAnsi="Times New Roman" w:cs="Times New Roman"/>
                <w:color w:val="000000"/>
              </w:rPr>
              <w:t>с функцией оплаты товаров и услуг</w:t>
            </w:r>
          </w:p>
        </w:tc>
        <w:tc>
          <w:tcPr>
            <w:tcW w:w="841" w:type="dxa"/>
            <w:vMerge/>
            <w:vAlign w:val="center"/>
          </w:tcPr>
          <w:p w:rsidR="00C35167" w:rsidRPr="003B4122" w:rsidRDefault="00C35167" w:rsidP="00C35167">
            <w:pPr>
              <w:spacing w:before="120" w:after="120" w:line="269" w:lineRule="auto"/>
              <w:rPr>
                <w:rFonts w:ascii="Times New Roman" w:eastAsia="Calibri" w:hAnsi="Times New Roman" w:cs="Times New Roman"/>
                <w:color w:val="000000"/>
              </w:rPr>
            </w:pPr>
          </w:p>
        </w:tc>
        <w:tc>
          <w:tcPr>
            <w:tcW w:w="831" w:type="dxa"/>
            <w:textDirection w:val="btLr"/>
            <w:vAlign w:val="center"/>
          </w:tcPr>
          <w:p w:rsidR="00C35167" w:rsidRPr="003B4122" w:rsidRDefault="00C35167" w:rsidP="00C35167">
            <w:pPr>
              <w:spacing w:before="120" w:after="120" w:line="269" w:lineRule="auto"/>
              <w:rPr>
                <w:rFonts w:ascii="Times New Roman" w:eastAsia="Calibri" w:hAnsi="Times New Roman" w:cs="Times New Roman"/>
                <w:color w:val="000000"/>
              </w:rPr>
            </w:pPr>
            <w:r w:rsidRPr="003B4122">
              <w:rPr>
                <w:rFonts w:ascii="Times New Roman" w:eastAsia="Calibri" w:hAnsi="Times New Roman" w:cs="Times New Roman"/>
                <w:color w:val="000000"/>
              </w:rPr>
              <w:t>без использования платежных карт / их реквизитов</w:t>
            </w:r>
          </w:p>
        </w:tc>
        <w:tc>
          <w:tcPr>
            <w:tcW w:w="829" w:type="dxa"/>
            <w:textDirection w:val="btLr"/>
            <w:vAlign w:val="center"/>
          </w:tcPr>
          <w:p w:rsidR="00C35167" w:rsidRPr="003B4122" w:rsidRDefault="00C35167" w:rsidP="00C35167">
            <w:pPr>
              <w:spacing w:before="120" w:after="120" w:line="269" w:lineRule="auto"/>
              <w:rPr>
                <w:rFonts w:ascii="Times New Roman" w:eastAsia="Calibri" w:hAnsi="Times New Roman" w:cs="Times New Roman"/>
                <w:color w:val="000000"/>
              </w:rPr>
            </w:pPr>
            <w:r w:rsidRPr="003B4122">
              <w:rPr>
                <w:rFonts w:ascii="Times New Roman" w:eastAsia="Calibri" w:hAnsi="Times New Roman" w:cs="Times New Roman"/>
                <w:color w:val="000000"/>
              </w:rPr>
              <w:t>с использованием платежных карт / их реквизитов</w:t>
            </w:r>
          </w:p>
        </w:tc>
        <w:tc>
          <w:tcPr>
            <w:tcW w:w="913" w:type="dxa"/>
            <w:vMerge/>
            <w:vAlign w:val="center"/>
          </w:tcPr>
          <w:p w:rsidR="00C35167" w:rsidRPr="003B4122" w:rsidRDefault="00C35167" w:rsidP="00C35167">
            <w:pPr>
              <w:spacing w:before="120" w:after="120" w:line="269" w:lineRule="auto"/>
              <w:rPr>
                <w:rFonts w:ascii="Times New Roman" w:eastAsia="Calibri" w:hAnsi="Times New Roman" w:cs="Times New Roman"/>
                <w:color w:val="000000"/>
              </w:rPr>
            </w:pPr>
          </w:p>
        </w:tc>
        <w:tc>
          <w:tcPr>
            <w:tcW w:w="851" w:type="dxa"/>
            <w:vMerge/>
            <w:vAlign w:val="center"/>
          </w:tcPr>
          <w:p w:rsidR="00C35167" w:rsidRPr="003B4122" w:rsidRDefault="00C35167" w:rsidP="00C35167">
            <w:pPr>
              <w:spacing w:before="120" w:after="120" w:line="269" w:lineRule="auto"/>
              <w:rPr>
                <w:rFonts w:ascii="Times New Roman" w:eastAsia="Calibri" w:hAnsi="Times New Roman" w:cs="Times New Roman"/>
                <w:color w:val="000000"/>
              </w:rPr>
            </w:pPr>
          </w:p>
        </w:tc>
        <w:tc>
          <w:tcPr>
            <w:tcW w:w="850" w:type="dxa"/>
            <w:vMerge/>
            <w:vAlign w:val="center"/>
          </w:tcPr>
          <w:p w:rsidR="00C35167" w:rsidRPr="003B4122" w:rsidRDefault="00C35167" w:rsidP="00C35167">
            <w:pPr>
              <w:spacing w:before="120" w:after="120" w:line="269" w:lineRule="auto"/>
              <w:rPr>
                <w:rFonts w:ascii="Times New Roman" w:eastAsia="Calibri" w:hAnsi="Times New Roman" w:cs="Times New Roman"/>
                <w:color w:val="000000"/>
              </w:rPr>
            </w:pPr>
          </w:p>
        </w:tc>
        <w:tc>
          <w:tcPr>
            <w:tcW w:w="992" w:type="dxa"/>
            <w:vMerge/>
            <w:vAlign w:val="center"/>
          </w:tcPr>
          <w:p w:rsidR="00C35167" w:rsidRPr="003B4122" w:rsidRDefault="00C35167" w:rsidP="00C35167">
            <w:pPr>
              <w:spacing w:before="120" w:after="120" w:line="269" w:lineRule="auto"/>
              <w:rPr>
                <w:rFonts w:ascii="Times New Roman" w:eastAsia="Calibri" w:hAnsi="Times New Roman" w:cs="Times New Roman"/>
                <w:color w:val="000000"/>
              </w:rPr>
            </w:pPr>
          </w:p>
        </w:tc>
        <w:tc>
          <w:tcPr>
            <w:tcW w:w="993" w:type="dxa"/>
            <w:vMerge/>
            <w:vAlign w:val="center"/>
          </w:tcPr>
          <w:p w:rsidR="00C35167" w:rsidRPr="003B4122" w:rsidRDefault="00C35167" w:rsidP="00C35167">
            <w:pPr>
              <w:spacing w:before="120" w:after="120" w:line="269" w:lineRule="auto"/>
              <w:rPr>
                <w:rFonts w:ascii="Times New Roman" w:eastAsia="Calibri" w:hAnsi="Times New Roman" w:cs="Times New Roman"/>
                <w:color w:val="000000"/>
              </w:rPr>
            </w:pPr>
          </w:p>
        </w:tc>
      </w:tr>
      <w:tr w:rsidR="00C35167" w:rsidRPr="00C35167" w:rsidTr="00762548">
        <w:tc>
          <w:tcPr>
            <w:tcW w:w="1526" w:type="dxa"/>
            <w:vAlign w:val="center"/>
          </w:tcPr>
          <w:p w:rsidR="00C35167" w:rsidRPr="003B4122" w:rsidRDefault="00C35167" w:rsidP="00C35167">
            <w:pPr>
              <w:spacing w:before="120" w:after="120" w:line="269" w:lineRule="auto"/>
              <w:rPr>
                <w:rFonts w:ascii="Times New Roman" w:eastAsia="Calibri" w:hAnsi="Times New Roman" w:cs="Times New Roman"/>
                <w:color w:val="000000"/>
              </w:rPr>
            </w:pPr>
            <w:r w:rsidRPr="003B4122">
              <w:rPr>
                <w:rFonts w:ascii="Times New Roman" w:eastAsia="Calibri" w:hAnsi="Times New Roman" w:cs="Times New Roman"/>
                <w:color w:val="000000"/>
              </w:rPr>
              <w:t>На 1.01.2022</w:t>
            </w:r>
          </w:p>
        </w:tc>
        <w:tc>
          <w:tcPr>
            <w:tcW w:w="716" w:type="dxa"/>
            <w:vAlign w:val="center"/>
          </w:tcPr>
          <w:p w:rsidR="00C35167" w:rsidRPr="003B4122" w:rsidRDefault="00C35167" w:rsidP="00C35167">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1242</w:t>
            </w:r>
          </w:p>
        </w:tc>
        <w:tc>
          <w:tcPr>
            <w:tcW w:w="831" w:type="dxa"/>
            <w:vAlign w:val="center"/>
          </w:tcPr>
          <w:p w:rsidR="00C35167" w:rsidRPr="003B4122" w:rsidRDefault="00C35167" w:rsidP="00C35167">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1169</w:t>
            </w:r>
          </w:p>
        </w:tc>
        <w:tc>
          <w:tcPr>
            <w:tcW w:w="841" w:type="dxa"/>
            <w:vAlign w:val="center"/>
          </w:tcPr>
          <w:p w:rsidR="00C35167" w:rsidRPr="003B4122" w:rsidRDefault="00C35167" w:rsidP="00C35167">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2366</w:t>
            </w:r>
          </w:p>
        </w:tc>
        <w:tc>
          <w:tcPr>
            <w:tcW w:w="831" w:type="dxa"/>
            <w:vAlign w:val="center"/>
          </w:tcPr>
          <w:p w:rsidR="00C35167" w:rsidRPr="003B4122" w:rsidRDefault="00C35167" w:rsidP="00C35167">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270</w:t>
            </w:r>
          </w:p>
        </w:tc>
        <w:tc>
          <w:tcPr>
            <w:tcW w:w="829" w:type="dxa"/>
            <w:vAlign w:val="center"/>
          </w:tcPr>
          <w:p w:rsidR="00C35167" w:rsidRPr="003B4122" w:rsidRDefault="00C35167" w:rsidP="00C35167">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2096</w:t>
            </w:r>
          </w:p>
        </w:tc>
        <w:tc>
          <w:tcPr>
            <w:tcW w:w="913" w:type="dxa"/>
            <w:vAlign w:val="center"/>
          </w:tcPr>
          <w:p w:rsidR="00C35167" w:rsidRPr="003B4122" w:rsidRDefault="00C35167" w:rsidP="00C35167">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47760</w:t>
            </w:r>
          </w:p>
        </w:tc>
        <w:tc>
          <w:tcPr>
            <w:tcW w:w="851" w:type="dxa"/>
            <w:vAlign w:val="center"/>
          </w:tcPr>
          <w:p w:rsidR="00C35167" w:rsidRPr="003B4122" w:rsidRDefault="00C35167" w:rsidP="00C35167">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1400</w:t>
            </w:r>
          </w:p>
        </w:tc>
        <w:tc>
          <w:tcPr>
            <w:tcW w:w="850" w:type="dxa"/>
            <w:vAlign w:val="center"/>
          </w:tcPr>
          <w:p w:rsidR="00C35167" w:rsidRPr="003B4122" w:rsidRDefault="00C35167" w:rsidP="00C35167">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2213</w:t>
            </w:r>
          </w:p>
        </w:tc>
        <w:tc>
          <w:tcPr>
            <w:tcW w:w="992" w:type="dxa"/>
            <w:vAlign w:val="center"/>
          </w:tcPr>
          <w:p w:rsidR="00C35167" w:rsidRPr="003B4122" w:rsidRDefault="00C35167" w:rsidP="00C35167">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w:t>
            </w:r>
          </w:p>
        </w:tc>
        <w:tc>
          <w:tcPr>
            <w:tcW w:w="993" w:type="dxa"/>
            <w:vAlign w:val="center"/>
          </w:tcPr>
          <w:p w:rsidR="00C35167" w:rsidRPr="003B4122" w:rsidRDefault="00C35167" w:rsidP="00C35167">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0</w:t>
            </w:r>
          </w:p>
        </w:tc>
      </w:tr>
      <w:tr w:rsidR="00C35167" w:rsidRPr="00C35167" w:rsidTr="00762548">
        <w:tc>
          <w:tcPr>
            <w:tcW w:w="1526" w:type="dxa"/>
            <w:vAlign w:val="center"/>
          </w:tcPr>
          <w:p w:rsidR="00C35167" w:rsidRPr="003B4122" w:rsidRDefault="00C35167" w:rsidP="00C35167">
            <w:pPr>
              <w:spacing w:before="120" w:after="120" w:line="269" w:lineRule="auto"/>
              <w:rPr>
                <w:rFonts w:ascii="Times New Roman" w:eastAsia="Calibri" w:hAnsi="Times New Roman" w:cs="Times New Roman"/>
                <w:color w:val="000000"/>
              </w:rPr>
            </w:pPr>
            <w:r w:rsidRPr="003B4122">
              <w:rPr>
                <w:rFonts w:ascii="Times New Roman" w:eastAsia="Calibri" w:hAnsi="Times New Roman" w:cs="Times New Roman"/>
                <w:color w:val="000000"/>
              </w:rPr>
              <w:t>На 1.04.2022</w:t>
            </w:r>
          </w:p>
        </w:tc>
        <w:tc>
          <w:tcPr>
            <w:tcW w:w="716" w:type="dxa"/>
            <w:vAlign w:val="center"/>
          </w:tcPr>
          <w:p w:rsidR="00C35167" w:rsidRPr="003B4122" w:rsidRDefault="00C35167" w:rsidP="00C35167">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1246</w:t>
            </w:r>
          </w:p>
        </w:tc>
        <w:tc>
          <w:tcPr>
            <w:tcW w:w="831" w:type="dxa"/>
            <w:vAlign w:val="center"/>
          </w:tcPr>
          <w:p w:rsidR="00C35167" w:rsidRPr="003B4122" w:rsidRDefault="00C35167" w:rsidP="00C35167">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1155</w:t>
            </w:r>
          </w:p>
        </w:tc>
        <w:tc>
          <w:tcPr>
            <w:tcW w:w="841" w:type="dxa"/>
            <w:vAlign w:val="center"/>
          </w:tcPr>
          <w:p w:rsidR="00C35167" w:rsidRPr="003B4122" w:rsidRDefault="00C35167" w:rsidP="00C35167">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2390</w:t>
            </w:r>
          </w:p>
        </w:tc>
        <w:tc>
          <w:tcPr>
            <w:tcW w:w="831" w:type="dxa"/>
            <w:vAlign w:val="center"/>
          </w:tcPr>
          <w:p w:rsidR="00C35167" w:rsidRPr="003B4122" w:rsidRDefault="00C35167" w:rsidP="00C35167">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278</w:t>
            </w:r>
          </w:p>
        </w:tc>
        <w:tc>
          <w:tcPr>
            <w:tcW w:w="829" w:type="dxa"/>
            <w:vAlign w:val="center"/>
          </w:tcPr>
          <w:p w:rsidR="00C35167" w:rsidRPr="003B4122" w:rsidRDefault="00C35167" w:rsidP="00C35167">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2112</w:t>
            </w:r>
          </w:p>
        </w:tc>
        <w:tc>
          <w:tcPr>
            <w:tcW w:w="913" w:type="dxa"/>
            <w:vAlign w:val="center"/>
          </w:tcPr>
          <w:p w:rsidR="00C35167" w:rsidRPr="003B4122" w:rsidRDefault="00C35167" w:rsidP="00C35167">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47655</w:t>
            </w:r>
          </w:p>
        </w:tc>
        <w:tc>
          <w:tcPr>
            <w:tcW w:w="851" w:type="dxa"/>
            <w:vAlign w:val="center"/>
          </w:tcPr>
          <w:p w:rsidR="00C35167" w:rsidRPr="003B4122" w:rsidRDefault="00C35167" w:rsidP="00C35167">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1480</w:t>
            </w:r>
          </w:p>
        </w:tc>
        <w:tc>
          <w:tcPr>
            <w:tcW w:w="850" w:type="dxa"/>
            <w:vAlign w:val="center"/>
          </w:tcPr>
          <w:p w:rsidR="00C35167" w:rsidRPr="003B4122" w:rsidRDefault="00C35167" w:rsidP="00C35167">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2217</w:t>
            </w:r>
          </w:p>
        </w:tc>
        <w:tc>
          <w:tcPr>
            <w:tcW w:w="992" w:type="dxa"/>
            <w:vAlign w:val="center"/>
          </w:tcPr>
          <w:p w:rsidR="00C35167" w:rsidRPr="003B4122" w:rsidRDefault="00C35167" w:rsidP="00C35167">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w:t>
            </w:r>
          </w:p>
        </w:tc>
        <w:tc>
          <w:tcPr>
            <w:tcW w:w="993" w:type="dxa"/>
            <w:vAlign w:val="center"/>
          </w:tcPr>
          <w:p w:rsidR="00C35167" w:rsidRPr="003B4122" w:rsidRDefault="00C35167" w:rsidP="00C35167">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0</w:t>
            </w:r>
          </w:p>
        </w:tc>
      </w:tr>
      <w:tr w:rsidR="00C35167" w:rsidRPr="00C35167" w:rsidTr="00762548">
        <w:tc>
          <w:tcPr>
            <w:tcW w:w="1526" w:type="dxa"/>
            <w:vAlign w:val="center"/>
          </w:tcPr>
          <w:p w:rsidR="00C35167" w:rsidRPr="003B4122" w:rsidRDefault="00C35167" w:rsidP="00C35167">
            <w:pPr>
              <w:spacing w:before="120" w:after="120" w:line="269" w:lineRule="auto"/>
              <w:rPr>
                <w:rFonts w:ascii="Times New Roman" w:eastAsia="Calibri" w:hAnsi="Times New Roman" w:cs="Times New Roman"/>
                <w:color w:val="000000"/>
              </w:rPr>
            </w:pPr>
            <w:r w:rsidRPr="003B4122">
              <w:rPr>
                <w:rFonts w:ascii="Times New Roman" w:eastAsia="Calibri" w:hAnsi="Times New Roman" w:cs="Times New Roman"/>
                <w:color w:val="000000"/>
              </w:rPr>
              <w:t>На 1.07.2022</w:t>
            </w:r>
          </w:p>
        </w:tc>
        <w:tc>
          <w:tcPr>
            <w:tcW w:w="716" w:type="dxa"/>
            <w:vAlign w:val="center"/>
          </w:tcPr>
          <w:p w:rsidR="00C35167" w:rsidRPr="003B4122" w:rsidRDefault="00C35167" w:rsidP="00C35167">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1223</w:t>
            </w:r>
          </w:p>
        </w:tc>
        <w:tc>
          <w:tcPr>
            <w:tcW w:w="831" w:type="dxa"/>
            <w:vAlign w:val="center"/>
          </w:tcPr>
          <w:p w:rsidR="00C35167" w:rsidRPr="003B4122" w:rsidRDefault="00C35167" w:rsidP="00C35167">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1146</w:t>
            </w:r>
          </w:p>
        </w:tc>
        <w:tc>
          <w:tcPr>
            <w:tcW w:w="841" w:type="dxa"/>
            <w:vAlign w:val="center"/>
          </w:tcPr>
          <w:p w:rsidR="00C35167" w:rsidRPr="003B4122" w:rsidRDefault="00C35167" w:rsidP="00C35167">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2339</w:t>
            </w:r>
          </w:p>
        </w:tc>
        <w:tc>
          <w:tcPr>
            <w:tcW w:w="831" w:type="dxa"/>
            <w:vAlign w:val="center"/>
          </w:tcPr>
          <w:p w:rsidR="00C35167" w:rsidRPr="003B4122" w:rsidRDefault="00C35167" w:rsidP="00C35167">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286</w:t>
            </w:r>
          </w:p>
        </w:tc>
        <w:tc>
          <w:tcPr>
            <w:tcW w:w="829" w:type="dxa"/>
            <w:vAlign w:val="center"/>
          </w:tcPr>
          <w:p w:rsidR="00C35167" w:rsidRPr="003B4122" w:rsidRDefault="00C35167" w:rsidP="00C35167">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2053</w:t>
            </w:r>
          </w:p>
        </w:tc>
        <w:tc>
          <w:tcPr>
            <w:tcW w:w="913" w:type="dxa"/>
            <w:vAlign w:val="center"/>
          </w:tcPr>
          <w:p w:rsidR="00C35167" w:rsidRPr="003B4122" w:rsidRDefault="00C35167" w:rsidP="00C35167">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49509</w:t>
            </w:r>
          </w:p>
        </w:tc>
        <w:tc>
          <w:tcPr>
            <w:tcW w:w="851" w:type="dxa"/>
            <w:vAlign w:val="center"/>
          </w:tcPr>
          <w:p w:rsidR="00C35167" w:rsidRPr="003B4122" w:rsidRDefault="00C35167" w:rsidP="00C35167">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1654</w:t>
            </w:r>
          </w:p>
        </w:tc>
        <w:tc>
          <w:tcPr>
            <w:tcW w:w="850" w:type="dxa"/>
            <w:vAlign w:val="center"/>
          </w:tcPr>
          <w:p w:rsidR="00C35167" w:rsidRPr="003B4122" w:rsidRDefault="00C35167" w:rsidP="00C35167">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2156</w:t>
            </w:r>
          </w:p>
        </w:tc>
        <w:tc>
          <w:tcPr>
            <w:tcW w:w="992" w:type="dxa"/>
            <w:vAlign w:val="center"/>
          </w:tcPr>
          <w:p w:rsidR="00C35167" w:rsidRPr="003B4122" w:rsidRDefault="00C35167" w:rsidP="00C35167">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1</w:t>
            </w:r>
          </w:p>
        </w:tc>
        <w:tc>
          <w:tcPr>
            <w:tcW w:w="993" w:type="dxa"/>
            <w:vAlign w:val="center"/>
          </w:tcPr>
          <w:p w:rsidR="00C35167" w:rsidRPr="003B4122" w:rsidRDefault="00C35167" w:rsidP="00C35167">
            <w:pPr>
              <w:spacing w:before="120" w:after="120" w:line="269"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0</w:t>
            </w:r>
          </w:p>
        </w:tc>
      </w:tr>
    </w:tbl>
    <w:p w:rsidR="00C35167" w:rsidRPr="00762548" w:rsidRDefault="00C35167" w:rsidP="00762548">
      <w:pPr>
        <w:spacing w:after="0" w:line="360" w:lineRule="auto"/>
        <w:ind w:firstLine="708"/>
        <w:contextualSpacing/>
        <w:jc w:val="both"/>
        <w:rPr>
          <w:rFonts w:ascii="Times New Roman" w:eastAsia="Calibri" w:hAnsi="Times New Roman" w:cs="Times New Roman"/>
          <w:iCs/>
          <w:color w:val="000000"/>
          <w:sz w:val="24"/>
          <w:szCs w:val="24"/>
        </w:rPr>
      </w:pPr>
      <w:r w:rsidRPr="00762548">
        <w:rPr>
          <w:rFonts w:ascii="Times New Roman" w:eastAsia="Calibri" w:hAnsi="Times New Roman" w:cs="Times New Roman"/>
          <w:iCs/>
          <w:color w:val="000000"/>
          <w:sz w:val="24"/>
          <w:szCs w:val="24"/>
        </w:rPr>
        <w:t xml:space="preserve">Жители Ленинградской области в целом удовлетворительно оценивают наличие и доступность имеющихся в их распоряжении различных каналов доступа (в том числе дистанционных) к финансовым услугам. </w:t>
      </w:r>
    </w:p>
    <w:p w:rsidR="00C35167" w:rsidRPr="00C35167" w:rsidRDefault="00C35167" w:rsidP="00C35167">
      <w:pPr>
        <w:spacing w:after="120" w:line="240" w:lineRule="auto"/>
        <w:jc w:val="both"/>
        <w:rPr>
          <w:rFonts w:ascii="Times New Roman" w:eastAsia="Calibri" w:hAnsi="Times New Roman" w:cs="Times New Roman"/>
          <w:iCs/>
          <w:color w:val="000000"/>
          <w:sz w:val="24"/>
          <w:szCs w:val="28"/>
        </w:rPr>
      </w:pPr>
    </w:p>
    <w:p w:rsidR="00C35167" w:rsidRPr="00B6184B" w:rsidRDefault="00C35167" w:rsidP="00762548">
      <w:pPr>
        <w:keepNext/>
        <w:keepLines/>
        <w:spacing w:before="120" w:after="120" w:line="240" w:lineRule="auto"/>
        <w:jc w:val="center"/>
        <w:rPr>
          <w:rFonts w:ascii="Times New Roman" w:eastAsia="Calibri" w:hAnsi="Times New Roman" w:cs="Times New Roman"/>
          <w:color w:val="000000"/>
          <w:sz w:val="24"/>
          <w:szCs w:val="24"/>
        </w:rPr>
      </w:pPr>
      <w:r w:rsidRPr="00C35167">
        <w:rPr>
          <w:rFonts w:ascii="Times New Roman" w:eastAsia="Calibri" w:hAnsi="Times New Roman" w:cs="Times New Roman"/>
          <w:iCs/>
          <w:color w:val="000000"/>
          <w:sz w:val="24"/>
          <w:szCs w:val="24"/>
        </w:rPr>
        <w:t xml:space="preserve">Рисунок </w:t>
      </w:r>
      <w:r w:rsidR="00762548">
        <w:rPr>
          <w:rFonts w:ascii="Times New Roman" w:eastAsia="Calibri" w:hAnsi="Times New Roman" w:cs="Times New Roman"/>
          <w:iCs/>
          <w:color w:val="000000"/>
          <w:sz w:val="24"/>
          <w:szCs w:val="24"/>
        </w:rPr>
        <w:t>53</w:t>
      </w:r>
      <w:r w:rsidRPr="00C35167">
        <w:rPr>
          <w:rFonts w:ascii="Times New Roman" w:eastAsia="Calibri" w:hAnsi="Times New Roman" w:cs="Times New Roman"/>
          <w:iCs/>
          <w:color w:val="000000"/>
          <w:sz w:val="24"/>
          <w:szCs w:val="24"/>
        </w:rPr>
        <w:t xml:space="preserve">. </w:t>
      </w:r>
      <w:r w:rsidRPr="00B6184B">
        <w:rPr>
          <w:rFonts w:ascii="Times New Roman" w:eastAsia="Calibri" w:hAnsi="Times New Roman" w:cs="Times New Roman"/>
          <w:iCs/>
          <w:color w:val="000000"/>
          <w:sz w:val="24"/>
          <w:szCs w:val="24"/>
        </w:rPr>
        <w:t xml:space="preserve">Оценка наличия и доступности </w:t>
      </w:r>
      <w:r w:rsidRPr="00B6184B">
        <w:rPr>
          <w:rFonts w:ascii="Times New Roman" w:eastAsia="Calibri" w:hAnsi="Times New Roman" w:cs="Times New Roman"/>
          <w:color w:val="000000"/>
          <w:sz w:val="24"/>
          <w:szCs w:val="24"/>
        </w:rPr>
        <w:t>различных каналов доступа к финансовым услугам. Оценка по шкале от 1 до 5, где 1 – минимальное значение показателя, а 5 – максимальное значение</w:t>
      </w:r>
    </w:p>
    <w:p w:rsidR="00C35167" w:rsidRPr="00C35167" w:rsidRDefault="00C35167" w:rsidP="00C35167">
      <w:pPr>
        <w:spacing w:after="0" w:line="360" w:lineRule="auto"/>
        <w:ind w:firstLine="142"/>
        <w:contextualSpacing/>
        <w:jc w:val="both"/>
        <w:rPr>
          <w:rFonts w:ascii="Times New Roman" w:eastAsia="Calibri" w:hAnsi="Times New Roman" w:cs="Times New Roman"/>
          <w:iCs/>
          <w:color w:val="000000"/>
          <w:sz w:val="28"/>
          <w:szCs w:val="28"/>
        </w:rPr>
      </w:pPr>
      <w:r w:rsidRPr="00C35167">
        <w:rPr>
          <w:rFonts w:ascii="Times New Roman" w:eastAsia="Calibri" w:hAnsi="Times New Roman" w:cs="Times New Roman"/>
          <w:noProof/>
          <w:color w:val="000000"/>
          <w:lang w:eastAsia="ru-RU"/>
        </w:rPr>
        <w:drawing>
          <wp:inline distT="0" distB="0" distL="0" distR="0" wp14:anchorId="1ADD2AFB" wp14:editId="31C6ADA2">
            <wp:extent cx="6191250" cy="3409950"/>
            <wp:effectExtent l="0" t="0" r="0" b="0"/>
            <wp:docPr id="1062" name="Диаграмма 10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C35167" w:rsidRPr="00C35167" w:rsidRDefault="00C35167" w:rsidP="00C35167">
      <w:pPr>
        <w:spacing w:after="0" w:line="360" w:lineRule="auto"/>
        <w:ind w:firstLine="709"/>
        <w:contextualSpacing/>
        <w:jc w:val="both"/>
        <w:rPr>
          <w:rFonts w:ascii="Times New Roman" w:eastAsia="Calibri" w:hAnsi="Times New Roman" w:cs="Times New Roman"/>
          <w:iCs/>
          <w:color w:val="000000"/>
          <w:sz w:val="28"/>
          <w:szCs w:val="28"/>
        </w:rPr>
      </w:pPr>
    </w:p>
    <w:p w:rsidR="00C35167" w:rsidRPr="00762548" w:rsidRDefault="00C35167" w:rsidP="00C35167">
      <w:pPr>
        <w:spacing w:after="0" w:line="360" w:lineRule="auto"/>
        <w:ind w:firstLine="709"/>
        <w:contextualSpacing/>
        <w:jc w:val="both"/>
        <w:rPr>
          <w:rFonts w:ascii="Times New Roman" w:eastAsia="Calibri" w:hAnsi="Times New Roman" w:cs="Times New Roman"/>
          <w:iCs/>
          <w:color w:val="000000"/>
          <w:sz w:val="24"/>
          <w:szCs w:val="24"/>
        </w:rPr>
      </w:pPr>
      <w:r w:rsidRPr="00762548">
        <w:rPr>
          <w:rFonts w:ascii="Times New Roman" w:eastAsia="Calibri" w:hAnsi="Times New Roman" w:cs="Times New Roman"/>
          <w:iCs/>
          <w:color w:val="000000"/>
          <w:sz w:val="24"/>
          <w:szCs w:val="24"/>
        </w:rPr>
        <w:t xml:space="preserve">По оценке населения региона, наиболее распространены в населенных пунктах Ленинградской области такие каналы доступа к финансовым услугам, как отделения почтовой связи и кассы в отделениях банков. Оценки наличия данных каналов составили 3,9 по пятибалльной шкале и 3,8 соответственно. Несколько ниже, чем остальные каналы, пользователи оценили наличие на местах банкоматов или терминалов вне отделений банков (оценка 3,2). </w:t>
      </w:r>
    </w:p>
    <w:p w:rsidR="00C35167" w:rsidRPr="00762548" w:rsidRDefault="00C35167" w:rsidP="00C35167">
      <w:pPr>
        <w:spacing w:after="0" w:line="360" w:lineRule="auto"/>
        <w:ind w:firstLine="709"/>
        <w:contextualSpacing/>
        <w:jc w:val="both"/>
        <w:rPr>
          <w:rFonts w:ascii="Times New Roman" w:eastAsia="Calibri" w:hAnsi="Times New Roman" w:cs="Times New Roman"/>
          <w:iCs/>
          <w:color w:val="000000"/>
          <w:sz w:val="24"/>
          <w:szCs w:val="24"/>
        </w:rPr>
      </w:pPr>
      <w:r w:rsidRPr="00762548">
        <w:rPr>
          <w:rFonts w:ascii="Times New Roman" w:eastAsia="Calibri" w:hAnsi="Times New Roman" w:cs="Times New Roman"/>
          <w:iCs/>
          <w:color w:val="000000"/>
          <w:sz w:val="24"/>
          <w:szCs w:val="24"/>
        </w:rPr>
        <w:t xml:space="preserve">Оценки доступности каждого из рассматриваемых каналов колеблются в пределах 3,4 – 3,7 по пятибалльной шкале, при этом оценки 3,4 балла получили кассы в отделениях банков и банкоматы или терминалы вне отделений банков, а оценку 3,7 баллов - POS-терминалы для безналичной оплаты с помощью банковской карты в организациях торговли или услуг. </w:t>
      </w:r>
    </w:p>
    <w:p w:rsidR="00C35167" w:rsidRPr="00C35167" w:rsidRDefault="00C35167" w:rsidP="00C35167">
      <w:pPr>
        <w:spacing w:after="120" w:line="240" w:lineRule="auto"/>
        <w:jc w:val="both"/>
        <w:rPr>
          <w:rFonts w:ascii="Times New Roman" w:eastAsia="Calibri" w:hAnsi="Times New Roman" w:cs="Times New Roman"/>
          <w:iCs/>
          <w:color w:val="000000"/>
          <w:sz w:val="24"/>
          <w:szCs w:val="28"/>
        </w:rPr>
      </w:pPr>
    </w:p>
    <w:p w:rsidR="00C35167" w:rsidRPr="00C35167" w:rsidRDefault="00C35167" w:rsidP="00762548">
      <w:pPr>
        <w:keepNext/>
        <w:keepLines/>
        <w:spacing w:before="120" w:after="120" w:line="240" w:lineRule="auto"/>
        <w:jc w:val="center"/>
        <w:rPr>
          <w:rFonts w:ascii="Times New Roman" w:eastAsia="Calibri" w:hAnsi="Times New Roman" w:cs="Times New Roman"/>
          <w:color w:val="000000"/>
          <w:sz w:val="24"/>
          <w:szCs w:val="24"/>
        </w:rPr>
      </w:pPr>
      <w:r w:rsidRPr="00C35167">
        <w:rPr>
          <w:rFonts w:ascii="Times New Roman" w:eastAsia="Calibri" w:hAnsi="Times New Roman" w:cs="Times New Roman"/>
          <w:iCs/>
          <w:color w:val="000000"/>
          <w:sz w:val="24"/>
          <w:szCs w:val="24"/>
        </w:rPr>
        <w:t xml:space="preserve">Таблица </w:t>
      </w:r>
      <w:r w:rsidR="00762548">
        <w:rPr>
          <w:rFonts w:ascii="Times New Roman" w:eastAsia="Calibri" w:hAnsi="Times New Roman" w:cs="Times New Roman"/>
          <w:iCs/>
          <w:color w:val="000000"/>
          <w:sz w:val="24"/>
          <w:szCs w:val="24"/>
        </w:rPr>
        <w:t>49</w:t>
      </w:r>
      <w:r w:rsidRPr="00C35167">
        <w:rPr>
          <w:rFonts w:ascii="Times New Roman" w:eastAsia="Calibri" w:hAnsi="Times New Roman" w:cs="Times New Roman"/>
          <w:iCs/>
          <w:color w:val="000000"/>
          <w:sz w:val="24"/>
          <w:szCs w:val="24"/>
        </w:rPr>
        <w:t xml:space="preserve">. Оценка наличия и доступности </w:t>
      </w:r>
      <w:r w:rsidRPr="00C35167">
        <w:rPr>
          <w:rFonts w:ascii="Times New Roman" w:eastAsia="Calibri" w:hAnsi="Times New Roman" w:cs="Times New Roman"/>
          <w:color w:val="000000"/>
          <w:sz w:val="24"/>
          <w:szCs w:val="24"/>
        </w:rPr>
        <w:t>различных каналов доступа к финансовым услугам. Оценка по шкале от 1 до 5, где 1 – минимальное значение показателя, а 5 – максимальное значение</w:t>
      </w:r>
    </w:p>
    <w:p w:rsidR="00C35167" w:rsidRPr="00C35167" w:rsidRDefault="00C35167" w:rsidP="00C35167">
      <w:pPr>
        <w:keepNext/>
        <w:keepLines/>
        <w:spacing w:before="120" w:after="120" w:line="240" w:lineRule="auto"/>
        <w:jc w:val="both"/>
        <w:rPr>
          <w:rFonts w:ascii="Times New Roman" w:eastAsia="Calibri" w:hAnsi="Times New Roman" w:cs="Times New Roman"/>
          <w:color w:val="000000"/>
        </w:rPr>
      </w:pP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826"/>
        <w:gridCol w:w="1058"/>
        <w:gridCol w:w="1056"/>
        <w:gridCol w:w="1058"/>
        <w:gridCol w:w="1058"/>
        <w:gridCol w:w="1160"/>
        <w:gridCol w:w="951"/>
        <w:gridCol w:w="1103"/>
      </w:tblGrid>
      <w:tr w:rsidR="00C35167" w:rsidRPr="00C35167" w:rsidTr="003B4122">
        <w:trPr>
          <w:cantSplit/>
          <w:trHeight w:val="2107"/>
          <w:tblHeader/>
        </w:trPr>
        <w:tc>
          <w:tcPr>
            <w:tcW w:w="966" w:type="pct"/>
            <w:shd w:val="clear" w:color="auto" w:fill="auto"/>
            <w:noWrap/>
            <w:vAlign w:val="center"/>
          </w:tcPr>
          <w:p w:rsidR="00C35167" w:rsidRPr="003B4122" w:rsidRDefault="00C35167" w:rsidP="00C35167">
            <w:pPr>
              <w:spacing w:after="0" w:line="240" w:lineRule="auto"/>
              <w:jc w:val="center"/>
              <w:rPr>
                <w:rFonts w:ascii="Times New Roman" w:eastAsia="Times New Roman" w:hAnsi="Times New Roman" w:cs="Times New Roman"/>
                <w:color w:val="000000"/>
                <w:lang w:eastAsia="ru-RU"/>
              </w:rPr>
            </w:pPr>
          </w:p>
        </w:tc>
        <w:tc>
          <w:tcPr>
            <w:tcW w:w="403" w:type="pct"/>
            <w:shd w:val="clear" w:color="auto" w:fill="auto"/>
            <w:textDirection w:val="btLr"/>
            <w:vAlign w:val="cente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color w:val="000000"/>
              </w:rPr>
              <w:t>В целом по области</w:t>
            </w:r>
          </w:p>
        </w:tc>
        <w:tc>
          <w:tcPr>
            <w:tcW w:w="516" w:type="pct"/>
            <w:shd w:val="clear" w:color="auto" w:fill="auto"/>
            <w:textDirection w:val="btL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Работаю</w:t>
            </w:r>
          </w:p>
        </w:tc>
        <w:tc>
          <w:tcPr>
            <w:tcW w:w="515" w:type="pct"/>
            <w:shd w:val="clear" w:color="auto" w:fill="auto"/>
            <w:textDirection w:val="btL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Безработный</w:t>
            </w:r>
          </w:p>
        </w:tc>
        <w:tc>
          <w:tcPr>
            <w:tcW w:w="516" w:type="pct"/>
            <w:shd w:val="clear" w:color="auto" w:fill="auto"/>
            <w:textDirection w:val="btL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Учусь/студент</w:t>
            </w:r>
          </w:p>
        </w:tc>
        <w:tc>
          <w:tcPr>
            <w:tcW w:w="516" w:type="pct"/>
            <w:shd w:val="clear" w:color="auto" w:fill="auto"/>
            <w:textDirection w:val="btL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Домохозяйка (домохозяин)</w:t>
            </w:r>
          </w:p>
        </w:tc>
        <w:tc>
          <w:tcPr>
            <w:tcW w:w="566" w:type="pct"/>
            <w:shd w:val="clear" w:color="auto" w:fill="auto"/>
            <w:textDirection w:val="btL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Пенсионер (в т.ч. по инвалидности)</w:t>
            </w:r>
          </w:p>
        </w:tc>
        <w:tc>
          <w:tcPr>
            <w:tcW w:w="464" w:type="pct"/>
            <w:shd w:val="clear" w:color="auto" w:fill="auto"/>
            <w:textDirection w:val="btL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Самозанятый</w:t>
            </w:r>
          </w:p>
        </w:tc>
        <w:tc>
          <w:tcPr>
            <w:tcW w:w="537" w:type="pct"/>
            <w:shd w:val="clear" w:color="auto" w:fill="auto"/>
            <w:textDirection w:val="btLr"/>
          </w:tcPr>
          <w:p w:rsidR="00C35167" w:rsidRPr="003B4122"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3B4122">
              <w:rPr>
                <w:rFonts w:ascii="Times New Roman" w:eastAsia="Calibri" w:hAnsi="Times New Roman" w:cs="Times New Roman"/>
                <w:b/>
                <w:bCs/>
                <w:color w:val="000000"/>
              </w:rPr>
              <w:t>Предприниматель</w:t>
            </w:r>
          </w:p>
        </w:tc>
      </w:tr>
      <w:tr w:rsidR="00C35167" w:rsidRPr="00C35167" w:rsidTr="003A1D5A">
        <w:trPr>
          <w:trHeight w:val="414"/>
        </w:trPr>
        <w:tc>
          <w:tcPr>
            <w:tcW w:w="5000" w:type="pct"/>
            <w:gridSpan w:val="9"/>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b/>
                <w:bCs/>
                <w:color w:val="000000"/>
              </w:rPr>
              <w:t>Наличие в населенном пункте</w:t>
            </w:r>
          </w:p>
        </w:tc>
      </w:tr>
      <w:tr w:rsidR="00C35167" w:rsidRPr="00C35167" w:rsidTr="003A1D5A">
        <w:trPr>
          <w:trHeight w:val="655"/>
        </w:trPr>
        <w:tc>
          <w:tcPr>
            <w:tcW w:w="966" w:type="pct"/>
            <w:shd w:val="clear" w:color="auto" w:fill="auto"/>
            <w:vAlign w:val="center"/>
          </w:tcPr>
          <w:p w:rsidR="00C35167" w:rsidRPr="003B4122" w:rsidRDefault="00C35167" w:rsidP="00C35167">
            <w:pPr>
              <w:spacing w:after="0" w:line="240" w:lineRule="auto"/>
              <w:jc w:val="center"/>
              <w:rPr>
                <w:rFonts w:ascii="Times New Roman" w:eastAsia="Times New Roman" w:hAnsi="Times New Roman" w:cs="Times New Roman"/>
                <w:b/>
                <w:color w:val="000000"/>
                <w:lang w:eastAsia="ru-RU"/>
              </w:rPr>
            </w:pPr>
            <w:r w:rsidRPr="003B4122">
              <w:rPr>
                <w:rFonts w:ascii="Times New Roman" w:eastAsia="Calibri" w:hAnsi="Times New Roman" w:cs="Times New Roman"/>
                <w:color w:val="000000"/>
              </w:rPr>
              <w:t>Касса в отделении банка</w:t>
            </w:r>
          </w:p>
        </w:tc>
        <w:tc>
          <w:tcPr>
            <w:tcW w:w="403"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3,8</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3,8</w:t>
            </w:r>
          </w:p>
        </w:tc>
        <w:tc>
          <w:tcPr>
            <w:tcW w:w="51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3,8</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3,7</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3,8</w:t>
            </w:r>
          </w:p>
        </w:tc>
        <w:tc>
          <w:tcPr>
            <w:tcW w:w="56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3,7</w:t>
            </w:r>
          </w:p>
        </w:tc>
        <w:tc>
          <w:tcPr>
            <w:tcW w:w="46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4,2</w:t>
            </w:r>
          </w:p>
        </w:tc>
        <w:tc>
          <w:tcPr>
            <w:tcW w:w="53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3,2</w:t>
            </w:r>
          </w:p>
        </w:tc>
      </w:tr>
      <w:tr w:rsidR="00C35167" w:rsidRPr="00C35167" w:rsidTr="003A1D5A">
        <w:trPr>
          <w:trHeight w:val="6"/>
        </w:trPr>
        <w:tc>
          <w:tcPr>
            <w:tcW w:w="966" w:type="pct"/>
            <w:shd w:val="clear" w:color="auto" w:fill="auto"/>
            <w:vAlign w:val="center"/>
          </w:tcPr>
          <w:p w:rsidR="00C35167" w:rsidRPr="003B4122" w:rsidRDefault="00C35167" w:rsidP="00C35167">
            <w:pPr>
              <w:spacing w:after="0" w:line="240" w:lineRule="auto"/>
              <w:jc w:val="center"/>
              <w:rPr>
                <w:rFonts w:ascii="Times New Roman" w:eastAsia="Times New Roman" w:hAnsi="Times New Roman" w:cs="Times New Roman"/>
                <w:b/>
                <w:color w:val="000000"/>
                <w:lang w:eastAsia="ru-RU"/>
              </w:rPr>
            </w:pPr>
            <w:r w:rsidRPr="003B4122">
              <w:rPr>
                <w:rFonts w:ascii="Times New Roman" w:eastAsia="Calibri" w:hAnsi="Times New Roman" w:cs="Times New Roman"/>
                <w:color w:val="000000"/>
              </w:rPr>
              <w:t>Банкомат или терминал в отделении банка</w:t>
            </w:r>
          </w:p>
        </w:tc>
        <w:tc>
          <w:tcPr>
            <w:tcW w:w="403"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3,6</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3,6</w:t>
            </w:r>
          </w:p>
        </w:tc>
        <w:tc>
          <w:tcPr>
            <w:tcW w:w="51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3,5</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3,5</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3,5</w:t>
            </w:r>
          </w:p>
        </w:tc>
        <w:tc>
          <w:tcPr>
            <w:tcW w:w="56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3,7</w:t>
            </w:r>
          </w:p>
        </w:tc>
        <w:tc>
          <w:tcPr>
            <w:tcW w:w="46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3,8</w:t>
            </w:r>
          </w:p>
        </w:tc>
        <w:tc>
          <w:tcPr>
            <w:tcW w:w="53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3,4</w:t>
            </w:r>
          </w:p>
        </w:tc>
      </w:tr>
      <w:tr w:rsidR="00C35167" w:rsidRPr="00C35167" w:rsidTr="003A1D5A">
        <w:trPr>
          <w:trHeight w:val="6"/>
        </w:trPr>
        <w:tc>
          <w:tcPr>
            <w:tcW w:w="966" w:type="pct"/>
            <w:shd w:val="clear" w:color="auto" w:fill="auto"/>
            <w:vAlign w:val="center"/>
          </w:tcPr>
          <w:p w:rsidR="00C35167" w:rsidRPr="003B4122" w:rsidRDefault="00C35167" w:rsidP="00C35167">
            <w:pPr>
              <w:spacing w:after="0" w:line="240" w:lineRule="auto"/>
              <w:jc w:val="center"/>
              <w:rPr>
                <w:rFonts w:ascii="Times New Roman" w:eastAsia="Times New Roman" w:hAnsi="Times New Roman" w:cs="Times New Roman"/>
                <w:b/>
                <w:color w:val="000000"/>
                <w:lang w:eastAsia="ru-RU"/>
              </w:rPr>
            </w:pPr>
            <w:r w:rsidRPr="003B4122">
              <w:rPr>
                <w:rFonts w:ascii="Times New Roman" w:eastAsia="Calibri" w:hAnsi="Times New Roman" w:cs="Times New Roman"/>
                <w:color w:val="000000"/>
              </w:rPr>
              <w:t>Банкомат или терминал вне отделения банка</w:t>
            </w:r>
          </w:p>
        </w:tc>
        <w:tc>
          <w:tcPr>
            <w:tcW w:w="403"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3,2</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3,3</w:t>
            </w:r>
          </w:p>
        </w:tc>
        <w:tc>
          <w:tcPr>
            <w:tcW w:w="51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3,1</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3,0</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3,0</w:t>
            </w:r>
          </w:p>
        </w:tc>
        <w:tc>
          <w:tcPr>
            <w:tcW w:w="56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2,9</w:t>
            </w:r>
          </w:p>
        </w:tc>
        <w:tc>
          <w:tcPr>
            <w:tcW w:w="46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3,6</w:t>
            </w:r>
          </w:p>
        </w:tc>
        <w:tc>
          <w:tcPr>
            <w:tcW w:w="53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3,3</w:t>
            </w:r>
          </w:p>
        </w:tc>
      </w:tr>
      <w:tr w:rsidR="00C35167" w:rsidRPr="00C35167" w:rsidTr="003A1D5A">
        <w:trPr>
          <w:trHeight w:val="6"/>
        </w:trPr>
        <w:tc>
          <w:tcPr>
            <w:tcW w:w="966"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xml:space="preserve">POS-терминал для безналичной оплаты с помощью банковской карты в организациях торговли </w:t>
            </w:r>
          </w:p>
        </w:tc>
        <w:tc>
          <w:tcPr>
            <w:tcW w:w="403"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3,6</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3,6</w:t>
            </w:r>
          </w:p>
        </w:tc>
        <w:tc>
          <w:tcPr>
            <w:tcW w:w="51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3,5</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3,2</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3,4</w:t>
            </w:r>
          </w:p>
        </w:tc>
        <w:tc>
          <w:tcPr>
            <w:tcW w:w="56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3,8</w:t>
            </w:r>
          </w:p>
        </w:tc>
        <w:tc>
          <w:tcPr>
            <w:tcW w:w="46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3,8</w:t>
            </w:r>
          </w:p>
        </w:tc>
        <w:tc>
          <w:tcPr>
            <w:tcW w:w="53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3,1</w:t>
            </w:r>
          </w:p>
        </w:tc>
      </w:tr>
      <w:tr w:rsidR="00C35167" w:rsidRPr="00C35167" w:rsidTr="003A1D5A">
        <w:trPr>
          <w:trHeight w:val="6"/>
        </w:trPr>
        <w:tc>
          <w:tcPr>
            <w:tcW w:w="966"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xml:space="preserve">Платежный терминал для приема наличных денежных средств с целью оплаты товаров </w:t>
            </w:r>
          </w:p>
        </w:tc>
        <w:tc>
          <w:tcPr>
            <w:tcW w:w="403"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3,6</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3,6</w:t>
            </w:r>
          </w:p>
        </w:tc>
        <w:tc>
          <w:tcPr>
            <w:tcW w:w="51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3,5</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3,7</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3,6</w:t>
            </w:r>
          </w:p>
        </w:tc>
        <w:tc>
          <w:tcPr>
            <w:tcW w:w="56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3,5</w:t>
            </w:r>
          </w:p>
        </w:tc>
        <w:tc>
          <w:tcPr>
            <w:tcW w:w="46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3,7</w:t>
            </w:r>
          </w:p>
        </w:tc>
        <w:tc>
          <w:tcPr>
            <w:tcW w:w="53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4,0</w:t>
            </w:r>
          </w:p>
        </w:tc>
      </w:tr>
      <w:tr w:rsidR="00C35167" w:rsidRPr="00C35167" w:rsidTr="003A1D5A">
        <w:trPr>
          <w:trHeight w:val="6"/>
        </w:trPr>
        <w:tc>
          <w:tcPr>
            <w:tcW w:w="966"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Отделение почтовой связи</w:t>
            </w:r>
          </w:p>
        </w:tc>
        <w:tc>
          <w:tcPr>
            <w:tcW w:w="403"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3,9</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3,9</w:t>
            </w:r>
          </w:p>
        </w:tc>
        <w:tc>
          <w:tcPr>
            <w:tcW w:w="51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3,9</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4,0</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3,7</w:t>
            </w:r>
          </w:p>
        </w:tc>
        <w:tc>
          <w:tcPr>
            <w:tcW w:w="56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4,1</w:t>
            </w:r>
          </w:p>
        </w:tc>
        <w:tc>
          <w:tcPr>
            <w:tcW w:w="46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4,0</w:t>
            </w:r>
          </w:p>
        </w:tc>
        <w:tc>
          <w:tcPr>
            <w:tcW w:w="53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4,1</w:t>
            </w:r>
          </w:p>
        </w:tc>
      </w:tr>
      <w:tr w:rsidR="00C35167" w:rsidRPr="00C35167" w:rsidTr="003A1D5A">
        <w:trPr>
          <w:trHeight w:val="404"/>
        </w:trPr>
        <w:tc>
          <w:tcPr>
            <w:tcW w:w="5000" w:type="pct"/>
            <w:gridSpan w:val="9"/>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b/>
                <w:bCs/>
                <w:color w:val="000000"/>
              </w:rPr>
              <w:t>Доступность/оперативность использования</w:t>
            </w:r>
          </w:p>
        </w:tc>
      </w:tr>
      <w:tr w:rsidR="00C35167" w:rsidRPr="00C35167" w:rsidTr="003A1D5A">
        <w:trPr>
          <w:trHeight w:val="371"/>
        </w:trPr>
        <w:tc>
          <w:tcPr>
            <w:tcW w:w="966"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Касса в отделении банка</w:t>
            </w:r>
          </w:p>
        </w:tc>
        <w:tc>
          <w:tcPr>
            <w:tcW w:w="403"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3,4</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3,4</w:t>
            </w:r>
          </w:p>
        </w:tc>
        <w:tc>
          <w:tcPr>
            <w:tcW w:w="51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3,4</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3,6</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3,3</w:t>
            </w:r>
          </w:p>
        </w:tc>
        <w:tc>
          <w:tcPr>
            <w:tcW w:w="56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3,5</w:t>
            </w:r>
          </w:p>
        </w:tc>
        <w:tc>
          <w:tcPr>
            <w:tcW w:w="46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3,6</w:t>
            </w:r>
          </w:p>
        </w:tc>
        <w:tc>
          <w:tcPr>
            <w:tcW w:w="53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3,0</w:t>
            </w:r>
          </w:p>
        </w:tc>
      </w:tr>
      <w:tr w:rsidR="00C35167" w:rsidRPr="00C35167" w:rsidTr="003A1D5A">
        <w:trPr>
          <w:trHeight w:val="6"/>
        </w:trPr>
        <w:tc>
          <w:tcPr>
            <w:tcW w:w="966"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Банкомат или терминал в отделении банка</w:t>
            </w:r>
          </w:p>
        </w:tc>
        <w:tc>
          <w:tcPr>
            <w:tcW w:w="403"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3,6</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3,6</w:t>
            </w:r>
          </w:p>
        </w:tc>
        <w:tc>
          <w:tcPr>
            <w:tcW w:w="51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3,5</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3,5</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3,2</w:t>
            </w:r>
          </w:p>
        </w:tc>
        <w:tc>
          <w:tcPr>
            <w:tcW w:w="56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3,6</w:t>
            </w:r>
          </w:p>
        </w:tc>
        <w:tc>
          <w:tcPr>
            <w:tcW w:w="46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3,6</w:t>
            </w:r>
          </w:p>
        </w:tc>
        <w:tc>
          <w:tcPr>
            <w:tcW w:w="53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3,3</w:t>
            </w:r>
          </w:p>
        </w:tc>
      </w:tr>
      <w:tr w:rsidR="00C35167" w:rsidRPr="00C35167" w:rsidTr="003A1D5A">
        <w:trPr>
          <w:trHeight w:val="6"/>
        </w:trPr>
        <w:tc>
          <w:tcPr>
            <w:tcW w:w="966"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Банкомат или терминал вне отделения банка</w:t>
            </w:r>
          </w:p>
        </w:tc>
        <w:tc>
          <w:tcPr>
            <w:tcW w:w="403"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3,4</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3,4</w:t>
            </w:r>
          </w:p>
        </w:tc>
        <w:tc>
          <w:tcPr>
            <w:tcW w:w="51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3,1</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3,7</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3,3</w:t>
            </w:r>
          </w:p>
        </w:tc>
        <w:tc>
          <w:tcPr>
            <w:tcW w:w="56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3,4</w:t>
            </w:r>
          </w:p>
        </w:tc>
        <w:tc>
          <w:tcPr>
            <w:tcW w:w="46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3,3</w:t>
            </w:r>
          </w:p>
        </w:tc>
        <w:tc>
          <w:tcPr>
            <w:tcW w:w="53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3,0</w:t>
            </w:r>
          </w:p>
        </w:tc>
      </w:tr>
      <w:tr w:rsidR="00C35167" w:rsidRPr="00C35167" w:rsidTr="003A1D5A">
        <w:trPr>
          <w:trHeight w:val="6"/>
        </w:trPr>
        <w:tc>
          <w:tcPr>
            <w:tcW w:w="966"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xml:space="preserve">POS-терминал для безналичной оплаты с помощью банковской карты в организациях торговли </w:t>
            </w:r>
          </w:p>
        </w:tc>
        <w:tc>
          <w:tcPr>
            <w:tcW w:w="403"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3,7</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3,7</w:t>
            </w:r>
          </w:p>
        </w:tc>
        <w:tc>
          <w:tcPr>
            <w:tcW w:w="51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3,4</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3,6</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3,5</w:t>
            </w:r>
          </w:p>
        </w:tc>
        <w:tc>
          <w:tcPr>
            <w:tcW w:w="56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3,9</w:t>
            </w:r>
          </w:p>
        </w:tc>
        <w:tc>
          <w:tcPr>
            <w:tcW w:w="46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3,6</w:t>
            </w:r>
          </w:p>
        </w:tc>
        <w:tc>
          <w:tcPr>
            <w:tcW w:w="53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2,5</w:t>
            </w:r>
          </w:p>
        </w:tc>
      </w:tr>
      <w:tr w:rsidR="00C35167" w:rsidRPr="00C35167" w:rsidTr="003A1D5A">
        <w:trPr>
          <w:trHeight w:val="6"/>
        </w:trPr>
        <w:tc>
          <w:tcPr>
            <w:tcW w:w="966"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 xml:space="preserve">Платежный терминал для приема наличных денежных средств с целью оплаты товаров </w:t>
            </w:r>
          </w:p>
        </w:tc>
        <w:tc>
          <w:tcPr>
            <w:tcW w:w="403"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3,6</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3,6</w:t>
            </w:r>
          </w:p>
        </w:tc>
        <w:tc>
          <w:tcPr>
            <w:tcW w:w="51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3,6</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3,7</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3,5</w:t>
            </w:r>
          </w:p>
        </w:tc>
        <w:tc>
          <w:tcPr>
            <w:tcW w:w="56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3,7</w:t>
            </w:r>
          </w:p>
        </w:tc>
        <w:tc>
          <w:tcPr>
            <w:tcW w:w="46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3,4</w:t>
            </w:r>
          </w:p>
        </w:tc>
        <w:tc>
          <w:tcPr>
            <w:tcW w:w="53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2,9</w:t>
            </w:r>
          </w:p>
        </w:tc>
      </w:tr>
      <w:tr w:rsidR="00C35167" w:rsidRPr="00C35167" w:rsidTr="003A1D5A">
        <w:trPr>
          <w:trHeight w:val="6"/>
        </w:trPr>
        <w:tc>
          <w:tcPr>
            <w:tcW w:w="966" w:type="pct"/>
            <w:shd w:val="clear" w:color="auto" w:fill="auto"/>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Отделение почтовой связи</w:t>
            </w:r>
          </w:p>
        </w:tc>
        <w:tc>
          <w:tcPr>
            <w:tcW w:w="403" w:type="pct"/>
            <w:vAlign w:val="center"/>
          </w:tcPr>
          <w:p w:rsidR="00C35167" w:rsidRPr="003B4122" w:rsidRDefault="00C35167" w:rsidP="00C35167">
            <w:pPr>
              <w:spacing w:after="0" w:line="240" w:lineRule="auto"/>
              <w:jc w:val="center"/>
              <w:rPr>
                <w:rFonts w:ascii="Times New Roman" w:eastAsia="Calibri" w:hAnsi="Times New Roman" w:cs="Times New Roman"/>
                <w:b/>
                <w:color w:val="000000"/>
              </w:rPr>
            </w:pPr>
            <w:r w:rsidRPr="003B4122">
              <w:rPr>
                <w:rFonts w:ascii="Times New Roman" w:eastAsia="Calibri" w:hAnsi="Times New Roman" w:cs="Times New Roman"/>
                <w:b/>
                <w:color w:val="000000"/>
              </w:rPr>
              <w:t>3,6</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3,5</w:t>
            </w:r>
          </w:p>
        </w:tc>
        <w:tc>
          <w:tcPr>
            <w:tcW w:w="515"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3,5</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3,6</w:t>
            </w:r>
          </w:p>
        </w:tc>
        <w:tc>
          <w:tcPr>
            <w:tcW w:w="51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3,3</w:t>
            </w:r>
          </w:p>
        </w:tc>
        <w:tc>
          <w:tcPr>
            <w:tcW w:w="566"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3,7</w:t>
            </w:r>
          </w:p>
        </w:tc>
        <w:tc>
          <w:tcPr>
            <w:tcW w:w="464"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3,8</w:t>
            </w:r>
          </w:p>
        </w:tc>
        <w:tc>
          <w:tcPr>
            <w:tcW w:w="537" w:type="pct"/>
            <w:vAlign w:val="center"/>
          </w:tcPr>
          <w:p w:rsidR="00C35167" w:rsidRPr="003B4122" w:rsidRDefault="00C35167" w:rsidP="00C35167">
            <w:pPr>
              <w:spacing w:after="0" w:line="240" w:lineRule="auto"/>
              <w:jc w:val="center"/>
              <w:rPr>
                <w:rFonts w:ascii="Times New Roman" w:eastAsia="Calibri" w:hAnsi="Times New Roman" w:cs="Times New Roman"/>
                <w:color w:val="000000"/>
              </w:rPr>
            </w:pPr>
            <w:r w:rsidRPr="003B4122">
              <w:rPr>
                <w:rFonts w:ascii="Times New Roman" w:eastAsia="Calibri" w:hAnsi="Times New Roman" w:cs="Times New Roman"/>
                <w:color w:val="000000"/>
              </w:rPr>
              <w:t>3,3</w:t>
            </w:r>
          </w:p>
        </w:tc>
      </w:tr>
    </w:tbl>
    <w:p w:rsidR="00C35167" w:rsidRPr="00C35167" w:rsidRDefault="00C35167" w:rsidP="00C35167">
      <w:pPr>
        <w:spacing w:after="0" w:line="360" w:lineRule="auto"/>
        <w:ind w:firstLine="709"/>
        <w:contextualSpacing/>
        <w:jc w:val="both"/>
        <w:rPr>
          <w:rFonts w:ascii="Times New Roman" w:eastAsia="Calibri" w:hAnsi="Times New Roman" w:cs="Times New Roman"/>
          <w:iCs/>
          <w:color w:val="000000"/>
          <w:sz w:val="28"/>
          <w:szCs w:val="28"/>
        </w:rPr>
      </w:pPr>
    </w:p>
    <w:p w:rsidR="00C35167" w:rsidRPr="00762548" w:rsidRDefault="00C35167" w:rsidP="00C35167">
      <w:pPr>
        <w:spacing w:after="0" w:line="360" w:lineRule="auto"/>
        <w:ind w:firstLine="709"/>
        <w:contextualSpacing/>
        <w:jc w:val="both"/>
        <w:rPr>
          <w:rFonts w:ascii="Times New Roman" w:eastAsia="Calibri" w:hAnsi="Times New Roman" w:cs="Times New Roman"/>
          <w:iCs/>
          <w:color w:val="000000"/>
          <w:sz w:val="24"/>
          <w:szCs w:val="24"/>
        </w:rPr>
      </w:pPr>
      <w:r w:rsidRPr="00762548">
        <w:rPr>
          <w:rFonts w:ascii="Times New Roman" w:eastAsia="Calibri" w:hAnsi="Times New Roman" w:cs="Times New Roman"/>
          <w:iCs/>
          <w:color w:val="000000"/>
          <w:sz w:val="24"/>
          <w:szCs w:val="24"/>
        </w:rPr>
        <w:t>В разрезе по социальному статусу респондентов можно отметить следующие особенности:</w:t>
      </w:r>
    </w:p>
    <w:p w:rsidR="00C35167" w:rsidRPr="00762548" w:rsidRDefault="00C35167" w:rsidP="00C35167">
      <w:pPr>
        <w:spacing w:after="0" w:line="360" w:lineRule="auto"/>
        <w:ind w:firstLine="709"/>
        <w:contextualSpacing/>
        <w:jc w:val="both"/>
        <w:rPr>
          <w:rFonts w:ascii="Times New Roman" w:eastAsia="Calibri" w:hAnsi="Times New Roman" w:cs="Times New Roman"/>
          <w:iCs/>
          <w:color w:val="000000"/>
          <w:sz w:val="24"/>
          <w:szCs w:val="24"/>
        </w:rPr>
      </w:pPr>
      <w:r w:rsidRPr="00762548">
        <w:rPr>
          <w:rFonts w:ascii="Times New Roman" w:eastAsia="Calibri" w:hAnsi="Times New Roman" w:cs="Times New Roman"/>
          <w:iCs/>
          <w:color w:val="000000"/>
          <w:sz w:val="24"/>
          <w:szCs w:val="24"/>
        </w:rPr>
        <w:t>- Учащиеся/студенты менее других категорий граждан довольны наличием на местах в организациях торговли РО</w:t>
      </w:r>
      <w:r w:rsidRPr="00762548">
        <w:rPr>
          <w:rFonts w:ascii="Times New Roman" w:eastAsia="Calibri" w:hAnsi="Times New Roman" w:cs="Times New Roman"/>
          <w:iCs/>
          <w:color w:val="000000"/>
          <w:sz w:val="24"/>
          <w:szCs w:val="24"/>
          <w:lang w:val="en-US"/>
        </w:rPr>
        <w:t>S</w:t>
      </w:r>
      <w:r w:rsidRPr="00762548">
        <w:rPr>
          <w:rFonts w:ascii="Times New Roman" w:eastAsia="Calibri" w:hAnsi="Times New Roman" w:cs="Times New Roman"/>
          <w:iCs/>
          <w:color w:val="000000"/>
          <w:sz w:val="24"/>
          <w:szCs w:val="24"/>
        </w:rPr>
        <w:t>-терминалов для безналичной оплаты с помощью банковской карты, но при этом оценка доступности и оперативности использования данного канала находится в пределах средних по области значений.</w:t>
      </w:r>
    </w:p>
    <w:p w:rsidR="00C35167" w:rsidRPr="00762548" w:rsidRDefault="00C35167" w:rsidP="00C35167">
      <w:pPr>
        <w:spacing w:after="0" w:line="360" w:lineRule="auto"/>
        <w:ind w:firstLine="709"/>
        <w:contextualSpacing/>
        <w:jc w:val="both"/>
        <w:rPr>
          <w:rFonts w:ascii="Times New Roman" w:eastAsia="Calibri" w:hAnsi="Times New Roman" w:cs="Times New Roman"/>
          <w:iCs/>
          <w:color w:val="000000"/>
          <w:sz w:val="24"/>
          <w:szCs w:val="24"/>
        </w:rPr>
      </w:pPr>
      <w:r w:rsidRPr="00762548">
        <w:rPr>
          <w:rFonts w:ascii="Times New Roman" w:eastAsia="Calibri" w:hAnsi="Times New Roman" w:cs="Times New Roman"/>
          <w:iCs/>
          <w:color w:val="000000"/>
          <w:sz w:val="24"/>
          <w:szCs w:val="24"/>
        </w:rPr>
        <w:t>- Лица, ведущие домашнее хозяйство, несколько ниже оценивают доступность использования банкоматов или терминалов в отделениях банков.</w:t>
      </w:r>
    </w:p>
    <w:p w:rsidR="00C35167" w:rsidRPr="00762548" w:rsidRDefault="00C35167" w:rsidP="00C35167">
      <w:pPr>
        <w:spacing w:after="0" w:line="360" w:lineRule="auto"/>
        <w:ind w:firstLine="709"/>
        <w:contextualSpacing/>
        <w:jc w:val="both"/>
        <w:rPr>
          <w:rFonts w:ascii="Times New Roman" w:eastAsia="Calibri" w:hAnsi="Times New Roman" w:cs="Times New Roman"/>
          <w:iCs/>
          <w:color w:val="000000"/>
          <w:sz w:val="24"/>
          <w:szCs w:val="24"/>
        </w:rPr>
      </w:pPr>
      <w:r w:rsidRPr="00762548">
        <w:rPr>
          <w:rFonts w:ascii="Times New Roman" w:eastAsia="Calibri" w:hAnsi="Times New Roman" w:cs="Times New Roman"/>
          <w:iCs/>
          <w:color w:val="000000"/>
          <w:sz w:val="24"/>
          <w:szCs w:val="24"/>
        </w:rPr>
        <w:t>- Пенсионеры чаще недовольны количеством имеющихся в их населенных пунктах банкоматов или терминалов в отделениях банков, но при этом доступность и оперативность использования данного канала оценивают в пределах средних по области значений.</w:t>
      </w:r>
    </w:p>
    <w:p w:rsidR="00C35167" w:rsidRPr="00762548" w:rsidRDefault="00C35167" w:rsidP="00C35167">
      <w:pPr>
        <w:spacing w:after="0" w:line="360" w:lineRule="auto"/>
        <w:ind w:firstLine="709"/>
        <w:contextualSpacing/>
        <w:jc w:val="both"/>
        <w:rPr>
          <w:rFonts w:ascii="Times New Roman" w:eastAsia="Calibri" w:hAnsi="Times New Roman" w:cs="Times New Roman"/>
          <w:iCs/>
          <w:color w:val="000000"/>
          <w:sz w:val="24"/>
          <w:szCs w:val="24"/>
        </w:rPr>
      </w:pPr>
      <w:r w:rsidRPr="00762548">
        <w:rPr>
          <w:rFonts w:ascii="Times New Roman" w:eastAsia="Calibri" w:hAnsi="Times New Roman" w:cs="Times New Roman"/>
          <w:iCs/>
          <w:color w:val="000000"/>
          <w:sz w:val="24"/>
          <w:szCs w:val="24"/>
        </w:rPr>
        <w:t>- Самозанятые выше других категорий населения оценивают наличие на местах касс, банкоматов и терминалов в отделениях банков, а также банкоматов или терминалов вне отделений банков.</w:t>
      </w:r>
    </w:p>
    <w:p w:rsidR="00C35167" w:rsidRPr="00762548" w:rsidRDefault="00C35167" w:rsidP="00C35167">
      <w:pPr>
        <w:spacing w:after="0" w:line="360" w:lineRule="auto"/>
        <w:ind w:firstLine="709"/>
        <w:contextualSpacing/>
        <w:jc w:val="both"/>
        <w:rPr>
          <w:rFonts w:ascii="Times New Roman" w:eastAsia="Calibri" w:hAnsi="Times New Roman" w:cs="Times New Roman"/>
          <w:iCs/>
          <w:color w:val="000000"/>
          <w:sz w:val="24"/>
          <w:szCs w:val="24"/>
        </w:rPr>
      </w:pPr>
      <w:r w:rsidRPr="00762548">
        <w:rPr>
          <w:rFonts w:ascii="Times New Roman" w:eastAsia="Calibri" w:hAnsi="Times New Roman" w:cs="Times New Roman"/>
          <w:iCs/>
          <w:color w:val="000000"/>
          <w:sz w:val="24"/>
          <w:szCs w:val="24"/>
        </w:rPr>
        <w:t xml:space="preserve">- Предприниматели ниже, чем представители иных социальных групп, оценивают наличие на местах большинства рассматриваемых каналов доступа к финансовым услугам: касс, банкоматов и терминалов в отделениях банков, банкоматов или терминалов вне отделений банков, а также РОS-терминалов для безналичной оплаты с помощью банковской карты в организациях торговли. Их оценка доступности абсолютно всех рассматриваемых каналов также ниже средних по области значений. </w:t>
      </w:r>
    </w:p>
    <w:p w:rsidR="00C35167" w:rsidRPr="00C35167" w:rsidRDefault="00C35167" w:rsidP="00762548">
      <w:pPr>
        <w:keepNext/>
        <w:keepLines/>
        <w:spacing w:before="120" w:after="120" w:line="240" w:lineRule="auto"/>
        <w:jc w:val="center"/>
        <w:rPr>
          <w:rFonts w:ascii="Times New Roman" w:eastAsia="Calibri" w:hAnsi="Times New Roman" w:cs="Times New Roman"/>
          <w:color w:val="000000"/>
          <w:sz w:val="24"/>
          <w:szCs w:val="24"/>
        </w:rPr>
      </w:pPr>
      <w:r w:rsidRPr="00C35167">
        <w:rPr>
          <w:rFonts w:ascii="Times New Roman" w:eastAsia="Calibri" w:hAnsi="Times New Roman" w:cs="Times New Roman"/>
          <w:iCs/>
          <w:color w:val="000000"/>
          <w:sz w:val="24"/>
          <w:szCs w:val="24"/>
        </w:rPr>
        <w:t xml:space="preserve">Рисунок </w:t>
      </w:r>
      <w:r w:rsidR="00762548">
        <w:rPr>
          <w:rFonts w:ascii="Times New Roman" w:eastAsia="Calibri" w:hAnsi="Times New Roman" w:cs="Times New Roman"/>
          <w:iCs/>
          <w:color w:val="000000"/>
          <w:sz w:val="24"/>
          <w:szCs w:val="24"/>
        </w:rPr>
        <w:t>54</w:t>
      </w:r>
      <w:r w:rsidRPr="00C35167">
        <w:rPr>
          <w:rFonts w:ascii="Times New Roman" w:eastAsia="Calibri" w:hAnsi="Times New Roman" w:cs="Times New Roman"/>
          <w:iCs/>
          <w:color w:val="000000"/>
          <w:sz w:val="24"/>
          <w:szCs w:val="24"/>
        </w:rPr>
        <w:t xml:space="preserve">. </w:t>
      </w:r>
      <w:r w:rsidRPr="00C35167">
        <w:rPr>
          <w:rFonts w:ascii="Times New Roman" w:eastAsia="Calibri" w:hAnsi="Times New Roman" w:cs="Times New Roman"/>
          <w:b/>
          <w:color w:val="000000"/>
          <w:sz w:val="24"/>
          <w:szCs w:val="24"/>
        </w:rPr>
        <w:t xml:space="preserve">Пользовались ли Вы следующими типами дистанционного доступа к банковскому счету (расчетному счету, счету по вкладу, счету платежной карты) за последние 12 месяцев? </w:t>
      </w:r>
      <w:r w:rsidRPr="00C35167">
        <w:rPr>
          <w:rFonts w:ascii="Times New Roman" w:eastAsia="Calibri" w:hAnsi="Times New Roman" w:cs="Times New Roman"/>
          <w:noProof/>
          <w:color w:val="000000"/>
          <w:sz w:val="24"/>
          <w:szCs w:val="24"/>
        </w:rPr>
        <w:t>(опрос населения, % от ответивших на вопрос</w:t>
      </w:r>
      <w:r w:rsidRPr="00C35167">
        <w:rPr>
          <w:rFonts w:ascii="Times New Roman" w:eastAsia="Calibri" w:hAnsi="Times New Roman" w:cs="Times New Roman"/>
          <w:color w:val="000000"/>
          <w:sz w:val="24"/>
          <w:szCs w:val="24"/>
        </w:rPr>
        <w:t>)</w:t>
      </w:r>
    </w:p>
    <w:p w:rsidR="00C35167" w:rsidRPr="00C35167" w:rsidRDefault="00C35167" w:rsidP="00C35167">
      <w:pPr>
        <w:rPr>
          <w:rFonts w:ascii="Times New Roman" w:eastAsia="Times New Roman" w:hAnsi="Times New Roman" w:cs="Times New Roman"/>
          <w:color w:val="000000"/>
          <w:sz w:val="28"/>
          <w:szCs w:val="28"/>
          <w:lang w:eastAsia="ru-RU"/>
        </w:rPr>
      </w:pPr>
      <w:r w:rsidRPr="00C35167">
        <w:rPr>
          <w:rFonts w:ascii="Times New Roman" w:eastAsia="Franklin Gothic Book" w:hAnsi="Times New Roman" w:cs="Times New Roman"/>
          <w:noProof/>
          <w:color w:val="000000"/>
          <w:szCs w:val="24"/>
          <w:u w:color="000000"/>
          <w:lang w:eastAsia="ru-RU"/>
        </w:rPr>
        <w:drawing>
          <wp:inline distT="0" distB="0" distL="0" distR="0" wp14:anchorId="2E000083" wp14:editId="51206134">
            <wp:extent cx="6324600" cy="2752725"/>
            <wp:effectExtent l="0" t="0" r="0" b="0"/>
            <wp:docPr id="1063" name="Диаграмма 10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C35167" w:rsidRPr="00B6184B" w:rsidRDefault="00C35167" w:rsidP="00C35167">
      <w:pPr>
        <w:spacing w:after="0" w:line="360" w:lineRule="auto"/>
        <w:ind w:firstLine="709"/>
        <w:contextualSpacing/>
        <w:jc w:val="both"/>
        <w:rPr>
          <w:rFonts w:ascii="Times New Roman" w:eastAsia="Calibri" w:hAnsi="Times New Roman" w:cs="Times New Roman"/>
          <w:iCs/>
          <w:color w:val="000000"/>
          <w:sz w:val="24"/>
          <w:szCs w:val="24"/>
        </w:rPr>
      </w:pPr>
      <w:r w:rsidRPr="00B6184B">
        <w:rPr>
          <w:rFonts w:ascii="Times New Roman" w:eastAsia="Calibri" w:hAnsi="Times New Roman" w:cs="Times New Roman"/>
          <w:iCs/>
          <w:color w:val="000000"/>
          <w:sz w:val="24"/>
          <w:szCs w:val="24"/>
        </w:rPr>
        <w:t>Опыт использования дистанционных каналов доступа к финансовым услугам подтвердили более 80% граждан, имеющих банковский счет. Чаще всего получатели финансовых услуг использовали дистанционный формат для осуществления денежных переводов/платежей через мобильный банк с помощью специализированного мобильного приложения для смартфона или планшета (81%). Наименее популярен у населения области, имеющего действующий банковский счет, такой тип дистанционного доступа к своим финансам, как денежные переводы/платежи через мобильный банк с помощью специализированного мобильного приложения для смартфона или планшета (использовали 40%).</w:t>
      </w:r>
    </w:p>
    <w:p w:rsidR="00C35167" w:rsidRPr="00C35167" w:rsidRDefault="00C35167" w:rsidP="00B6184B">
      <w:pPr>
        <w:keepNext/>
        <w:keepLines/>
        <w:spacing w:before="120" w:after="120" w:line="240" w:lineRule="auto"/>
        <w:jc w:val="center"/>
        <w:rPr>
          <w:rFonts w:ascii="Times New Roman" w:eastAsia="Calibri" w:hAnsi="Times New Roman" w:cs="Times New Roman"/>
          <w:color w:val="000000"/>
          <w:sz w:val="24"/>
          <w:szCs w:val="24"/>
        </w:rPr>
      </w:pPr>
      <w:r w:rsidRPr="00C35167">
        <w:rPr>
          <w:rFonts w:ascii="Times New Roman" w:eastAsia="Calibri" w:hAnsi="Times New Roman" w:cs="Times New Roman"/>
          <w:iCs/>
          <w:color w:val="000000"/>
          <w:sz w:val="24"/>
          <w:szCs w:val="28"/>
        </w:rPr>
        <w:t xml:space="preserve">Таблица </w:t>
      </w:r>
      <w:r w:rsidR="00B6184B">
        <w:rPr>
          <w:rFonts w:ascii="Times New Roman" w:eastAsia="Calibri" w:hAnsi="Times New Roman" w:cs="Times New Roman"/>
          <w:iCs/>
          <w:color w:val="000000"/>
          <w:sz w:val="24"/>
          <w:szCs w:val="28"/>
        </w:rPr>
        <w:t>50</w:t>
      </w:r>
      <w:r w:rsidRPr="00C35167">
        <w:rPr>
          <w:rFonts w:ascii="Times New Roman" w:eastAsia="Calibri" w:hAnsi="Times New Roman" w:cs="Times New Roman"/>
          <w:iCs/>
          <w:color w:val="000000"/>
          <w:sz w:val="24"/>
          <w:szCs w:val="28"/>
        </w:rPr>
        <w:t xml:space="preserve">. </w:t>
      </w:r>
      <w:r w:rsidRPr="00C35167">
        <w:rPr>
          <w:rFonts w:ascii="Times New Roman" w:eastAsia="Calibri" w:hAnsi="Times New Roman" w:cs="Times New Roman"/>
          <w:b/>
          <w:color w:val="000000"/>
        </w:rPr>
        <w:t xml:space="preserve">Доля пользователей различными типами дистанционного доступа к банковскому счету (расчетному счету, счету по вкладу, счету платежной карты) за последние 12 месяцев? </w:t>
      </w:r>
      <w:r w:rsidRPr="00C35167">
        <w:rPr>
          <w:rFonts w:ascii="Times New Roman" w:eastAsia="Calibri" w:hAnsi="Times New Roman" w:cs="Times New Roman"/>
          <w:noProof/>
          <w:color w:val="000000"/>
          <w:sz w:val="24"/>
          <w:szCs w:val="24"/>
        </w:rPr>
        <w:t>(опрос населения, % от ответивших на вопрос</w:t>
      </w:r>
      <w:r w:rsidRPr="00C35167">
        <w:rPr>
          <w:rFonts w:ascii="Times New Roman" w:eastAsia="Calibri" w:hAnsi="Times New Roman" w:cs="Times New Roman"/>
          <w:color w:val="000000"/>
          <w:sz w:val="24"/>
          <w:szCs w:val="24"/>
        </w:rPr>
        <w:t>)</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5"/>
        <w:gridCol w:w="993"/>
        <w:gridCol w:w="992"/>
        <w:gridCol w:w="992"/>
        <w:gridCol w:w="992"/>
        <w:gridCol w:w="992"/>
        <w:gridCol w:w="992"/>
        <w:gridCol w:w="992"/>
        <w:gridCol w:w="990"/>
      </w:tblGrid>
      <w:tr w:rsidR="00C35167" w:rsidRPr="00C35167" w:rsidTr="003B4122">
        <w:trPr>
          <w:cantSplit/>
          <w:trHeight w:val="2107"/>
          <w:tblHeader/>
        </w:trPr>
        <w:tc>
          <w:tcPr>
            <w:tcW w:w="1129" w:type="pct"/>
            <w:shd w:val="clear" w:color="auto" w:fill="auto"/>
            <w:noWrap/>
            <w:vAlign w:val="center"/>
          </w:tcPr>
          <w:p w:rsidR="00C35167" w:rsidRPr="0088268B" w:rsidRDefault="00C35167" w:rsidP="00C35167">
            <w:pPr>
              <w:spacing w:after="0" w:line="240" w:lineRule="auto"/>
              <w:jc w:val="center"/>
              <w:rPr>
                <w:rFonts w:ascii="Times New Roman" w:eastAsia="Times New Roman" w:hAnsi="Times New Roman" w:cs="Times New Roman"/>
                <w:color w:val="000000"/>
                <w:lang w:eastAsia="ru-RU"/>
              </w:rPr>
            </w:pPr>
          </w:p>
        </w:tc>
        <w:tc>
          <w:tcPr>
            <w:tcW w:w="484" w:type="pct"/>
            <w:shd w:val="clear" w:color="auto" w:fill="auto"/>
            <w:textDirection w:val="btLr"/>
            <w:vAlign w:val="center"/>
          </w:tcPr>
          <w:p w:rsidR="00C35167" w:rsidRPr="0088268B"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88268B">
              <w:rPr>
                <w:rFonts w:ascii="Times New Roman" w:eastAsia="Calibri" w:hAnsi="Times New Roman" w:cs="Times New Roman"/>
                <w:b/>
                <w:color w:val="000000"/>
              </w:rPr>
              <w:t>В целом по области</w:t>
            </w:r>
          </w:p>
        </w:tc>
        <w:tc>
          <w:tcPr>
            <w:tcW w:w="484" w:type="pct"/>
            <w:shd w:val="clear" w:color="auto" w:fill="auto"/>
            <w:textDirection w:val="btLr"/>
          </w:tcPr>
          <w:p w:rsidR="00C35167" w:rsidRPr="0088268B"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88268B">
              <w:rPr>
                <w:rFonts w:ascii="Times New Roman" w:eastAsia="Calibri" w:hAnsi="Times New Roman" w:cs="Times New Roman"/>
                <w:b/>
                <w:bCs/>
                <w:color w:val="000000"/>
              </w:rPr>
              <w:t>Работаю</w:t>
            </w:r>
          </w:p>
        </w:tc>
        <w:tc>
          <w:tcPr>
            <w:tcW w:w="484" w:type="pct"/>
            <w:shd w:val="clear" w:color="auto" w:fill="auto"/>
            <w:textDirection w:val="btLr"/>
          </w:tcPr>
          <w:p w:rsidR="00C35167" w:rsidRPr="0088268B"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88268B">
              <w:rPr>
                <w:rFonts w:ascii="Times New Roman" w:eastAsia="Calibri" w:hAnsi="Times New Roman" w:cs="Times New Roman"/>
                <w:b/>
                <w:bCs/>
                <w:color w:val="000000"/>
              </w:rPr>
              <w:t>Безработный</w:t>
            </w:r>
          </w:p>
        </w:tc>
        <w:tc>
          <w:tcPr>
            <w:tcW w:w="484" w:type="pct"/>
            <w:shd w:val="clear" w:color="auto" w:fill="auto"/>
            <w:textDirection w:val="btLr"/>
          </w:tcPr>
          <w:p w:rsidR="00C35167" w:rsidRPr="0088268B"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88268B">
              <w:rPr>
                <w:rFonts w:ascii="Times New Roman" w:eastAsia="Calibri" w:hAnsi="Times New Roman" w:cs="Times New Roman"/>
                <w:b/>
                <w:bCs/>
                <w:color w:val="000000"/>
              </w:rPr>
              <w:t>Учусь/студент</w:t>
            </w:r>
          </w:p>
        </w:tc>
        <w:tc>
          <w:tcPr>
            <w:tcW w:w="484" w:type="pct"/>
            <w:shd w:val="clear" w:color="auto" w:fill="auto"/>
            <w:textDirection w:val="btLr"/>
          </w:tcPr>
          <w:p w:rsidR="00C35167" w:rsidRPr="0088268B"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88268B">
              <w:rPr>
                <w:rFonts w:ascii="Times New Roman" w:eastAsia="Calibri" w:hAnsi="Times New Roman" w:cs="Times New Roman"/>
                <w:b/>
                <w:bCs/>
                <w:color w:val="000000"/>
              </w:rPr>
              <w:t>Домохозяйка (домохозяин)</w:t>
            </w:r>
          </w:p>
        </w:tc>
        <w:tc>
          <w:tcPr>
            <w:tcW w:w="484" w:type="pct"/>
            <w:shd w:val="clear" w:color="auto" w:fill="auto"/>
            <w:textDirection w:val="btLr"/>
          </w:tcPr>
          <w:p w:rsidR="00C35167" w:rsidRPr="0088268B"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88268B">
              <w:rPr>
                <w:rFonts w:ascii="Times New Roman" w:eastAsia="Calibri" w:hAnsi="Times New Roman" w:cs="Times New Roman"/>
                <w:b/>
                <w:bCs/>
                <w:color w:val="000000"/>
              </w:rPr>
              <w:t>Пенсионер (в т.ч. по инвалидности)</w:t>
            </w:r>
          </w:p>
        </w:tc>
        <w:tc>
          <w:tcPr>
            <w:tcW w:w="484" w:type="pct"/>
            <w:shd w:val="clear" w:color="auto" w:fill="auto"/>
            <w:textDirection w:val="btLr"/>
          </w:tcPr>
          <w:p w:rsidR="00C35167" w:rsidRPr="0088268B"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88268B">
              <w:rPr>
                <w:rFonts w:ascii="Times New Roman" w:eastAsia="Calibri" w:hAnsi="Times New Roman" w:cs="Times New Roman"/>
                <w:b/>
                <w:bCs/>
                <w:color w:val="000000"/>
              </w:rPr>
              <w:t>Самозанятый</w:t>
            </w:r>
          </w:p>
        </w:tc>
        <w:tc>
          <w:tcPr>
            <w:tcW w:w="484" w:type="pct"/>
            <w:shd w:val="clear" w:color="auto" w:fill="auto"/>
            <w:textDirection w:val="btLr"/>
          </w:tcPr>
          <w:p w:rsidR="00C35167" w:rsidRPr="0088268B"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88268B">
              <w:rPr>
                <w:rFonts w:ascii="Times New Roman" w:eastAsia="Calibri" w:hAnsi="Times New Roman" w:cs="Times New Roman"/>
                <w:b/>
                <w:bCs/>
                <w:color w:val="000000"/>
              </w:rPr>
              <w:t>Предприниматель</w:t>
            </w:r>
          </w:p>
        </w:tc>
      </w:tr>
      <w:tr w:rsidR="00C35167" w:rsidRPr="00C35167" w:rsidTr="003A1D5A">
        <w:trPr>
          <w:trHeight w:val="655"/>
        </w:trPr>
        <w:tc>
          <w:tcPr>
            <w:tcW w:w="1129" w:type="pct"/>
            <w:shd w:val="clear" w:color="auto" w:fill="auto"/>
            <w:vAlign w:val="bottom"/>
          </w:tcPr>
          <w:p w:rsidR="00C35167" w:rsidRPr="0088268B" w:rsidRDefault="00C35167" w:rsidP="00C35167">
            <w:pPr>
              <w:spacing w:after="0" w:line="240" w:lineRule="auto"/>
              <w:jc w:val="center"/>
              <w:rPr>
                <w:rFonts w:ascii="Times New Roman" w:eastAsia="Times New Roman" w:hAnsi="Times New Roman" w:cs="Times New Roman"/>
                <w:b/>
                <w:color w:val="000000"/>
                <w:lang w:eastAsia="ru-RU"/>
              </w:rPr>
            </w:pPr>
            <w:r w:rsidRPr="0088268B">
              <w:rPr>
                <w:rFonts w:ascii="Times New Roman" w:eastAsia="Calibri" w:hAnsi="Times New Roman" w:cs="Times New Roman"/>
                <w:color w:val="000000"/>
              </w:rPr>
              <w:t>Денежные переводы/платежи через мобильный банк с помощью специализированного мобильного приложения для смартфона или планшета</w:t>
            </w:r>
          </w:p>
        </w:tc>
        <w:tc>
          <w:tcPr>
            <w:tcW w:w="484" w:type="pct"/>
            <w:vAlign w:val="center"/>
          </w:tcPr>
          <w:p w:rsidR="00C35167" w:rsidRPr="0088268B" w:rsidRDefault="00C35167" w:rsidP="00C35167">
            <w:pPr>
              <w:spacing w:after="0" w:line="240" w:lineRule="auto"/>
              <w:jc w:val="center"/>
              <w:rPr>
                <w:rFonts w:ascii="Times New Roman" w:eastAsia="Calibri" w:hAnsi="Times New Roman" w:cs="Times New Roman"/>
                <w:b/>
                <w:color w:val="000000"/>
              </w:rPr>
            </w:pPr>
            <w:r w:rsidRPr="0088268B">
              <w:rPr>
                <w:rFonts w:ascii="Times New Roman" w:eastAsia="Calibri" w:hAnsi="Times New Roman" w:cs="Times New Roman"/>
                <w:b/>
                <w:color w:val="000000"/>
              </w:rPr>
              <w:t>81%</w:t>
            </w:r>
          </w:p>
        </w:tc>
        <w:tc>
          <w:tcPr>
            <w:tcW w:w="484" w:type="pct"/>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84%</w:t>
            </w:r>
          </w:p>
        </w:tc>
        <w:tc>
          <w:tcPr>
            <w:tcW w:w="484" w:type="pct"/>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76%</w:t>
            </w:r>
          </w:p>
        </w:tc>
        <w:tc>
          <w:tcPr>
            <w:tcW w:w="484" w:type="pct"/>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93%</w:t>
            </w:r>
          </w:p>
        </w:tc>
        <w:tc>
          <w:tcPr>
            <w:tcW w:w="484" w:type="pct"/>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83%</w:t>
            </w:r>
          </w:p>
        </w:tc>
        <w:tc>
          <w:tcPr>
            <w:tcW w:w="484" w:type="pct"/>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66%</w:t>
            </w:r>
          </w:p>
        </w:tc>
        <w:tc>
          <w:tcPr>
            <w:tcW w:w="484" w:type="pct"/>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90%</w:t>
            </w:r>
          </w:p>
        </w:tc>
        <w:tc>
          <w:tcPr>
            <w:tcW w:w="484" w:type="pct"/>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92%</w:t>
            </w:r>
          </w:p>
        </w:tc>
      </w:tr>
      <w:tr w:rsidR="00C35167" w:rsidRPr="00C35167" w:rsidTr="003A1D5A">
        <w:trPr>
          <w:trHeight w:val="6"/>
        </w:trPr>
        <w:tc>
          <w:tcPr>
            <w:tcW w:w="1129" w:type="pct"/>
            <w:shd w:val="clear" w:color="auto" w:fill="auto"/>
            <w:vAlign w:val="bottom"/>
          </w:tcPr>
          <w:p w:rsidR="00C35167" w:rsidRPr="0088268B" w:rsidRDefault="00C35167" w:rsidP="00C35167">
            <w:pPr>
              <w:spacing w:after="0" w:line="240" w:lineRule="auto"/>
              <w:jc w:val="center"/>
              <w:rPr>
                <w:rFonts w:ascii="Times New Roman" w:eastAsia="Times New Roman" w:hAnsi="Times New Roman" w:cs="Times New Roman"/>
                <w:b/>
                <w:color w:val="000000"/>
                <w:lang w:eastAsia="ru-RU"/>
              </w:rPr>
            </w:pPr>
            <w:r w:rsidRPr="0088268B">
              <w:rPr>
                <w:rFonts w:ascii="Times New Roman" w:eastAsia="Calibri" w:hAnsi="Times New Roman" w:cs="Times New Roman"/>
                <w:color w:val="000000"/>
              </w:rPr>
              <w:t xml:space="preserve">Денежные переводы/платежи через интернет-банк с помощью планшета или смартфона </w:t>
            </w:r>
          </w:p>
        </w:tc>
        <w:tc>
          <w:tcPr>
            <w:tcW w:w="484" w:type="pct"/>
            <w:vAlign w:val="center"/>
          </w:tcPr>
          <w:p w:rsidR="00C35167" w:rsidRPr="0088268B" w:rsidRDefault="00C35167" w:rsidP="00C35167">
            <w:pPr>
              <w:spacing w:after="0" w:line="240" w:lineRule="auto"/>
              <w:jc w:val="center"/>
              <w:rPr>
                <w:rFonts w:ascii="Times New Roman" w:eastAsia="Calibri" w:hAnsi="Times New Roman" w:cs="Times New Roman"/>
                <w:b/>
                <w:color w:val="000000"/>
              </w:rPr>
            </w:pPr>
            <w:r w:rsidRPr="0088268B">
              <w:rPr>
                <w:rFonts w:ascii="Times New Roman" w:eastAsia="Calibri" w:hAnsi="Times New Roman" w:cs="Times New Roman"/>
                <w:b/>
                <w:color w:val="000000"/>
              </w:rPr>
              <w:t>70%</w:t>
            </w:r>
          </w:p>
        </w:tc>
        <w:tc>
          <w:tcPr>
            <w:tcW w:w="484" w:type="pct"/>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74%</w:t>
            </w:r>
          </w:p>
        </w:tc>
        <w:tc>
          <w:tcPr>
            <w:tcW w:w="484" w:type="pct"/>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71%</w:t>
            </w:r>
          </w:p>
        </w:tc>
        <w:tc>
          <w:tcPr>
            <w:tcW w:w="484" w:type="pct"/>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70%</w:t>
            </w:r>
          </w:p>
        </w:tc>
        <w:tc>
          <w:tcPr>
            <w:tcW w:w="484" w:type="pct"/>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63%</w:t>
            </w:r>
          </w:p>
        </w:tc>
        <w:tc>
          <w:tcPr>
            <w:tcW w:w="484" w:type="pct"/>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57%</w:t>
            </w:r>
          </w:p>
        </w:tc>
        <w:tc>
          <w:tcPr>
            <w:tcW w:w="484" w:type="pct"/>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68%</w:t>
            </w:r>
          </w:p>
        </w:tc>
        <w:tc>
          <w:tcPr>
            <w:tcW w:w="484" w:type="pct"/>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81%</w:t>
            </w:r>
          </w:p>
        </w:tc>
      </w:tr>
      <w:tr w:rsidR="00C35167" w:rsidRPr="00C35167" w:rsidTr="003A1D5A">
        <w:trPr>
          <w:trHeight w:val="6"/>
        </w:trPr>
        <w:tc>
          <w:tcPr>
            <w:tcW w:w="1129" w:type="pct"/>
            <w:shd w:val="clear" w:color="auto" w:fill="auto"/>
            <w:vAlign w:val="bottom"/>
          </w:tcPr>
          <w:p w:rsidR="00C35167" w:rsidRPr="0088268B" w:rsidRDefault="00C35167" w:rsidP="00C35167">
            <w:pPr>
              <w:spacing w:after="0" w:line="240" w:lineRule="auto"/>
              <w:jc w:val="center"/>
              <w:rPr>
                <w:rFonts w:ascii="Times New Roman" w:eastAsia="Times New Roman" w:hAnsi="Times New Roman" w:cs="Times New Roman"/>
                <w:b/>
                <w:color w:val="000000"/>
                <w:lang w:eastAsia="ru-RU"/>
              </w:rPr>
            </w:pPr>
            <w:r w:rsidRPr="0088268B">
              <w:rPr>
                <w:rFonts w:ascii="Times New Roman" w:eastAsia="Calibri" w:hAnsi="Times New Roman" w:cs="Times New Roman"/>
                <w:color w:val="000000"/>
              </w:rPr>
              <w:t>Денежные переводы/платежи через интернет-банк с помощью стационарного компьютера или ноутбука</w:t>
            </w:r>
          </w:p>
        </w:tc>
        <w:tc>
          <w:tcPr>
            <w:tcW w:w="484" w:type="pct"/>
            <w:vAlign w:val="center"/>
          </w:tcPr>
          <w:p w:rsidR="00C35167" w:rsidRPr="0088268B" w:rsidRDefault="00C35167" w:rsidP="00C35167">
            <w:pPr>
              <w:spacing w:after="0" w:line="240" w:lineRule="auto"/>
              <w:jc w:val="center"/>
              <w:rPr>
                <w:rFonts w:ascii="Times New Roman" w:eastAsia="Calibri" w:hAnsi="Times New Roman" w:cs="Times New Roman"/>
                <w:b/>
                <w:color w:val="000000"/>
              </w:rPr>
            </w:pPr>
            <w:r w:rsidRPr="0088268B">
              <w:rPr>
                <w:rFonts w:ascii="Times New Roman" w:eastAsia="Calibri" w:hAnsi="Times New Roman" w:cs="Times New Roman"/>
                <w:b/>
                <w:color w:val="000000"/>
              </w:rPr>
              <w:t>67%</w:t>
            </w:r>
          </w:p>
        </w:tc>
        <w:tc>
          <w:tcPr>
            <w:tcW w:w="484" w:type="pct"/>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68%</w:t>
            </w:r>
          </w:p>
        </w:tc>
        <w:tc>
          <w:tcPr>
            <w:tcW w:w="484" w:type="pct"/>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54%</w:t>
            </w:r>
          </w:p>
        </w:tc>
        <w:tc>
          <w:tcPr>
            <w:tcW w:w="484" w:type="pct"/>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65%</w:t>
            </w:r>
          </w:p>
        </w:tc>
        <w:tc>
          <w:tcPr>
            <w:tcW w:w="484" w:type="pct"/>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50%</w:t>
            </w:r>
          </w:p>
        </w:tc>
        <w:tc>
          <w:tcPr>
            <w:tcW w:w="484" w:type="pct"/>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74%</w:t>
            </w:r>
          </w:p>
        </w:tc>
        <w:tc>
          <w:tcPr>
            <w:tcW w:w="484" w:type="pct"/>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66%</w:t>
            </w:r>
          </w:p>
        </w:tc>
        <w:tc>
          <w:tcPr>
            <w:tcW w:w="484" w:type="pct"/>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78%</w:t>
            </w:r>
          </w:p>
        </w:tc>
      </w:tr>
      <w:tr w:rsidR="00C35167" w:rsidRPr="00C35167" w:rsidTr="003A1D5A">
        <w:trPr>
          <w:trHeight w:val="6"/>
        </w:trPr>
        <w:tc>
          <w:tcPr>
            <w:tcW w:w="1129" w:type="pct"/>
            <w:shd w:val="clear" w:color="auto" w:fill="auto"/>
            <w:vAlign w:val="bottom"/>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Денежные переводы/платежи через мобильный банк с помощью отправки смс на короткий номер</w:t>
            </w:r>
          </w:p>
        </w:tc>
        <w:tc>
          <w:tcPr>
            <w:tcW w:w="484" w:type="pct"/>
            <w:vAlign w:val="center"/>
          </w:tcPr>
          <w:p w:rsidR="00C35167" w:rsidRPr="0088268B" w:rsidRDefault="00C35167" w:rsidP="00C35167">
            <w:pPr>
              <w:spacing w:after="0" w:line="240" w:lineRule="auto"/>
              <w:jc w:val="center"/>
              <w:rPr>
                <w:rFonts w:ascii="Times New Roman" w:eastAsia="Calibri" w:hAnsi="Times New Roman" w:cs="Times New Roman"/>
                <w:b/>
                <w:color w:val="000000"/>
              </w:rPr>
            </w:pPr>
            <w:r w:rsidRPr="0088268B">
              <w:rPr>
                <w:rFonts w:ascii="Times New Roman" w:eastAsia="Calibri" w:hAnsi="Times New Roman" w:cs="Times New Roman"/>
                <w:b/>
                <w:color w:val="000000"/>
              </w:rPr>
              <w:t>40%</w:t>
            </w:r>
          </w:p>
        </w:tc>
        <w:tc>
          <w:tcPr>
            <w:tcW w:w="484" w:type="pct"/>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41%</w:t>
            </w:r>
          </w:p>
        </w:tc>
        <w:tc>
          <w:tcPr>
            <w:tcW w:w="484" w:type="pct"/>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31%</w:t>
            </w:r>
          </w:p>
        </w:tc>
        <w:tc>
          <w:tcPr>
            <w:tcW w:w="484" w:type="pct"/>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50%</w:t>
            </w:r>
          </w:p>
        </w:tc>
        <w:tc>
          <w:tcPr>
            <w:tcW w:w="484" w:type="pct"/>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33%</w:t>
            </w:r>
          </w:p>
        </w:tc>
        <w:tc>
          <w:tcPr>
            <w:tcW w:w="484" w:type="pct"/>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39%</w:t>
            </w:r>
          </w:p>
        </w:tc>
        <w:tc>
          <w:tcPr>
            <w:tcW w:w="484" w:type="pct"/>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49%</w:t>
            </w:r>
          </w:p>
        </w:tc>
        <w:tc>
          <w:tcPr>
            <w:tcW w:w="484" w:type="pct"/>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41%</w:t>
            </w:r>
          </w:p>
        </w:tc>
      </w:tr>
    </w:tbl>
    <w:p w:rsidR="00C35167" w:rsidRPr="00C35167" w:rsidRDefault="00C35167" w:rsidP="00C35167">
      <w:pPr>
        <w:spacing w:after="0" w:line="360" w:lineRule="auto"/>
        <w:ind w:firstLine="709"/>
        <w:contextualSpacing/>
        <w:jc w:val="both"/>
        <w:rPr>
          <w:rFonts w:ascii="Times New Roman" w:eastAsia="Calibri" w:hAnsi="Times New Roman" w:cs="Times New Roman"/>
          <w:iCs/>
          <w:color w:val="000000"/>
          <w:sz w:val="16"/>
          <w:szCs w:val="16"/>
        </w:rPr>
      </w:pPr>
    </w:p>
    <w:p w:rsidR="00C35167" w:rsidRPr="00B6184B" w:rsidRDefault="00C35167" w:rsidP="00C35167">
      <w:pPr>
        <w:spacing w:after="0" w:line="360" w:lineRule="auto"/>
        <w:ind w:firstLine="709"/>
        <w:contextualSpacing/>
        <w:jc w:val="both"/>
        <w:rPr>
          <w:rFonts w:ascii="Times New Roman" w:eastAsia="Calibri" w:hAnsi="Times New Roman" w:cs="Times New Roman"/>
          <w:iCs/>
          <w:color w:val="000000"/>
          <w:sz w:val="24"/>
          <w:szCs w:val="24"/>
        </w:rPr>
      </w:pPr>
      <w:r w:rsidRPr="00B6184B">
        <w:rPr>
          <w:rFonts w:ascii="Times New Roman" w:eastAsia="Calibri" w:hAnsi="Times New Roman" w:cs="Times New Roman"/>
          <w:iCs/>
          <w:color w:val="000000"/>
          <w:sz w:val="24"/>
          <w:szCs w:val="24"/>
        </w:rPr>
        <w:t xml:space="preserve">Учащиеся/студенты и самозанятые являются наиболее активными пользователями такого формата дистанционного доступа к финансовым услугам, как денежные переводы/платежи через мобильный банк с помощью специализированного мобильного приложения для смартфона или планшета (93% и 90% соответственно при среднем по области 81%). Пенсионеры чаще для совершения платежей или переводов используют стационарный компьютер или ноутбук (74% при среднем по области 67%). Предприниматели активнее других категорий населения используют все рассматриваемые каналы дистанционного доступа, за исключением переводов/платежей посредством сообщений с использованием мобильного телефона - с помощью отправки смс на короткий номер. </w:t>
      </w:r>
    </w:p>
    <w:p w:rsidR="00C35167" w:rsidRPr="00B6184B" w:rsidRDefault="00B6184B" w:rsidP="00C35167">
      <w:pPr>
        <w:keepNext/>
        <w:keepLines/>
        <w:spacing w:before="40" w:after="240" w:line="240" w:lineRule="auto"/>
        <w:jc w:val="center"/>
        <w:outlineLvl w:val="2"/>
        <w:rPr>
          <w:rFonts w:ascii="Times New Roman" w:eastAsia="Arial" w:hAnsi="Times New Roman" w:cs="Times New Roman"/>
          <w:b/>
          <w:color w:val="000000"/>
          <w:sz w:val="24"/>
          <w:szCs w:val="24"/>
          <w:lang w:eastAsia="ru-RU"/>
        </w:rPr>
      </w:pPr>
      <w:bookmarkStart w:id="85" w:name="_Toc119695553"/>
      <w:bookmarkStart w:id="86" w:name="_Toc122720256"/>
      <w:r>
        <w:rPr>
          <w:rFonts w:ascii="Times New Roman" w:eastAsia="Arial" w:hAnsi="Times New Roman" w:cs="Times New Roman"/>
          <w:b/>
          <w:color w:val="000000"/>
          <w:sz w:val="24"/>
          <w:szCs w:val="24"/>
          <w:lang w:eastAsia="ru-RU"/>
        </w:rPr>
        <w:t>3.7</w:t>
      </w:r>
      <w:r w:rsidR="00C35167" w:rsidRPr="00B6184B">
        <w:rPr>
          <w:rFonts w:ascii="Times New Roman" w:eastAsia="Arial" w:hAnsi="Times New Roman" w:cs="Times New Roman"/>
          <w:b/>
          <w:color w:val="000000"/>
          <w:sz w:val="24"/>
          <w:szCs w:val="24"/>
          <w:lang w:eastAsia="ru-RU"/>
        </w:rPr>
        <w:t>.3. О существующих барьерах для доступа населения к финансовым услугам и об изменениях этих барьеров</w:t>
      </w:r>
      <w:bookmarkEnd w:id="85"/>
      <w:bookmarkEnd w:id="86"/>
    </w:p>
    <w:p w:rsidR="00C35167" w:rsidRPr="00B6184B" w:rsidRDefault="00C35167"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B6184B">
        <w:rPr>
          <w:rFonts w:ascii="Times New Roman" w:eastAsia="Times New Roman" w:hAnsi="Times New Roman" w:cs="Times New Roman"/>
          <w:color w:val="000000"/>
          <w:sz w:val="24"/>
          <w:szCs w:val="24"/>
          <w:lang w:eastAsia="ru-RU"/>
        </w:rPr>
        <w:t xml:space="preserve">Анализ барьеров для доступа населения Ленинградской области к финансовым услугам осуществлено по каждой из ранее рассмотренных категорий финансовых продуктов/услуг: </w:t>
      </w:r>
      <w:r w:rsidR="00D55ED4">
        <w:rPr>
          <w:rFonts w:ascii="Times New Roman" w:eastAsia="Times New Roman" w:hAnsi="Times New Roman" w:cs="Times New Roman"/>
          <w:color w:val="000000"/>
          <w:sz w:val="24"/>
          <w:szCs w:val="24"/>
          <w:lang w:eastAsia="ru-RU"/>
        </w:rPr>
        <w:t>«</w:t>
      </w:r>
      <w:r w:rsidRPr="00B6184B">
        <w:rPr>
          <w:rFonts w:ascii="Times New Roman" w:eastAsia="Times New Roman" w:hAnsi="Times New Roman" w:cs="Times New Roman"/>
          <w:color w:val="000000"/>
          <w:sz w:val="24"/>
          <w:szCs w:val="24"/>
          <w:lang w:eastAsia="ru-RU"/>
        </w:rPr>
        <w:t>Вклады и иные способы размещения средств</w:t>
      </w:r>
      <w:r w:rsidR="00D55ED4">
        <w:rPr>
          <w:rFonts w:ascii="Times New Roman" w:eastAsia="Times New Roman" w:hAnsi="Times New Roman" w:cs="Times New Roman"/>
          <w:color w:val="000000"/>
          <w:sz w:val="24"/>
          <w:szCs w:val="24"/>
          <w:lang w:eastAsia="ru-RU"/>
        </w:rPr>
        <w:t>»</w:t>
      </w:r>
      <w:r w:rsidRPr="00B6184B">
        <w:rPr>
          <w:rFonts w:ascii="Times New Roman" w:eastAsia="Times New Roman" w:hAnsi="Times New Roman" w:cs="Times New Roman"/>
          <w:color w:val="000000"/>
          <w:sz w:val="24"/>
          <w:szCs w:val="24"/>
          <w:lang w:eastAsia="ru-RU"/>
        </w:rPr>
        <w:t xml:space="preserve">, </w:t>
      </w:r>
      <w:r w:rsidR="00D55ED4">
        <w:rPr>
          <w:rFonts w:ascii="Times New Roman" w:eastAsia="Times New Roman" w:hAnsi="Times New Roman" w:cs="Times New Roman"/>
          <w:color w:val="000000"/>
          <w:sz w:val="24"/>
          <w:szCs w:val="24"/>
          <w:lang w:eastAsia="ru-RU"/>
        </w:rPr>
        <w:t>«</w:t>
      </w:r>
      <w:r w:rsidRPr="00B6184B">
        <w:rPr>
          <w:rFonts w:ascii="Times New Roman" w:eastAsia="Times New Roman" w:hAnsi="Times New Roman" w:cs="Times New Roman"/>
          <w:color w:val="000000"/>
          <w:sz w:val="24"/>
          <w:szCs w:val="24"/>
          <w:lang w:eastAsia="ru-RU"/>
        </w:rPr>
        <w:t>Кредитные продукты и займы</w:t>
      </w:r>
      <w:r w:rsidR="00D55ED4">
        <w:rPr>
          <w:rFonts w:ascii="Times New Roman" w:eastAsia="Times New Roman" w:hAnsi="Times New Roman" w:cs="Times New Roman"/>
          <w:color w:val="000000"/>
          <w:sz w:val="24"/>
          <w:szCs w:val="24"/>
          <w:lang w:eastAsia="ru-RU"/>
        </w:rPr>
        <w:t>»</w:t>
      </w:r>
      <w:r w:rsidRPr="00B6184B">
        <w:rPr>
          <w:rFonts w:ascii="Times New Roman" w:eastAsia="Times New Roman" w:hAnsi="Times New Roman" w:cs="Times New Roman"/>
          <w:color w:val="000000"/>
          <w:sz w:val="24"/>
          <w:szCs w:val="24"/>
          <w:lang w:eastAsia="ru-RU"/>
        </w:rPr>
        <w:t xml:space="preserve">, </w:t>
      </w:r>
      <w:r w:rsidR="00D55ED4">
        <w:rPr>
          <w:rFonts w:ascii="Times New Roman" w:eastAsia="Times New Roman" w:hAnsi="Times New Roman" w:cs="Times New Roman"/>
          <w:color w:val="000000"/>
          <w:sz w:val="24"/>
          <w:szCs w:val="24"/>
          <w:lang w:eastAsia="ru-RU"/>
        </w:rPr>
        <w:t>«</w:t>
      </w:r>
      <w:r w:rsidRPr="00B6184B">
        <w:rPr>
          <w:rFonts w:ascii="Times New Roman" w:eastAsia="Times New Roman" w:hAnsi="Times New Roman" w:cs="Times New Roman"/>
          <w:color w:val="000000"/>
          <w:sz w:val="24"/>
          <w:szCs w:val="24"/>
          <w:lang w:eastAsia="ru-RU"/>
        </w:rPr>
        <w:t>Платежные карты и расчетный счет</w:t>
      </w:r>
      <w:r w:rsidR="00D55ED4">
        <w:rPr>
          <w:rFonts w:ascii="Times New Roman" w:eastAsia="Times New Roman" w:hAnsi="Times New Roman" w:cs="Times New Roman"/>
          <w:color w:val="000000"/>
          <w:sz w:val="24"/>
          <w:szCs w:val="24"/>
          <w:lang w:eastAsia="ru-RU"/>
        </w:rPr>
        <w:t>»</w:t>
      </w:r>
      <w:r w:rsidRPr="00B6184B">
        <w:rPr>
          <w:rFonts w:ascii="Times New Roman" w:eastAsia="Times New Roman" w:hAnsi="Times New Roman" w:cs="Times New Roman"/>
          <w:color w:val="000000"/>
          <w:sz w:val="24"/>
          <w:szCs w:val="24"/>
          <w:lang w:eastAsia="ru-RU"/>
        </w:rPr>
        <w:t xml:space="preserve"> и </w:t>
      </w:r>
      <w:r w:rsidR="00D55ED4">
        <w:rPr>
          <w:rFonts w:ascii="Times New Roman" w:eastAsia="Times New Roman" w:hAnsi="Times New Roman" w:cs="Times New Roman"/>
          <w:color w:val="000000"/>
          <w:sz w:val="24"/>
          <w:szCs w:val="24"/>
          <w:lang w:eastAsia="ru-RU"/>
        </w:rPr>
        <w:t>«</w:t>
      </w:r>
      <w:r w:rsidRPr="00B6184B">
        <w:rPr>
          <w:rFonts w:ascii="Times New Roman" w:eastAsia="Times New Roman" w:hAnsi="Times New Roman" w:cs="Times New Roman"/>
          <w:color w:val="000000"/>
          <w:sz w:val="24"/>
          <w:szCs w:val="24"/>
          <w:lang w:eastAsia="ru-RU"/>
        </w:rPr>
        <w:t>Страховые продукты</w:t>
      </w:r>
      <w:r w:rsidR="00D55ED4">
        <w:rPr>
          <w:rFonts w:ascii="Times New Roman" w:eastAsia="Times New Roman" w:hAnsi="Times New Roman" w:cs="Times New Roman"/>
          <w:color w:val="000000"/>
          <w:sz w:val="24"/>
          <w:szCs w:val="24"/>
          <w:lang w:eastAsia="ru-RU"/>
        </w:rPr>
        <w:t>»</w:t>
      </w:r>
      <w:r w:rsidRPr="00B6184B">
        <w:rPr>
          <w:rFonts w:ascii="Times New Roman" w:eastAsia="Times New Roman" w:hAnsi="Times New Roman" w:cs="Times New Roman"/>
          <w:color w:val="000000"/>
          <w:sz w:val="24"/>
          <w:szCs w:val="24"/>
          <w:lang w:eastAsia="ru-RU"/>
        </w:rPr>
        <w:t>. Информация о существующих барьерах по перечисленным категориям, а также в разрезе социального статуса респондентов представлена на рисунках и в таблицах ниже.</w:t>
      </w:r>
    </w:p>
    <w:p w:rsidR="00C35167" w:rsidRPr="00C35167" w:rsidRDefault="00C35167" w:rsidP="00B6184B">
      <w:pPr>
        <w:keepNext/>
        <w:keepLines/>
        <w:spacing w:before="120" w:after="120" w:line="240" w:lineRule="auto"/>
        <w:jc w:val="center"/>
        <w:rPr>
          <w:rFonts w:ascii="Times New Roman" w:eastAsia="Calibri" w:hAnsi="Times New Roman" w:cs="Times New Roman"/>
          <w:color w:val="000000"/>
          <w:sz w:val="24"/>
          <w:szCs w:val="24"/>
        </w:rPr>
      </w:pPr>
      <w:r w:rsidRPr="00C35167">
        <w:rPr>
          <w:rFonts w:ascii="Times New Roman" w:eastAsia="Calibri" w:hAnsi="Times New Roman" w:cs="Times New Roman"/>
          <w:iCs/>
          <w:color w:val="000000"/>
          <w:sz w:val="24"/>
          <w:szCs w:val="28"/>
        </w:rPr>
        <w:t xml:space="preserve">Рисунок </w:t>
      </w:r>
      <w:r w:rsidR="00B6184B">
        <w:rPr>
          <w:rFonts w:ascii="Times New Roman" w:eastAsia="Calibri" w:hAnsi="Times New Roman" w:cs="Times New Roman"/>
          <w:iCs/>
          <w:color w:val="000000"/>
          <w:sz w:val="24"/>
          <w:szCs w:val="28"/>
        </w:rPr>
        <w:t>55</w:t>
      </w:r>
      <w:r w:rsidRPr="00C35167">
        <w:rPr>
          <w:rFonts w:ascii="Times New Roman" w:eastAsia="Calibri" w:hAnsi="Times New Roman" w:cs="Times New Roman"/>
          <w:iCs/>
          <w:color w:val="000000"/>
          <w:sz w:val="24"/>
          <w:szCs w:val="28"/>
        </w:rPr>
        <w:t xml:space="preserve">. Барьеры для использования финансовых продуктов (услуг) из категории </w:t>
      </w:r>
      <w:r w:rsidRPr="00C35167">
        <w:rPr>
          <w:rFonts w:ascii="Times New Roman" w:eastAsia="Calibri" w:hAnsi="Times New Roman" w:cs="Times New Roman"/>
          <w:iCs/>
          <w:color w:val="000000"/>
          <w:sz w:val="24"/>
          <w:szCs w:val="28"/>
          <w:u w:val="single"/>
        </w:rPr>
        <w:t>Вклады и иные способы размещения средств</w:t>
      </w:r>
      <w:r w:rsidRPr="00C35167">
        <w:rPr>
          <w:rFonts w:ascii="Times New Roman" w:eastAsia="Calibri" w:hAnsi="Times New Roman" w:cs="Times New Roman"/>
          <w:iCs/>
          <w:color w:val="000000"/>
          <w:sz w:val="24"/>
          <w:szCs w:val="28"/>
        </w:rPr>
        <w:t>.</w:t>
      </w:r>
      <w:r w:rsidRPr="00C35167">
        <w:rPr>
          <w:rFonts w:ascii="Times New Roman" w:eastAsia="Calibri" w:hAnsi="Times New Roman" w:cs="Times New Roman"/>
          <w:b/>
          <w:iCs/>
          <w:color w:val="000000"/>
          <w:sz w:val="24"/>
          <w:szCs w:val="28"/>
        </w:rPr>
        <w:t xml:space="preserve"> </w:t>
      </w:r>
      <w:r w:rsidRPr="00C35167">
        <w:rPr>
          <w:rFonts w:ascii="Times New Roman" w:eastAsia="Calibri" w:hAnsi="Times New Roman" w:cs="Times New Roman"/>
          <w:noProof/>
          <w:color w:val="000000"/>
          <w:sz w:val="24"/>
          <w:szCs w:val="24"/>
        </w:rPr>
        <w:t xml:space="preserve">(опрос населения, % от числа не пользовавшихся данными финансовыми продуктами/услугами, </w:t>
      </w:r>
      <w:r w:rsidRPr="00C35167">
        <w:rPr>
          <w:rFonts w:ascii="Times New Roman" w:eastAsia="Calibri" w:hAnsi="Times New Roman" w:cs="Times New Roman"/>
          <w:noProof/>
          <w:color w:val="000000"/>
          <w:sz w:val="24"/>
          <w:szCs w:val="24"/>
          <w:lang w:val="en-US"/>
        </w:rPr>
        <w:t>n</w:t>
      </w:r>
      <w:r w:rsidRPr="00C35167">
        <w:rPr>
          <w:rFonts w:ascii="Times New Roman" w:eastAsia="Calibri" w:hAnsi="Times New Roman" w:cs="Times New Roman"/>
          <w:noProof/>
          <w:color w:val="000000"/>
          <w:sz w:val="24"/>
          <w:szCs w:val="24"/>
        </w:rPr>
        <w:t xml:space="preserve"> = 427</w:t>
      </w:r>
      <w:r w:rsidRPr="00C35167">
        <w:rPr>
          <w:rFonts w:ascii="Times New Roman" w:eastAsia="Calibri" w:hAnsi="Times New Roman" w:cs="Times New Roman"/>
          <w:color w:val="000000"/>
          <w:sz w:val="24"/>
          <w:szCs w:val="24"/>
        </w:rPr>
        <w:t>)</w:t>
      </w:r>
    </w:p>
    <w:p w:rsidR="00C35167" w:rsidRPr="00C35167" w:rsidRDefault="00C35167" w:rsidP="00C35167">
      <w:pPr>
        <w:spacing w:after="0" w:line="360" w:lineRule="auto"/>
        <w:ind w:firstLine="709"/>
        <w:contextualSpacing/>
        <w:jc w:val="both"/>
        <w:rPr>
          <w:rFonts w:ascii="Times New Roman" w:eastAsia="Calibri" w:hAnsi="Times New Roman" w:cs="Times New Roman"/>
          <w:iCs/>
          <w:color w:val="000000"/>
          <w:sz w:val="28"/>
          <w:szCs w:val="28"/>
        </w:rPr>
      </w:pPr>
      <w:r w:rsidRPr="00C35167">
        <w:rPr>
          <w:rFonts w:ascii="Times New Roman" w:eastAsia="Calibri" w:hAnsi="Times New Roman" w:cs="Times New Roman"/>
          <w:noProof/>
          <w:color w:val="000000"/>
          <w:lang w:eastAsia="ru-RU"/>
        </w:rPr>
        <w:drawing>
          <wp:inline distT="0" distB="0" distL="0" distR="0" wp14:anchorId="01B4AF49" wp14:editId="0BB5381F">
            <wp:extent cx="5619750" cy="3971925"/>
            <wp:effectExtent l="0" t="0" r="0" b="0"/>
            <wp:docPr id="1064" name="Диаграмма 10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C35167" w:rsidRPr="00B6184B" w:rsidRDefault="00C35167" w:rsidP="00C35167">
      <w:pPr>
        <w:spacing w:after="0" w:line="360" w:lineRule="auto"/>
        <w:ind w:firstLine="709"/>
        <w:contextualSpacing/>
        <w:jc w:val="both"/>
        <w:rPr>
          <w:rFonts w:ascii="Times New Roman" w:eastAsia="Calibri" w:hAnsi="Times New Roman" w:cs="Times New Roman"/>
          <w:iCs/>
          <w:color w:val="000000"/>
          <w:sz w:val="24"/>
          <w:szCs w:val="24"/>
        </w:rPr>
      </w:pPr>
      <w:r w:rsidRPr="00B6184B">
        <w:rPr>
          <w:rFonts w:ascii="Times New Roman" w:eastAsia="Calibri" w:hAnsi="Times New Roman" w:cs="Times New Roman"/>
          <w:iCs/>
          <w:color w:val="000000"/>
          <w:sz w:val="24"/>
          <w:szCs w:val="24"/>
        </w:rPr>
        <w:t>Большинство из тех жителей, которые не пользуются вкладами и иными способами размещения средств, основным барьером такого поведения называют недостаток свободных денежных средств (74%). Около трети (32%) заявили о том, что не доверяют финансовым организациям в достаточной степени. 15% респондентов не устраивает размер предлагаемой финансовыми организациями процентной ставки.</w:t>
      </w:r>
    </w:p>
    <w:p w:rsidR="00C35167" w:rsidRPr="00C35167" w:rsidRDefault="00C35167" w:rsidP="00B6184B">
      <w:pPr>
        <w:keepNext/>
        <w:keepLines/>
        <w:spacing w:before="120" w:after="120" w:line="240" w:lineRule="auto"/>
        <w:jc w:val="center"/>
        <w:rPr>
          <w:rFonts w:ascii="Times New Roman" w:eastAsia="Calibri" w:hAnsi="Times New Roman" w:cs="Times New Roman"/>
          <w:iCs/>
          <w:color w:val="000000"/>
          <w:sz w:val="24"/>
          <w:szCs w:val="28"/>
        </w:rPr>
      </w:pPr>
      <w:r w:rsidRPr="00C35167">
        <w:rPr>
          <w:rFonts w:ascii="Times New Roman" w:eastAsia="Calibri" w:hAnsi="Times New Roman" w:cs="Times New Roman"/>
          <w:iCs/>
          <w:color w:val="000000"/>
          <w:sz w:val="24"/>
          <w:szCs w:val="28"/>
        </w:rPr>
        <w:t xml:space="preserve">Таблица </w:t>
      </w:r>
      <w:r w:rsidR="00B6184B">
        <w:rPr>
          <w:rFonts w:ascii="Times New Roman" w:eastAsia="Calibri" w:hAnsi="Times New Roman" w:cs="Times New Roman"/>
          <w:iCs/>
          <w:color w:val="000000"/>
          <w:sz w:val="24"/>
          <w:szCs w:val="28"/>
        </w:rPr>
        <w:t>51</w:t>
      </w:r>
      <w:r w:rsidRPr="00C35167">
        <w:rPr>
          <w:rFonts w:ascii="Times New Roman" w:eastAsia="Calibri" w:hAnsi="Times New Roman" w:cs="Times New Roman"/>
          <w:iCs/>
          <w:color w:val="000000"/>
          <w:sz w:val="24"/>
          <w:szCs w:val="28"/>
        </w:rPr>
        <w:t xml:space="preserve">. Барьеры для использования финансовых продуктов (услуг) из категории </w:t>
      </w:r>
      <w:r w:rsidRPr="00C35167">
        <w:rPr>
          <w:rFonts w:ascii="Times New Roman" w:eastAsia="Calibri" w:hAnsi="Times New Roman" w:cs="Times New Roman"/>
          <w:iCs/>
          <w:color w:val="000000"/>
          <w:sz w:val="24"/>
          <w:szCs w:val="28"/>
          <w:u w:val="single"/>
        </w:rPr>
        <w:t>Вклады и иные способы размещения средств</w:t>
      </w:r>
      <w:r w:rsidRPr="00C35167">
        <w:rPr>
          <w:rFonts w:ascii="Times New Roman" w:eastAsia="Calibri" w:hAnsi="Times New Roman" w:cs="Times New Roman"/>
          <w:iCs/>
          <w:color w:val="000000"/>
          <w:sz w:val="24"/>
          <w:szCs w:val="28"/>
        </w:rPr>
        <w:t xml:space="preserve">. </w:t>
      </w:r>
      <w:r w:rsidRPr="00C35167">
        <w:rPr>
          <w:rFonts w:ascii="Times New Roman" w:eastAsia="Calibri" w:hAnsi="Times New Roman" w:cs="Times New Roman"/>
          <w:noProof/>
          <w:color w:val="000000"/>
          <w:sz w:val="24"/>
          <w:szCs w:val="24"/>
        </w:rPr>
        <w:t xml:space="preserve">(опрос населения, % от числа не пользовавшихся данными финансовыми продуктами/услугами, </w:t>
      </w:r>
      <w:r w:rsidRPr="00C35167">
        <w:rPr>
          <w:rFonts w:ascii="Times New Roman" w:eastAsia="Calibri" w:hAnsi="Times New Roman" w:cs="Times New Roman"/>
          <w:noProof/>
          <w:color w:val="000000"/>
          <w:sz w:val="24"/>
          <w:szCs w:val="24"/>
          <w:lang w:val="en-US"/>
        </w:rPr>
        <w:t>n</w:t>
      </w:r>
      <w:r w:rsidRPr="00C35167">
        <w:rPr>
          <w:rFonts w:ascii="Times New Roman" w:eastAsia="Calibri" w:hAnsi="Times New Roman" w:cs="Times New Roman"/>
          <w:noProof/>
          <w:color w:val="000000"/>
          <w:sz w:val="24"/>
          <w:szCs w:val="24"/>
        </w:rPr>
        <w:t xml:space="preserve"> = 427</w:t>
      </w:r>
      <w:r w:rsidRPr="00C35167">
        <w:rPr>
          <w:rFonts w:ascii="Times New Roman" w:eastAsia="Calibri" w:hAnsi="Times New Roman" w:cs="Times New Roman"/>
          <w:color w:val="000000"/>
          <w:sz w:val="24"/>
          <w:szCs w:val="24"/>
        </w:rPr>
        <w:t>)</w:t>
      </w:r>
    </w:p>
    <w:tbl>
      <w:tblPr>
        <w:tblW w:w="48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3"/>
        <w:gridCol w:w="880"/>
        <w:gridCol w:w="1075"/>
        <w:gridCol w:w="1073"/>
        <w:gridCol w:w="1075"/>
        <w:gridCol w:w="1075"/>
        <w:gridCol w:w="1177"/>
        <w:gridCol w:w="805"/>
        <w:gridCol w:w="990"/>
      </w:tblGrid>
      <w:tr w:rsidR="00C35167" w:rsidRPr="00C35167" w:rsidTr="003B4122">
        <w:trPr>
          <w:cantSplit/>
          <w:trHeight w:val="2286"/>
          <w:tblHeader/>
        </w:trPr>
        <w:tc>
          <w:tcPr>
            <w:tcW w:w="950" w:type="pct"/>
            <w:tcBorders>
              <w:bottom w:val="single" w:sz="4" w:space="0" w:color="auto"/>
            </w:tcBorders>
            <w:shd w:val="clear" w:color="auto" w:fill="auto"/>
            <w:noWrap/>
            <w:vAlign w:val="center"/>
          </w:tcPr>
          <w:p w:rsidR="00C35167" w:rsidRPr="0088268B" w:rsidRDefault="00C35167" w:rsidP="00C35167">
            <w:pPr>
              <w:spacing w:after="0" w:line="240" w:lineRule="auto"/>
              <w:jc w:val="center"/>
              <w:rPr>
                <w:rFonts w:ascii="Times New Roman" w:eastAsia="Times New Roman" w:hAnsi="Times New Roman" w:cs="Times New Roman"/>
                <w:color w:val="000000"/>
                <w:lang w:eastAsia="ru-RU"/>
              </w:rPr>
            </w:pPr>
          </w:p>
        </w:tc>
        <w:tc>
          <w:tcPr>
            <w:tcW w:w="437" w:type="pct"/>
            <w:tcBorders>
              <w:bottom w:val="single" w:sz="4" w:space="0" w:color="auto"/>
            </w:tcBorders>
            <w:shd w:val="clear" w:color="auto" w:fill="auto"/>
            <w:textDirection w:val="btLr"/>
            <w:vAlign w:val="center"/>
          </w:tcPr>
          <w:p w:rsidR="00C35167" w:rsidRPr="0088268B"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88268B">
              <w:rPr>
                <w:rFonts w:ascii="Times New Roman" w:eastAsia="Calibri" w:hAnsi="Times New Roman" w:cs="Times New Roman"/>
                <w:b/>
                <w:color w:val="000000"/>
              </w:rPr>
              <w:t>В целом по области</w:t>
            </w:r>
          </w:p>
        </w:tc>
        <w:tc>
          <w:tcPr>
            <w:tcW w:w="534" w:type="pct"/>
            <w:tcBorders>
              <w:bottom w:val="single" w:sz="4" w:space="0" w:color="auto"/>
            </w:tcBorders>
            <w:shd w:val="clear" w:color="auto" w:fill="auto"/>
            <w:textDirection w:val="btLr"/>
          </w:tcPr>
          <w:p w:rsidR="00C35167" w:rsidRPr="0088268B"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88268B">
              <w:rPr>
                <w:rFonts w:ascii="Times New Roman" w:eastAsia="Calibri" w:hAnsi="Times New Roman" w:cs="Times New Roman"/>
                <w:b/>
                <w:bCs/>
                <w:color w:val="000000"/>
              </w:rPr>
              <w:t>Работаю</w:t>
            </w:r>
          </w:p>
        </w:tc>
        <w:tc>
          <w:tcPr>
            <w:tcW w:w="533" w:type="pct"/>
            <w:tcBorders>
              <w:bottom w:val="single" w:sz="4" w:space="0" w:color="auto"/>
            </w:tcBorders>
            <w:shd w:val="clear" w:color="auto" w:fill="auto"/>
            <w:textDirection w:val="btLr"/>
          </w:tcPr>
          <w:p w:rsidR="00C35167" w:rsidRPr="0088268B"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88268B">
              <w:rPr>
                <w:rFonts w:ascii="Times New Roman" w:eastAsia="Calibri" w:hAnsi="Times New Roman" w:cs="Times New Roman"/>
                <w:b/>
                <w:bCs/>
                <w:color w:val="000000"/>
              </w:rPr>
              <w:t>Безработный</w:t>
            </w:r>
          </w:p>
        </w:tc>
        <w:tc>
          <w:tcPr>
            <w:tcW w:w="534" w:type="pct"/>
            <w:tcBorders>
              <w:bottom w:val="single" w:sz="4" w:space="0" w:color="auto"/>
            </w:tcBorders>
            <w:shd w:val="clear" w:color="auto" w:fill="auto"/>
            <w:textDirection w:val="btLr"/>
          </w:tcPr>
          <w:p w:rsidR="00C35167" w:rsidRPr="0088268B"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88268B">
              <w:rPr>
                <w:rFonts w:ascii="Times New Roman" w:eastAsia="Calibri" w:hAnsi="Times New Roman" w:cs="Times New Roman"/>
                <w:b/>
                <w:bCs/>
                <w:color w:val="000000"/>
              </w:rPr>
              <w:t>Учусь/студент</w:t>
            </w:r>
          </w:p>
        </w:tc>
        <w:tc>
          <w:tcPr>
            <w:tcW w:w="534" w:type="pct"/>
            <w:tcBorders>
              <w:bottom w:val="single" w:sz="4" w:space="0" w:color="auto"/>
            </w:tcBorders>
            <w:shd w:val="clear" w:color="auto" w:fill="auto"/>
            <w:textDirection w:val="btLr"/>
          </w:tcPr>
          <w:p w:rsidR="00C35167" w:rsidRPr="0088268B"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88268B">
              <w:rPr>
                <w:rFonts w:ascii="Times New Roman" w:eastAsia="Calibri" w:hAnsi="Times New Roman" w:cs="Times New Roman"/>
                <w:b/>
                <w:bCs/>
                <w:color w:val="000000"/>
              </w:rPr>
              <w:t>Домохозяйка (домохозяин)</w:t>
            </w:r>
          </w:p>
        </w:tc>
        <w:tc>
          <w:tcPr>
            <w:tcW w:w="585" w:type="pct"/>
            <w:tcBorders>
              <w:bottom w:val="single" w:sz="4" w:space="0" w:color="auto"/>
            </w:tcBorders>
            <w:shd w:val="clear" w:color="auto" w:fill="auto"/>
            <w:textDirection w:val="btLr"/>
          </w:tcPr>
          <w:p w:rsidR="00C35167" w:rsidRPr="0088268B"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88268B">
              <w:rPr>
                <w:rFonts w:ascii="Times New Roman" w:eastAsia="Calibri" w:hAnsi="Times New Roman" w:cs="Times New Roman"/>
                <w:b/>
                <w:bCs/>
                <w:color w:val="000000"/>
              </w:rPr>
              <w:t>Пенсионер (в т.ч. по инвалидности)</w:t>
            </w:r>
          </w:p>
        </w:tc>
        <w:tc>
          <w:tcPr>
            <w:tcW w:w="400" w:type="pct"/>
            <w:tcBorders>
              <w:bottom w:val="single" w:sz="4" w:space="0" w:color="auto"/>
            </w:tcBorders>
            <w:shd w:val="clear" w:color="auto" w:fill="auto"/>
            <w:textDirection w:val="btLr"/>
          </w:tcPr>
          <w:p w:rsidR="00C35167" w:rsidRPr="0088268B"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88268B">
              <w:rPr>
                <w:rFonts w:ascii="Times New Roman" w:eastAsia="Calibri" w:hAnsi="Times New Roman" w:cs="Times New Roman"/>
                <w:b/>
                <w:bCs/>
                <w:color w:val="000000"/>
              </w:rPr>
              <w:t>Самозанятый</w:t>
            </w:r>
          </w:p>
        </w:tc>
        <w:tc>
          <w:tcPr>
            <w:tcW w:w="492" w:type="pct"/>
            <w:tcBorders>
              <w:bottom w:val="single" w:sz="4" w:space="0" w:color="auto"/>
            </w:tcBorders>
            <w:shd w:val="clear" w:color="auto" w:fill="auto"/>
            <w:textDirection w:val="btLr"/>
          </w:tcPr>
          <w:p w:rsidR="00C35167" w:rsidRPr="0088268B"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88268B">
              <w:rPr>
                <w:rFonts w:ascii="Times New Roman" w:eastAsia="Calibri" w:hAnsi="Times New Roman" w:cs="Times New Roman"/>
                <w:b/>
                <w:bCs/>
                <w:color w:val="000000"/>
              </w:rPr>
              <w:t>Предприниматель</w:t>
            </w:r>
          </w:p>
        </w:tc>
      </w:tr>
      <w:tr w:rsidR="00C35167" w:rsidRPr="00C35167" w:rsidTr="00B6184B">
        <w:trPr>
          <w:trHeight w:val="6"/>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rPr>
                <w:rFonts w:ascii="Times New Roman" w:eastAsia="Times New Roman" w:hAnsi="Times New Roman" w:cs="Times New Roman"/>
                <w:b/>
                <w:color w:val="000000"/>
                <w:lang w:eastAsia="ru-RU"/>
              </w:rPr>
            </w:pPr>
            <w:r w:rsidRPr="0088268B">
              <w:rPr>
                <w:rFonts w:ascii="Times New Roman" w:eastAsia="Calibri" w:hAnsi="Times New Roman" w:cs="Times New Roman"/>
                <w:color w:val="000000"/>
              </w:rPr>
              <w:t>У меня недостаточно свободных денег</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jc w:val="center"/>
              <w:rPr>
                <w:rFonts w:ascii="Times New Roman" w:eastAsia="Calibri" w:hAnsi="Times New Roman" w:cs="Times New Roman"/>
                <w:b/>
                <w:bCs/>
                <w:color w:val="000000"/>
              </w:rPr>
            </w:pPr>
            <w:r w:rsidRPr="0088268B">
              <w:rPr>
                <w:rFonts w:ascii="Times New Roman" w:eastAsia="Calibri" w:hAnsi="Times New Roman" w:cs="Times New Roman"/>
                <w:b/>
                <w:bCs/>
                <w:color w:val="000000"/>
              </w:rPr>
              <w:t>74%</w:t>
            </w:r>
          </w:p>
        </w:tc>
        <w:tc>
          <w:tcPr>
            <w:tcW w:w="534"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76%</w:t>
            </w:r>
          </w:p>
        </w:tc>
        <w:tc>
          <w:tcPr>
            <w:tcW w:w="533"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76%</w:t>
            </w:r>
          </w:p>
        </w:tc>
        <w:tc>
          <w:tcPr>
            <w:tcW w:w="534"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51%</w:t>
            </w:r>
          </w:p>
        </w:tc>
        <w:tc>
          <w:tcPr>
            <w:tcW w:w="534"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81%</w:t>
            </w:r>
          </w:p>
        </w:tc>
        <w:tc>
          <w:tcPr>
            <w:tcW w:w="585"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73%</w:t>
            </w:r>
          </w:p>
        </w:tc>
        <w:tc>
          <w:tcPr>
            <w:tcW w:w="400"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77%</w:t>
            </w:r>
          </w:p>
        </w:tc>
        <w:tc>
          <w:tcPr>
            <w:tcW w:w="492"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42%</w:t>
            </w:r>
          </w:p>
        </w:tc>
      </w:tr>
      <w:tr w:rsidR="00C35167" w:rsidRPr="00C35167" w:rsidTr="00B6184B">
        <w:trPr>
          <w:trHeight w:val="6"/>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rPr>
                <w:rFonts w:ascii="Times New Roman" w:eastAsia="Times New Roman" w:hAnsi="Times New Roman" w:cs="Times New Roman"/>
                <w:b/>
                <w:color w:val="000000"/>
                <w:lang w:eastAsia="ru-RU"/>
              </w:rPr>
            </w:pPr>
            <w:r w:rsidRPr="0088268B">
              <w:rPr>
                <w:rFonts w:ascii="Times New Roman" w:eastAsia="Calibri" w:hAnsi="Times New Roman" w:cs="Times New Roman"/>
                <w:color w:val="000000"/>
              </w:rPr>
              <w:t>Я не доверяю финансовым организациям в достаточной степени</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jc w:val="center"/>
              <w:rPr>
                <w:rFonts w:ascii="Times New Roman" w:eastAsia="Calibri" w:hAnsi="Times New Roman" w:cs="Times New Roman"/>
                <w:b/>
                <w:bCs/>
                <w:color w:val="000000"/>
              </w:rPr>
            </w:pPr>
            <w:r w:rsidRPr="0088268B">
              <w:rPr>
                <w:rFonts w:ascii="Times New Roman" w:eastAsia="Calibri" w:hAnsi="Times New Roman" w:cs="Times New Roman"/>
                <w:b/>
                <w:bCs/>
                <w:color w:val="000000"/>
              </w:rPr>
              <w:t>32%</w:t>
            </w:r>
          </w:p>
        </w:tc>
        <w:tc>
          <w:tcPr>
            <w:tcW w:w="534"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30%</w:t>
            </w:r>
          </w:p>
        </w:tc>
        <w:tc>
          <w:tcPr>
            <w:tcW w:w="533"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21%</w:t>
            </w:r>
          </w:p>
        </w:tc>
        <w:tc>
          <w:tcPr>
            <w:tcW w:w="534"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17%</w:t>
            </w:r>
          </w:p>
        </w:tc>
        <w:tc>
          <w:tcPr>
            <w:tcW w:w="534"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36%</w:t>
            </w:r>
          </w:p>
        </w:tc>
        <w:tc>
          <w:tcPr>
            <w:tcW w:w="585"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41%</w:t>
            </w:r>
          </w:p>
        </w:tc>
        <w:tc>
          <w:tcPr>
            <w:tcW w:w="400"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44%</w:t>
            </w:r>
          </w:p>
        </w:tc>
        <w:tc>
          <w:tcPr>
            <w:tcW w:w="492"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69%</w:t>
            </w:r>
          </w:p>
        </w:tc>
      </w:tr>
      <w:tr w:rsidR="00C35167" w:rsidRPr="00C35167" w:rsidTr="00B6184B">
        <w:trPr>
          <w:trHeight w:val="6"/>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rPr>
                <w:rFonts w:ascii="Times New Roman" w:eastAsia="Times New Roman" w:hAnsi="Times New Roman" w:cs="Times New Roman"/>
                <w:b/>
                <w:color w:val="000000"/>
                <w:lang w:eastAsia="ru-RU"/>
              </w:rPr>
            </w:pPr>
            <w:r w:rsidRPr="0088268B">
              <w:rPr>
                <w:rFonts w:ascii="Times New Roman" w:eastAsia="Calibri" w:hAnsi="Times New Roman" w:cs="Times New Roman"/>
                <w:color w:val="000000"/>
              </w:rPr>
              <w:t>Предлагаемая процентная ставка слишком низкая</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jc w:val="center"/>
              <w:rPr>
                <w:rFonts w:ascii="Times New Roman" w:eastAsia="Calibri" w:hAnsi="Times New Roman" w:cs="Times New Roman"/>
                <w:b/>
                <w:bCs/>
                <w:color w:val="000000"/>
              </w:rPr>
            </w:pPr>
            <w:r w:rsidRPr="0088268B">
              <w:rPr>
                <w:rFonts w:ascii="Times New Roman" w:eastAsia="Calibri" w:hAnsi="Times New Roman" w:cs="Times New Roman"/>
                <w:b/>
                <w:bCs/>
                <w:color w:val="000000"/>
              </w:rPr>
              <w:t>15%</w:t>
            </w:r>
          </w:p>
        </w:tc>
        <w:tc>
          <w:tcPr>
            <w:tcW w:w="534"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16%</w:t>
            </w:r>
          </w:p>
        </w:tc>
        <w:tc>
          <w:tcPr>
            <w:tcW w:w="533"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8%</w:t>
            </w:r>
          </w:p>
        </w:tc>
        <w:tc>
          <w:tcPr>
            <w:tcW w:w="534"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13%</w:t>
            </w:r>
          </w:p>
        </w:tc>
        <w:tc>
          <w:tcPr>
            <w:tcW w:w="534"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5%</w:t>
            </w:r>
          </w:p>
        </w:tc>
        <w:tc>
          <w:tcPr>
            <w:tcW w:w="585"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14%</w:t>
            </w:r>
          </w:p>
        </w:tc>
        <w:tc>
          <w:tcPr>
            <w:tcW w:w="400"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24%</w:t>
            </w:r>
          </w:p>
        </w:tc>
        <w:tc>
          <w:tcPr>
            <w:tcW w:w="492"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 </w:t>
            </w:r>
          </w:p>
        </w:tc>
      </w:tr>
      <w:tr w:rsidR="00C35167" w:rsidRPr="00C35167" w:rsidTr="00B6184B">
        <w:trPr>
          <w:trHeight w:val="6"/>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rPr>
                <w:rFonts w:ascii="Times New Roman" w:eastAsia="Calibri" w:hAnsi="Times New Roman" w:cs="Times New Roman"/>
                <w:color w:val="000000"/>
              </w:rPr>
            </w:pPr>
            <w:r w:rsidRPr="0088268B">
              <w:rPr>
                <w:rFonts w:ascii="Times New Roman" w:eastAsia="Calibri" w:hAnsi="Times New Roman" w:cs="Times New Roman"/>
                <w:color w:val="000000"/>
              </w:rPr>
              <w:t>Данными услугами уже пользуются другие члены моей семьи</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jc w:val="center"/>
              <w:rPr>
                <w:rFonts w:ascii="Times New Roman" w:eastAsia="Calibri" w:hAnsi="Times New Roman" w:cs="Times New Roman"/>
                <w:b/>
                <w:bCs/>
                <w:color w:val="000000"/>
              </w:rPr>
            </w:pPr>
            <w:r w:rsidRPr="0088268B">
              <w:rPr>
                <w:rFonts w:ascii="Times New Roman" w:eastAsia="Calibri" w:hAnsi="Times New Roman" w:cs="Times New Roman"/>
                <w:b/>
                <w:bCs/>
                <w:color w:val="000000"/>
              </w:rPr>
              <w:t>8%</w:t>
            </w:r>
          </w:p>
        </w:tc>
        <w:tc>
          <w:tcPr>
            <w:tcW w:w="534"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5%</w:t>
            </w:r>
          </w:p>
        </w:tc>
        <w:tc>
          <w:tcPr>
            <w:tcW w:w="533"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7%</w:t>
            </w:r>
          </w:p>
        </w:tc>
        <w:tc>
          <w:tcPr>
            <w:tcW w:w="534"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36%</w:t>
            </w:r>
          </w:p>
        </w:tc>
        <w:tc>
          <w:tcPr>
            <w:tcW w:w="534"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8%</w:t>
            </w:r>
          </w:p>
        </w:tc>
        <w:tc>
          <w:tcPr>
            <w:tcW w:w="585"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9%</w:t>
            </w:r>
          </w:p>
        </w:tc>
        <w:tc>
          <w:tcPr>
            <w:tcW w:w="400"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5%</w:t>
            </w:r>
          </w:p>
        </w:tc>
        <w:tc>
          <w:tcPr>
            <w:tcW w:w="492"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 </w:t>
            </w:r>
          </w:p>
        </w:tc>
      </w:tr>
      <w:tr w:rsidR="00C35167" w:rsidRPr="00C35167" w:rsidTr="00B6184B">
        <w:trPr>
          <w:trHeight w:val="6"/>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rPr>
                <w:rFonts w:ascii="Times New Roman" w:eastAsia="Calibri" w:hAnsi="Times New Roman" w:cs="Times New Roman"/>
                <w:color w:val="000000"/>
              </w:rPr>
            </w:pPr>
            <w:r w:rsidRPr="0088268B">
              <w:rPr>
                <w:rFonts w:ascii="Times New Roman" w:eastAsia="Calibri" w:hAnsi="Times New Roman" w:cs="Times New Roman"/>
                <w:color w:val="000000"/>
              </w:rPr>
              <w:t>Использую другие способы размещения свободных денежных средств</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jc w:val="center"/>
              <w:rPr>
                <w:rFonts w:ascii="Times New Roman" w:eastAsia="Calibri" w:hAnsi="Times New Roman" w:cs="Times New Roman"/>
                <w:b/>
                <w:bCs/>
                <w:color w:val="000000"/>
              </w:rPr>
            </w:pPr>
            <w:r w:rsidRPr="0088268B">
              <w:rPr>
                <w:rFonts w:ascii="Times New Roman" w:eastAsia="Calibri" w:hAnsi="Times New Roman" w:cs="Times New Roman"/>
                <w:b/>
                <w:bCs/>
                <w:color w:val="000000"/>
              </w:rPr>
              <w:t>4%</w:t>
            </w:r>
          </w:p>
        </w:tc>
        <w:tc>
          <w:tcPr>
            <w:tcW w:w="534"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2%</w:t>
            </w:r>
          </w:p>
        </w:tc>
        <w:tc>
          <w:tcPr>
            <w:tcW w:w="533"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9%</w:t>
            </w:r>
          </w:p>
        </w:tc>
        <w:tc>
          <w:tcPr>
            <w:tcW w:w="534"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18%</w:t>
            </w:r>
          </w:p>
        </w:tc>
        <w:tc>
          <w:tcPr>
            <w:tcW w:w="534"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11%</w:t>
            </w:r>
          </w:p>
        </w:tc>
        <w:tc>
          <w:tcPr>
            <w:tcW w:w="585"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 </w:t>
            </w:r>
          </w:p>
        </w:tc>
        <w:tc>
          <w:tcPr>
            <w:tcW w:w="400"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2%</w:t>
            </w:r>
          </w:p>
        </w:tc>
        <w:tc>
          <w:tcPr>
            <w:tcW w:w="492"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8%</w:t>
            </w:r>
          </w:p>
        </w:tc>
      </w:tr>
      <w:tr w:rsidR="00C35167" w:rsidRPr="00C35167" w:rsidTr="00B6184B">
        <w:trPr>
          <w:trHeight w:val="6"/>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rPr>
                <w:rFonts w:ascii="Times New Roman" w:eastAsia="Calibri" w:hAnsi="Times New Roman" w:cs="Times New Roman"/>
                <w:color w:val="000000"/>
              </w:rPr>
            </w:pPr>
            <w:r w:rsidRPr="0088268B">
              <w:rPr>
                <w:rFonts w:ascii="Times New Roman" w:eastAsia="Calibri" w:hAnsi="Times New Roman" w:cs="Times New Roman"/>
                <w:color w:val="000000"/>
              </w:rPr>
              <w:t>Отделения финансовых организаций находятся слишком далеко от меня</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jc w:val="center"/>
              <w:rPr>
                <w:rFonts w:ascii="Times New Roman" w:eastAsia="Calibri" w:hAnsi="Times New Roman" w:cs="Times New Roman"/>
                <w:b/>
                <w:bCs/>
                <w:color w:val="000000"/>
              </w:rPr>
            </w:pPr>
            <w:r w:rsidRPr="0088268B">
              <w:rPr>
                <w:rFonts w:ascii="Times New Roman" w:eastAsia="Calibri" w:hAnsi="Times New Roman" w:cs="Times New Roman"/>
                <w:b/>
                <w:bCs/>
                <w:color w:val="000000"/>
              </w:rPr>
              <w:t>3%</w:t>
            </w:r>
          </w:p>
        </w:tc>
        <w:tc>
          <w:tcPr>
            <w:tcW w:w="534"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4%</w:t>
            </w:r>
          </w:p>
        </w:tc>
        <w:tc>
          <w:tcPr>
            <w:tcW w:w="533"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7%</w:t>
            </w:r>
          </w:p>
        </w:tc>
        <w:tc>
          <w:tcPr>
            <w:tcW w:w="534"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4%</w:t>
            </w:r>
          </w:p>
        </w:tc>
        <w:tc>
          <w:tcPr>
            <w:tcW w:w="534"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3%</w:t>
            </w:r>
          </w:p>
        </w:tc>
        <w:tc>
          <w:tcPr>
            <w:tcW w:w="585"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 </w:t>
            </w:r>
          </w:p>
        </w:tc>
        <w:tc>
          <w:tcPr>
            <w:tcW w:w="400"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 </w:t>
            </w:r>
          </w:p>
        </w:tc>
        <w:tc>
          <w:tcPr>
            <w:tcW w:w="492"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 </w:t>
            </w:r>
          </w:p>
        </w:tc>
      </w:tr>
      <w:tr w:rsidR="00C35167" w:rsidRPr="00C35167" w:rsidTr="00B6184B">
        <w:trPr>
          <w:trHeight w:val="432"/>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rPr>
                <w:rFonts w:ascii="Times New Roman" w:eastAsia="Times New Roman" w:hAnsi="Times New Roman" w:cs="Times New Roman"/>
                <w:b/>
                <w:color w:val="000000"/>
                <w:lang w:eastAsia="ru-RU"/>
              </w:rPr>
            </w:pPr>
            <w:r w:rsidRPr="0088268B">
              <w:rPr>
                <w:rFonts w:ascii="Times New Roman" w:eastAsia="Calibri" w:hAnsi="Times New Roman" w:cs="Times New Roman"/>
                <w:color w:val="000000"/>
              </w:rPr>
              <w:t>Иное</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jc w:val="center"/>
              <w:rPr>
                <w:rFonts w:ascii="Times New Roman" w:eastAsia="Calibri" w:hAnsi="Times New Roman" w:cs="Times New Roman"/>
                <w:b/>
                <w:bCs/>
                <w:color w:val="000000"/>
              </w:rPr>
            </w:pPr>
            <w:r w:rsidRPr="0088268B">
              <w:rPr>
                <w:rFonts w:ascii="Times New Roman" w:eastAsia="Calibri" w:hAnsi="Times New Roman" w:cs="Times New Roman"/>
                <w:b/>
                <w:bCs/>
                <w:color w:val="000000"/>
              </w:rPr>
              <w:t>1%</w:t>
            </w:r>
          </w:p>
        </w:tc>
        <w:tc>
          <w:tcPr>
            <w:tcW w:w="534"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1%</w:t>
            </w:r>
          </w:p>
        </w:tc>
        <w:tc>
          <w:tcPr>
            <w:tcW w:w="533"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 </w:t>
            </w:r>
          </w:p>
        </w:tc>
        <w:tc>
          <w:tcPr>
            <w:tcW w:w="534"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 </w:t>
            </w:r>
          </w:p>
        </w:tc>
        <w:tc>
          <w:tcPr>
            <w:tcW w:w="534"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 </w:t>
            </w:r>
          </w:p>
        </w:tc>
        <w:tc>
          <w:tcPr>
            <w:tcW w:w="585"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1%</w:t>
            </w:r>
          </w:p>
        </w:tc>
        <w:tc>
          <w:tcPr>
            <w:tcW w:w="400"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 </w:t>
            </w:r>
          </w:p>
        </w:tc>
        <w:tc>
          <w:tcPr>
            <w:tcW w:w="492"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 </w:t>
            </w:r>
          </w:p>
        </w:tc>
      </w:tr>
    </w:tbl>
    <w:p w:rsidR="00C35167" w:rsidRPr="00C35167" w:rsidRDefault="00C35167" w:rsidP="00C35167">
      <w:pPr>
        <w:ind w:firstLine="708"/>
        <w:jc w:val="both"/>
        <w:rPr>
          <w:rFonts w:ascii="Times New Roman" w:eastAsia="Calibri" w:hAnsi="Times New Roman" w:cs="Times New Roman"/>
          <w:color w:val="000000"/>
        </w:rPr>
      </w:pPr>
    </w:p>
    <w:p w:rsidR="00C35167" w:rsidRPr="00B6184B" w:rsidRDefault="00C35167" w:rsidP="00C35167">
      <w:pPr>
        <w:spacing w:after="0" w:line="360" w:lineRule="auto"/>
        <w:ind w:firstLine="709"/>
        <w:contextualSpacing/>
        <w:jc w:val="both"/>
        <w:rPr>
          <w:rFonts w:ascii="Times New Roman" w:eastAsia="Calibri" w:hAnsi="Times New Roman" w:cs="Times New Roman"/>
          <w:iCs/>
          <w:color w:val="000000"/>
          <w:sz w:val="24"/>
          <w:szCs w:val="24"/>
        </w:rPr>
      </w:pPr>
      <w:r w:rsidRPr="00B6184B">
        <w:rPr>
          <w:rFonts w:ascii="Times New Roman" w:eastAsia="Calibri" w:hAnsi="Times New Roman" w:cs="Times New Roman"/>
          <w:iCs/>
          <w:color w:val="000000"/>
          <w:sz w:val="24"/>
          <w:szCs w:val="24"/>
        </w:rPr>
        <w:t>В разрезе по социальному статусу можно отметить следующие особенности:</w:t>
      </w:r>
    </w:p>
    <w:p w:rsidR="00C35167" w:rsidRPr="00B6184B" w:rsidRDefault="00C35167" w:rsidP="00C35167">
      <w:pPr>
        <w:spacing w:after="0" w:line="360" w:lineRule="auto"/>
        <w:ind w:firstLine="709"/>
        <w:contextualSpacing/>
        <w:jc w:val="both"/>
        <w:rPr>
          <w:rFonts w:ascii="Times New Roman" w:eastAsia="Calibri" w:hAnsi="Times New Roman" w:cs="Times New Roman"/>
          <w:iCs/>
          <w:color w:val="000000"/>
          <w:sz w:val="24"/>
          <w:szCs w:val="24"/>
        </w:rPr>
      </w:pPr>
      <w:r w:rsidRPr="00B6184B">
        <w:rPr>
          <w:rFonts w:ascii="Times New Roman" w:eastAsia="Calibri" w:hAnsi="Times New Roman" w:cs="Times New Roman"/>
          <w:iCs/>
          <w:color w:val="000000"/>
          <w:sz w:val="24"/>
          <w:szCs w:val="24"/>
        </w:rPr>
        <w:t>- работающее население продемонстрировало оценки барьеров на уровне средних данных по региону;</w:t>
      </w:r>
    </w:p>
    <w:p w:rsidR="00C35167" w:rsidRPr="00B6184B" w:rsidRDefault="00C35167" w:rsidP="00C35167">
      <w:pPr>
        <w:spacing w:after="0" w:line="360" w:lineRule="auto"/>
        <w:ind w:firstLine="709"/>
        <w:contextualSpacing/>
        <w:jc w:val="both"/>
        <w:rPr>
          <w:rFonts w:ascii="Times New Roman" w:eastAsia="Calibri" w:hAnsi="Times New Roman" w:cs="Times New Roman"/>
          <w:iCs/>
          <w:color w:val="000000"/>
          <w:sz w:val="24"/>
          <w:szCs w:val="24"/>
        </w:rPr>
      </w:pPr>
      <w:r w:rsidRPr="00B6184B">
        <w:rPr>
          <w:rFonts w:ascii="Times New Roman" w:eastAsia="Calibri" w:hAnsi="Times New Roman" w:cs="Times New Roman"/>
          <w:iCs/>
          <w:color w:val="000000"/>
          <w:sz w:val="24"/>
          <w:szCs w:val="24"/>
        </w:rPr>
        <w:t xml:space="preserve">- безработные реже, чем в среднем по выборке, говорили о недоверии к финансовым организациям (21% против 32%) и размере процентной ставки (8% против 15%), вместе с тем, они чаще используют иные способы размещения свободных денежных средств (9% против 4%) и ссылаются на неудобное расположение финансовых организаций (7% против 3%); </w:t>
      </w:r>
    </w:p>
    <w:p w:rsidR="00C35167" w:rsidRPr="00B6184B" w:rsidRDefault="00C35167" w:rsidP="00C35167">
      <w:pPr>
        <w:spacing w:after="0" w:line="360" w:lineRule="auto"/>
        <w:ind w:firstLine="709"/>
        <w:contextualSpacing/>
        <w:jc w:val="both"/>
        <w:rPr>
          <w:rFonts w:ascii="Times New Roman" w:eastAsia="Calibri" w:hAnsi="Times New Roman" w:cs="Times New Roman"/>
          <w:iCs/>
          <w:color w:val="000000"/>
          <w:sz w:val="24"/>
          <w:szCs w:val="24"/>
        </w:rPr>
      </w:pPr>
      <w:r w:rsidRPr="00B6184B">
        <w:rPr>
          <w:rFonts w:ascii="Times New Roman" w:eastAsia="Calibri" w:hAnsi="Times New Roman" w:cs="Times New Roman"/>
          <w:iCs/>
          <w:color w:val="000000"/>
          <w:sz w:val="24"/>
          <w:szCs w:val="24"/>
        </w:rPr>
        <w:t>- пенсионеры и самозанятые чаще заявляют об отсутствии доверия к финансовым организациям (41% и 44%, соответственно), также самозанятых больше остальных групп населения не устраивает низкая процентная ставка (24% против 15% по региону).</w:t>
      </w:r>
    </w:p>
    <w:p w:rsidR="00C35167" w:rsidRPr="00C35167" w:rsidRDefault="00C35167" w:rsidP="00B6184B">
      <w:pPr>
        <w:keepNext/>
        <w:keepLines/>
        <w:spacing w:before="120" w:after="120" w:line="240" w:lineRule="auto"/>
        <w:jc w:val="center"/>
        <w:rPr>
          <w:rFonts w:ascii="Times New Roman" w:eastAsia="Calibri" w:hAnsi="Times New Roman" w:cs="Times New Roman"/>
          <w:color w:val="000000"/>
          <w:sz w:val="24"/>
          <w:szCs w:val="24"/>
        </w:rPr>
      </w:pPr>
      <w:r w:rsidRPr="00C35167">
        <w:rPr>
          <w:rFonts w:ascii="Times New Roman" w:eastAsia="Calibri" w:hAnsi="Times New Roman" w:cs="Times New Roman"/>
          <w:iCs/>
          <w:color w:val="000000"/>
          <w:sz w:val="24"/>
          <w:szCs w:val="28"/>
        </w:rPr>
        <w:t xml:space="preserve">Рисунок </w:t>
      </w:r>
      <w:r w:rsidR="00B6184B">
        <w:rPr>
          <w:rFonts w:ascii="Times New Roman" w:eastAsia="Calibri" w:hAnsi="Times New Roman" w:cs="Times New Roman"/>
          <w:iCs/>
          <w:color w:val="000000"/>
          <w:sz w:val="24"/>
          <w:szCs w:val="28"/>
        </w:rPr>
        <w:t>56</w:t>
      </w:r>
      <w:r w:rsidRPr="00C35167">
        <w:rPr>
          <w:rFonts w:ascii="Times New Roman" w:eastAsia="Calibri" w:hAnsi="Times New Roman" w:cs="Times New Roman"/>
          <w:iCs/>
          <w:color w:val="000000"/>
          <w:sz w:val="24"/>
          <w:szCs w:val="28"/>
        </w:rPr>
        <w:t xml:space="preserve">. Барьеры для использования финансовых продуктов (услуг) из категории </w:t>
      </w:r>
      <w:r w:rsidRPr="00C35167">
        <w:rPr>
          <w:rFonts w:ascii="Times New Roman" w:eastAsia="Calibri" w:hAnsi="Times New Roman" w:cs="Times New Roman"/>
          <w:iCs/>
          <w:color w:val="000000"/>
          <w:sz w:val="24"/>
          <w:szCs w:val="28"/>
          <w:u w:val="single"/>
        </w:rPr>
        <w:t>Кредитные продукты и займы</w:t>
      </w:r>
      <w:r w:rsidRPr="00C35167">
        <w:rPr>
          <w:rFonts w:ascii="Times New Roman" w:eastAsia="Calibri" w:hAnsi="Times New Roman" w:cs="Times New Roman"/>
          <w:iCs/>
          <w:color w:val="000000"/>
          <w:sz w:val="24"/>
          <w:szCs w:val="28"/>
        </w:rPr>
        <w:t>.</w:t>
      </w:r>
      <w:r w:rsidRPr="00C35167">
        <w:rPr>
          <w:rFonts w:ascii="Times New Roman" w:eastAsia="Calibri" w:hAnsi="Times New Roman" w:cs="Times New Roman"/>
          <w:b/>
          <w:iCs/>
          <w:color w:val="000000"/>
          <w:sz w:val="24"/>
          <w:szCs w:val="28"/>
        </w:rPr>
        <w:t xml:space="preserve"> </w:t>
      </w:r>
      <w:r w:rsidRPr="00C35167">
        <w:rPr>
          <w:rFonts w:ascii="Times New Roman" w:eastAsia="Calibri" w:hAnsi="Times New Roman" w:cs="Times New Roman"/>
          <w:noProof/>
          <w:color w:val="000000"/>
          <w:sz w:val="24"/>
          <w:szCs w:val="24"/>
        </w:rPr>
        <w:t xml:space="preserve">(опрос населения, % от числа не пользовавшихся данными финансовыми продуктами/услугами, </w:t>
      </w:r>
      <w:r w:rsidRPr="00C35167">
        <w:rPr>
          <w:rFonts w:ascii="Times New Roman" w:eastAsia="Calibri" w:hAnsi="Times New Roman" w:cs="Times New Roman"/>
          <w:noProof/>
          <w:color w:val="000000"/>
          <w:sz w:val="24"/>
          <w:szCs w:val="24"/>
          <w:lang w:val="en-US"/>
        </w:rPr>
        <w:t>n</w:t>
      </w:r>
      <w:r w:rsidRPr="00C35167">
        <w:rPr>
          <w:rFonts w:ascii="Times New Roman" w:eastAsia="Calibri" w:hAnsi="Times New Roman" w:cs="Times New Roman"/>
          <w:noProof/>
          <w:color w:val="000000"/>
          <w:sz w:val="24"/>
          <w:szCs w:val="24"/>
        </w:rPr>
        <w:t xml:space="preserve"> = 553</w:t>
      </w:r>
      <w:r w:rsidRPr="00C35167">
        <w:rPr>
          <w:rFonts w:ascii="Times New Roman" w:eastAsia="Calibri" w:hAnsi="Times New Roman" w:cs="Times New Roman"/>
          <w:color w:val="000000"/>
          <w:sz w:val="24"/>
          <w:szCs w:val="24"/>
        </w:rPr>
        <w:t>)</w:t>
      </w:r>
    </w:p>
    <w:p w:rsidR="00C35167" w:rsidRPr="00C35167" w:rsidRDefault="00C35167" w:rsidP="00C35167">
      <w:pPr>
        <w:spacing w:after="0" w:line="360" w:lineRule="auto"/>
        <w:ind w:firstLine="709"/>
        <w:contextualSpacing/>
        <w:jc w:val="both"/>
        <w:rPr>
          <w:rFonts w:ascii="Times New Roman" w:eastAsia="Calibri" w:hAnsi="Times New Roman" w:cs="Times New Roman"/>
          <w:iCs/>
          <w:color w:val="000000"/>
          <w:sz w:val="28"/>
          <w:szCs w:val="28"/>
        </w:rPr>
      </w:pPr>
      <w:r w:rsidRPr="00C35167">
        <w:rPr>
          <w:rFonts w:ascii="Times New Roman" w:eastAsia="Calibri" w:hAnsi="Times New Roman" w:cs="Times New Roman"/>
          <w:noProof/>
          <w:color w:val="000000"/>
          <w:lang w:eastAsia="ru-RU"/>
        </w:rPr>
        <w:drawing>
          <wp:inline distT="0" distB="0" distL="0" distR="0" wp14:anchorId="3E88C432" wp14:editId="1FDB8363">
            <wp:extent cx="6066155" cy="5200650"/>
            <wp:effectExtent l="0" t="0" r="0" b="0"/>
            <wp:docPr id="1065" name="Диаграмма 10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C35167" w:rsidRPr="00B6184B" w:rsidRDefault="00C35167" w:rsidP="00C35167">
      <w:pPr>
        <w:spacing w:after="0" w:line="360" w:lineRule="auto"/>
        <w:ind w:firstLine="709"/>
        <w:contextualSpacing/>
        <w:jc w:val="both"/>
        <w:rPr>
          <w:rFonts w:ascii="Times New Roman" w:eastAsia="Calibri" w:hAnsi="Times New Roman" w:cs="Times New Roman"/>
          <w:color w:val="000000"/>
          <w:sz w:val="24"/>
          <w:szCs w:val="24"/>
        </w:rPr>
      </w:pPr>
      <w:r w:rsidRPr="00B6184B">
        <w:rPr>
          <w:rFonts w:ascii="Times New Roman" w:eastAsia="Times New Roman" w:hAnsi="Times New Roman" w:cs="Times New Roman"/>
          <w:color w:val="000000"/>
          <w:sz w:val="24"/>
          <w:szCs w:val="24"/>
          <w:lang w:eastAsia="ru-RU"/>
        </w:rPr>
        <w:t xml:space="preserve">Большинство жителей Ленинградской области (61%) не пользуются кредитными продуктами и займами, т.к. не хотят </w:t>
      </w:r>
      <w:r w:rsidR="00D55ED4">
        <w:rPr>
          <w:rFonts w:ascii="Times New Roman" w:eastAsia="Times New Roman" w:hAnsi="Times New Roman" w:cs="Times New Roman"/>
          <w:color w:val="000000"/>
          <w:sz w:val="24"/>
          <w:szCs w:val="24"/>
          <w:lang w:eastAsia="ru-RU"/>
        </w:rPr>
        <w:t>«</w:t>
      </w:r>
      <w:r w:rsidRPr="00B6184B">
        <w:rPr>
          <w:rFonts w:ascii="Times New Roman" w:eastAsia="Times New Roman" w:hAnsi="Times New Roman" w:cs="Times New Roman"/>
          <w:color w:val="000000"/>
          <w:sz w:val="24"/>
          <w:szCs w:val="24"/>
          <w:lang w:eastAsia="ru-RU"/>
        </w:rPr>
        <w:t>жить в долг</w:t>
      </w:r>
      <w:r w:rsidR="00D55ED4">
        <w:rPr>
          <w:rFonts w:ascii="Times New Roman" w:eastAsia="Times New Roman" w:hAnsi="Times New Roman" w:cs="Times New Roman"/>
          <w:color w:val="000000"/>
          <w:sz w:val="24"/>
          <w:szCs w:val="24"/>
          <w:lang w:eastAsia="ru-RU"/>
        </w:rPr>
        <w:t>»</w:t>
      </w:r>
      <w:r w:rsidRPr="00B6184B">
        <w:rPr>
          <w:rFonts w:ascii="Times New Roman" w:eastAsia="Times New Roman" w:hAnsi="Times New Roman" w:cs="Times New Roman"/>
          <w:color w:val="000000"/>
          <w:sz w:val="24"/>
          <w:szCs w:val="24"/>
          <w:lang w:eastAsia="ru-RU"/>
        </w:rPr>
        <w:t xml:space="preserve">. Более трети населения (38%) не испытывают потребности в заемных средствах. Около четверти (23%) опрошенных не устраивает высокая процентная ставка по кредитам и займам. Каждый пятый (21%) не доверяет финансовым организациям в достаточной степени. Каждый десятый (11%) не верит в безопасность онлайн-сервисов. </w:t>
      </w:r>
    </w:p>
    <w:p w:rsidR="00C35167" w:rsidRPr="00C35167" w:rsidRDefault="00C35167" w:rsidP="00B6184B">
      <w:pPr>
        <w:keepNext/>
        <w:keepLines/>
        <w:spacing w:before="120" w:after="120" w:line="240" w:lineRule="auto"/>
        <w:jc w:val="center"/>
        <w:rPr>
          <w:rFonts w:ascii="Times New Roman" w:eastAsia="Calibri" w:hAnsi="Times New Roman" w:cs="Times New Roman"/>
          <w:color w:val="000000"/>
          <w:sz w:val="24"/>
          <w:szCs w:val="24"/>
        </w:rPr>
      </w:pPr>
      <w:r w:rsidRPr="00C35167">
        <w:rPr>
          <w:rFonts w:ascii="Times New Roman" w:eastAsia="Calibri" w:hAnsi="Times New Roman" w:cs="Times New Roman"/>
          <w:iCs/>
          <w:color w:val="000000"/>
          <w:sz w:val="24"/>
          <w:szCs w:val="28"/>
        </w:rPr>
        <w:t xml:space="preserve">Таблица </w:t>
      </w:r>
      <w:r w:rsidR="00B6184B">
        <w:rPr>
          <w:rFonts w:ascii="Times New Roman" w:eastAsia="Calibri" w:hAnsi="Times New Roman" w:cs="Times New Roman"/>
          <w:iCs/>
          <w:color w:val="000000"/>
          <w:sz w:val="24"/>
          <w:szCs w:val="28"/>
        </w:rPr>
        <w:t>52</w:t>
      </w:r>
      <w:r w:rsidRPr="00C35167">
        <w:rPr>
          <w:rFonts w:ascii="Times New Roman" w:eastAsia="Calibri" w:hAnsi="Times New Roman" w:cs="Times New Roman"/>
          <w:iCs/>
          <w:color w:val="000000"/>
          <w:sz w:val="24"/>
          <w:szCs w:val="28"/>
        </w:rPr>
        <w:t xml:space="preserve">. Барьеры для использования финансовых продуктов (услуг) из категории </w:t>
      </w:r>
      <w:r w:rsidRPr="00C35167">
        <w:rPr>
          <w:rFonts w:ascii="Times New Roman" w:eastAsia="Calibri" w:hAnsi="Times New Roman" w:cs="Times New Roman"/>
          <w:iCs/>
          <w:color w:val="000000"/>
          <w:sz w:val="24"/>
          <w:szCs w:val="28"/>
          <w:u w:val="single"/>
        </w:rPr>
        <w:t>Кредитные продукты и займы</w:t>
      </w:r>
      <w:r w:rsidRPr="00C35167">
        <w:rPr>
          <w:rFonts w:ascii="Times New Roman" w:eastAsia="Calibri" w:hAnsi="Times New Roman" w:cs="Times New Roman"/>
          <w:iCs/>
          <w:color w:val="000000"/>
          <w:sz w:val="24"/>
          <w:szCs w:val="28"/>
        </w:rPr>
        <w:t xml:space="preserve">. </w:t>
      </w:r>
      <w:r w:rsidRPr="00C35167">
        <w:rPr>
          <w:rFonts w:ascii="Times New Roman" w:eastAsia="Calibri" w:hAnsi="Times New Roman" w:cs="Times New Roman"/>
          <w:noProof/>
          <w:color w:val="000000"/>
          <w:sz w:val="24"/>
          <w:szCs w:val="24"/>
        </w:rPr>
        <w:t xml:space="preserve">(опрос населения, % от числа не пользовавшихся данными финансовыми продуктами/услугами, </w:t>
      </w:r>
      <w:r w:rsidRPr="00C35167">
        <w:rPr>
          <w:rFonts w:ascii="Times New Roman" w:eastAsia="Calibri" w:hAnsi="Times New Roman" w:cs="Times New Roman"/>
          <w:noProof/>
          <w:color w:val="000000"/>
          <w:sz w:val="24"/>
          <w:szCs w:val="24"/>
          <w:lang w:val="en-US"/>
        </w:rPr>
        <w:t>n</w:t>
      </w:r>
      <w:r w:rsidRPr="00C35167">
        <w:rPr>
          <w:rFonts w:ascii="Times New Roman" w:eastAsia="Calibri" w:hAnsi="Times New Roman" w:cs="Times New Roman"/>
          <w:noProof/>
          <w:color w:val="000000"/>
          <w:sz w:val="24"/>
          <w:szCs w:val="24"/>
        </w:rPr>
        <w:t xml:space="preserve"> = 553</w:t>
      </w:r>
      <w:r w:rsidRPr="00C35167">
        <w:rPr>
          <w:rFonts w:ascii="Times New Roman" w:eastAsia="Calibri" w:hAnsi="Times New Roman" w:cs="Times New Roman"/>
          <w:color w:val="000000"/>
          <w:sz w:val="24"/>
          <w:szCs w:val="24"/>
        </w:rPr>
        <w:t>)</w:t>
      </w:r>
    </w:p>
    <w:tbl>
      <w:tblPr>
        <w:tblW w:w="50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8"/>
        <w:gridCol w:w="878"/>
        <w:gridCol w:w="1075"/>
        <w:gridCol w:w="1073"/>
        <w:gridCol w:w="1075"/>
        <w:gridCol w:w="1075"/>
        <w:gridCol w:w="1179"/>
        <w:gridCol w:w="967"/>
        <w:gridCol w:w="1079"/>
      </w:tblGrid>
      <w:tr w:rsidR="00C35167" w:rsidRPr="00C35167" w:rsidTr="003B4122">
        <w:trPr>
          <w:cantSplit/>
          <w:trHeight w:val="2286"/>
          <w:tblHeader/>
        </w:trPr>
        <w:tc>
          <w:tcPr>
            <w:tcW w:w="968" w:type="pct"/>
            <w:tcBorders>
              <w:bottom w:val="single" w:sz="4" w:space="0" w:color="auto"/>
            </w:tcBorders>
            <w:shd w:val="clear" w:color="auto" w:fill="auto"/>
            <w:noWrap/>
            <w:vAlign w:val="center"/>
          </w:tcPr>
          <w:p w:rsidR="00C35167" w:rsidRPr="0088268B" w:rsidRDefault="00C35167" w:rsidP="00C35167">
            <w:pPr>
              <w:spacing w:after="0" w:line="240" w:lineRule="auto"/>
              <w:jc w:val="center"/>
              <w:rPr>
                <w:rFonts w:ascii="Times New Roman" w:eastAsia="Times New Roman" w:hAnsi="Times New Roman" w:cs="Times New Roman"/>
                <w:color w:val="000000"/>
                <w:lang w:eastAsia="ru-RU"/>
              </w:rPr>
            </w:pPr>
          </w:p>
        </w:tc>
        <w:tc>
          <w:tcPr>
            <w:tcW w:w="421" w:type="pct"/>
            <w:tcBorders>
              <w:bottom w:val="single" w:sz="4" w:space="0" w:color="auto"/>
            </w:tcBorders>
            <w:shd w:val="clear" w:color="auto" w:fill="auto"/>
            <w:textDirection w:val="btLr"/>
            <w:vAlign w:val="center"/>
          </w:tcPr>
          <w:p w:rsidR="00C35167" w:rsidRPr="0088268B"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88268B">
              <w:rPr>
                <w:rFonts w:ascii="Times New Roman" w:eastAsia="Calibri" w:hAnsi="Times New Roman" w:cs="Times New Roman"/>
                <w:b/>
                <w:color w:val="000000"/>
              </w:rPr>
              <w:t>В целом по области</w:t>
            </w:r>
          </w:p>
        </w:tc>
        <w:tc>
          <w:tcPr>
            <w:tcW w:w="516" w:type="pct"/>
            <w:tcBorders>
              <w:bottom w:val="single" w:sz="4" w:space="0" w:color="auto"/>
            </w:tcBorders>
            <w:shd w:val="clear" w:color="auto" w:fill="auto"/>
            <w:textDirection w:val="btLr"/>
          </w:tcPr>
          <w:p w:rsidR="00C35167" w:rsidRPr="0088268B"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88268B">
              <w:rPr>
                <w:rFonts w:ascii="Times New Roman" w:eastAsia="Calibri" w:hAnsi="Times New Roman" w:cs="Times New Roman"/>
                <w:b/>
                <w:bCs/>
                <w:color w:val="000000"/>
              </w:rPr>
              <w:t>Работаю</w:t>
            </w:r>
          </w:p>
        </w:tc>
        <w:tc>
          <w:tcPr>
            <w:tcW w:w="515" w:type="pct"/>
            <w:tcBorders>
              <w:bottom w:val="single" w:sz="4" w:space="0" w:color="auto"/>
            </w:tcBorders>
            <w:shd w:val="clear" w:color="auto" w:fill="auto"/>
            <w:textDirection w:val="btLr"/>
          </w:tcPr>
          <w:p w:rsidR="00C35167" w:rsidRPr="0088268B"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88268B">
              <w:rPr>
                <w:rFonts w:ascii="Times New Roman" w:eastAsia="Calibri" w:hAnsi="Times New Roman" w:cs="Times New Roman"/>
                <w:b/>
                <w:bCs/>
                <w:color w:val="000000"/>
              </w:rPr>
              <w:t>Безработный</w:t>
            </w:r>
          </w:p>
        </w:tc>
        <w:tc>
          <w:tcPr>
            <w:tcW w:w="516" w:type="pct"/>
            <w:tcBorders>
              <w:bottom w:val="single" w:sz="4" w:space="0" w:color="auto"/>
            </w:tcBorders>
            <w:shd w:val="clear" w:color="auto" w:fill="auto"/>
            <w:textDirection w:val="btLr"/>
          </w:tcPr>
          <w:p w:rsidR="00C35167" w:rsidRPr="0088268B"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88268B">
              <w:rPr>
                <w:rFonts w:ascii="Times New Roman" w:eastAsia="Calibri" w:hAnsi="Times New Roman" w:cs="Times New Roman"/>
                <w:b/>
                <w:bCs/>
                <w:color w:val="000000"/>
              </w:rPr>
              <w:t>Учусь/студент</w:t>
            </w:r>
          </w:p>
        </w:tc>
        <w:tc>
          <w:tcPr>
            <w:tcW w:w="516" w:type="pct"/>
            <w:tcBorders>
              <w:bottom w:val="single" w:sz="4" w:space="0" w:color="auto"/>
            </w:tcBorders>
            <w:shd w:val="clear" w:color="auto" w:fill="auto"/>
            <w:textDirection w:val="btLr"/>
          </w:tcPr>
          <w:p w:rsidR="00C35167" w:rsidRPr="0088268B"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88268B">
              <w:rPr>
                <w:rFonts w:ascii="Times New Roman" w:eastAsia="Calibri" w:hAnsi="Times New Roman" w:cs="Times New Roman"/>
                <w:b/>
                <w:bCs/>
                <w:color w:val="000000"/>
              </w:rPr>
              <w:t>Домохозяйка (домохозяин)</w:t>
            </w:r>
          </w:p>
        </w:tc>
        <w:tc>
          <w:tcPr>
            <w:tcW w:w="566" w:type="pct"/>
            <w:tcBorders>
              <w:bottom w:val="single" w:sz="4" w:space="0" w:color="auto"/>
            </w:tcBorders>
            <w:shd w:val="clear" w:color="auto" w:fill="auto"/>
            <w:textDirection w:val="btLr"/>
          </w:tcPr>
          <w:p w:rsidR="00C35167" w:rsidRPr="0088268B"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88268B">
              <w:rPr>
                <w:rFonts w:ascii="Times New Roman" w:eastAsia="Calibri" w:hAnsi="Times New Roman" w:cs="Times New Roman"/>
                <w:b/>
                <w:bCs/>
                <w:color w:val="000000"/>
              </w:rPr>
              <w:t>Пенсионер (в т.ч. по инвалидности)</w:t>
            </w:r>
          </w:p>
        </w:tc>
        <w:tc>
          <w:tcPr>
            <w:tcW w:w="464" w:type="pct"/>
            <w:tcBorders>
              <w:bottom w:val="single" w:sz="4" w:space="0" w:color="auto"/>
            </w:tcBorders>
            <w:shd w:val="clear" w:color="auto" w:fill="auto"/>
            <w:textDirection w:val="btLr"/>
          </w:tcPr>
          <w:p w:rsidR="00C35167" w:rsidRPr="0088268B"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88268B">
              <w:rPr>
                <w:rFonts w:ascii="Times New Roman" w:eastAsia="Calibri" w:hAnsi="Times New Roman" w:cs="Times New Roman"/>
                <w:b/>
                <w:bCs/>
                <w:color w:val="000000"/>
              </w:rPr>
              <w:t>Самозанятый</w:t>
            </w:r>
          </w:p>
        </w:tc>
        <w:tc>
          <w:tcPr>
            <w:tcW w:w="518" w:type="pct"/>
            <w:tcBorders>
              <w:bottom w:val="single" w:sz="4" w:space="0" w:color="auto"/>
            </w:tcBorders>
            <w:shd w:val="clear" w:color="auto" w:fill="auto"/>
            <w:textDirection w:val="btLr"/>
          </w:tcPr>
          <w:p w:rsidR="00C35167" w:rsidRPr="0088268B"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88268B">
              <w:rPr>
                <w:rFonts w:ascii="Times New Roman" w:eastAsia="Calibri" w:hAnsi="Times New Roman" w:cs="Times New Roman"/>
                <w:b/>
                <w:bCs/>
                <w:color w:val="000000"/>
              </w:rPr>
              <w:t>Предприниматель</w:t>
            </w:r>
          </w:p>
        </w:tc>
      </w:tr>
      <w:tr w:rsidR="00C35167" w:rsidRPr="00C35167" w:rsidTr="003A1D5A">
        <w:trPr>
          <w:trHeight w:val="6"/>
        </w:trPr>
        <w:tc>
          <w:tcPr>
            <w:tcW w:w="968" w:type="pct"/>
            <w:tcBorders>
              <w:top w:val="single" w:sz="4" w:space="0" w:color="auto"/>
              <w:left w:val="single" w:sz="8" w:space="0" w:color="auto"/>
              <w:bottom w:val="nil"/>
              <w:right w:val="nil"/>
            </w:tcBorders>
            <w:shd w:val="clear" w:color="auto" w:fill="auto"/>
            <w:vAlign w:val="center"/>
          </w:tcPr>
          <w:p w:rsidR="00C35167" w:rsidRPr="0088268B" w:rsidRDefault="00C35167" w:rsidP="00C35167">
            <w:pPr>
              <w:spacing w:after="0" w:line="240" w:lineRule="auto"/>
              <w:rPr>
                <w:rFonts w:ascii="Times New Roman" w:eastAsia="Times New Roman" w:hAnsi="Times New Roman" w:cs="Times New Roman"/>
                <w:b/>
                <w:color w:val="000000"/>
                <w:lang w:eastAsia="ru-RU"/>
              </w:rPr>
            </w:pPr>
            <w:r w:rsidRPr="0088268B">
              <w:rPr>
                <w:rFonts w:ascii="Times New Roman" w:eastAsia="Calibri" w:hAnsi="Times New Roman" w:cs="Times New Roman"/>
                <w:color w:val="000000"/>
              </w:rPr>
              <w:t>Не люблю кредиты/займы/не хочу жить в долг</w:t>
            </w:r>
          </w:p>
        </w:tc>
        <w:tc>
          <w:tcPr>
            <w:tcW w:w="421" w:type="pct"/>
            <w:tcBorders>
              <w:top w:val="single" w:sz="4" w:space="0" w:color="auto"/>
              <w:left w:val="single" w:sz="8" w:space="0" w:color="auto"/>
              <w:bottom w:val="nil"/>
              <w:right w:val="nil"/>
            </w:tcBorders>
            <w:shd w:val="clear" w:color="auto" w:fill="auto"/>
            <w:vAlign w:val="center"/>
          </w:tcPr>
          <w:p w:rsidR="00C35167" w:rsidRPr="0088268B" w:rsidRDefault="00C35167" w:rsidP="00C35167">
            <w:pPr>
              <w:spacing w:after="0" w:line="240" w:lineRule="auto"/>
              <w:jc w:val="center"/>
              <w:rPr>
                <w:rFonts w:ascii="Times New Roman" w:eastAsia="Calibri" w:hAnsi="Times New Roman" w:cs="Times New Roman"/>
                <w:b/>
                <w:bCs/>
                <w:color w:val="000000"/>
              </w:rPr>
            </w:pPr>
            <w:r w:rsidRPr="0088268B">
              <w:rPr>
                <w:rFonts w:ascii="Times New Roman" w:eastAsia="Calibri" w:hAnsi="Times New Roman" w:cs="Times New Roman"/>
                <w:b/>
                <w:bCs/>
                <w:color w:val="000000"/>
              </w:rPr>
              <w:t>61%</w:t>
            </w:r>
          </w:p>
        </w:tc>
        <w:tc>
          <w:tcPr>
            <w:tcW w:w="516" w:type="pct"/>
            <w:tcBorders>
              <w:top w:val="single" w:sz="4" w:space="0" w:color="auto"/>
              <w:left w:val="single" w:sz="8" w:space="0" w:color="auto"/>
              <w:bottom w:val="nil"/>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56%</w:t>
            </w:r>
          </w:p>
        </w:tc>
        <w:tc>
          <w:tcPr>
            <w:tcW w:w="515" w:type="pct"/>
            <w:tcBorders>
              <w:top w:val="single" w:sz="4" w:space="0" w:color="auto"/>
              <w:left w:val="nil"/>
              <w:bottom w:val="nil"/>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51%</w:t>
            </w:r>
          </w:p>
        </w:tc>
        <w:tc>
          <w:tcPr>
            <w:tcW w:w="516" w:type="pct"/>
            <w:tcBorders>
              <w:top w:val="single" w:sz="4" w:space="0" w:color="auto"/>
              <w:left w:val="nil"/>
              <w:bottom w:val="nil"/>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31%</w:t>
            </w:r>
          </w:p>
        </w:tc>
        <w:tc>
          <w:tcPr>
            <w:tcW w:w="516" w:type="pct"/>
            <w:tcBorders>
              <w:top w:val="single" w:sz="4" w:space="0" w:color="auto"/>
              <w:left w:val="nil"/>
              <w:bottom w:val="nil"/>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63%</w:t>
            </w:r>
          </w:p>
        </w:tc>
        <w:tc>
          <w:tcPr>
            <w:tcW w:w="566" w:type="pct"/>
            <w:tcBorders>
              <w:top w:val="single" w:sz="4" w:space="0" w:color="auto"/>
              <w:left w:val="nil"/>
              <w:bottom w:val="nil"/>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73%</w:t>
            </w:r>
          </w:p>
        </w:tc>
        <w:tc>
          <w:tcPr>
            <w:tcW w:w="464" w:type="pct"/>
            <w:tcBorders>
              <w:top w:val="single" w:sz="4" w:space="0" w:color="auto"/>
              <w:left w:val="nil"/>
              <w:bottom w:val="nil"/>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71%</w:t>
            </w:r>
          </w:p>
        </w:tc>
        <w:tc>
          <w:tcPr>
            <w:tcW w:w="518" w:type="pct"/>
            <w:tcBorders>
              <w:top w:val="single" w:sz="4" w:space="0" w:color="auto"/>
              <w:left w:val="nil"/>
              <w:bottom w:val="nil"/>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82%</w:t>
            </w:r>
          </w:p>
        </w:tc>
      </w:tr>
      <w:tr w:rsidR="00C35167" w:rsidRPr="00C35167" w:rsidTr="003A1D5A">
        <w:trPr>
          <w:trHeight w:val="6"/>
        </w:trPr>
        <w:tc>
          <w:tcPr>
            <w:tcW w:w="968" w:type="pct"/>
            <w:tcBorders>
              <w:top w:val="single" w:sz="4" w:space="0" w:color="auto"/>
              <w:left w:val="single" w:sz="8" w:space="0" w:color="auto"/>
              <w:bottom w:val="nil"/>
              <w:right w:val="nil"/>
            </w:tcBorders>
            <w:shd w:val="clear" w:color="auto" w:fill="auto"/>
            <w:vAlign w:val="center"/>
          </w:tcPr>
          <w:p w:rsidR="00C35167" w:rsidRPr="0088268B" w:rsidRDefault="00C35167" w:rsidP="00C35167">
            <w:pPr>
              <w:spacing w:after="0" w:line="240" w:lineRule="auto"/>
              <w:rPr>
                <w:rFonts w:ascii="Times New Roman" w:eastAsia="Times New Roman" w:hAnsi="Times New Roman" w:cs="Times New Roman"/>
                <w:b/>
                <w:color w:val="000000"/>
                <w:lang w:eastAsia="ru-RU"/>
              </w:rPr>
            </w:pPr>
            <w:r w:rsidRPr="0088268B">
              <w:rPr>
                <w:rFonts w:ascii="Times New Roman" w:eastAsia="Calibri" w:hAnsi="Times New Roman" w:cs="Times New Roman"/>
                <w:color w:val="000000"/>
              </w:rPr>
              <w:t>Нет необходимости в заемных средствах</w:t>
            </w:r>
          </w:p>
        </w:tc>
        <w:tc>
          <w:tcPr>
            <w:tcW w:w="421" w:type="pct"/>
            <w:tcBorders>
              <w:top w:val="single" w:sz="4" w:space="0" w:color="auto"/>
              <w:left w:val="single" w:sz="8" w:space="0" w:color="auto"/>
              <w:bottom w:val="nil"/>
              <w:right w:val="nil"/>
            </w:tcBorders>
            <w:shd w:val="clear" w:color="auto" w:fill="auto"/>
            <w:vAlign w:val="center"/>
          </w:tcPr>
          <w:p w:rsidR="00C35167" w:rsidRPr="0088268B" w:rsidRDefault="00C35167" w:rsidP="00C35167">
            <w:pPr>
              <w:spacing w:after="0" w:line="240" w:lineRule="auto"/>
              <w:jc w:val="center"/>
              <w:rPr>
                <w:rFonts w:ascii="Times New Roman" w:eastAsia="Calibri" w:hAnsi="Times New Roman" w:cs="Times New Roman"/>
                <w:b/>
                <w:bCs/>
                <w:color w:val="000000"/>
              </w:rPr>
            </w:pPr>
            <w:r w:rsidRPr="0088268B">
              <w:rPr>
                <w:rFonts w:ascii="Times New Roman" w:eastAsia="Calibri" w:hAnsi="Times New Roman" w:cs="Times New Roman"/>
                <w:b/>
                <w:bCs/>
                <w:color w:val="000000"/>
              </w:rPr>
              <w:t>38%</w:t>
            </w:r>
          </w:p>
        </w:tc>
        <w:tc>
          <w:tcPr>
            <w:tcW w:w="516" w:type="pct"/>
            <w:tcBorders>
              <w:top w:val="single" w:sz="4" w:space="0" w:color="auto"/>
              <w:left w:val="single" w:sz="8" w:space="0" w:color="auto"/>
              <w:bottom w:val="nil"/>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38%</w:t>
            </w:r>
          </w:p>
        </w:tc>
        <w:tc>
          <w:tcPr>
            <w:tcW w:w="515" w:type="pct"/>
            <w:tcBorders>
              <w:top w:val="single" w:sz="4" w:space="0" w:color="auto"/>
              <w:left w:val="nil"/>
              <w:bottom w:val="nil"/>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31%</w:t>
            </w:r>
          </w:p>
        </w:tc>
        <w:tc>
          <w:tcPr>
            <w:tcW w:w="516" w:type="pct"/>
            <w:tcBorders>
              <w:top w:val="single" w:sz="4" w:space="0" w:color="auto"/>
              <w:left w:val="nil"/>
              <w:bottom w:val="nil"/>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44%</w:t>
            </w:r>
          </w:p>
        </w:tc>
        <w:tc>
          <w:tcPr>
            <w:tcW w:w="516" w:type="pct"/>
            <w:tcBorders>
              <w:top w:val="single" w:sz="4" w:space="0" w:color="auto"/>
              <w:left w:val="nil"/>
              <w:bottom w:val="nil"/>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39%</w:t>
            </w:r>
          </w:p>
        </w:tc>
        <w:tc>
          <w:tcPr>
            <w:tcW w:w="566" w:type="pct"/>
            <w:tcBorders>
              <w:top w:val="single" w:sz="4" w:space="0" w:color="auto"/>
              <w:left w:val="nil"/>
              <w:bottom w:val="nil"/>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37%</w:t>
            </w:r>
          </w:p>
        </w:tc>
        <w:tc>
          <w:tcPr>
            <w:tcW w:w="464" w:type="pct"/>
            <w:tcBorders>
              <w:top w:val="single" w:sz="4" w:space="0" w:color="auto"/>
              <w:left w:val="nil"/>
              <w:bottom w:val="nil"/>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44%</w:t>
            </w:r>
          </w:p>
        </w:tc>
        <w:tc>
          <w:tcPr>
            <w:tcW w:w="518" w:type="pct"/>
            <w:tcBorders>
              <w:top w:val="single" w:sz="4" w:space="0" w:color="auto"/>
              <w:left w:val="nil"/>
              <w:bottom w:val="nil"/>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 </w:t>
            </w:r>
          </w:p>
        </w:tc>
      </w:tr>
      <w:tr w:rsidR="00C35167" w:rsidRPr="00C35167" w:rsidTr="003A1D5A">
        <w:trPr>
          <w:trHeight w:val="6"/>
        </w:trPr>
        <w:tc>
          <w:tcPr>
            <w:tcW w:w="968" w:type="pct"/>
            <w:tcBorders>
              <w:top w:val="single" w:sz="4" w:space="0" w:color="auto"/>
              <w:left w:val="single" w:sz="8" w:space="0" w:color="auto"/>
              <w:bottom w:val="single" w:sz="4" w:space="0" w:color="auto"/>
              <w:right w:val="nil"/>
            </w:tcBorders>
            <w:shd w:val="clear" w:color="auto" w:fill="auto"/>
            <w:vAlign w:val="center"/>
          </w:tcPr>
          <w:p w:rsidR="00C35167" w:rsidRPr="0088268B" w:rsidRDefault="00C35167" w:rsidP="00C35167">
            <w:pPr>
              <w:spacing w:after="0" w:line="240" w:lineRule="auto"/>
              <w:rPr>
                <w:rFonts w:ascii="Times New Roman" w:eastAsia="Times New Roman" w:hAnsi="Times New Roman" w:cs="Times New Roman"/>
                <w:b/>
                <w:color w:val="000000"/>
                <w:lang w:eastAsia="ru-RU"/>
              </w:rPr>
            </w:pPr>
            <w:r w:rsidRPr="0088268B">
              <w:rPr>
                <w:rFonts w:ascii="Times New Roman" w:eastAsia="Calibri" w:hAnsi="Times New Roman" w:cs="Times New Roman"/>
                <w:color w:val="000000"/>
              </w:rPr>
              <w:t>Процентная ставка слишком высокая</w:t>
            </w:r>
          </w:p>
        </w:tc>
        <w:tc>
          <w:tcPr>
            <w:tcW w:w="421" w:type="pct"/>
            <w:tcBorders>
              <w:top w:val="single" w:sz="4" w:space="0" w:color="auto"/>
              <w:left w:val="single" w:sz="8" w:space="0" w:color="auto"/>
              <w:bottom w:val="single" w:sz="4" w:space="0" w:color="auto"/>
              <w:right w:val="nil"/>
            </w:tcBorders>
            <w:shd w:val="clear" w:color="auto" w:fill="auto"/>
            <w:vAlign w:val="center"/>
          </w:tcPr>
          <w:p w:rsidR="00C35167" w:rsidRPr="0088268B" w:rsidRDefault="00C35167" w:rsidP="00C35167">
            <w:pPr>
              <w:spacing w:after="0" w:line="240" w:lineRule="auto"/>
              <w:jc w:val="center"/>
              <w:rPr>
                <w:rFonts w:ascii="Times New Roman" w:eastAsia="Calibri" w:hAnsi="Times New Roman" w:cs="Times New Roman"/>
                <w:b/>
                <w:bCs/>
                <w:color w:val="000000"/>
              </w:rPr>
            </w:pPr>
            <w:r w:rsidRPr="0088268B">
              <w:rPr>
                <w:rFonts w:ascii="Times New Roman" w:eastAsia="Calibri" w:hAnsi="Times New Roman" w:cs="Times New Roman"/>
                <w:b/>
                <w:bCs/>
                <w:color w:val="000000"/>
              </w:rPr>
              <w:t>23%</w:t>
            </w:r>
          </w:p>
        </w:tc>
        <w:tc>
          <w:tcPr>
            <w:tcW w:w="516" w:type="pct"/>
            <w:tcBorders>
              <w:top w:val="single" w:sz="4" w:space="0" w:color="auto"/>
              <w:left w:val="single" w:sz="8"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28%</w:t>
            </w:r>
          </w:p>
        </w:tc>
        <w:tc>
          <w:tcPr>
            <w:tcW w:w="515" w:type="pct"/>
            <w:tcBorders>
              <w:top w:val="single" w:sz="4" w:space="0" w:color="auto"/>
              <w:left w:val="nil"/>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11%</w:t>
            </w:r>
          </w:p>
        </w:tc>
        <w:tc>
          <w:tcPr>
            <w:tcW w:w="516" w:type="pct"/>
            <w:tcBorders>
              <w:top w:val="single" w:sz="4" w:space="0" w:color="auto"/>
              <w:left w:val="nil"/>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7%</w:t>
            </w:r>
          </w:p>
        </w:tc>
        <w:tc>
          <w:tcPr>
            <w:tcW w:w="516" w:type="pct"/>
            <w:tcBorders>
              <w:top w:val="single" w:sz="4" w:space="0" w:color="auto"/>
              <w:left w:val="nil"/>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15%</w:t>
            </w:r>
          </w:p>
        </w:tc>
        <w:tc>
          <w:tcPr>
            <w:tcW w:w="566" w:type="pct"/>
            <w:tcBorders>
              <w:top w:val="single" w:sz="4" w:space="0" w:color="auto"/>
              <w:left w:val="nil"/>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19%</w:t>
            </w:r>
          </w:p>
        </w:tc>
        <w:tc>
          <w:tcPr>
            <w:tcW w:w="464" w:type="pct"/>
            <w:tcBorders>
              <w:top w:val="single" w:sz="4" w:space="0" w:color="auto"/>
              <w:left w:val="nil"/>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29%</w:t>
            </w:r>
          </w:p>
        </w:tc>
        <w:tc>
          <w:tcPr>
            <w:tcW w:w="518" w:type="pct"/>
            <w:tcBorders>
              <w:top w:val="single" w:sz="4" w:space="0" w:color="auto"/>
              <w:left w:val="nil"/>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24%</w:t>
            </w:r>
          </w:p>
        </w:tc>
      </w:tr>
      <w:tr w:rsidR="00C35167" w:rsidRPr="00C35167" w:rsidTr="003A1D5A">
        <w:trPr>
          <w:trHeight w:val="6"/>
        </w:trPr>
        <w:tc>
          <w:tcPr>
            <w:tcW w:w="968"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rPr>
                <w:rFonts w:ascii="Times New Roman" w:eastAsia="Times New Roman" w:hAnsi="Times New Roman" w:cs="Times New Roman"/>
                <w:b/>
                <w:color w:val="000000"/>
                <w:lang w:eastAsia="ru-RU"/>
              </w:rPr>
            </w:pPr>
            <w:r w:rsidRPr="0088268B">
              <w:rPr>
                <w:rFonts w:ascii="Times New Roman" w:eastAsia="Calibri" w:hAnsi="Times New Roman" w:cs="Times New Roman"/>
                <w:color w:val="000000"/>
              </w:rPr>
              <w:t>Я не доверяю финансовым организациям в достаточной степени</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jc w:val="center"/>
              <w:rPr>
                <w:rFonts w:ascii="Times New Roman" w:eastAsia="Calibri" w:hAnsi="Times New Roman" w:cs="Times New Roman"/>
                <w:b/>
                <w:bCs/>
                <w:color w:val="000000"/>
              </w:rPr>
            </w:pPr>
            <w:r w:rsidRPr="0088268B">
              <w:rPr>
                <w:rFonts w:ascii="Times New Roman" w:eastAsia="Calibri" w:hAnsi="Times New Roman" w:cs="Times New Roman"/>
                <w:b/>
                <w:bCs/>
                <w:color w:val="000000"/>
              </w:rPr>
              <w:t>21%</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22%</w:t>
            </w:r>
          </w:p>
        </w:tc>
        <w:tc>
          <w:tcPr>
            <w:tcW w:w="515"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29%</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11%</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31%</w:t>
            </w:r>
          </w:p>
        </w:tc>
        <w:tc>
          <w:tcPr>
            <w:tcW w:w="56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17%</w:t>
            </w:r>
          </w:p>
        </w:tc>
        <w:tc>
          <w:tcPr>
            <w:tcW w:w="464"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20%</w:t>
            </w:r>
          </w:p>
        </w:tc>
        <w:tc>
          <w:tcPr>
            <w:tcW w:w="518"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18%</w:t>
            </w:r>
          </w:p>
        </w:tc>
      </w:tr>
      <w:tr w:rsidR="00C35167" w:rsidRPr="00C35167" w:rsidTr="003A1D5A">
        <w:trPr>
          <w:trHeight w:val="6"/>
        </w:trPr>
        <w:tc>
          <w:tcPr>
            <w:tcW w:w="968"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rPr>
                <w:rFonts w:ascii="Times New Roman" w:eastAsia="Times New Roman" w:hAnsi="Times New Roman" w:cs="Times New Roman"/>
                <w:b/>
                <w:color w:val="000000"/>
                <w:lang w:eastAsia="ru-RU"/>
              </w:rPr>
            </w:pPr>
            <w:r w:rsidRPr="0088268B">
              <w:rPr>
                <w:rFonts w:ascii="Times New Roman" w:eastAsia="Calibri" w:hAnsi="Times New Roman" w:cs="Times New Roman"/>
                <w:color w:val="000000"/>
              </w:rPr>
              <w:t>Я не уверен(-а) в технической безопасности онлайн-сервисов</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jc w:val="center"/>
              <w:rPr>
                <w:rFonts w:ascii="Times New Roman" w:eastAsia="Calibri" w:hAnsi="Times New Roman" w:cs="Times New Roman"/>
                <w:b/>
                <w:bCs/>
                <w:color w:val="000000"/>
              </w:rPr>
            </w:pPr>
            <w:r w:rsidRPr="0088268B">
              <w:rPr>
                <w:rFonts w:ascii="Times New Roman" w:eastAsia="Calibri" w:hAnsi="Times New Roman" w:cs="Times New Roman"/>
                <w:b/>
                <w:bCs/>
                <w:color w:val="000000"/>
              </w:rPr>
              <w:t>11%</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11%</w:t>
            </w:r>
          </w:p>
        </w:tc>
        <w:tc>
          <w:tcPr>
            <w:tcW w:w="515"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3%</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 </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13%</w:t>
            </w:r>
          </w:p>
        </w:tc>
        <w:tc>
          <w:tcPr>
            <w:tcW w:w="56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11%</w:t>
            </w:r>
          </w:p>
        </w:tc>
        <w:tc>
          <w:tcPr>
            <w:tcW w:w="464"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21%</w:t>
            </w:r>
          </w:p>
        </w:tc>
        <w:tc>
          <w:tcPr>
            <w:tcW w:w="518"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 </w:t>
            </w:r>
          </w:p>
        </w:tc>
      </w:tr>
      <w:tr w:rsidR="00C35167" w:rsidRPr="00C35167" w:rsidTr="003A1D5A">
        <w:trPr>
          <w:trHeight w:val="6"/>
        </w:trPr>
        <w:tc>
          <w:tcPr>
            <w:tcW w:w="968"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rPr>
                <w:rFonts w:ascii="Times New Roman" w:eastAsia="Times New Roman" w:hAnsi="Times New Roman" w:cs="Times New Roman"/>
                <w:b/>
                <w:color w:val="000000"/>
                <w:lang w:eastAsia="ru-RU"/>
              </w:rPr>
            </w:pPr>
            <w:r w:rsidRPr="0088268B">
              <w:rPr>
                <w:rFonts w:ascii="Times New Roman" w:eastAsia="Calibri" w:hAnsi="Times New Roman" w:cs="Times New Roman"/>
                <w:color w:val="000000"/>
              </w:rPr>
              <w:t>Использую другие способы получить заем</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jc w:val="center"/>
              <w:rPr>
                <w:rFonts w:ascii="Times New Roman" w:eastAsia="Calibri" w:hAnsi="Times New Roman" w:cs="Times New Roman"/>
                <w:b/>
                <w:bCs/>
                <w:color w:val="000000"/>
              </w:rPr>
            </w:pPr>
            <w:r w:rsidRPr="0088268B">
              <w:rPr>
                <w:rFonts w:ascii="Times New Roman" w:eastAsia="Calibri" w:hAnsi="Times New Roman" w:cs="Times New Roman"/>
                <w:b/>
                <w:bCs/>
                <w:color w:val="000000"/>
              </w:rPr>
              <w:t>8%</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9%</w:t>
            </w:r>
          </w:p>
        </w:tc>
        <w:tc>
          <w:tcPr>
            <w:tcW w:w="515"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13%</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4%</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3%</w:t>
            </w:r>
          </w:p>
        </w:tc>
        <w:tc>
          <w:tcPr>
            <w:tcW w:w="56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5%</w:t>
            </w:r>
          </w:p>
        </w:tc>
        <w:tc>
          <w:tcPr>
            <w:tcW w:w="464"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9%</w:t>
            </w:r>
          </w:p>
        </w:tc>
        <w:tc>
          <w:tcPr>
            <w:tcW w:w="518"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39%</w:t>
            </w:r>
          </w:p>
        </w:tc>
      </w:tr>
      <w:tr w:rsidR="00C35167" w:rsidRPr="00C35167" w:rsidTr="003A1D5A">
        <w:trPr>
          <w:trHeight w:val="6"/>
        </w:trPr>
        <w:tc>
          <w:tcPr>
            <w:tcW w:w="968"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rPr>
                <w:rFonts w:ascii="Times New Roman" w:eastAsia="Times New Roman" w:hAnsi="Times New Roman" w:cs="Times New Roman"/>
                <w:b/>
                <w:color w:val="000000"/>
                <w:lang w:eastAsia="ru-RU"/>
              </w:rPr>
            </w:pPr>
            <w:r w:rsidRPr="0088268B">
              <w:rPr>
                <w:rFonts w:ascii="Times New Roman" w:eastAsia="Calibri" w:hAnsi="Times New Roman" w:cs="Times New Roman"/>
                <w:color w:val="000000"/>
              </w:rPr>
              <w:t>Кредит/заем оформлен на других членов моей семьи</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jc w:val="center"/>
              <w:rPr>
                <w:rFonts w:ascii="Times New Roman" w:eastAsia="Calibri" w:hAnsi="Times New Roman" w:cs="Times New Roman"/>
                <w:b/>
                <w:bCs/>
                <w:color w:val="000000"/>
              </w:rPr>
            </w:pPr>
            <w:r w:rsidRPr="0088268B">
              <w:rPr>
                <w:rFonts w:ascii="Times New Roman" w:eastAsia="Calibri" w:hAnsi="Times New Roman" w:cs="Times New Roman"/>
                <w:b/>
                <w:bCs/>
                <w:color w:val="000000"/>
              </w:rPr>
              <w:t>5%</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4%</w:t>
            </w:r>
          </w:p>
        </w:tc>
        <w:tc>
          <w:tcPr>
            <w:tcW w:w="515"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6%</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15%</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7%</w:t>
            </w:r>
          </w:p>
        </w:tc>
        <w:tc>
          <w:tcPr>
            <w:tcW w:w="56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4%</w:t>
            </w:r>
          </w:p>
        </w:tc>
        <w:tc>
          <w:tcPr>
            <w:tcW w:w="464"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5%</w:t>
            </w:r>
          </w:p>
        </w:tc>
        <w:tc>
          <w:tcPr>
            <w:tcW w:w="518"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 </w:t>
            </w:r>
          </w:p>
        </w:tc>
      </w:tr>
      <w:tr w:rsidR="00C35167" w:rsidRPr="00C35167" w:rsidTr="003A1D5A">
        <w:trPr>
          <w:trHeight w:val="6"/>
        </w:trPr>
        <w:tc>
          <w:tcPr>
            <w:tcW w:w="968"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rPr>
                <w:rFonts w:ascii="Times New Roman" w:eastAsia="Calibri" w:hAnsi="Times New Roman" w:cs="Times New Roman"/>
                <w:color w:val="000000"/>
              </w:rPr>
            </w:pPr>
            <w:r w:rsidRPr="0088268B">
              <w:rPr>
                <w:rFonts w:ascii="Times New Roman" w:eastAsia="Calibri" w:hAnsi="Times New Roman" w:cs="Times New Roman"/>
                <w:color w:val="000000"/>
              </w:rPr>
              <w:t>Я не обладаю навыками использования онлайн-сервисов финансовых организаций для получения кредита (займа)</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jc w:val="center"/>
              <w:rPr>
                <w:rFonts w:ascii="Times New Roman" w:eastAsia="Calibri" w:hAnsi="Times New Roman" w:cs="Times New Roman"/>
                <w:b/>
                <w:bCs/>
                <w:color w:val="000000"/>
              </w:rPr>
            </w:pPr>
            <w:r w:rsidRPr="0088268B">
              <w:rPr>
                <w:rFonts w:ascii="Times New Roman" w:eastAsia="Calibri" w:hAnsi="Times New Roman" w:cs="Times New Roman"/>
                <w:b/>
                <w:bCs/>
                <w:color w:val="000000"/>
              </w:rPr>
              <w:t>5%</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3%</w:t>
            </w:r>
          </w:p>
        </w:tc>
        <w:tc>
          <w:tcPr>
            <w:tcW w:w="515"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1%</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11%</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5%</w:t>
            </w:r>
          </w:p>
        </w:tc>
        <w:tc>
          <w:tcPr>
            <w:tcW w:w="56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8%</w:t>
            </w:r>
          </w:p>
        </w:tc>
        <w:tc>
          <w:tcPr>
            <w:tcW w:w="464"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 </w:t>
            </w:r>
          </w:p>
        </w:tc>
        <w:tc>
          <w:tcPr>
            <w:tcW w:w="518"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 </w:t>
            </w:r>
          </w:p>
        </w:tc>
      </w:tr>
      <w:tr w:rsidR="00C35167" w:rsidRPr="00C35167" w:rsidTr="003A1D5A">
        <w:trPr>
          <w:trHeight w:val="6"/>
        </w:trPr>
        <w:tc>
          <w:tcPr>
            <w:tcW w:w="968"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rPr>
                <w:rFonts w:ascii="Times New Roman" w:eastAsia="Calibri" w:hAnsi="Times New Roman" w:cs="Times New Roman"/>
                <w:color w:val="000000"/>
              </w:rPr>
            </w:pPr>
            <w:r w:rsidRPr="0088268B">
              <w:rPr>
                <w:rFonts w:ascii="Times New Roman" w:eastAsia="Calibri" w:hAnsi="Times New Roman" w:cs="Times New Roman"/>
                <w:color w:val="000000"/>
              </w:rPr>
              <w:t>У меня нет необходимых документов</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jc w:val="center"/>
              <w:rPr>
                <w:rFonts w:ascii="Times New Roman" w:eastAsia="Calibri" w:hAnsi="Times New Roman" w:cs="Times New Roman"/>
                <w:b/>
                <w:bCs/>
                <w:color w:val="000000"/>
              </w:rPr>
            </w:pPr>
            <w:r w:rsidRPr="0088268B">
              <w:rPr>
                <w:rFonts w:ascii="Times New Roman" w:eastAsia="Calibri" w:hAnsi="Times New Roman" w:cs="Times New Roman"/>
                <w:b/>
                <w:bCs/>
                <w:color w:val="000000"/>
              </w:rPr>
              <w:t>1%</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2%</w:t>
            </w:r>
          </w:p>
        </w:tc>
        <w:tc>
          <w:tcPr>
            <w:tcW w:w="515"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 </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7%</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3%</w:t>
            </w:r>
          </w:p>
        </w:tc>
        <w:tc>
          <w:tcPr>
            <w:tcW w:w="56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0%</w:t>
            </w:r>
          </w:p>
        </w:tc>
        <w:tc>
          <w:tcPr>
            <w:tcW w:w="464"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2%</w:t>
            </w:r>
          </w:p>
        </w:tc>
        <w:tc>
          <w:tcPr>
            <w:tcW w:w="518"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 </w:t>
            </w:r>
          </w:p>
        </w:tc>
      </w:tr>
      <w:tr w:rsidR="00C35167" w:rsidRPr="00C35167" w:rsidTr="003A1D5A">
        <w:trPr>
          <w:trHeight w:val="6"/>
        </w:trPr>
        <w:tc>
          <w:tcPr>
            <w:tcW w:w="968"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rPr>
                <w:rFonts w:ascii="Times New Roman" w:eastAsia="Calibri" w:hAnsi="Times New Roman" w:cs="Times New Roman"/>
                <w:color w:val="000000"/>
              </w:rPr>
            </w:pPr>
            <w:r w:rsidRPr="0088268B">
              <w:rPr>
                <w:rFonts w:ascii="Times New Roman" w:eastAsia="Calibri" w:hAnsi="Times New Roman" w:cs="Times New Roman"/>
                <w:color w:val="000000"/>
              </w:rPr>
              <w:t>Отделения финансовых организаций находятся слишком далеко от меня</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jc w:val="center"/>
              <w:rPr>
                <w:rFonts w:ascii="Times New Roman" w:eastAsia="Calibri" w:hAnsi="Times New Roman" w:cs="Times New Roman"/>
                <w:b/>
                <w:bCs/>
                <w:color w:val="000000"/>
              </w:rPr>
            </w:pPr>
            <w:r w:rsidRPr="0088268B">
              <w:rPr>
                <w:rFonts w:ascii="Times New Roman" w:eastAsia="Calibri" w:hAnsi="Times New Roman" w:cs="Times New Roman"/>
                <w:b/>
                <w:bCs/>
                <w:color w:val="000000"/>
              </w:rPr>
              <w:t>1%</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1%</w:t>
            </w:r>
          </w:p>
        </w:tc>
        <w:tc>
          <w:tcPr>
            <w:tcW w:w="515"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2%</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 </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 </w:t>
            </w:r>
          </w:p>
        </w:tc>
        <w:tc>
          <w:tcPr>
            <w:tcW w:w="56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 </w:t>
            </w:r>
          </w:p>
        </w:tc>
        <w:tc>
          <w:tcPr>
            <w:tcW w:w="464"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 </w:t>
            </w:r>
          </w:p>
        </w:tc>
        <w:tc>
          <w:tcPr>
            <w:tcW w:w="518"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 </w:t>
            </w:r>
          </w:p>
        </w:tc>
      </w:tr>
      <w:tr w:rsidR="00C35167" w:rsidRPr="00C35167" w:rsidTr="003A1D5A">
        <w:trPr>
          <w:trHeight w:val="575"/>
        </w:trPr>
        <w:tc>
          <w:tcPr>
            <w:tcW w:w="968"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rPr>
                <w:rFonts w:ascii="Times New Roman" w:eastAsia="Times New Roman" w:hAnsi="Times New Roman" w:cs="Times New Roman"/>
                <w:b/>
                <w:color w:val="000000"/>
                <w:lang w:eastAsia="ru-RU"/>
              </w:rPr>
            </w:pPr>
            <w:r w:rsidRPr="0088268B">
              <w:rPr>
                <w:rFonts w:ascii="Times New Roman" w:eastAsia="Calibri" w:hAnsi="Times New Roman" w:cs="Times New Roman"/>
                <w:color w:val="000000"/>
              </w:rPr>
              <w:t xml:space="preserve">Иное </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jc w:val="center"/>
              <w:rPr>
                <w:rFonts w:ascii="Times New Roman" w:eastAsia="Calibri" w:hAnsi="Times New Roman" w:cs="Times New Roman"/>
                <w:b/>
                <w:bCs/>
                <w:color w:val="000000"/>
              </w:rPr>
            </w:pPr>
            <w:r w:rsidRPr="0088268B">
              <w:rPr>
                <w:rFonts w:ascii="Times New Roman" w:eastAsia="Calibri" w:hAnsi="Times New Roman" w:cs="Times New Roman"/>
                <w:b/>
                <w:bCs/>
                <w:color w:val="000000"/>
              </w:rPr>
              <w:t>0,4%</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0,5%</w:t>
            </w:r>
          </w:p>
        </w:tc>
        <w:tc>
          <w:tcPr>
            <w:tcW w:w="515"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 </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4%</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 </w:t>
            </w:r>
          </w:p>
        </w:tc>
        <w:tc>
          <w:tcPr>
            <w:tcW w:w="56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 </w:t>
            </w:r>
          </w:p>
        </w:tc>
        <w:tc>
          <w:tcPr>
            <w:tcW w:w="464"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 </w:t>
            </w:r>
          </w:p>
        </w:tc>
        <w:tc>
          <w:tcPr>
            <w:tcW w:w="518"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 </w:t>
            </w:r>
          </w:p>
        </w:tc>
      </w:tr>
    </w:tbl>
    <w:p w:rsidR="00C35167" w:rsidRPr="00C35167" w:rsidRDefault="00C35167" w:rsidP="00C35167">
      <w:pPr>
        <w:spacing w:after="160" w:line="259" w:lineRule="auto"/>
        <w:rPr>
          <w:rFonts w:ascii="Times New Roman" w:eastAsia="Calibri" w:hAnsi="Times New Roman" w:cs="Times New Roman"/>
          <w:color w:val="000000"/>
        </w:rPr>
      </w:pPr>
    </w:p>
    <w:p w:rsidR="00C35167" w:rsidRPr="00B6184B" w:rsidRDefault="00C35167"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B6184B">
        <w:rPr>
          <w:rFonts w:ascii="Times New Roman" w:eastAsia="Times New Roman" w:hAnsi="Times New Roman" w:cs="Times New Roman"/>
          <w:color w:val="000000"/>
          <w:sz w:val="24"/>
          <w:szCs w:val="24"/>
          <w:lang w:eastAsia="ru-RU"/>
        </w:rPr>
        <w:t>В разрезе социального статуса респондентов были зафиксированы следующие особенности:</w:t>
      </w:r>
    </w:p>
    <w:p w:rsidR="00C35167" w:rsidRPr="00B6184B" w:rsidRDefault="00C35167"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B6184B">
        <w:rPr>
          <w:rFonts w:ascii="Times New Roman" w:eastAsia="Times New Roman" w:hAnsi="Times New Roman" w:cs="Times New Roman"/>
          <w:color w:val="000000"/>
          <w:sz w:val="24"/>
          <w:szCs w:val="24"/>
          <w:lang w:eastAsia="ru-RU"/>
        </w:rPr>
        <w:t xml:space="preserve">- о нежелании </w:t>
      </w:r>
      <w:r w:rsidR="00D55ED4">
        <w:rPr>
          <w:rFonts w:ascii="Times New Roman" w:eastAsia="Times New Roman" w:hAnsi="Times New Roman" w:cs="Times New Roman"/>
          <w:color w:val="000000"/>
          <w:sz w:val="24"/>
          <w:szCs w:val="24"/>
          <w:lang w:eastAsia="ru-RU"/>
        </w:rPr>
        <w:t>«</w:t>
      </w:r>
      <w:r w:rsidRPr="00B6184B">
        <w:rPr>
          <w:rFonts w:ascii="Times New Roman" w:eastAsia="Times New Roman" w:hAnsi="Times New Roman" w:cs="Times New Roman"/>
          <w:color w:val="000000"/>
          <w:sz w:val="24"/>
          <w:szCs w:val="24"/>
          <w:lang w:eastAsia="ru-RU"/>
        </w:rPr>
        <w:t>жить в долг</w:t>
      </w:r>
      <w:r w:rsidR="00D55ED4">
        <w:rPr>
          <w:rFonts w:ascii="Times New Roman" w:eastAsia="Times New Roman" w:hAnsi="Times New Roman" w:cs="Times New Roman"/>
          <w:color w:val="000000"/>
          <w:sz w:val="24"/>
          <w:szCs w:val="24"/>
          <w:lang w:eastAsia="ru-RU"/>
        </w:rPr>
        <w:t>»</w:t>
      </w:r>
      <w:r w:rsidRPr="00B6184B">
        <w:rPr>
          <w:rFonts w:ascii="Times New Roman" w:eastAsia="Times New Roman" w:hAnsi="Times New Roman" w:cs="Times New Roman"/>
          <w:color w:val="000000"/>
          <w:sz w:val="24"/>
          <w:szCs w:val="24"/>
          <w:lang w:eastAsia="ru-RU"/>
        </w:rPr>
        <w:t xml:space="preserve"> чаще остальных групп заявляли пенсионеры (73% против 61% в среднем по региону), реже - студенты (31%);</w:t>
      </w:r>
    </w:p>
    <w:p w:rsidR="00C35167" w:rsidRPr="00B6184B" w:rsidRDefault="00C35167"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B6184B">
        <w:rPr>
          <w:rFonts w:ascii="Times New Roman" w:eastAsia="Times New Roman" w:hAnsi="Times New Roman" w:cs="Times New Roman"/>
          <w:color w:val="000000"/>
          <w:sz w:val="24"/>
          <w:szCs w:val="24"/>
          <w:lang w:eastAsia="ru-RU"/>
        </w:rPr>
        <w:t>- об отсутствии необходимости в заемных средствах несколько чаще говорили студенты и домохозяйки (по 44%, соответственно, против 38% в среднем по Ленинградской области);</w:t>
      </w:r>
    </w:p>
    <w:p w:rsidR="00C35167" w:rsidRPr="00B6184B" w:rsidRDefault="00C35167"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B6184B">
        <w:rPr>
          <w:rFonts w:ascii="Times New Roman" w:eastAsia="Times New Roman" w:hAnsi="Times New Roman" w:cs="Times New Roman"/>
          <w:color w:val="000000"/>
          <w:sz w:val="24"/>
          <w:szCs w:val="24"/>
          <w:lang w:eastAsia="ru-RU"/>
        </w:rPr>
        <w:t>- высокой процентной ставкой более обеспокоены самозанятые (29% против 23%) и работающее население (28%), менее остальных – студенты (7%) и безработные (11%);</w:t>
      </w:r>
    </w:p>
    <w:p w:rsidR="00C35167" w:rsidRPr="00B6184B" w:rsidRDefault="00C35167"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B6184B">
        <w:rPr>
          <w:rFonts w:ascii="Times New Roman" w:eastAsia="Times New Roman" w:hAnsi="Times New Roman" w:cs="Times New Roman"/>
          <w:color w:val="000000"/>
          <w:sz w:val="24"/>
          <w:szCs w:val="24"/>
          <w:lang w:eastAsia="ru-RU"/>
        </w:rPr>
        <w:t>- недоверие финансовым организациям выше среди безработных (29% против 21%);</w:t>
      </w:r>
    </w:p>
    <w:p w:rsidR="00C35167" w:rsidRPr="00B6184B" w:rsidRDefault="00C35167"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B6184B">
        <w:rPr>
          <w:rFonts w:ascii="Times New Roman" w:eastAsia="Times New Roman" w:hAnsi="Times New Roman" w:cs="Times New Roman"/>
          <w:color w:val="000000"/>
          <w:sz w:val="24"/>
          <w:szCs w:val="24"/>
          <w:lang w:eastAsia="ru-RU"/>
        </w:rPr>
        <w:t>- неуверенность в технической безопасности онлайн-сервисов чаще демонстрировали самозанятые (21% против 11%), реже – безработные (3%)</w:t>
      </w:r>
    </w:p>
    <w:p w:rsidR="00C35167" w:rsidRPr="00B6184B" w:rsidRDefault="00C35167"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B6184B">
        <w:rPr>
          <w:rFonts w:ascii="Times New Roman" w:eastAsia="Times New Roman" w:hAnsi="Times New Roman" w:cs="Times New Roman"/>
          <w:color w:val="000000"/>
          <w:sz w:val="24"/>
          <w:szCs w:val="24"/>
          <w:lang w:eastAsia="ru-RU"/>
        </w:rPr>
        <w:t>- на использование других каналов для заёма денежных средств чаще указывали безработные (13% против 8%);</w:t>
      </w:r>
    </w:p>
    <w:p w:rsidR="00C35167" w:rsidRPr="00B6184B" w:rsidRDefault="00C35167"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B6184B">
        <w:rPr>
          <w:rFonts w:ascii="Times New Roman" w:eastAsia="Times New Roman" w:hAnsi="Times New Roman" w:cs="Times New Roman"/>
          <w:color w:val="000000"/>
          <w:sz w:val="24"/>
          <w:szCs w:val="24"/>
          <w:lang w:eastAsia="ru-RU"/>
        </w:rPr>
        <w:t>- ожидаемо, на наличие займов у других членов семьи чаще остальных ссылались студенты (15% против 5%), также в данной группе выше средних значений показатель отсутствия навыков в использовании он-лайн сервисов финансовых организаций (11% против 5%).</w:t>
      </w:r>
    </w:p>
    <w:p w:rsidR="00C35167" w:rsidRPr="00C35167" w:rsidRDefault="00C35167" w:rsidP="00B6184B">
      <w:pPr>
        <w:keepNext/>
        <w:keepLines/>
        <w:spacing w:before="120" w:after="120" w:line="240" w:lineRule="auto"/>
        <w:jc w:val="center"/>
        <w:rPr>
          <w:rFonts w:ascii="Times New Roman" w:eastAsia="Calibri" w:hAnsi="Times New Roman" w:cs="Times New Roman"/>
          <w:color w:val="000000"/>
          <w:sz w:val="24"/>
          <w:szCs w:val="24"/>
        </w:rPr>
      </w:pPr>
      <w:r w:rsidRPr="00C35167">
        <w:rPr>
          <w:rFonts w:ascii="Times New Roman" w:eastAsia="Calibri" w:hAnsi="Times New Roman" w:cs="Times New Roman"/>
          <w:iCs/>
          <w:color w:val="000000"/>
          <w:sz w:val="24"/>
          <w:szCs w:val="28"/>
        </w:rPr>
        <w:t xml:space="preserve">Рисунок </w:t>
      </w:r>
      <w:r w:rsidR="00B6184B">
        <w:rPr>
          <w:rFonts w:ascii="Times New Roman" w:eastAsia="Calibri" w:hAnsi="Times New Roman" w:cs="Times New Roman"/>
          <w:iCs/>
          <w:color w:val="000000"/>
          <w:sz w:val="24"/>
          <w:szCs w:val="28"/>
        </w:rPr>
        <w:t>57</w:t>
      </w:r>
      <w:r w:rsidRPr="00C35167">
        <w:rPr>
          <w:rFonts w:ascii="Times New Roman" w:eastAsia="Calibri" w:hAnsi="Times New Roman" w:cs="Times New Roman"/>
          <w:iCs/>
          <w:color w:val="000000"/>
          <w:sz w:val="24"/>
          <w:szCs w:val="28"/>
        </w:rPr>
        <w:t xml:space="preserve">. Барьеры для использования финансовых продуктов (услуг) из категории </w:t>
      </w:r>
      <w:r w:rsidRPr="00C35167">
        <w:rPr>
          <w:rFonts w:ascii="Times New Roman" w:eastAsia="Calibri" w:hAnsi="Times New Roman" w:cs="Times New Roman"/>
          <w:iCs/>
          <w:color w:val="000000"/>
          <w:sz w:val="24"/>
          <w:szCs w:val="28"/>
          <w:u w:val="single"/>
        </w:rPr>
        <w:t>Платежные карты</w:t>
      </w:r>
      <w:r w:rsidRPr="00C35167">
        <w:rPr>
          <w:rFonts w:ascii="Times New Roman" w:eastAsia="Calibri" w:hAnsi="Times New Roman" w:cs="Times New Roman"/>
          <w:iCs/>
          <w:color w:val="000000"/>
          <w:sz w:val="24"/>
          <w:szCs w:val="28"/>
        </w:rPr>
        <w:t>.</w:t>
      </w:r>
      <w:r w:rsidRPr="00C35167">
        <w:rPr>
          <w:rFonts w:ascii="Times New Roman" w:eastAsia="Calibri" w:hAnsi="Times New Roman" w:cs="Times New Roman"/>
          <w:b/>
          <w:iCs/>
          <w:color w:val="000000"/>
          <w:sz w:val="24"/>
          <w:szCs w:val="28"/>
        </w:rPr>
        <w:t xml:space="preserve"> </w:t>
      </w:r>
      <w:r w:rsidRPr="00C35167">
        <w:rPr>
          <w:rFonts w:ascii="Times New Roman" w:eastAsia="Calibri" w:hAnsi="Times New Roman" w:cs="Times New Roman"/>
          <w:noProof/>
          <w:color w:val="000000"/>
          <w:sz w:val="24"/>
          <w:szCs w:val="24"/>
        </w:rPr>
        <w:t xml:space="preserve">(опрос населения, % от числа не пользовавшихся данными финансовыми продуктами/услугами, </w:t>
      </w:r>
      <w:r w:rsidRPr="00C35167">
        <w:rPr>
          <w:rFonts w:ascii="Times New Roman" w:eastAsia="Calibri" w:hAnsi="Times New Roman" w:cs="Times New Roman"/>
          <w:noProof/>
          <w:color w:val="000000"/>
          <w:sz w:val="24"/>
          <w:szCs w:val="24"/>
          <w:lang w:val="en-US"/>
        </w:rPr>
        <w:t>n</w:t>
      </w:r>
      <w:r w:rsidRPr="00C35167">
        <w:rPr>
          <w:rFonts w:ascii="Times New Roman" w:eastAsia="Calibri" w:hAnsi="Times New Roman" w:cs="Times New Roman"/>
          <w:noProof/>
          <w:color w:val="000000"/>
          <w:sz w:val="24"/>
          <w:szCs w:val="24"/>
        </w:rPr>
        <w:t xml:space="preserve"> = 44</w:t>
      </w:r>
      <w:r w:rsidRPr="00C35167">
        <w:rPr>
          <w:rFonts w:ascii="Times New Roman" w:eastAsia="Calibri" w:hAnsi="Times New Roman" w:cs="Times New Roman"/>
          <w:color w:val="000000"/>
          <w:sz w:val="24"/>
          <w:szCs w:val="24"/>
        </w:rPr>
        <w:t>)</w:t>
      </w:r>
    </w:p>
    <w:p w:rsidR="00C35167" w:rsidRPr="00C35167" w:rsidRDefault="00C35167" w:rsidP="00C35167">
      <w:pPr>
        <w:spacing w:after="160" w:line="259" w:lineRule="auto"/>
        <w:rPr>
          <w:rFonts w:ascii="Times New Roman" w:eastAsia="Calibri" w:hAnsi="Times New Roman" w:cs="Times New Roman"/>
          <w:color w:val="000000"/>
        </w:rPr>
      </w:pPr>
      <w:r w:rsidRPr="00C35167">
        <w:rPr>
          <w:rFonts w:ascii="Times New Roman" w:eastAsia="Calibri" w:hAnsi="Times New Roman" w:cs="Times New Roman"/>
          <w:noProof/>
          <w:color w:val="000000"/>
          <w:lang w:eastAsia="ru-RU"/>
        </w:rPr>
        <w:drawing>
          <wp:inline distT="0" distB="0" distL="0" distR="0" wp14:anchorId="3A4FB19A" wp14:editId="1E5D45CD">
            <wp:extent cx="6066155" cy="4943475"/>
            <wp:effectExtent l="0" t="0" r="0" b="0"/>
            <wp:docPr id="1066" name="Диаграмма 10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C35167" w:rsidRPr="00B6184B" w:rsidRDefault="00C35167"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B6184B">
        <w:rPr>
          <w:rFonts w:ascii="Times New Roman" w:eastAsia="Times New Roman" w:hAnsi="Times New Roman" w:cs="Times New Roman"/>
          <w:color w:val="000000"/>
          <w:sz w:val="24"/>
          <w:szCs w:val="24"/>
          <w:lang w:eastAsia="ru-RU"/>
        </w:rPr>
        <w:t>Большинство жителей Ленинградской области являются активными пользователями платежных карт. Только 4% населения заявили, что не пользуются данными финансовыми продуктами. В качестве основных барьеров респонденты называли недостаток денежных средств (37%), наличие платежных карт у других членов семьи и отсутствие доверия к банкам/кредитным организациям (по 24%, соответственно). 12% опрошенных считают, что обслуживание данного финансового продукта для них слишком дорого.</w:t>
      </w:r>
    </w:p>
    <w:p w:rsidR="00C35167" w:rsidRPr="00B6184B" w:rsidRDefault="00C35167"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B6184B">
        <w:rPr>
          <w:rFonts w:ascii="Times New Roman" w:eastAsia="Times New Roman" w:hAnsi="Times New Roman" w:cs="Times New Roman"/>
          <w:color w:val="000000"/>
          <w:sz w:val="24"/>
          <w:szCs w:val="24"/>
          <w:lang w:eastAsia="ru-RU"/>
        </w:rPr>
        <w:t>В силу ненаполненности выборочной совокупности по данной категории финансовых продуктов/услуг анализ статистически значимых отличий по социальному статусу потребителей не представляется возможным.</w:t>
      </w:r>
    </w:p>
    <w:p w:rsidR="00C35167" w:rsidRPr="00C35167" w:rsidRDefault="00C35167" w:rsidP="00B6184B">
      <w:pPr>
        <w:keepNext/>
        <w:keepLines/>
        <w:spacing w:before="120" w:after="120" w:line="240" w:lineRule="auto"/>
        <w:jc w:val="center"/>
        <w:rPr>
          <w:rFonts w:ascii="Times New Roman" w:eastAsia="Calibri" w:hAnsi="Times New Roman" w:cs="Times New Roman"/>
          <w:color w:val="000000"/>
          <w:sz w:val="24"/>
          <w:szCs w:val="24"/>
        </w:rPr>
      </w:pPr>
      <w:r w:rsidRPr="00C35167">
        <w:rPr>
          <w:rFonts w:ascii="Times New Roman" w:eastAsia="Calibri" w:hAnsi="Times New Roman" w:cs="Times New Roman"/>
          <w:iCs/>
          <w:color w:val="000000"/>
          <w:sz w:val="24"/>
          <w:szCs w:val="28"/>
        </w:rPr>
        <w:t xml:space="preserve">Рисунок </w:t>
      </w:r>
      <w:r w:rsidR="00B6184B">
        <w:rPr>
          <w:rFonts w:ascii="Times New Roman" w:eastAsia="Calibri" w:hAnsi="Times New Roman" w:cs="Times New Roman"/>
          <w:iCs/>
          <w:color w:val="000000"/>
          <w:sz w:val="24"/>
          <w:szCs w:val="28"/>
        </w:rPr>
        <w:t>58</w:t>
      </w:r>
      <w:r w:rsidRPr="00C35167">
        <w:rPr>
          <w:rFonts w:ascii="Times New Roman" w:eastAsia="Calibri" w:hAnsi="Times New Roman" w:cs="Times New Roman"/>
          <w:iCs/>
          <w:color w:val="000000"/>
          <w:sz w:val="24"/>
          <w:szCs w:val="28"/>
        </w:rPr>
        <w:t xml:space="preserve">. Барьеры для использования финансовых продуктов (услуг) из категории </w:t>
      </w:r>
      <w:r w:rsidRPr="00C35167">
        <w:rPr>
          <w:rFonts w:ascii="Times New Roman" w:eastAsia="Calibri" w:hAnsi="Times New Roman" w:cs="Times New Roman"/>
          <w:iCs/>
          <w:color w:val="000000"/>
          <w:sz w:val="24"/>
          <w:szCs w:val="28"/>
          <w:u w:val="single"/>
        </w:rPr>
        <w:t>Страховые продукты</w:t>
      </w:r>
      <w:r w:rsidRPr="00C35167">
        <w:rPr>
          <w:rFonts w:ascii="Times New Roman" w:eastAsia="Calibri" w:hAnsi="Times New Roman" w:cs="Times New Roman"/>
          <w:iCs/>
          <w:color w:val="000000"/>
          <w:sz w:val="24"/>
          <w:szCs w:val="28"/>
        </w:rPr>
        <w:t>.</w:t>
      </w:r>
      <w:r w:rsidRPr="00C35167">
        <w:rPr>
          <w:rFonts w:ascii="Times New Roman" w:eastAsia="Calibri" w:hAnsi="Times New Roman" w:cs="Times New Roman"/>
          <w:b/>
          <w:iCs/>
          <w:color w:val="000000"/>
          <w:sz w:val="24"/>
          <w:szCs w:val="28"/>
        </w:rPr>
        <w:t xml:space="preserve"> </w:t>
      </w:r>
      <w:r w:rsidRPr="00C35167">
        <w:rPr>
          <w:rFonts w:ascii="Times New Roman" w:eastAsia="Calibri" w:hAnsi="Times New Roman" w:cs="Times New Roman"/>
          <w:noProof/>
          <w:color w:val="000000"/>
          <w:sz w:val="24"/>
          <w:szCs w:val="24"/>
        </w:rPr>
        <w:t xml:space="preserve">(опрос населения, % от числа не пользовавшихся данными финансовыми продуктами/услугами, </w:t>
      </w:r>
      <w:r w:rsidRPr="00C35167">
        <w:rPr>
          <w:rFonts w:ascii="Times New Roman" w:eastAsia="Calibri" w:hAnsi="Times New Roman" w:cs="Times New Roman"/>
          <w:noProof/>
          <w:color w:val="000000"/>
          <w:sz w:val="24"/>
          <w:szCs w:val="24"/>
          <w:lang w:val="en-US"/>
        </w:rPr>
        <w:t>n</w:t>
      </w:r>
      <w:r w:rsidRPr="00C35167">
        <w:rPr>
          <w:rFonts w:ascii="Times New Roman" w:eastAsia="Calibri" w:hAnsi="Times New Roman" w:cs="Times New Roman"/>
          <w:noProof/>
          <w:color w:val="000000"/>
          <w:sz w:val="24"/>
          <w:szCs w:val="24"/>
        </w:rPr>
        <w:t xml:space="preserve"> = 625</w:t>
      </w:r>
      <w:r w:rsidRPr="00C35167">
        <w:rPr>
          <w:rFonts w:ascii="Times New Roman" w:eastAsia="Calibri" w:hAnsi="Times New Roman" w:cs="Times New Roman"/>
          <w:color w:val="000000"/>
          <w:sz w:val="24"/>
          <w:szCs w:val="24"/>
        </w:rPr>
        <w:t>)</w:t>
      </w:r>
    </w:p>
    <w:p w:rsidR="00C35167" w:rsidRPr="00C35167" w:rsidRDefault="00C35167" w:rsidP="00C35167">
      <w:pPr>
        <w:spacing w:after="160" w:line="259" w:lineRule="auto"/>
        <w:rPr>
          <w:rFonts w:ascii="Times New Roman" w:eastAsia="Calibri" w:hAnsi="Times New Roman" w:cs="Times New Roman"/>
          <w:color w:val="000000"/>
        </w:rPr>
      </w:pPr>
      <w:r w:rsidRPr="00C35167">
        <w:rPr>
          <w:rFonts w:ascii="Times New Roman" w:eastAsia="Calibri" w:hAnsi="Times New Roman" w:cs="Times New Roman"/>
          <w:noProof/>
          <w:color w:val="000000"/>
          <w:lang w:eastAsia="ru-RU"/>
        </w:rPr>
        <w:drawing>
          <wp:inline distT="0" distB="0" distL="0" distR="0" wp14:anchorId="7B4B8FAD" wp14:editId="1CD3E79F">
            <wp:extent cx="6057900" cy="2971800"/>
            <wp:effectExtent l="0" t="0" r="0" b="0"/>
            <wp:docPr id="1068" name="Диаграмма 10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C35167" w:rsidRPr="00B6184B" w:rsidRDefault="00C35167"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B6184B">
        <w:rPr>
          <w:rFonts w:ascii="Times New Roman" w:eastAsia="Times New Roman" w:hAnsi="Times New Roman" w:cs="Times New Roman"/>
          <w:color w:val="000000"/>
          <w:sz w:val="24"/>
          <w:szCs w:val="24"/>
          <w:lang w:eastAsia="ru-RU"/>
        </w:rPr>
        <w:t>Основным барьером в пользовании страховыми продуктами для жителей Ленинградской области является отсутствие потребности в страховании (57%). На втором месте по значимости - недоверие страховым организациям и высокая стоимость страхового полиса (по 27%, соответственно). Другие причины набрали не более 8%.</w:t>
      </w:r>
    </w:p>
    <w:p w:rsidR="00C35167" w:rsidRPr="00C35167" w:rsidRDefault="00C35167" w:rsidP="00B6184B">
      <w:pPr>
        <w:keepNext/>
        <w:keepLines/>
        <w:spacing w:before="120" w:after="120" w:line="240" w:lineRule="auto"/>
        <w:jc w:val="center"/>
        <w:rPr>
          <w:rFonts w:ascii="Times New Roman" w:eastAsia="Calibri" w:hAnsi="Times New Roman" w:cs="Times New Roman"/>
          <w:color w:val="000000"/>
          <w:sz w:val="24"/>
          <w:szCs w:val="24"/>
        </w:rPr>
      </w:pPr>
      <w:r w:rsidRPr="00C35167">
        <w:rPr>
          <w:rFonts w:ascii="Times New Roman" w:eastAsia="Calibri" w:hAnsi="Times New Roman" w:cs="Times New Roman"/>
          <w:iCs/>
          <w:color w:val="000000"/>
          <w:sz w:val="24"/>
          <w:szCs w:val="28"/>
        </w:rPr>
        <w:t xml:space="preserve">Таблица </w:t>
      </w:r>
      <w:r w:rsidR="00B6184B">
        <w:rPr>
          <w:rFonts w:ascii="Times New Roman" w:eastAsia="Calibri" w:hAnsi="Times New Roman" w:cs="Times New Roman"/>
          <w:iCs/>
          <w:color w:val="000000"/>
          <w:sz w:val="24"/>
          <w:szCs w:val="28"/>
        </w:rPr>
        <w:t>53</w:t>
      </w:r>
      <w:r w:rsidRPr="00C35167">
        <w:rPr>
          <w:rFonts w:ascii="Times New Roman" w:eastAsia="Calibri" w:hAnsi="Times New Roman" w:cs="Times New Roman"/>
          <w:iCs/>
          <w:color w:val="000000"/>
          <w:sz w:val="24"/>
          <w:szCs w:val="28"/>
        </w:rPr>
        <w:t xml:space="preserve">. Барьеры для использования финансовых продуктов (услуг) из категории </w:t>
      </w:r>
      <w:r w:rsidRPr="00C35167">
        <w:rPr>
          <w:rFonts w:ascii="Times New Roman" w:eastAsia="Calibri" w:hAnsi="Times New Roman" w:cs="Times New Roman"/>
          <w:iCs/>
          <w:color w:val="000000"/>
          <w:sz w:val="24"/>
          <w:szCs w:val="28"/>
          <w:u w:val="single"/>
        </w:rPr>
        <w:t>Страховые продукты</w:t>
      </w:r>
      <w:r w:rsidRPr="00C35167">
        <w:rPr>
          <w:rFonts w:ascii="Times New Roman" w:eastAsia="Calibri" w:hAnsi="Times New Roman" w:cs="Times New Roman"/>
          <w:iCs/>
          <w:color w:val="000000"/>
          <w:sz w:val="24"/>
          <w:szCs w:val="28"/>
        </w:rPr>
        <w:t xml:space="preserve">. </w:t>
      </w:r>
      <w:r w:rsidRPr="00C35167">
        <w:rPr>
          <w:rFonts w:ascii="Times New Roman" w:eastAsia="Calibri" w:hAnsi="Times New Roman" w:cs="Times New Roman"/>
          <w:noProof/>
          <w:color w:val="000000"/>
          <w:sz w:val="24"/>
          <w:szCs w:val="24"/>
        </w:rPr>
        <w:t xml:space="preserve">(опрос населения, % от числа не пользовавшихся данными финансовыми продуктами/услугами, </w:t>
      </w:r>
      <w:r w:rsidRPr="00C35167">
        <w:rPr>
          <w:rFonts w:ascii="Times New Roman" w:eastAsia="Calibri" w:hAnsi="Times New Roman" w:cs="Times New Roman"/>
          <w:noProof/>
          <w:color w:val="000000"/>
          <w:sz w:val="24"/>
          <w:szCs w:val="24"/>
          <w:lang w:val="en-US"/>
        </w:rPr>
        <w:t>n</w:t>
      </w:r>
      <w:r w:rsidRPr="00C35167">
        <w:rPr>
          <w:rFonts w:ascii="Times New Roman" w:eastAsia="Calibri" w:hAnsi="Times New Roman" w:cs="Times New Roman"/>
          <w:noProof/>
          <w:color w:val="000000"/>
          <w:sz w:val="24"/>
          <w:szCs w:val="24"/>
        </w:rPr>
        <w:t xml:space="preserve"> = 625</w:t>
      </w:r>
      <w:r w:rsidRPr="00C35167">
        <w:rPr>
          <w:rFonts w:ascii="Times New Roman" w:eastAsia="Calibri" w:hAnsi="Times New Roman" w:cs="Times New Roman"/>
          <w:color w:val="000000"/>
          <w:sz w:val="24"/>
          <w:szCs w:val="24"/>
        </w:rPr>
        <w:t>)</w:t>
      </w:r>
    </w:p>
    <w:tbl>
      <w:tblPr>
        <w:tblW w:w="50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8"/>
        <w:gridCol w:w="878"/>
        <w:gridCol w:w="1075"/>
        <w:gridCol w:w="1073"/>
        <w:gridCol w:w="1075"/>
        <w:gridCol w:w="1075"/>
        <w:gridCol w:w="1179"/>
        <w:gridCol w:w="967"/>
        <w:gridCol w:w="1079"/>
      </w:tblGrid>
      <w:tr w:rsidR="00C35167" w:rsidRPr="00C35167" w:rsidTr="003B4122">
        <w:trPr>
          <w:cantSplit/>
          <w:trHeight w:val="2286"/>
          <w:tblHeader/>
        </w:trPr>
        <w:tc>
          <w:tcPr>
            <w:tcW w:w="968" w:type="pct"/>
            <w:tcBorders>
              <w:bottom w:val="single" w:sz="4" w:space="0" w:color="auto"/>
            </w:tcBorders>
            <w:shd w:val="clear" w:color="auto" w:fill="auto"/>
            <w:noWrap/>
            <w:vAlign w:val="center"/>
          </w:tcPr>
          <w:p w:rsidR="00C35167" w:rsidRPr="0088268B" w:rsidRDefault="00C35167" w:rsidP="00C35167">
            <w:pPr>
              <w:spacing w:after="0" w:line="240" w:lineRule="auto"/>
              <w:jc w:val="center"/>
              <w:rPr>
                <w:rFonts w:ascii="Times New Roman" w:eastAsia="Times New Roman" w:hAnsi="Times New Roman" w:cs="Times New Roman"/>
                <w:color w:val="000000"/>
                <w:lang w:eastAsia="ru-RU"/>
              </w:rPr>
            </w:pPr>
          </w:p>
        </w:tc>
        <w:tc>
          <w:tcPr>
            <w:tcW w:w="421" w:type="pct"/>
            <w:tcBorders>
              <w:bottom w:val="single" w:sz="4" w:space="0" w:color="auto"/>
            </w:tcBorders>
            <w:shd w:val="clear" w:color="auto" w:fill="auto"/>
            <w:textDirection w:val="btLr"/>
            <w:vAlign w:val="center"/>
          </w:tcPr>
          <w:p w:rsidR="00C35167" w:rsidRPr="0088268B"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88268B">
              <w:rPr>
                <w:rFonts w:ascii="Times New Roman" w:eastAsia="Calibri" w:hAnsi="Times New Roman" w:cs="Times New Roman"/>
                <w:b/>
                <w:color w:val="000000"/>
              </w:rPr>
              <w:t>В целом по области</w:t>
            </w:r>
          </w:p>
        </w:tc>
        <w:tc>
          <w:tcPr>
            <w:tcW w:w="516" w:type="pct"/>
            <w:tcBorders>
              <w:bottom w:val="single" w:sz="4" w:space="0" w:color="auto"/>
            </w:tcBorders>
            <w:shd w:val="clear" w:color="auto" w:fill="auto"/>
            <w:textDirection w:val="btLr"/>
          </w:tcPr>
          <w:p w:rsidR="00C35167" w:rsidRPr="0088268B"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88268B">
              <w:rPr>
                <w:rFonts w:ascii="Times New Roman" w:eastAsia="Calibri" w:hAnsi="Times New Roman" w:cs="Times New Roman"/>
                <w:b/>
                <w:bCs/>
                <w:color w:val="000000"/>
              </w:rPr>
              <w:t>Работаю</w:t>
            </w:r>
          </w:p>
        </w:tc>
        <w:tc>
          <w:tcPr>
            <w:tcW w:w="515" w:type="pct"/>
            <w:tcBorders>
              <w:bottom w:val="single" w:sz="4" w:space="0" w:color="auto"/>
            </w:tcBorders>
            <w:shd w:val="clear" w:color="auto" w:fill="auto"/>
            <w:textDirection w:val="btLr"/>
          </w:tcPr>
          <w:p w:rsidR="00C35167" w:rsidRPr="0088268B"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88268B">
              <w:rPr>
                <w:rFonts w:ascii="Times New Roman" w:eastAsia="Calibri" w:hAnsi="Times New Roman" w:cs="Times New Roman"/>
                <w:b/>
                <w:bCs/>
                <w:color w:val="000000"/>
              </w:rPr>
              <w:t>Безработный</w:t>
            </w:r>
          </w:p>
        </w:tc>
        <w:tc>
          <w:tcPr>
            <w:tcW w:w="516" w:type="pct"/>
            <w:tcBorders>
              <w:bottom w:val="single" w:sz="4" w:space="0" w:color="auto"/>
            </w:tcBorders>
            <w:shd w:val="clear" w:color="auto" w:fill="auto"/>
            <w:textDirection w:val="btLr"/>
          </w:tcPr>
          <w:p w:rsidR="00C35167" w:rsidRPr="0088268B"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88268B">
              <w:rPr>
                <w:rFonts w:ascii="Times New Roman" w:eastAsia="Calibri" w:hAnsi="Times New Roman" w:cs="Times New Roman"/>
                <w:b/>
                <w:bCs/>
                <w:color w:val="000000"/>
              </w:rPr>
              <w:t>Учусь/студент</w:t>
            </w:r>
          </w:p>
        </w:tc>
        <w:tc>
          <w:tcPr>
            <w:tcW w:w="516" w:type="pct"/>
            <w:tcBorders>
              <w:bottom w:val="single" w:sz="4" w:space="0" w:color="auto"/>
            </w:tcBorders>
            <w:shd w:val="clear" w:color="auto" w:fill="auto"/>
            <w:textDirection w:val="btLr"/>
          </w:tcPr>
          <w:p w:rsidR="00C35167" w:rsidRPr="0088268B"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88268B">
              <w:rPr>
                <w:rFonts w:ascii="Times New Roman" w:eastAsia="Calibri" w:hAnsi="Times New Roman" w:cs="Times New Roman"/>
                <w:b/>
                <w:bCs/>
                <w:color w:val="000000"/>
              </w:rPr>
              <w:t>Домохозяйка (домохозяин)</w:t>
            </w:r>
          </w:p>
        </w:tc>
        <w:tc>
          <w:tcPr>
            <w:tcW w:w="566" w:type="pct"/>
            <w:tcBorders>
              <w:bottom w:val="single" w:sz="4" w:space="0" w:color="auto"/>
            </w:tcBorders>
            <w:shd w:val="clear" w:color="auto" w:fill="auto"/>
            <w:textDirection w:val="btLr"/>
          </w:tcPr>
          <w:p w:rsidR="00C35167" w:rsidRPr="0088268B"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88268B">
              <w:rPr>
                <w:rFonts w:ascii="Times New Roman" w:eastAsia="Calibri" w:hAnsi="Times New Roman" w:cs="Times New Roman"/>
                <w:b/>
                <w:bCs/>
                <w:color w:val="000000"/>
              </w:rPr>
              <w:t>Пенсионер (в т.ч. по инвалидности)</w:t>
            </w:r>
          </w:p>
        </w:tc>
        <w:tc>
          <w:tcPr>
            <w:tcW w:w="464" w:type="pct"/>
            <w:tcBorders>
              <w:bottom w:val="single" w:sz="4" w:space="0" w:color="auto"/>
            </w:tcBorders>
            <w:shd w:val="clear" w:color="auto" w:fill="auto"/>
            <w:textDirection w:val="btLr"/>
          </w:tcPr>
          <w:p w:rsidR="00C35167" w:rsidRPr="0088268B"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88268B">
              <w:rPr>
                <w:rFonts w:ascii="Times New Roman" w:eastAsia="Calibri" w:hAnsi="Times New Roman" w:cs="Times New Roman"/>
                <w:b/>
                <w:bCs/>
                <w:color w:val="000000"/>
              </w:rPr>
              <w:t>Самозанятый</w:t>
            </w:r>
          </w:p>
        </w:tc>
        <w:tc>
          <w:tcPr>
            <w:tcW w:w="518" w:type="pct"/>
            <w:tcBorders>
              <w:bottom w:val="single" w:sz="4" w:space="0" w:color="auto"/>
            </w:tcBorders>
            <w:shd w:val="clear" w:color="auto" w:fill="auto"/>
            <w:textDirection w:val="btLr"/>
          </w:tcPr>
          <w:p w:rsidR="00C35167" w:rsidRPr="0088268B" w:rsidRDefault="00C35167" w:rsidP="00C35167">
            <w:pPr>
              <w:spacing w:after="0" w:line="240" w:lineRule="auto"/>
              <w:ind w:left="113" w:right="113"/>
              <w:jc w:val="center"/>
              <w:rPr>
                <w:rFonts w:ascii="Times New Roman" w:eastAsia="Times New Roman" w:hAnsi="Times New Roman" w:cs="Times New Roman"/>
                <w:b/>
                <w:bCs/>
                <w:color w:val="000000"/>
                <w:lang w:eastAsia="ru-RU"/>
              </w:rPr>
            </w:pPr>
            <w:r w:rsidRPr="0088268B">
              <w:rPr>
                <w:rFonts w:ascii="Times New Roman" w:eastAsia="Calibri" w:hAnsi="Times New Roman" w:cs="Times New Roman"/>
                <w:b/>
                <w:bCs/>
                <w:color w:val="000000"/>
              </w:rPr>
              <w:t>Предприниматель</w:t>
            </w:r>
          </w:p>
        </w:tc>
      </w:tr>
      <w:tr w:rsidR="00C35167" w:rsidRPr="00C35167" w:rsidTr="003A1D5A">
        <w:trPr>
          <w:trHeight w:val="6"/>
        </w:trPr>
        <w:tc>
          <w:tcPr>
            <w:tcW w:w="968" w:type="pct"/>
            <w:tcBorders>
              <w:top w:val="single" w:sz="4" w:space="0" w:color="auto"/>
              <w:left w:val="single" w:sz="8" w:space="0" w:color="auto"/>
              <w:bottom w:val="nil"/>
              <w:right w:val="nil"/>
            </w:tcBorders>
            <w:shd w:val="clear" w:color="auto" w:fill="auto"/>
            <w:vAlign w:val="center"/>
          </w:tcPr>
          <w:p w:rsidR="00C35167" w:rsidRPr="0088268B" w:rsidRDefault="00C35167" w:rsidP="00C35167">
            <w:pPr>
              <w:spacing w:after="0" w:line="240" w:lineRule="auto"/>
              <w:rPr>
                <w:rFonts w:ascii="Times New Roman" w:eastAsia="Times New Roman" w:hAnsi="Times New Roman" w:cs="Times New Roman"/>
                <w:b/>
                <w:color w:val="000000"/>
                <w:lang w:eastAsia="ru-RU"/>
              </w:rPr>
            </w:pPr>
            <w:r w:rsidRPr="0088268B">
              <w:rPr>
                <w:rFonts w:ascii="Times New Roman" w:eastAsia="Calibri" w:hAnsi="Times New Roman" w:cs="Times New Roman"/>
                <w:color w:val="000000"/>
              </w:rPr>
              <w:t>Не вижу смысла в страховании</w:t>
            </w:r>
          </w:p>
        </w:tc>
        <w:tc>
          <w:tcPr>
            <w:tcW w:w="421" w:type="pct"/>
            <w:tcBorders>
              <w:top w:val="single" w:sz="4" w:space="0" w:color="auto"/>
              <w:left w:val="single" w:sz="8" w:space="0" w:color="auto"/>
              <w:bottom w:val="nil"/>
              <w:right w:val="nil"/>
            </w:tcBorders>
            <w:shd w:val="clear" w:color="auto" w:fill="auto"/>
            <w:vAlign w:val="center"/>
          </w:tcPr>
          <w:p w:rsidR="00C35167" w:rsidRPr="0088268B" w:rsidRDefault="00C35167" w:rsidP="00C35167">
            <w:pPr>
              <w:spacing w:after="0" w:line="240" w:lineRule="auto"/>
              <w:jc w:val="center"/>
              <w:rPr>
                <w:rFonts w:ascii="Times New Roman" w:eastAsia="Calibri" w:hAnsi="Times New Roman" w:cs="Times New Roman"/>
                <w:b/>
                <w:bCs/>
                <w:color w:val="000000"/>
              </w:rPr>
            </w:pPr>
            <w:r w:rsidRPr="0088268B">
              <w:rPr>
                <w:rFonts w:ascii="Times New Roman" w:eastAsia="Calibri" w:hAnsi="Times New Roman" w:cs="Times New Roman"/>
                <w:b/>
                <w:bCs/>
                <w:color w:val="000000"/>
              </w:rPr>
              <w:t>57%</w:t>
            </w:r>
          </w:p>
        </w:tc>
        <w:tc>
          <w:tcPr>
            <w:tcW w:w="516" w:type="pct"/>
            <w:tcBorders>
              <w:top w:val="single" w:sz="4" w:space="0" w:color="auto"/>
              <w:left w:val="single" w:sz="8" w:space="0" w:color="auto"/>
              <w:bottom w:val="nil"/>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52%</w:t>
            </w:r>
          </w:p>
        </w:tc>
        <w:tc>
          <w:tcPr>
            <w:tcW w:w="515" w:type="pct"/>
            <w:tcBorders>
              <w:top w:val="single" w:sz="4" w:space="0" w:color="auto"/>
              <w:left w:val="nil"/>
              <w:bottom w:val="nil"/>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59%</w:t>
            </w:r>
          </w:p>
        </w:tc>
        <w:tc>
          <w:tcPr>
            <w:tcW w:w="516" w:type="pct"/>
            <w:tcBorders>
              <w:top w:val="single" w:sz="4" w:space="0" w:color="auto"/>
              <w:left w:val="nil"/>
              <w:bottom w:val="nil"/>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49%</w:t>
            </w:r>
          </w:p>
        </w:tc>
        <w:tc>
          <w:tcPr>
            <w:tcW w:w="516" w:type="pct"/>
            <w:tcBorders>
              <w:top w:val="single" w:sz="4" w:space="0" w:color="auto"/>
              <w:left w:val="nil"/>
              <w:bottom w:val="nil"/>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48%</w:t>
            </w:r>
          </w:p>
        </w:tc>
        <w:tc>
          <w:tcPr>
            <w:tcW w:w="566" w:type="pct"/>
            <w:tcBorders>
              <w:top w:val="single" w:sz="4" w:space="0" w:color="auto"/>
              <w:left w:val="nil"/>
              <w:bottom w:val="nil"/>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60%</w:t>
            </w:r>
          </w:p>
        </w:tc>
        <w:tc>
          <w:tcPr>
            <w:tcW w:w="464" w:type="pct"/>
            <w:tcBorders>
              <w:top w:val="single" w:sz="4" w:space="0" w:color="auto"/>
              <w:left w:val="nil"/>
              <w:bottom w:val="nil"/>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85%</w:t>
            </w:r>
          </w:p>
        </w:tc>
        <w:tc>
          <w:tcPr>
            <w:tcW w:w="518" w:type="pct"/>
            <w:tcBorders>
              <w:top w:val="single" w:sz="4" w:space="0" w:color="auto"/>
              <w:left w:val="nil"/>
              <w:bottom w:val="nil"/>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94%</w:t>
            </w:r>
          </w:p>
        </w:tc>
      </w:tr>
      <w:tr w:rsidR="00C35167" w:rsidRPr="00C35167" w:rsidTr="003A1D5A">
        <w:trPr>
          <w:trHeight w:val="6"/>
        </w:trPr>
        <w:tc>
          <w:tcPr>
            <w:tcW w:w="968" w:type="pct"/>
            <w:tcBorders>
              <w:top w:val="single" w:sz="4" w:space="0" w:color="auto"/>
              <w:left w:val="single" w:sz="8" w:space="0" w:color="auto"/>
              <w:bottom w:val="nil"/>
              <w:right w:val="nil"/>
            </w:tcBorders>
            <w:shd w:val="clear" w:color="auto" w:fill="auto"/>
            <w:vAlign w:val="center"/>
          </w:tcPr>
          <w:p w:rsidR="00C35167" w:rsidRPr="0088268B" w:rsidRDefault="00C35167" w:rsidP="00C35167">
            <w:pPr>
              <w:spacing w:after="0" w:line="240" w:lineRule="auto"/>
              <w:rPr>
                <w:rFonts w:ascii="Times New Roman" w:eastAsia="Times New Roman" w:hAnsi="Times New Roman" w:cs="Times New Roman"/>
                <w:b/>
                <w:color w:val="000000"/>
                <w:lang w:eastAsia="ru-RU"/>
              </w:rPr>
            </w:pPr>
            <w:r w:rsidRPr="0088268B">
              <w:rPr>
                <w:rFonts w:ascii="Times New Roman" w:eastAsia="Calibri" w:hAnsi="Times New Roman" w:cs="Times New Roman"/>
                <w:color w:val="000000"/>
              </w:rPr>
              <w:t>Я не доверяю страховым организациям</w:t>
            </w:r>
          </w:p>
        </w:tc>
        <w:tc>
          <w:tcPr>
            <w:tcW w:w="421" w:type="pct"/>
            <w:tcBorders>
              <w:top w:val="single" w:sz="4" w:space="0" w:color="auto"/>
              <w:left w:val="single" w:sz="8" w:space="0" w:color="auto"/>
              <w:bottom w:val="nil"/>
              <w:right w:val="nil"/>
            </w:tcBorders>
            <w:shd w:val="clear" w:color="auto" w:fill="auto"/>
            <w:vAlign w:val="center"/>
          </w:tcPr>
          <w:p w:rsidR="00C35167" w:rsidRPr="0088268B" w:rsidRDefault="00C35167" w:rsidP="00C35167">
            <w:pPr>
              <w:spacing w:after="0" w:line="240" w:lineRule="auto"/>
              <w:jc w:val="center"/>
              <w:rPr>
                <w:rFonts w:ascii="Times New Roman" w:eastAsia="Calibri" w:hAnsi="Times New Roman" w:cs="Times New Roman"/>
                <w:b/>
                <w:bCs/>
                <w:color w:val="000000"/>
              </w:rPr>
            </w:pPr>
            <w:r w:rsidRPr="0088268B">
              <w:rPr>
                <w:rFonts w:ascii="Times New Roman" w:eastAsia="Calibri" w:hAnsi="Times New Roman" w:cs="Times New Roman"/>
                <w:b/>
                <w:bCs/>
                <w:color w:val="000000"/>
              </w:rPr>
              <w:t>27%</w:t>
            </w:r>
          </w:p>
        </w:tc>
        <w:tc>
          <w:tcPr>
            <w:tcW w:w="516" w:type="pct"/>
            <w:tcBorders>
              <w:top w:val="single" w:sz="4" w:space="0" w:color="auto"/>
              <w:left w:val="single" w:sz="8" w:space="0" w:color="auto"/>
              <w:bottom w:val="nil"/>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30%</w:t>
            </w:r>
          </w:p>
        </w:tc>
        <w:tc>
          <w:tcPr>
            <w:tcW w:w="515" w:type="pct"/>
            <w:tcBorders>
              <w:top w:val="single" w:sz="4" w:space="0" w:color="auto"/>
              <w:left w:val="nil"/>
              <w:bottom w:val="nil"/>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20%</w:t>
            </w:r>
          </w:p>
        </w:tc>
        <w:tc>
          <w:tcPr>
            <w:tcW w:w="516" w:type="pct"/>
            <w:tcBorders>
              <w:top w:val="single" w:sz="4" w:space="0" w:color="auto"/>
              <w:left w:val="nil"/>
              <w:bottom w:val="nil"/>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19%</w:t>
            </w:r>
          </w:p>
        </w:tc>
        <w:tc>
          <w:tcPr>
            <w:tcW w:w="516" w:type="pct"/>
            <w:tcBorders>
              <w:top w:val="single" w:sz="4" w:space="0" w:color="auto"/>
              <w:left w:val="nil"/>
              <w:bottom w:val="nil"/>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22%</w:t>
            </w:r>
          </w:p>
        </w:tc>
        <w:tc>
          <w:tcPr>
            <w:tcW w:w="566" w:type="pct"/>
            <w:tcBorders>
              <w:top w:val="single" w:sz="4" w:space="0" w:color="auto"/>
              <w:left w:val="nil"/>
              <w:bottom w:val="nil"/>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31%</w:t>
            </w:r>
          </w:p>
        </w:tc>
        <w:tc>
          <w:tcPr>
            <w:tcW w:w="464" w:type="pct"/>
            <w:tcBorders>
              <w:top w:val="single" w:sz="4" w:space="0" w:color="auto"/>
              <w:left w:val="nil"/>
              <w:bottom w:val="nil"/>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19%</w:t>
            </w:r>
          </w:p>
        </w:tc>
        <w:tc>
          <w:tcPr>
            <w:tcW w:w="518" w:type="pct"/>
            <w:tcBorders>
              <w:top w:val="single" w:sz="4" w:space="0" w:color="auto"/>
              <w:left w:val="nil"/>
              <w:bottom w:val="nil"/>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6%</w:t>
            </w:r>
          </w:p>
        </w:tc>
      </w:tr>
      <w:tr w:rsidR="00C35167" w:rsidRPr="00C35167" w:rsidTr="003A1D5A">
        <w:trPr>
          <w:trHeight w:val="6"/>
        </w:trPr>
        <w:tc>
          <w:tcPr>
            <w:tcW w:w="968" w:type="pct"/>
            <w:tcBorders>
              <w:top w:val="single" w:sz="4" w:space="0" w:color="auto"/>
              <w:left w:val="single" w:sz="8" w:space="0" w:color="auto"/>
              <w:bottom w:val="single" w:sz="4" w:space="0" w:color="auto"/>
              <w:right w:val="nil"/>
            </w:tcBorders>
            <w:shd w:val="clear" w:color="auto" w:fill="auto"/>
            <w:vAlign w:val="center"/>
          </w:tcPr>
          <w:p w:rsidR="00C35167" w:rsidRPr="0088268B" w:rsidRDefault="00C35167" w:rsidP="00C35167">
            <w:pPr>
              <w:spacing w:after="0" w:line="240" w:lineRule="auto"/>
              <w:rPr>
                <w:rFonts w:ascii="Times New Roman" w:eastAsia="Times New Roman" w:hAnsi="Times New Roman" w:cs="Times New Roman"/>
                <w:b/>
                <w:color w:val="000000"/>
                <w:lang w:eastAsia="ru-RU"/>
              </w:rPr>
            </w:pPr>
            <w:r w:rsidRPr="0088268B">
              <w:rPr>
                <w:rFonts w:ascii="Times New Roman" w:eastAsia="Calibri" w:hAnsi="Times New Roman" w:cs="Times New Roman"/>
                <w:color w:val="000000"/>
              </w:rPr>
              <w:t>Стоимость страхового полиса слишком высокая</w:t>
            </w:r>
          </w:p>
        </w:tc>
        <w:tc>
          <w:tcPr>
            <w:tcW w:w="421" w:type="pct"/>
            <w:tcBorders>
              <w:top w:val="single" w:sz="4" w:space="0" w:color="auto"/>
              <w:left w:val="single" w:sz="8" w:space="0" w:color="auto"/>
              <w:bottom w:val="single" w:sz="4" w:space="0" w:color="auto"/>
              <w:right w:val="nil"/>
            </w:tcBorders>
            <w:shd w:val="clear" w:color="auto" w:fill="auto"/>
            <w:vAlign w:val="center"/>
          </w:tcPr>
          <w:p w:rsidR="00C35167" w:rsidRPr="0088268B" w:rsidRDefault="00C35167" w:rsidP="00C35167">
            <w:pPr>
              <w:spacing w:after="0" w:line="240" w:lineRule="auto"/>
              <w:jc w:val="center"/>
              <w:rPr>
                <w:rFonts w:ascii="Times New Roman" w:eastAsia="Calibri" w:hAnsi="Times New Roman" w:cs="Times New Roman"/>
                <w:b/>
                <w:bCs/>
                <w:color w:val="000000"/>
              </w:rPr>
            </w:pPr>
            <w:r w:rsidRPr="0088268B">
              <w:rPr>
                <w:rFonts w:ascii="Times New Roman" w:eastAsia="Calibri" w:hAnsi="Times New Roman" w:cs="Times New Roman"/>
                <w:b/>
                <w:bCs/>
                <w:color w:val="000000"/>
              </w:rPr>
              <w:t>27%</w:t>
            </w:r>
          </w:p>
        </w:tc>
        <w:tc>
          <w:tcPr>
            <w:tcW w:w="516" w:type="pct"/>
            <w:tcBorders>
              <w:top w:val="single" w:sz="4" w:space="0" w:color="auto"/>
              <w:left w:val="single" w:sz="8"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30%</w:t>
            </w:r>
          </w:p>
        </w:tc>
        <w:tc>
          <w:tcPr>
            <w:tcW w:w="515" w:type="pct"/>
            <w:tcBorders>
              <w:top w:val="single" w:sz="4" w:space="0" w:color="auto"/>
              <w:left w:val="nil"/>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24%</w:t>
            </w:r>
          </w:p>
        </w:tc>
        <w:tc>
          <w:tcPr>
            <w:tcW w:w="516" w:type="pct"/>
            <w:tcBorders>
              <w:top w:val="single" w:sz="4" w:space="0" w:color="auto"/>
              <w:left w:val="nil"/>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16%</w:t>
            </w:r>
          </w:p>
        </w:tc>
        <w:tc>
          <w:tcPr>
            <w:tcW w:w="516" w:type="pct"/>
            <w:tcBorders>
              <w:top w:val="single" w:sz="4" w:space="0" w:color="auto"/>
              <w:left w:val="nil"/>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29%</w:t>
            </w:r>
          </w:p>
        </w:tc>
        <w:tc>
          <w:tcPr>
            <w:tcW w:w="566" w:type="pct"/>
            <w:tcBorders>
              <w:top w:val="single" w:sz="4" w:space="0" w:color="auto"/>
              <w:left w:val="nil"/>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29%</w:t>
            </w:r>
          </w:p>
        </w:tc>
        <w:tc>
          <w:tcPr>
            <w:tcW w:w="464" w:type="pct"/>
            <w:tcBorders>
              <w:top w:val="single" w:sz="4" w:space="0" w:color="auto"/>
              <w:left w:val="nil"/>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13%</w:t>
            </w:r>
          </w:p>
        </w:tc>
        <w:tc>
          <w:tcPr>
            <w:tcW w:w="518" w:type="pct"/>
            <w:tcBorders>
              <w:top w:val="single" w:sz="4" w:space="0" w:color="auto"/>
              <w:left w:val="nil"/>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6%</w:t>
            </w:r>
          </w:p>
        </w:tc>
      </w:tr>
      <w:tr w:rsidR="00C35167" w:rsidRPr="00C35167" w:rsidTr="003A1D5A">
        <w:trPr>
          <w:trHeight w:val="6"/>
        </w:trPr>
        <w:tc>
          <w:tcPr>
            <w:tcW w:w="968"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rPr>
                <w:rFonts w:ascii="Times New Roman" w:eastAsia="Times New Roman" w:hAnsi="Times New Roman" w:cs="Times New Roman"/>
                <w:b/>
                <w:color w:val="000000"/>
                <w:lang w:eastAsia="ru-RU"/>
              </w:rPr>
            </w:pPr>
            <w:r w:rsidRPr="0088268B">
              <w:rPr>
                <w:rFonts w:ascii="Times New Roman" w:eastAsia="Calibri" w:hAnsi="Times New Roman" w:cs="Times New Roman"/>
                <w:color w:val="000000"/>
              </w:rPr>
              <w:t>Другие невыгодные условия страхового договора</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jc w:val="center"/>
              <w:rPr>
                <w:rFonts w:ascii="Times New Roman" w:eastAsia="Calibri" w:hAnsi="Times New Roman" w:cs="Times New Roman"/>
                <w:b/>
                <w:bCs/>
                <w:color w:val="000000"/>
              </w:rPr>
            </w:pPr>
            <w:r w:rsidRPr="0088268B">
              <w:rPr>
                <w:rFonts w:ascii="Times New Roman" w:eastAsia="Calibri" w:hAnsi="Times New Roman" w:cs="Times New Roman"/>
                <w:b/>
                <w:bCs/>
                <w:color w:val="000000"/>
              </w:rPr>
              <w:t>8%</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8%</w:t>
            </w:r>
          </w:p>
        </w:tc>
        <w:tc>
          <w:tcPr>
            <w:tcW w:w="515"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7%</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13%</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4%</w:t>
            </w:r>
          </w:p>
        </w:tc>
        <w:tc>
          <w:tcPr>
            <w:tcW w:w="56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8%</w:t>
            </w:r>
          </w:p>
        </w:tc>
        <w:tc>
          <w:tcPr>
            <w:tcW w:w="464"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8%</w:t>
            </w:r>
          </w:p>
        </w:tc>
        <w:tc>
          <w:tcPr>
            <w:tcW w:w="518"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 </w:t>
            </w:r>
          </w:p>
        </w:tc>
      </w:tr>
      <w:tr w:rsidR="00C35167" w:rsidRPr="00C35167" w:rsidTr="003A1D5A">
        <w:trPr>
          <w:trHeight w:val="6"/>
        </w:trPr>
        <w:tc>
          <w:tcPr>
            <w:tcW w:w="968"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rPr>
                <w:rFonts w:ascii="Times New Roman" w:eastAsia="Times New Roman" w:hAnsi="Times New Roman" w:cs="Times New Roman"/>
                <w:b/>
                <w:color w:val="000000"/>
                <w:lang w:eastAsia="ru-RU"/>
              </w:rPr>
            </w:pPr>
            <w:r w:rsidRPr="0088268B">
              <w:rPr>
                <w:rFonts w:ascii="Times New Roman" w:eastAsia="Calibri" w:hAnsi="Times New Roman" w:cs="Times New Roman"/>
                <w:color w:val="000000"/>
              </w:rPr>
              <w:t>Договор добровольного страхования есть у других членов моей семьи</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jc w:val="center"/>
              <w:rPr>
                <w:rFonts w:ascii="Times New Roman" w:eastAsia="Calibri" w:hAnsi="Times New Roman" w:cs="Times New Roman"/>
                <w:b/>
                <w:bCs/>
                <w:color w:val="000000"/>
              </w:rPr>
            </w:pPr>
            <w:r w:rsidRPr="0088268B">
              <w:rPr>
                <w:rFonts w:ascii="Times New Roman" w:eastAsia="Calibri" w:hAnsi="Times New Roman" w:cs="Times New Roman"/>
                <w:b/>
                <w:bCs/>
                <w:color w:val="000000"/>
              </w:rPr>
              <w:t>5%</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4%</w:t>
            </w:r>
          </w:p>
        </w:tc>
        <w:tc>
          <w:tcPr>
            <w:tcW w:w="515"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8%</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11%</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16%</w:t>
            </w:r>
          </w:p>
        </w:tc>
        <w:tc>
          <w:tcPr>
            <w:tcW w:w="56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3%</w:t>
            </w:r>
          </w:p>
        </w:tc>
        <w:tc>
          <w:tcPr>
            <w:tcW w:w="464"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5%</w:t>
            </w:r>
          </w:p>
        </w:tc>
        <w:tc>
          <w:tcPr>
            <w:tcW w:w="518"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 </w:t>
            </w:r>
          </w:p>
        </w:tc>
      </w:tr>
      <w:tr w:rsidR="00C35167" w:rsidRPr="00C35167" w:rsidTr="003A1D5A">
        <w:trPr>
          <w:trHeight w:val="6"/>
        </w:trPr>
        <w:tc>
          <w:tcPr>
            <w:tcW w:w="968"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rPr>
                <w:rFonts w:ascii="Times New Roman" w:eastAsia="Times New Roman" w:hAnsi="Times New Roman" w:cs="Times New Roman"/>
                <w:b/>
                <w:color w:val="000000"/>
                <w:lang w:eastAsia="ru-RU"/>
              </w:rPr>
            </w:pPr>
            <w:r w:rsidRPr="0088268B">
              <w:rPr>
                <w:rFonts w:ascii="Times New Roman" w:eastAsia="Calibri" w:hAnsi="Times New Roman" w:cs="Times New Roman"/>
                <w:color w:val="000000"/>
              </w:rPr>
              <w:t>Отделения страховых организаций находятся слишком далеко от меня</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jc w:val="center"/>
              <w:rPr>
                <w:rFonts w:ascii="Times New Roman" w:eastAsia="Calibri" w:hAnsi="Times New Roman" w:cs="Times New Roman"/>
                <w:b/>
                <w:bCs/>
                <w:color w:val="000000"/>
              </w:rPr>
            </w:pPr>
            <w:r w:rsidRPr="0088268B">
              <w:rPr>
                <w:rFonts w:ascii="Times New Roman" w:eastAsia="Calibri" w:hAnsi="Times New Roman" w:cs="Times New Roman"/>
                <w:b/>
                <w:bCs/>
                <w:color w:val="000000"/>
              </w:rPr>
              <w:t>3%</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2%</w:t>
            </w:r>
          </w:p>
        </w:tc>
        <w:tc>
          <w:tcPr>
            <w:tcW w:w="515"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5%</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10%</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 </w:t>
            </w:r>
          </w:p>
        </w:tc>
        <w:tc>
          <w:tcPr>
            <w:tcW w:w="56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3%</w:t>
            </w:r>
          </w:p>
        </w:tc>
        <w:tc>
          <w:tcPr>
            <w:tcW w:w="464"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3%</w:t>
            </w:r>
          </w:p>
        </w:tc>
        <w:tc>
          <w:tcPr>
            <w:tcW w:w="518"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 </w:t>
            </w:r>
          </w:p>
        </w:tc>
      </w:tr>
      <w:tr w:rsidR="00C35167" w:rsidRPr="00C35167" w:rsidTr="003A1D5A">
        <w:trPr>
          <w:trHeight w:val="6"/>
        </w:trPr>
        <w:tc>
          <w:tcPr>
            <w:tcW w:w="968"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rPr>
                <w:rFonts w:ascii="Times New Roman" w:eastAsia="Times New Roman" w:hAnsi="Times New Roman" w:cs="Times New Roman"/>
                <w:b/>
                <w:color w:val="000000"/>
                <w:lang w:eastAsia="ru-RU"/>
              </w:rPr>
            </w:pPr>
            <w:r w:rsidRPr="0088268B">
              <w:rPr>
                <w:rFonts w:ascii="Times New Roman" w:eastAsia="Calibri" w:hAnsi="Times New Roman" w:cs="Times New Roman"/>
                <w:color w:val="000000"/>
              </w:rPr>
              <w:t>Иное</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C35167" w:rsidRPr="0088268B" w:rsidRDefault="00C35167" w:rsidP="00C35167">
            <w:pPr>
              <w:spacing w:after="0" w:line="240" w:lineRule="auto"/>
              <w:jc w:val="center"/>
              <w:rPr>
                <w:rFonts w:ascii="Times New Roman" w:eastAsia="Calibri" w:hAnsi="Times New Roman" w:cs="Times New Roman"/>
                <w:b/>
                <w:bCs/>
                <w:color w:val="000000"/>
              </w:rPr>
            </w:pPr>
            <w:r w:rsidRPr="0088268B">
              <w:rPr>
                <w:rFonts w:ascii="Times New Roman" w:eastAsia="Calibri" w:hAnsi="Times New Roman" w:cs="Times New Roman"/>
                <w:b/>
                <w:bCs/>
                <w:color w:val="000000"/>
              </w:rPr>
              <w:t>1%</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1%</w:t>
            </w:r>
          </w:p>
        </w:tc>
        <w:tc>
          <w:tcPr>
            <w:tcW w:w="515"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1%</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3%</w:t>
            </w: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b/>
                <w:bCs/>
                <w:color w:val="000000"/>
              </w:rPr>
              <w:t> </w:t>
            </w:r>
          </w:p>
        </w:tc>
        <w:tc>
          <w:tcPr>
            <w:tcW w:w="566"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b/>
                <w:bCs/>
                <w:color w:val="000000"/>
              </w:rPr>
              <w:t> </w:t>
            </w:r>
          </w:p>
        </w:tc>
        <w:tc>
          <w:tcPr>
            <w:tcW w:w="464"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b/>
                <w:bCs/>
                <w:color w:val="000000"/>
              </w:rPr>
              <w:t> </w:t>
            </w:r>
          </w:p>
        </w:tc>
        <w:tc>
          <w:tcPr>
            <w:tcW w:w="518" w:type="pct"/>
            <w:tcBorders>
              <w:top w:val="single" w:sz="4" w:space="0" w:color="auto"/>
              <w:left w:val="single" w:sz="4" w:space="0" w:color="auto"/>
              <w:bottom w:val="single" w:sz="4" w:space="0" w:color="auto"/>
              <w:right w:val="single" w:sz="4" w:space="0" w:color="auto"/>
            </w:tcBorders>
            <w:shd w:val="clear" w:color="000000" w:fill="FFFFFF"/>
            <w:vAlign w:val="center"/>
          </w:tcPr>
          <w:p w:rsidR="00C35167" w:rsidRPr="0088268B" w:rsidRDefault="00C35167" w:rsidP="00C35167">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 </w:t>
            </w:r>
          </w:p>
        </w:tc>
      </w:tr>
    </w:tbl>
    <w:p w:rsidR="00C35167" w:rsidRPr="00C35167" w:rsidRDefault="00C35167" w:rsidP="00C35167">
      <w:pPr>
        <w:spacing w:after="160" w:line="259" w:lineRule="auto"/>
        <w:rPr>
          <w:rFonts w:ascii="Times New Roman" w:eastAsia="Calibri" w:hAnsi="Times New Roman" w:cs="Times New Roman"/>
          <w:color w:val="000000"/>
        </w:rPr>
      </w:pPr>
    </w:p>
    <w:p w:rsidR="00C35167" w:rsidRPr="00B6184B" w:rsidRDefault="00C35167"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B6184B">
        <w:rPr>
          <w:rFonts w:ascii="Times New Roman" w:eastAsia="Times New Roman" w:hAnsi="Times New Roman" w:cs="Times New Roman"/>
          <w:color w:val="000000"/>
          <w:sz w:val="24"/>
          <w:szCs w:val="24"/>
          <w:lang w:eastAsia="ru-RU"/>
        </w:rPr>
        <w:t xml:space="preserve">В разрезе по социальному статусу можно отметить следующие особенности: </w:t>
      </w:r>
    </w:p>
    <w:p w:rsidR="00C35167" w:rsidRPr="00B6184B" w:rsidRDefault="00C35167"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B6184B">
        <w:rPr>
          <w:rFonts w:ascii="Times New Roman" w:eastAsia="Times New Roman" w:hAnsi="Times New Roman" w:cs="Times New Roman"/>
          <w:color w:val="000000"/>
          <w:sz w:val="24"/>
          <w:szCs w:val="24"/>
          <w:lang w:eastAsia="ru-RU"/>
        </w:rPr>
        <w:t>- самозанятые значительно меньше остальных групп испытывают потребность в данной категории финансовых услуг (85% против 57% по региону), при этом они реже обеспокоены высокой ценой страхового полиса (13% против 27%);</w:t>
      </w:r>
    </w:p>
    <w:p w:rsidR="00C35167" w:rsidRPr="00B6184B" w:rsidRDefault="00C35167"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B6184B">
        <w:rPr>
          <w:rFonts w:ascii="Times New Roman" w:eastAsia="Times New Roman" w:hAnsi="Times New Roman" w:cs="Times New Roman"/>
          <w:color w:val="000000"/>
          <w:sz w:val="24"/>
          <w:szCs w:val="24"/>
          <w:lang w:eastAsia="ru-RU"/>
        </w:rPr>
        <w:t>- студенты чаще остальных категорий населения ссылались на невыгодные условия страхового договора (13% против 9%), неудобное расположение страховых организаций (10% против 3%) и наличие страхового полиса у других членов семьи (11% против 5%);</w:t>
      </w:r>
    </w:p>
    <w:p w:rsidR="00C35167" w:rsidRPr="00B6184B" w:rsidRDefault="00C35167"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B6184B">
        <w:rPr>
          <w:rFonts w:ascii="Times New Roman" w:eastAsia="Times New Roman" w:hAnsi="Times New Roman" w:cs="Times New Roman"/>
          <w:color w:val="000000"/>
          <w:sz w:val="24"/>
          <w:szCs w:val="24"/>
          <w:lang w:eastAsia="ru-RU"/>
        </w:rPr>
        <w:t>- чаще, чем в среднем по региону, отмечали наличие страхового полиса у других членов семьи безработные (8% против 5%) и домохозяйки (16% против 5%);</w:t>
      </w:r>
    </w:p>
    <w:p w:rsidR="00C35167" w:rsidRPr="00B6184B" w:rsidRDefault="00C35167"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B6184B">
        <w:rPr>
          <w:rFonts w:ascii="Times New Roman" w:eastAsia="Times New Roman" w:hAnsi="Times New Roman" w:cs="Times New Roman"/>
          <w:color w:val="000000"/>
          <w:sz w:val="24"/>
          <w:szCs w:val="24"/>
          <w:lang w:eastAsia="ru-RU"/>
        </w:rPr>
        <w:t>- у пенсионеров несколько выше средних показателей отсутствие потребности в страховании (60% против 57%), а также доверия к страховым организациям (31% против 27%);</w:t>
      </w:r>
    </w:p>
    <w:p w:rsidR="00C35167" w:rsidRPr="00B6184B" w:rsidRDefault="00C35167"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B6184B">
        <w:rPr>
          <w:rFonts w:ascii="Times New Roman" w:eastAsia="Times New Roman" w:hAnsi="Times New Roman" w:cs="Times New Roman"/>
          <w:color w:val="000000"/>
          <w:sz w:val="24"/>
          <w:szCs w:val="24"/>
          <w:lang w:eastAsia="ru-RU"/>
        </w:rPr>
        <w:t>- работающее население продемонстрировало по данному вопросу показатели на уровне средних данных по региону.</w:t>
      </w:r>
    </w:p>
    <w:p w:rsidR="00C35167" w:rsidRPr="00B6184B" w:rsidRDefault="00C35167" w:rsidP="00C35167">
      <w:pPr>
        <w:keepNext/>
        <w:keepLines/>
        <w:spacing w:before="40" w:after="240" w:line="240" w:lineRule="auto"/>
        <w:jc w:val="center"/>
        <w:outlineLvl w:val="2"/>
        <w:rPr>
          <w:rFonts w:ascii="Times New Roman" w:eastAsia="Arial" w:hAnsi="Times New Roman" w:cs="Times New Roman"/>
          <w:b/>
          <w:color w:val="000000"/>
          <w:sz w:val="24"/>
          <w:szCs w:val="24"/>
          <w:lang w:eastAsia="ru-RU"/>
        </w:rPr>
      </w:pPr>
      <w:bookmarkStart w:id="87" w:name="_Toc119695554"/>
      <w:bookmarkStart w:id="88" w:name="_Toc122720257"/>
      <w:r w:rsidRPr="00B6184B">
        <w:rPr>
          <w:rFonts w:ascii="Times New Roman" w:eastAsia="Arial" w:hAnsi="Times New Roman" w:cs="Times New Roman"/>
          <w:b/>
          <w:color w:val="000000"/>
          <w:sz w:val="24"/>
          <w:szCs w:val="24"/>
          <w:lang w:eastAsia="ru-RU"/>
        </w:rPr>
        <w:t>3.7.4. О</w:t>
      </w:r>
      <w:r w:rsidRPr="00B6184B">
        <w:rPr>
          <w:rFonts w:ascii="Times New Roman" w:eastAsia="Calibri" w:hAnsi="Times New Roman" w:cs="Times New Roman"/>
          <w:b/>
          <w:bCs/>
          <w:color w:val="000000"/>
          <w:sz w:val="24"/>
          <w:szCs w:val="24"/>
          <w:lang w:eastAsia="ru-RU"/>
        </w:rPr>
        <w:t>б уровне финансовых знаний населения Ленинградской области</w:t>
      </w:r>
      <w:bookmarkEnd w:id="87"/>
      <w:bookmarkEnd w:id="88"/>
    </w:p>
    <w:p w:rsidR="00C35167" w:rsidRPr="00B6184B" w:rsidRDefault="00C35167" w:rsidP="00B6184B">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B6184B">
        <w:rPr>
          <w:rFonts w:ascii="Times New Roman" w:eastAsia="Times New Roman" w:hAnsi="Times New Roman" w:cs="Times New Roman"/>
          <w:color w:val="000000"/>
          <w:sz w:val="24"/>
          <w:szCs w:val="24"/>
          <w:lang w:eastAsia="ru-RU"/>
        </w:rPr>
        <w:t>В целях реализации распоряжения Прави</w:t>
      </w:r>
      <w:r w:rsidR="00D55ED4">
        <w:rPr>
          <w:rFonts w:ascii="Times New Roman" w:eastAsia="Times New Roman" w:hAnsi="Times New Roman" w:cs="Times New Roman"/>
          <w:color w:val="000000"/>
          <w:sz w:val="24"/>
          <w:szCs w:val="24"/>
          <w:lang w:eastAsia="ru-RU"/>
        </w:rPr>
        <w:t>тельства от 25.09.2017 №2039-р «</w:t>
      </w:r>
      <w:r w:rsidRPr="00B6184B">
        <w:rPr>
          <w:rFonts w:ascii="Times New Roman" w:eastAsia="Times New Roman" w:hAnsi="Times New Roman" w:cs="Times New Roman"/>
          <w:color w:val="000000"/>
          <w:sz w:val="24"/>
          <w:szCs w:val="24"/>
          <w:lang w:eastAsia="ru-RU"/>
        </w:rPr>
        <w:t>Об утверждении Стратегии повышения финансовой грамотности в Российской Федерации на 2017 - 2023 гг.</w:t>
      </w:r>
      <w:r w:rsidR="00D55ED4">
        <w:rPr>
          <w:rFonts w:ascii="Times New Roman" w:eastAsia="Times New Roman" w:hAnsi="Times New Roman" w:cs="Times New Roman"/>
          <w:color w:val="000000"/>
          <w:sz w:val="24"/>
          <w:szCs w:val="24"/>
          <w:lang w:eastAsia="ru-RU"/>
        </w:rPr>
        <w:t>»</w:t>
      </w:r>
      <w:r w:rsidRPr="00B6184B">
        <w:rPr>
          <w:rFonts w:ascii="Times New Roman" w:eastAsia="Times New Roman" w:hAnsi="Times New Roman" w:cs="Times New Roman"/>
          <w:color w:val="000000"/>
          <w:sz w:val="24"/>
          <w:szCs w:val="24"/>
          <w:lang w:eastAsia="ru-RU"/>
        </w:rPr>
        <w:t xml:space="preserve"> было принято Постановление Ленинградс</w:t>
      </w:r>
      <w:r w:rsidR="00D55ED4">
        <w:rPr>
          <w:rFonts w:ascii="Times New Roman" w:eastAsia="Times New Roman" w:hAnsi="Times New Roman" w:cs="Times New Roman"/>
          <w:color w:val="000000"/>
          <w:sz w:val="24"/>
          <w:szCs w:val="24"/>
          <w:lang w:eastAsia="ru-RU"/>
        </w:rPr>
        <w:t>кой области от 17.05.2021 г. № «</w:t>
      </w:r>
      <w:r w:rsidRPr="00B6184B">
        <w:rPr>
          <w:rFonts w:ascii="Times New Roman" w:eastAsia="Times New Roman" w:hAnsi="Times New Roman" w:cs="Times New Roman"/>
          <w:color w:val="000000"/>
          <w:sz w:val="24"/>
          <w:szCs w:val="24"/>
          <w:lang w:eastAsia="ru-RU"/>
        </w:rPr>
        <w:t>Об утверждении Региональной программы повышения финансовой грамотности в Ленинградской области</w:t>
      </w:r>
      <w:r w:rsidR="00D55ED4">
        <w:rPr>
          <w:rFonts w:ascii="Times New Roman" w:eastAsia="Times New Roman" w:hAnsi="Times New Roman" w:cs="Times New Roman"/>
          <w:color w:val="000000"/>
          <w:sz w:val="24"/>
          <w:szCs w:val="24"/>
          <w:lang w:eastAsia="ru-RU"/>
        </w:rPr>
        <w:t>»</w:t>
      </w:r>
      <w:r w:rsidRPr="00B6184B">
        <w:rPr>
          <w:rFonts w:ascii="Times New Roman" w:eastAsia="Times New Roman" w:hAnsi="Times New Roman" w:cs="Times New Roman"/>
          <w:color w:val="000000"/>
          <w:sz w:val="24"/>
          <w:szCs w:val="24"/>
          <w:lang w:eastAsia="ru-RU"/>
        </w:rPr>
        <w:t>. На сайте Правительства Ленинградской области для жителей создан под</w:t>
      </w:r>
      <w:r w:rsidR="00B6184B">
        <w:rPr>
          <w:rFonts w:ascii="Times New Roman" w:eastAsia="Times New Roman" w:hAnsi="Times New Roman" w:cs="Times New Roman"/>
          <w:color w:val="000000"/>
          <w:sz w:val="24"/>
          <w:szCs w:val="24"/>
          <w:lang w:eastAsia="ru-RU"/>
        </w:rPr>
        <w:t xml:space="preserve">раздел "Финансовая грамотность" </w:t>
      </w:r>
      <w:hyperlink r:id="rId116">
        <w:r w:rsidRPr="00B6184B">
          <w:rPr>
            <w:rFonts w:ascii="Times New Roman" w:eastAsia="Times New Roman" w:hAnsi="Times New Roman" w:cs="Times New Roman"/>
            <w:color w:val="000000"/>
            <w:sz w:val="24"/>
            <w:szCs w:val="24"/>
            <w:u w:val="single"/>
          </w:rPr>
          <w:t>https://lenobl.ru/fingram/</w:t>
        </w:r>
      </w:hyperlink>
      <w:r w:rsidRPr="00B6184B">
        <w:rPr>
          <w:rFonts w:ascii="Times New Roman" w:eastAsia="Times New Roman" w:hAnsi="Times New Roman" w:cs="Times New Roman"/>
          <w:color w:val="000000"/>
          <w:sz w:val="24"/>
          <w:szCs w:val="24"/>
          <w:u w:val="single"/>
        </w:rPr>
        <w:t>,</w:t>
      </w:r>
      <w:r w:rsidRPr="00B6184B">
        <w:rPr>
          <w:rFonts w:ascii="Times New Roman" w:eastAsia="Times New Roman" w:hAnsi="Times New Roman" w:cs="Times New Roman"/>
          <w:color w:val="000000"/>
          <w:sz w:val="24"/>
          <w:szCs w:val="24"/>
        </w:rPr>
        <w:t xml:space="preserve"> </w:t>
      </w:r>
      <w:r w:rsidRPr="00B6184B">
        <w:rPr>
          <w:rFonts w:ascii="Times New Roman" w:eastAsia="Times New Roman" w:hAnsi="Times New Roman" w:cs="Times New Roman"/>
          <w:color w:val="000000"/>
          <w:sz w:val="24"/>
          <w:szCs w:val="24"/>
          <w:lang w:eastAsia="ru-RU"/>
        </w:rPr>
        <w:t>в котором собраны актуальные видеоматериалы по вопросам экономики и финансов.</w:t>
      </w:r>
    </w:p>
    <w:p w:rsidR="00C35167" w:rsidRPr="00B6184B" w:rsidRDefault="00C35167" w:rsidP="00C35167">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B6184B">
        <w:rPr>
          <w:rFonts w:ascii="Times New Roman" w:eastAsia="Times New Roman" w:hAnsi="Times New Roman" w:cs="Times New Roman"/>
          <w:color w:val="000000"/>
          <w:sz w:val="24"/>
          <w:szCs w:val="24"/>
          <w:lang w:eastAsia="ru-RU"/>
        </w:rPr>
        <w:t>Работа по повышению финансовой грамотности ведется Правительством Ленинградской области совместно с Северо-Западным Главного Управления Центрального Банка России, многие сайты предприятий и организаций содержат информационные материалы и информационные ролики по вопросам финансовой грамотности. Реализуются проекты "Игры по финансовой грамотности" (doligra.ru), рассчитанный на пользователей всех возрастов (</w:t>
      </w:r>
      <w:hyperlink r:id="rId117" w:history="1">
        <w:r w:rsidRPr="00B6184B">
          <w:rPr>
            <w:rFonts w:ascii="Times New Roman" w:eastAsia="Times New Roman" w:hAnsi="Times New Roman" w:cs="Times New Roman"/>
            <w:color w:val="000000"/>
            <w:sz w:val="24"/>
            <w:szCs w:val="24"/>
            <w:u w:val="single"/>
          </w:rPr>
          <w:t>https://gtn-pravda.ru/2022/01/11/zhiteli-oblasti-povishajut-finansovuju-gramotnost.html</w:t>
        </w:r>
      </w:hyperlink>
      <w:r w:rsidRPr="00B6184B">
        <w:rPr>
          <w:rFonts w:ascii="Times New Roman" w:eastAsia="Times New Roman" w:hAnsi="Times New Roman" w:cs="Times New Roman"/>
          <w:color w:val="000000"/>
          <w:sz w:val="24"/>
          <w:szCs w:val="24"/>
          <w:u w:val="single"/>
        </w:rPr>
        <w:t>)</w:t>
      </w:r>
      <w:r w:rsidRPr="00B6184B">
        <w:rPr>
          <w:rFonts w:ascii="Times New Roman" w:eastAsia="Times New Roman" w:hAnsi="Times New Roman" w:cs="Times New Roman"/>
          <w:color w:val="000000"/>
          <w:sz w:val="24"/>
          <w:szCs w:val="24"/>
        </w:rPr>
        <w:t xml:space="preserve"> </w:t>
      </w:r>
      <w:r w:rsidRPr="00B6184B">
        <w:rPr>
          <w:rFonts w:ascii="Times New Roman" w:eastAsia="Times New Roman" w:hAnsi="Times New Roman" w:cs="Times New Roman"/>
          <w:color w:val="000000"/>
          <w:sz w:val="24"/>
          <w:szCs w:val="24"/>
          <w:lang w:eastAsia="ru-RU"/>
        </w:rPr>
        <w:t>и "Онлайн-уроки по финансовой грамотности для школьников" (</w:t>
      </w:r>
      <w:hyperlink r:id="rId118" w:history="1">
        <w:r w:rsidRPr="00B6184B">
          <w:rPr>
            <w:rFonts w:ascii="Times New Roman" w:eastAsia="Times New Roman" w:hAnsi="Times New Roman" w:cs="Times New Roman"/>
            <w:color w:val="000000"/>
            <w:sz w:val="24"/>
            <w:szCs w:val="24"/>
            <w:u w:val="single"/>
            <w:lang w:eastAsia="ru-RU"/>
          </w:rPr>
          <w:t>https://www.dni-fg.ru</w:t>
        </w:r>
      </w:hyperlink>
      <w:r w:rsidRPr="00B6184B">
        <w:rPr>
          <w:rFonts w:ascii="Times New Roman" w:eastAsia="Times New Roman" w:hAnsi="Times New Roman" w:cs="Times New Roman"/>
          <w:color w:val="000000"/>
          <w:sz w:val="24"/>
          <w:szCs w:val="24"/>
          <w:lang w:eastAsia="ru-RU"/>
        </w:rPr>
        <w:t>).</w:t>
      </w:r>
    </w:p>
    <w:p w:rsidR="00C35167" w:rsidRPr="00B6184B" w:rsidRDefault="00C35167" w:rsidP="00C35167">
      <w:pPr>
        <w:spacing w:after="0" w:line="360" w:lineRule="auto"/>
        <w:ind w:firstLine="709"/>
        <w:jc w:val="both"/>
        <w:rPr>
          <w:rFonts w:ascii="Times New Roman" w:eastAsia="Times New Roman" w:hAnsi="Times New Roman" w:cs="Times New Roman"/>
          <w:color w:val="000000"/>
          <w:sz w:val="24"/>
          <w:szCs w:val="24"/>
          <w:lang w:eastAsia="ru-RU"/>
        </w:rPr>
      </w:pPr>
      <w:r w:rsidRPr="00B6184B">
        <w:rPr>
          <w:rFonts w:ascii="Times New Roman" w:eastAsia="Times New Roman" w:hAnsi="Times New Roman" w:cs="Times New Roman"/>
          <w:color w:val="000000"/>
          <w:sz w:val="24"/>
          <w:szCs w:val="24"/>
          <w:lang w:eastAsia="ru-RU"/>
        </w:rPr>
        <w:t>На текущий момент большинство жителей Ленинградской области (59%) оценивают свой уровень финансовой грамотности как средний. 15% опрошенных считают его высоким. 22% населения оценили его как низкий и ниже среднего. 4% респондентов затруднились ответить.</w:t>
      </w:r>
    </w:p>
    <w:p w:rsidR="00C35167" w:rsidRPr="00B6184B" w:rsidRDefault="00C35167" w:rsidP="00C35167">
      <w:pPr>
        <w:spacing w:after="0" w:line="360" w:lineRule="auto"/>
        <w:ind w:firstLine="709"/>
        <w:jc w:val="both"/>
        <w:rPr>
          <w:rFonts w:ascii="Times New Roman" w:eastAsia="Times New Roman" w:hAnsi="Times New Roman" w:cs="Times New Roman"/>
          <w:color w:val="000000"/>
          <w:sz w:val="24"/>
          <w:szCs w:val="24"/>
          <w:lang w:eastAsia="ru-RU"/>
        </w:rPr>
      </w:pPr>
      <w:r w:rsidRPr="00B6184B">
        <w:rPr>
          <w:rFonts w:ascii="Times New Roman" w:eastAsia="Times New Roman" w:hAnsi="Times New Roman" w:cs="Times New Roman"/>
          <w:color w:val="000000"/>
          <w:sz w:val="24"/>
          <w:szCs w:val="24"/>
          <w:lang w:eastAsia="ru-RU"/>
        </w:rPr>
        <w:t>Предприниматели и самозанятые выше остальных групп оценивают свой уровень финансовой грамотности. Как высокий и выше среднего его оценили 34% опрошенных из числа предпринимателей и 23% среди самозанятых. Безработные чаще всех остальных категорий граждан оценивают свою финансовую грамотность на низком уровне (15% при среднем по области 4%). Распределение ответов других жителей в разрезе по социальному статусу соответствует средним показателям по Ленинградской области.</w:t>
      </w:r>
    </w:p>
    <w:p w:rsidR="00C35167" w:rsidRPr="00B6184B" w:rsidRDefault="00C35167" w:rsidP="00C35167">
      <w:pPr>
        <w:spacing w:after="0" w:line="360" w:lineRule="auto"/>
        <w:ind w:firstLine="709"/>
        <w:jc w:val="both"/>
        <w:rPr>
          <w:rFonts w:ascii="Times New Roman" w:eastAsia="Times New Roman" w:hAnsi="Times New Roman" w:cs="Times New Roman"/>
          <w:color w:val="000000"/>
          <w:sz w:val="24"/>
          <w:szCs w:val="24"/>
          <w:lang w:eastAsia="ru-RU"/>
        </w:rPr>
      </w:pPr>
      <w:r w:rsidRPr="00B6184B">
        <w:rPr>
          <w:rFonts w:ascii="Times New Roman" w:eastAsia="Times New Roman" w:hAnsi="Times New Roman" w:cs="Times New Roman"/>
          <w:color w:val="000000"/>
          <w:sz w:val="24"/>
          <w:szCs w:val="24"/>
          <w:lang w:eastAsia="ru-RU"/>
        </w:rPr>
        <w:t>Население Ленинградской области в ходе исследования продемонстрировало достаточно высокий уровень знания, поведения и установок в сфере финансов.</w:t>
      </w:r>
    </w:p>
    <w:p w:rsidR="00C35167" w:rsidRPr="00C35167" w:rsidRDefault="00C35167" w:rsidP="00B6184B">
      <w:pPr>
        <w:keepNext/>
        <w:keepLines/>
        <w:spacing w:before="120" w:after="120" w:line="240" w:lineRule="auto"/>
        <w:jc w:val="center"/>
        <w:rPr>
          <w:rFonts w:ascii="Times New Roman" w:eastAsia="Calibri" w:hAnsi="Times New Roman" w:cs="Times New Roman"/>
          <w:color w:val="000000"/>
          <w:sz w:val="24"/>
          <w:szCs w:val="24"/>
        </w:rPr>
      </w:pPr>
      <w:r w:rsidRPr="00C35167">
        <w:rPr>
          <w:rFonts w:ascii="Times New Roman" w:eastAsia="Calibri" w:hAnsi="Times New Roman" w:cs="Times New Roman"/>
          <w:iCs/>
          <w:color w:val="000000"/>
          <w:sz w:val="24"/>
          <w:szCs w:val="24"/>
        </w:rPr>
        <w:t xml:space="preserve">Рисунок </w:t>
      </w:r>
      <w:r w:rsidR="00B6184B">
        <w:rPr>
          <w:rFonts w:ascii="Times New Roman" w:eastAsia="Calibri" w:hAnsi="Times New Roman" w:cs="Times New Roman"/>
          <w:iCs/>
          <w:color w:val="000000"/>
          <w:sz w:val="24"/>
          <w:szCs w:val="24"/>
        </w:rPr>
        <w:t>59</w:t>
      </w:r>
      <w:r w:rsidRPr="00C35167">
        <w:rPr>
          <w:rFonts w:ascii="Times New Roman" w:eastAsia="Calibri" w:hAnsi="Times New Roman" w:cs="Times New Roman"/>
          <w:iCs/>
          <w:color w:val="000000"/>
          <w:sz w:val="24"/>
          <w:szCs w:val="24"/>
        </w:rPr>
        <w:t xml:space="preserve">. </w:t>
      </w:r>
      <w:r w:rsidRPr="00B147FB">
        <w:rPr>
          <w:rFonts w:ascii="Times New Roman" w:eastAsia="Calibri" w:hAnsi="Times New Roman" w:cs="Times New Roman"/>
          <w:color w:val="000000"/>
          <w:sz w:val="24"/>
          <w:szCs w:val="24"/>
        </w:rPr>
        <w:t>Ниже представлен ряд высказываний, описывающих знания, поведение и установки в сфере финансов. Какие из них характеризуют лично Вас?</w:t>
      </w:r>
      <w:r w:rsidRPr="00C35167">
        <w:rPr>
          <w:rFonts w:ascii="Times New Roman" w:eastAsia="Calibri" w:hAnsi="Times New Roman" w:cs="Times New Roman"/>
          <w:noProof/>
          <w:color w:val="000000"/>
          <w:sz w:val="24"/>
          <w:szCs w:val="24"/>
        </w:rPr>
        <w:t xml:space="preserve"> (опрос населения, % от числа опрошенных. </w:t>
      </w:r>
      <w:r w:rsidRPr="00C35167">
        <w:rPr>
          <w:rFonts w:ascii="Times New Roman" w:eastAsia="Calibri" w:hAnsi="Times New Roman" w:cs="Times New Roman"/>
          <w:noProof/>
          <w:color w:val="000000"/>
          <w:sz w:val="24"/>
          <w:szCs w:val="24"/>
          <w:lang w:val="en-US"/>
        </w:rPr>
        <w:t>n</w:t>
      </w:r>
      <w:r w:rsidRPr="00C35167">
        <w:rPr>
          <w:rFonts w:ascii="Times New Roman" w:eastAsia="Calibri" w:hAnsi="Times New Roman" w:cs="Times New Roman"/>
          <w:noProof/>
          <w:color w:val="000000"/>
          <w:sz w:val="24"/>
          <w:szCs w:val="24"/>
        </w:rPr>
        <w:t xml:space="preserve"> = 1200</w:t>
      </w:r>
      <w:r w:rsidRPr="00C35167">
        <w:rPr>
          <w:rFonts w:ascii="Times New Roman" w:eastAsia="Calibri" w:hAnsi="Times New Roman" w:cs="Times New Roman"/>
          <w:color w:val="000000"/>
          <w:sz w:val="24"/>
          <w:szCs w:val="24"/>
        </w:rPr>
        <w:t>)</w:t>
      </w:r>
    </w:p>
    <w:p w:rsidR="00C35167" w:rsidRPr="00C35167" w:rsidRDefault="00C35167" w:rsidP="00C35167">
      <w:pPr>
        <w:keepNext/>
        <w:keepLines/>
        <w:spacing w:before="120" w:after="120" w:line="240" w:lineRule="auto"/>
        <w:jc w:val="both"/>
        <w:rPr>
          <w:rFonts w:ascii="Times New Roman" w:eastAsia="Times New Roman" w:hAnsi="Times New Roman" w:cs="Times New Roman"/>
          <w:i/>
          <w:iCs/>
          <w:color w:val="000000"/>
          <w:sz w:val="24"/>
          <w:szCs w:val="24"/>
          <w:lang w:eastAsia="ru-RU"/>
        </w:rPr>
      </w:pPr>
      <w:r w:rsidRPr="00C35167">
        <w:rPr>
          <w:rFonts w:ascii="Times New Roman" w:eastAsia="Times New Roman" w:hAnsi="Times New Roman" w:cs="Times New Roman"/>
          <w:i/>
          <w:iCs/>
          <w:color w:val="000000"/>
          <w:sz w:val="24"/>
          <w:szCs w:val="24"/>
          <w:lang w:eastAsia="ru-RU"/>
        </w:rPr>
        <w:t>Финансовые знания</w:t>
      </w:r>
    </w:p>
    <w:p w:rsidR="00C35167" w:rsidRPr="00C35167" w:rsidRDefault="00C35167" w:rsidP="00C35167">
      <w:pPr>
        <w:spacing w:after="160" w:line="259" w:lineRule="auto"/>
        <w:rPr>
          <w:rFonts w:ascii="Times New Roman" w:eastAsia="Times New Roman" w:hAnsi="Times New Roman" w:cs="Times New Roman"/>
          <w:color w:val="000000"/>
          <w:sz w:val="28"/>
          <w:szCs w:val="28"/>
          <w:lang w:eastAsia="ru-RU"/>
        </w:rPr>
      </w:pPr>
      <w:r w:rsidRPr="00C35167">
        <w:rPr>
          <w:rFonts w:ascii="Times New Roman" w:eastAsia="Franklin Gothic Book" w:hAnsi="Times New Roman" w:cs="Times New Roman"/>
          <w:noProof/>
          <w:color w:val="000000"/>
          <w:szCs w:val="24"/>
          <w:u w:color="000000"/>
          <w:shd w:val="clear" w:color="auto" w:fill="C5E0B3"/>
          <w:lang w:eastAsia="ru-RU"/>
        </w:rPr>
        <w:drawing>
          <wp:inline distT="0" distB="0" distL="0" distR="0" wp14:anchorId="191B03DB" wp14:editId="3C6FB450">
            <wp:extent cx="5940425" cy="2066925"/>
            <wp:effectExtent l="0" t="0" r="3175" b="0"/>
            <wp:docPr id="1069" name="Диаграмма 10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C35167" w:rsidRPr="00C35167" w:rsidRDefault="00C35167" w:rsidP="00C35167">
      <w:pPr>
        <w:spacing w:after="160" w:line="259" w:lineRule="auto"/>
        <w:rPr>
          <w:rFonts w:ascii="Times New Roman" w:eastAsia="Times New Roman" w:hAnsi="Times New Roman" w:cs="Times New Roman"/>
          <w:i/>
          <w:iCs/>
          <w:color w:val="000000"/>
          <w:sz w:val="24"/>
          <w:szCs w:val="24"/>
          <w:lang w:eastAsia="ru-RU"/>
        </w:rPr>
      </w:pPr>
      <w:r w:rsidRPr="00C35167">
        <w:rPr>
          <w:rFonts w:ascii="Times New Roman" w:eastAsia="Times New Roman" w:hAnsi="Times New Roman" w:cs="Times New Roman"/>
          <w:i/>
          <w:iCs/>
          <w:color w:val="000000"/>
          <w:sz w:val="24"/>
          <w:szCs w:val="24"/>
          <w:lang w:eastAsia="ru-RU"/>
        </w:rPr>
        <w:t>Финансовое поведение</w:t>
      </w:r>
    </w:p>
    <w:p w:rsidR="00C35167" w:rsidRPr="00C35167" w:rsidRDefault="00C35167" w:rsidP="00C35167">
      <w:pPr>
        <w:spacing w:after="160" w:line="259" w:lineRule="auto"/>
        <w:rPr>
          <w:rFonts w:ascii="Times New Roman" w:eastAsia="Times New Roman" w:hAnsi="Times New Roman" w:cs="Times New Roman"/>
          <w:color w:val="000000"/>
          <w:sz w:val="28"/>
          <w:szCs w:val="28"/>
          <w:lang w:eastAsia="ru-RU"/>
        </w:rPr>
      </w:pPr>
      <w:r w:rsidRPr="00C35167">
        <w:rPr>
          <w:rFonts w:ascii="Times New Roman" w:eastAsia="Franklin Gothic Book" w:hAnsi="Times New Roman" w:cs="Times New Roman"/>
          <w:noProof/>
          <w:color w:val="000000"/>
          <w:szCs w:val="24"/>
          <w:u w:color="000000"/>
          <w:shd w:val="clear" w:color="auto" w:fill="C5E0B3"/>
          <w:lang w:eastAsia="ru-RU"/>
        </w:rPr>
        <w:drawing>
          <wp:inline distT="0" distB="0" distL="0" distR="0" wp14:anchorId="24652D0B" wp14:editId="587DB984">
            <wp:extent cx="5940425" cy="4295775"/>
            <wp:effectExtent l="0" t="0" r="3175" b="0"/>
            <wp:docPr id="1070" name="Диаграмма 10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C35167" w:rsidRPr="00C35167" w:rsidRDefault="00C35167" w:rsidP="00C35167">
      <w:pPr>
        <w:keepNext/>
        <w:spacing w:after="160" w:line="259" w:lineRule="auto"/>
        <w:rPr>
          <w:rFonts w:ascii="Times New Roman" w:eastAsia="Times New Roman" w:hAnsi="Times New Roman" w:cs="Times New Roman"/>
          <w:i/>
          <w:iCs/>
          <w:color w:val="000000"/>
          <w:sz w:val="24"/>
          <w:szCs w:val="24"/>
          <w:lang w:eastAsia="ru-RU"/>
        </w:rPr>
      </w:pPr>
      <w:r w:rsidRPr="00C35167">
        <w:rPr>
          <w:rFonts w:ascii="Times New Roman" w:eastAsia="Times New Roman" w:hAnsi="Times New Roman" w:cs="Times New Roman"/>
          <w:i/>
          <w:iCs/>
          <w:color w:val="000000"/>
          <w:sz w:val="24"/>
          <w:szCs w:val="24"/>
          <w:lang w:eastAsia="ru-RU"/>
        </w:rPr>
        <w:t>Финансовые установки</w:t>
      </w:r>
    </w:p>
    <w:p w:rsidR="00C35167" w:rsidRPr="00C35167" w:rsidRDefault="00C35167" w:rsidP="00C35167">
      <w:pPr>
        <w:spacing w:before="100" w:beforeAutospacing="1" w:after="100" w:afterAutospacing="1" w:line="240" w:lineRule="auto"/>
        <w:jc w:val="both"/>
        <w:rPr>
          <w:rFonts w:ascii="Times New Roman" w:eastAsia="Calibri" w:hAnsi="Times New Roman" w:cs="Times New Roman"/>
          <w:color w:val="000000"/>
          <w:sz w:val="24"/>
          <w:szCs w:val="24"/>
        </w:rPr>
      </w:pPr>
      <w:r w:rsidRPr="00C35167">
        <w:rPr>
          <w:rFonts w:ascii="Times New Roman" w:eastAsia="Franklin Gothic Book" w:hAnsi="Times New Roman" w:cs="Times New Roman"/>
          <w:noProof/>
          <w:color w:val="000000"/>
          <w:szCs w:val="24"/>
          <w:u w:color="000000"/>
          <w:shd w:val="clear" w:color="auto" w:fill="C5E0B3"/>
          <w:lang w:eastAsia="ru-RU"/>
        </w:rPr>
        <w:drawing>
          <wp:inline distT="0" distB="0" distL="0" distR="0" wp14:anchorId="6A42D178" wp14:editId="206AE49A">
            <wp:extent cx="5940425" cy="3638550"/>
            <wp:effectExtent l="0" t="0" r="3175" b="0"/>
            <wp:docPr id="1072" name="Диаграмма 10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C35167" w:rsidRPr="00B6184B" w:rsidRDefault="00C35167" w:rsidP="00C35167">
      <w:pPr>
        <w:spacing w:after="0" w:line="360" w:lineRule="auto"/>
        <w:ind w:firstLine="709"/>
        <w:jc w:val="both"/>
        <w:rPr>
          <w:rFonts w:ascii="Times New Roman" w:eastAsia="Times New Roman" w:hAnsi="Times New Roman" w:cs="Times New Roman"/>
          <w:color w:val="000000"/>
          <w:sz w:val="24"/>
          <w:szCs w:val="24"/>
          <w:lang w:eastAsia="ru-RU"/>
        </w:rPr>
      </w:pPr>
      <w:r w:rsidRPr="00B6184B">
        <w:rPr>
          <w:rFonts w:ascii="Times New Roman" w:eastAsia="Times New Roman" w:hAnsi="Times New Roman" w:cs="Times New Roman"/>
          <w:color w:val="000000"/>
          <w:sz w:val="24"/>
          <w:szCs w:val="24"/>
          <w:lang w:eastAsia="ru-RU"/>
        </w:rPr>
        <w:t>Результаты анализа составляющих финансовой грамотности населения иллюстрируют:</w:t>
      </w:r>
    </w:p>
    <w:p w:rsidR="00C35167" w:rsidRPr="00B6184B" w:rsidRDefault="00C35167" w:rsidP="00C35167">
      <w:pPr>
        <w:spacing w:after="0" w:line="360" w:lineRule="auto"/>
        <w:ind w:firstLine="709"/>
        <w:jc w:val="both"/>
        <w:rPr>
          <w:rFonts w:ascii="Times New Roman" w:eastAsia="Times New Roman" w:hAnsi="Times New Roman" w:cs="Times New Roman"/>
          <w:color w:val="000000"/>
          <w:sz w:val="24"/>
          <w:szCs w:val="24"/>
          <w:lang w:eastAsia="ru-RU"/>
        </w:rPr>
      </w:pPr>
      <w:r w:rsidRPr="00B6184B">
        <w:rPr>
          <w:rFonts w:ascii="Times New Roman" w:eastAsia="Times New Roman" w:hAnsi="Times New Roman" w:cs="Times New Roman"/>
          <w:color w:val="000000"/>
          <w:sz w:val="24"/>
          <w:szCs w:val="24"/>
          <w:lang w:eastAsia="ru-RU"/>
        </w:rPr>
        <w:t>- уровень финансовых знаний, проявленных жителями Ленинградской области достаточно высокий, подавляющее большинство опрошенных способны распознать финансовое мошенничество (76%) и осведомлены о системе страхования вкладов, организациях, занимающихся защитой прав потребителей в финансовой сфере (66%), около трети опрошенных (34%) хорошо разбираются в финансовых терминах;</w:t>
      </w:r>
    </w:p>
    <w:p w:rsidR="00C35167" w:rsidRPr="00B6184B" w:rsidRDefault="00C35167" w:rsidP="00C35167">
      <w:pPr>
        <w:spacing w:after="0" w:line="360" w:lineRule="auto"/>
        <w:ind w:firstLine="709"/>
        <w:jc w:val="both"/>
        <w:rPr>
          <w:rFonts w:ascii="Times New Roman" w:eastAsia="Times New Roman" w:hAnsi="Times New Roman" w:cs="Times New Roman"/>
          <w:color w:val="000000"/>
          <w:sz w:val="24"/>
          <w:szCs w:val="24"/>
          <w:lang w:eastAsia="ru-RU"/>
        </w:rPr>
      </w:pPr>
      <w:r w:rsidRPr="00B6184B">
        <w:rPr>
          <w:rFonts w:ascii="Times New Roman" w:eastAsia="Times New Roman" w:hAnsi="Times New Roman" w:cs="Times New Roman"/>
          <w:color w:val="000000"/>
          <w:sz w:val="24"/>
          <w:szCs w:val="24"/>
          <w:lang w:eastAsia="ru-RU"/>
        </w:rPr>
        <w:t>- подавляющее большинство населения демонстрируют корректное поведение в сфере финансов: являются грамотными налогоплательщиками (95%), следят за своими финансами, планируя доходы и расходы (88%), живут по средствам, избегая несоразмерных доходам долгов и неплатежей по ним (86%), ответственно подходят к выбору финансовых услуг и организаций (85%), половина опрошенных (50%) стараются формировать долгосрочные сбережения, "подушку безопасности". При этом 58% участников исследования периодически сталкиваются с проблемой нехватки денег до зарплаты, что объясняется действующими установками на большее удовлетворение от траты денег (46% опрошенных), а также тем, что деньги существуют для того, чтобы их тратить (66%);</w:t>
      </w:r>
    </w:p>
    <w:p w:rsidR="00C35167" w:rsidRDefault="00C35167" w:rsidP="00C35167">
      <w:pPr>
        <w:spacing w:after="0" w:line="360" w:lineRule="auto"/>
        <w:ind w:firstLine="709"/>
        <w:jc w:val="both"/>
        <w:rPr>
          <w:rFonts w:ascii="Times New Roman" w:eastAsia="Times New Roman" w:hAnsi="Times New Roman" w:cs="Times New Roman"/>
          <w:color w:val="000000"/>
          <w:sz w:val="24"/>
          <w:szCs w:val="24"/>
          <w:lang w:eastAsia="ru-RU"/>
        </w:rPr>
      </w:pPr>
      <w:r w:rsidRPr="00B6184B">
        <w:rPr>
          <w:rFonts w:ascii="Times New Roman" w:eastAsia="Times New Roman" w:hAnsi="Times New Roman" w:cs="Times New Roman"/>
          <w:color w:val="000000"/>
          <w:sz w:val="24"/>
          <w:szCs w:val="24"/>
          <w:lang w:eastAsia="ru-RU"/>
        </w:rPr>
        <w:t>- финансовые установки, продемонстрированные жителями Ленинградской области, в целом, подтверждают взвешенный подход к финансовой сфере их жизнедеятельности: подавляющее большинство респондентов считает, что необходимо самостоятельно вести подготовку к жизни на пенсии (77%), материальное положение человека зависит от него самого (74%), нельзя жить только сегодняшним днем (76%), деньги лучше хранить в банке (66%).</w:t>
      </w:r>
    </w:p>
    <w:p w:rsidR="00B6184B" w:rsidRPr="00B6184B" w:rsidRDefault="00B6184B" w:rsidP="00C35167">
      <w:pPr>
        <w:spacing w:after="0" w:line="360" w:lineRule="auto"/>
        <w:ind w:firstLine="709"/>
        <w:jc w:val="both"/>
        <w:rPr>
          <w:rFonts w:ascii="Times New Roman" w:eastAsia="Times New Roman" w:hAnsi="Times New Roman" w:cs="Times New Roman"/>
          <w:color w:val="000000"/>
          <w:sz w:val="24"/>
          <w:szCs w:val="24"/>
          <w:lang w:eastAsia="ru-RU"/>
        </w:rPr>
      </w:pPr>
    </w:p>
    <w:p w:rsidR="003A1D5A" w:rsidRPr="00B6184B" w:rsidRDefault="003A1D5A" w:rsidP="003A1D5A">
      <w:pPr>
        <w:keepNext/>
        <w:keepLines/>
        <w:spacing w:before="40" w:after="240" w:line="240" w:lineRule="auto"/>
        <w:jc w:val="center"/>
        <w:outlineLvl w:val="2"/>
        <w:rPr>
          <w:rFonts w:ascii="Times New Roman" w:eastAsia="Arial" w:hAnsi="Times New Roman" w:cs="Times New Roman"/>
          <w:b/>
          <w:color w:val="000000"/>
          <w:sz w:val="24"/>
          <w:szCs w:val="24"/>
          <w:lang w:eastAsia="ru-RU"/>
        </w:rPr>
      </w:pPr>
      <w:r w:rsidRPr="00B6184B">
        <w:rPr>
          <w:rFonts w:ascii="Times New Roman" w:eastAsia="Arial" w:hAnsi="Times New Roman" w:cs="Times New Roman"/>
          <w:b/>
          <w:color w:val="000000"/>
          <w:sz w:val="24"/>
          <w:szCs w:val="24"/>
          <w:lang w:eastAsia="ru-RU"/>
        </w:rPr>
        <w:t xml:space="preserve">3.7.5. Об использовании </w:t>
      </w:r>
      <w:r w:rsidRPr="00B6184B">
        <w:rPr>
          <w:rFonts w:ascii="Times New Roman" w:eastAsia="Calibri" w:hAnsi="Times New Roman" w:cs="Times New Roman"/>
          <w:b/>
          <w:bCs/>
          <w:color w:val="000000"/>
          <w:sz w:val="24"/>
          <w:szCs w:val="24"/>
          <w:lang w:eastAsia="ru-RU"/>
        </w:rPr>
        <w:t>субъектами малого и среднего предпринимательства (юридических лиц) финансовых продуктов и услугами различных финансовых организаций за последний год и на дату опроса</w:t>
      </w:r>
    </w:p>
    <w:p w:rsidR="003A1D5A" w:rsidRPr="00B6184B" w:rsidRDefault="003A1D5A" w:rsidP="003A1D5A">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B6184B">
        <w:rPr>
          <w:rFonts w:ascii="Times New Roman" w:eastAsia="Times New Roman" w:hAnsi="Times New Roman" w:cs="Times New Roman"/>
          <w:color w:val="000000"/>
          <w:sz w:val="24"/>
          <w:szCs w:val="24"/>
          <w:lang w:eastAsia="ru-RU"/>
        </w:rPr>
        <w:t>Предприниматели Ленинградской области продемонстрировали высокий уровень пользования финансовыми продуктами и услугами за последний год. Наибольшей популярностью пользуются расчетно-кассовое обслуживание (65% пользователей от общего числа опрошенных) и зарплатные проекты (63%). Менее всего субъекты предпринимательства пользовались инвестиционными услугами (22%) и услугами микрофинансовых организаций (6%).</w:t>
      </w:r>
    </w:p>
    <w:p w:rsidR="003A1D5A" w:rsidRPr="003A1D5A" w:rsidRDefault="003A1D5A" w:rsidP="003A1D5A">
      <w:pPr>
        <w:tabs>
          <w:tab w:val="left" w:pos="1905"/>
        </w:tabs>
        <w:spacing w:line="288" w:lineRule="auto"/>
        <w:ind w:right="-1"/>
        <w:contextualSpacing/>
        <w:jc w:val="center"/>
        <w:rPr>
          <w:rFonts w:ascii="Times New Roman" w:eastAsia="Calibri" w:hAnsi="Times New Roman" w:cs="Times New Roman"/>
          <w:b/>
          <w:noProof/>
          <w:color w:val="000000"/>
          <w:sz w:val="24"/>
          <w:szCs w:val="24"/>
        </w:rPr>
      </w:pPr>
    </w:p>
    <w:p w:rsidR="003A1D5A" w:rsidRPr="003A1D5A" w:rsidRDefault="003A1D5A" w:rsidP="00B6184B">
      <w:pPr>
        <w:keepNext/>
        <w:keepLines/>
        <w:spacing w:before="120" w:after="120" w:line="240" w:lineRule="auto"/>
        <w:jc w:val="center"/>
        <w:rPr>
          <w:rFonts w:ascii="Times New Roman" w:eastAsia="Calibri" w:hAnsi="Times New Roman" w:cs="Times New Roman"/>
          <w:b/>
          <w:iCs/>
          <w:color w:val="000000"/>
          <w:sz w:val="24"/>
          <w:szCs w:val="24"/>
        </w:rPr>
      </w:pPr>
      <w:r w:rsidRPr="003A1D5A">
        <w:rPr>
          <w:rFonts w:ascii="Times New Roman" w:eastAsia="Calibri" w:hAnsi="Times New Roman" w:cs="Times New Roman"/>
          <w:iCs/>
          <w:color w:val="000000"/>
          <w:sz w:val="24"/>
          <w:szCs w:val="24"/>
        </w:rPr>
        <w:t xml:space="preserve">Рисунок </w:t>
      </w:r>
      <w:r w:rsidR="00B6184B">
        <w:rPr>
          <w:rFonts w:ascii="Times New Roman" w:eastAsia="Calibri" w:hAnsi="Times New Roman" w:cs="Times New Roman"/>
          <w:iCs/>
          <w:color w:val="000000"/>
          <w:sz w:val="24"/>
          <w:szCs w:val="24"/>
        </w:rPr>
        <w:t>60</w:t>
      </w:r>
      <w:r w:rsidRPr="003A1D5A">
        <w:rPr>
          <w:rFonts w:ascii="Times New Roman" w:eastAsia="Calibri" w:hAnsi="Times New Roman" w:cs="Times New Roman"/>
          <w:iCs/>
          <w:color w:val="000000"/>
          <w:sz w:val="24"/>
          <w:szCs w:val="24"/>
        </w:rPr>
        <w:t xml:space="preserve">. </w:t>
      </w:r>
      <w:r w:rsidRPr="003A1D5A">
        <w:rPr>
          <w:rFonts w:ascii="Times New Roman" w:eastAsia="Calibri" w:hAnsi="Times New Roman" w:cs="Times New Roman"/>
          <w:b/>
          <w:color w:val="000000"/>
          <w:sz w:val="24"/>
          <w:szCs w:val="24"/>
        </w:rPr>
        <w:t>Пользовалась Ваша компания следующими услугами за последний год</w:t>
      </w:r>
      <w:r w:rsidRPr="003A1D5A">
        <w:rPr>
          <w:rFonts w:ascii="Times New Roman" w:eastAsia="Calibri" w:hAnsi="Times New Roman" w:cs="Times New Roman"/>
          <w:b/>
          <w:iCs/>
          <w:color w:val="000000"/>
          <w:sz w:val="24"/>
          <w:szCs w:val="24"/>
        </w:rPr>
        <w:t xml:space="preserve">? </w:t>
      </w:r>
      <w:r w:rsidRPr="003A1D5A">
        <w:rPr>
          <w:rFonts w:ascii="Times New Roman" w:eastAsia="Calibri" w:hAnsi="Times New Roman" w:cs="Times New Roman"/>
          <w:noProof/>
          <w:color w:val="000000"/>
          <w:sz w:val="24"/>
          <w:szCs w:val="24"/>
        </w:rPr>
        <w:t xml:space="preserve">(опрос предпринимателей, </w:t>
      </w:r>
      <w:r w:rsidRPr="003A1D5A">
        <w:rPr>
          <w:rFonts w:ascii="Times New Roman" w:eastAsia="Calibri" w:hAnsi="Times New Roman" w:cs="Times New Roman"/>
          <w:color w:val="000000"/>
          <w:sz w:val="24"/>
          <w:szCs w:val="24"/>
        </w:rPr>
        <w:t>n=500)</w:t>
      </w:r>
    </w:p>
    <w:p w:rsidR="003A1D5A" w:rsidRPr="003A1D5A" w:rsidRDefault="003A1D5A" w:rsidP="003A1D5A">
      <w:pPr>
        <w:spacing w:before="120" w:after="120" w:line="360" w:lineRule="auto"/>
        <w:jc w:val="both"/>
        <w:rPr>
          <w:rFonts w:ascii="Times New Roman" w:eastAsia="Arial" w:hAnsi="Times New Roman" w:cs="Times New Roman"/>
          <w:color w:val="000000"/>
          <w:sz w:val="28"/>
          <w:szCs w:val="28"/>
          <w:lang w:eastAsia="ru-RU"/>
        </w:rPr>
      </w:pPr>
      <w:r w:rsidRPr="003A1D5A">
        <w:rPr>
          <w:rFonts w:ascii="Times New Roman" w:eastAsia="Franklin Gothic Book" w:hAnsi="Times New Roman" w:cs="Times New Roman"/>
          <w:noProof/>
          <w:color w:val="000000"/>
          <w:szCs w:val="24"/>
          <w:u w:color="000000"/>
          <w:lang w:eastAsia="ru-RU"/>
        </w:rPr>
        <w:drawing>
          <wp:inline distT="0" distB="0" distL="0" distR="0" wp14:anchorId="11C3FB3C" wp14:editId="2689E332">
            <wp:extent cx="6193155" cy="4371975"/>
            <wp:effectExtent l="0" t="0" r="0" b="0"/>
            <wp:docPr id="1074" name="Диаграмма 10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3A1D5A" w:rsidRPr="00B147FB" w:rsidRDefault="003A1D5A" w:rsidP="003A1D5A">
      <w:pPr>
        <w:spacing w:after="0" w:line="360" w:lineRule="auto"/>
        <w:ind w:firstLine="709"/>
        <w:jc w:val="both"/>
        <w:rPr>
          <w:rFonts w:ascii="Times New Roman" w:eastAsia="Times New Roman" w:hAnsi="Times New Roman" w:cs="Times New Roman"/>
          <w:color w:val="000000"/>
          <w:sz w:val="24"/>
          <w:szCs w:val="24"/>
          <w:lang w:eastAsia="ru-RU"/>
        </w:rPr>
      </w:pPr>
      <w:r w:rsidRPr="00B147FB">
        <w:rPr>
          <w:rFonts w:ascii="Times New Roman" w:eastAsia="Times New Roman" w:hAnsi="Times New Roman" w:cs="Times New Roman"/>
          <w:color w:val="000000"/>
          <w:sz w:val="24"/>
          <w:szCs w:val="24"/>
          <w:lang w:eastAsia="ru-RU"/>
        </w:rPr>
        <w:t>Уровень использования финансовых продуктов и услуг субъектами предпринимательства, осуществляющих деятельность в Ленинградской области, в разрезе по размеру бизнеса представлен в таблице ниже.</w:t>
      </w:r>
    </w:p>
    <w:p w:rsidR="003A1D5A" w:rsidRPr="003A1D5A" w:rsidRDefault="003A1D5A" w:rsidP="00B147FB">
      <w:pPr>
        <w:keepNext/>
        <w:keepLines/>
        <w:spacing w:before="120" w:after="120" w:line="240" w:lineRule="auto"/>
        <w:jc w:val="center"/>
        <w:rPr>
          <w:rFonts w:ascii="Times New Roman" w:eastAsia="Calibri" w:hAnsi="Times New Roman" w:cs="Times New Roman"/>
          <w:color w:val="000000"/>
          <w:sz w:val="24"/>
          <w:szCs w:val="24"/>
        </w:rPr>
      </w:pPr>
      <w:r w:rsidRPr="003A1D5A">
        <w:rPr>
          <w:rFonts w:ascii="Times New Roman" w:eastAsia="Calibri" w:hAnsi="Times New Roman" w:cs="Times New Roman"/>
          <w:iCs/>
          <w:color w:val="000000"/>
          <w:sz w:val="24"/>
          <w:szCs w:val="28"/>
        </w:rPr>
        <w:t xml:space="preserve">Таблица </w:t>
      </w:r>
      <w:r w:rsidR="00B147FB">
        <w:rPr>
          <w:rFonts w:ascii="Times New Roman" w:eastAsia="Calibri" w:hAnsi="Times New Roman" w:cs="Times New Roman"/>
          <w:iCs/>
          <w:color w:val="000000"/>
          <w:sz w:val="24"/>
          <w:szCs w:val="28"/>
        </w:rPr>
        <w:t>54</w:t>
      </w:r>
      <w:r w:rsidRPr="003A1D5A">
        <w:rPr>
          <w:rFonts w:ascii="Times New Roman" w:eastAsia="Calibri" w:hAnsi="Times New Roman" w:cs="Times New Roman"/>
          <w:iCs/>
          <w:color w:val="000000"/>
          <w:sz w:val="24"/>
          <w:szCs w:val="28"/>
        </w:rPr>
        <w:t xml:space="preserve">. Пользование субъектами предпринимательства финансовыми продуктами и услугами </w:t>
      </w:r>
      <w:r w:rsidRPr="003A1D5A">
        <w:rPr>
          <w:rFonts w:ascii="Times New Roman" w:eastAsia="Calibri" w:hAnsi="Times New Roman" w:cs="Times New Roman"/>
          <w:noProof/>
          <w:color w:val="000000"/>
          <w:sz w:val="24"/>
          <w:szCs w:val="24"/>
        </w:rPr>
        <w:t xml:space="preserve">(опрос предпринимателей, </w:t>
      </w:r>
      <w:r w:rsidRPr="003A1D5A">
        <w:rPr>
          <w:rFonts w:ascii="Times New Roman" w:eastAsia="Calibri" w:hAnsi="Times New Roman" w:cs="Times New Roman"/>
          <w:color w:val="000000"/>
          <w:sz w:val="24"/>
          <w:szCs w:val="24"/>
        </w:rPr>
        <w:t>% пользователей от числа опрошенных)</w:t>
      </w:r>
    </w:p>
    <w:tbl>
      <w:tblPr>
        <w:tblW w:w="48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8"/>
        <w:gridCol w:w="1248"/>
        <w:gridCol w:w="1248"/>
        <w:gridCol w:w="1093"/>
        <w:gridCol w:w="1405"/>
        <w:gridCol w:w="1377"/>
        <w:gridCol w:w="1624"/>
      </w:tblGrid>
      <w:tr w:rsidR="003A1D5A" w:rsidRPr="003A1D5A" w:rsidTr="003B4122">
        <w:trPr>
          <w:cantSplit/>
          <w:trHeight w:val="2108"/>
          <w:tblHeader/>
        </w:trPr>
        <w:tc>
          <w:tcPr>
            <w:tcW w:w="1028" w:type="pct"/>
            <w:shd w:val="clear" w:color="auto" w:fill="auto"/>
            <w:noWrap/>
            <w:vAlign w:val="center"/>
          </w:tcPr>
          <w:p w:rsidR="003A1D5A" w:rsidRPr="0088268B" w:rsidRDefault="003A1D5A" w:rsidP="003A1D5A">
            <w:pPr>
              <w:spacing w:after="0" w:line="240" w:lineRule="auto"/>
              <w:jc w:val="center"/>
              <w:rPr>
                <w:rFonts w:ascii="Times New Roman" w:eastAsia="Times New Roman" w:hAnsi="Times New Roman" w:cs="Times New Roman"/>
                <w:color w:val="000000"/>
                <w:lang w:eastAsia="ru-RU"/>
              </w:rPr>
            </w:pPr>
          </w:p>
        </w:tc>
        <w:tc>
          <w:tcPr>
            <w:tcW w:w="620" w:type="pct"/>
            <w:shd w:val="clear" w:color="auto" w:fill="auto"/>
            <w:textDirection w:val="btLr"/>
            <w:vAlign w:val="center"/>
          </w:tcPr>
          <w:p w:rsidR="003A1D5A" w:rsidRPr="0088268B" w:rsidRDefault="003A1D5A" w:rsidP="003A1D5A">
            <w:pPr>
              <w:spacing w:after="0" w:line="240" w:lineRule="auto"/>
              <w:ind w:left="113" w:right="113"/>
              <w:jc w:val="center"/>
              <w:rPr>
                <w:rFonts w:ascii="Times New Roman" w:eastAsia="Times New Roman" w:hAnsi="Times New Roman" w:cs="Times New Roman"/>
                <w:b/>
                <w:bCs/>
                <w:color w:val="000000"/>
                <w:lang w:eastAsia="ru-RU"/>
              </w:rPr>
            </w:pPr>
            <w:r w:rsidRPr="0088268B">
              <w:rPr>
                <w:rFonts w:ascii="Times New Roman" w:eastAsia="Times New Roman" w:hAnsi="Times New Roman" w:cs="Times New Roman"/>
                <w:b/>
                <w:color w:val="000000"/>
                <w:lang w:eastAsia="ru-RU"/>
              </w:rPr>
              <w:t>В целом по области</w:t>
            </w:r>
          </w:p>
        </w:tc>
        <w:tc>
          <w:tcPr>
            <w:tcW w:w="620" w:type="pct"/>
            <w:shd w:val="clear" w:color="auto" w:fill="auto"/>
            <w:textDirection w:val="btLr"/>
            <w:vAlign w:val="center"/>
          </w:tcPr>
          <w:p w:rsidR="003A1D5A" w:rsidRPr="0088268B" w:rsidRDefault="003A1D5A" w:rsidP="003A1D5A">
            <w:pPr>
              <w:spacing w:after="0" w:line="240" w:lineRule="auto"/>
              <w:ind w:left="113" w:right="113"/>
              <w:jc w:val="center"/>
              <w:rPr>
                <w:rFonts w:ascii="Times New Roman" w:eastAsia="Times New Roman" w:hAnsi="Times New Roman" w:cs="Times New Roman"/>
                <w:b/>
                <w:bCs/>
                <w:color w:val="000000"/>
                <w:lang w:eastAsia="ru-RU"/>
              </w:rPr>
            </w:pPr>
            <w:r w:rsidRPr="0088268B">
              <w:rPr>
                <w:rFonts w:ascii="Times New Roman" w:eastAsia="Times New Roman" w:hAnsi="Times New Roman" w:cs="Times New Roman"/>
                <w:b/>
                <w:bCs/>
                <w:color w:val="000000"/>
                <w:lang w:eastAsia="ru-RU"/>
              </w:rPr>
              <w:t>Микропредприятие</w:t>
            </w:r>
          </w:p>
        </w:tc>
        <w:tc>
          <w:tcPr>
            <w:tcW w:w="543" w:type="pct"/>
            <w:shd w:val="clear" w:color="auto" w:fill="auto"/>
            <w:textDirection w:val="btLr"/>
            <w:vAlign w:val="center"/>
          </w:tcPr>
          <w:p w:rsidR="003A1D5A" w:rsidRPr="0088268B" w:rsidRDefault="003A1D5A" w:rsidP="003A1D5A">
            <w:pPr>
              <w:spacing w:after="0" w:line="240" w:lineRule="auto"/>
              <w:ind w:left="113" w:right="113"/>
              <w:jc w:val="center"/>
              <w:rPr>
                <w:rFonts w:ascii="Times New Roman" w:eastAsia="Times New Roman" w:hAnsi="Times New Roman" w:cs="Times New Roman"/>
                <w:b/>
                <w:bCs/>
                <w:color w:val="000000"/>
                <w:lang w:eastAsia="ru-RU"/>
              </w:rPr>
            </w:pPr>
            <w:r w:rsidRPr="0088268B">
              <w:rPr>
                <w:rFonts w:ascii="Times New Roman" w:eastAsia="Times New Roman" w:hAnsi="Times New Roman" w:cs="Times New Roman"/>
                <w:b/>
                <w:bCs/>
                <w:color w:val="000000"/>
                <w:lang w:eastAsia="ru-RU"/>
              </w:rPr>
              <w:t>Малое предприятие</w:t>
            </w:r>
          </w:p>
        </w:tc>
        <w:tc>
          <w:tcPr>
            <w:tcW w:w="698" w:type="pct"/>
            <w:shd w:val="clear" w:color="auto" w:fill="auto"/>
            <w:textDirection w:val="btLr"/>
            <w:vAlign w:val="center"/>
          </w:tcPr>
          <w:p w:rsidR="003A1D5A" w:rsidRPr="0088268B" w:rsidRDefault="003A1D5A" w:rsidP="003A1D5A">
            <w:pPr>
              <w:spacing w:after="0" w:line="240" w:lineRule="auto"/>
              <w:ind w:left="113" w:right="113"/>
              <w:jc w:val="center"/>
              <w:rPr>
                <w:rFonts w:ascii="Times New Roman" w:eastAsia="Calibri" w:hAnsi="Times New Roman" w:cs="Times New Roman"/>
                <w:b/>
                <w:color w:val="000000"/>
              </w:rPr>
            </w:pPr>
            <w:r w:rsidRPr="0088268B">
              <w:rPr>
                <w:rFonts w:ascii="Times New Roman" w:eastAsia="Calibri" w:hAnsi="Times New Roman" w:cs="Times New Roman"/>
                <w:b/>
                <w:color w:val="000000"/>
              </w:rPr>
              <w:t>Среднее предприятие</w:t>
            </w:r>
          </w:p>
        </w:tc>
        <w:tc>
          <w:tcPr>
            <w:tcW w:w="684" w:type="pct"/>
            <w:shd w:val="clear" w:color="auto" w:fill="auto"/>
            <w:textDirection w:val="btLr"/>
            <w:vAlign w:val="center"/>
          </w:tcPr>
          <w:p w:rsidR="003A1D5A" w:rsidRPr="0088268B" w:rsidRDefault="003A1D5A" w:rsidP="003A1D5A">
            <w:pPr>
              <w:spacing w:after="0" w:line="240" w:lineRule="auto"/>
              <w:ind w:left="113" w:right="113"/>
              <w:jc w:val="center"/>
              <w:rPr>
                <w:rFonts w:ascii="Times New Roman" w:eastAsia="Calibri" w:hAnsi="Times New Roman" w:cs="Times New Roman"/>
                <w:b/>
                <w:color w:val="000000"/>
              </w:rPr>
            </w:pPr>
            <w:r w:rsidRPr="0088268B">
              <w:rPr>
                <w:rFonts w:ascii="Times New Roman" w:eastAsia="Calibri" w:hAnsi="Times New Roman" w:cs="Times New Roman"/>
                <w:b/>
                <w:color w:val="000000"/>
              </w:rPr>
              <w:t>Крупное предприятие</w:t>
            </w:r>
          </w:p>
        </w:tc>
        <w:tc>
          <w:tcPr>
            <w:tcW w:w="809" w:type="pct"/>
            <w:shd w:val="clear" w:color="auto" w:fill="auto"/>
            <w:textDirection w:val="btLr"/>
            <w:vAlign w:val="center"/>
          </w:tcPr>
          <w:p w:rsidR="003A1D5A" w:rsidRPr="0088268B" w:rsidRDefault="003A1D5A" w:rsidP="003A1D5A">
            <w:pPr>
              <w:spacing w:after="0" w:line="240" w:lineRule="auto"/>
              <w:ind w:left="113" w:right="113"/>
              <w:jc w:val="center"/>
              <w:rPr>
                <w:rFonts w:ascii="Times New Roman" w:eastAsia="Calibri" w:hAnsi="Times New Roman" w:cs="Times New Roman"/>
                <w:b/>
                <w:color w:val="000000"/>
              </w:rPr>
            </w:pPr>
            <w:r w:rsidRPr="0088268B">
              <w:rPr>
                <w:rFonts w:ascii="Times New Roman" w:eastAsia="Calibri" w:hAnsi="Times New Roman" w:cs="Times New Roman"/>
                <w:b/>
                <w:color w:val="000000"/>
              </w:rPr>
              <w:t>Затрудняюсь ответить</w:t>
            </w:r>
          </w:p>
        </w:tc>
      </w:tr>
      <w:tr w:rsidR="003A1D5A" w:rsidRPr="003A1D5A" w:rsidTr="0088268B">
        <w:trPr>
          <w:trHeight w:val="11"/>
        </w:trPr>
        <w:tc>
          <w:tcPr>
            <w:tcW w:w="1028" w:type="pct"/>
            <w:shd w:val="clear" w:color="auto" w:fill="auto"/>
            <w:vAlign w:val="center"/>
          </w:tcPr>
          <w:p w:rsidR="003A1D5A" w:rsidRPr="0088268B" w:rsidRDefault="003A1D5A" w:rsidP="003A1D5A">
            <w:pPr>
              <w:spacing w:beforeLines="60" w:before="144" w:afterLines="60" w:after="144" w:line="269" w:lineRule="auto"/>
              <w:jc w:val="center"/>
              <w:rPr>
                <w:rFonts w:ascii="Times New Roman" w:eastAsia="Times New Roman" w:hAnsi="Times New Roman" w:cs="Times New Roman"/>
                <w:b/>
                <w:color w:val="000000"/>
                <w:lang w:eastAsia="ru-RU"/>
              </w:rPr>
            </w:pPr>
            <w:r w:rsidRPr="0088268B">
              <w:rPr>
                <w:rFonts w:ascii="Times New Roman" w:eastAsia="Calibri" w:hAnsi="Times New Roman" w:cs="Times New Roman"/>
                <w:color w:val="000000"/>
              </w:rPr>
              <w:t>Расчетно-кассовое обслуживание</w:t>
            </w:r>
          </w:p>
        </w:tc>
        <w:tc>
          <w:tcPr>
            <w:tcW w:w="620" w:type="pct"/>
            <w:vAlign w:val="center"/>
          </w:tcPr>
          <w:p w:rsidR="003A1D5A" w:rsidRPr="0088268B" w:rsidRDefault="003A1D5A" w:rsidP="003A1D5A">
            <w:pPr>
              <w:spacing w:after="0" w:line="240" w:lineRule="auto"/>
              <w:jc w:val="center"/>
              <w:rPr>
                <w:rFonts w:ascii="Times New Roman" w:eastAsia="Calibri" w:hAnsi="Times New Roman" w:cs="Times New Roman"/>
                <w:b/>
                <w:bCs/>
                <w:color w:val="000000"/>
              </w:rPr>
            </w:pPr>
            <w:r w:rsidRPr="0088268B">
              <w:rPr>
                <w:rFonts w:ascii="Times New Roman" w:eastAsia="Calibri" w:hAnsi="Times New Roman" w:cs="Times New Roman"/>
                <w:b/>
                <w:bCs/>
                <w:color w:val="000000"/>
              </w:rPr>
              <w:t>65%</w:t>
            </w:r>
          </w:p>
        </w:tc>
        <w:tc>
          <w:tcPr>
            <w:tcW w:w="620" w:type="pct"/>
            <w:tcBorders>
              <w:top w:val="single" w:sz="4" w:space="0" w:color="auto"/>
              <w:left w:val="single" w:sz="8" w:space="0" w:color="auto"/>
              <w:bottom w:val="nil"/>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70%</w:t>
            </w:r>
          </w:p>
        </w:tc>
        <w:tc>
          <w:tcPr>
            <w:tcW w:w="543" w:type="pct"/>
            <w:tcBorders>
              <w:top w:val="single" w:sz="4" w:space="0" w:color="auto"/>
              <w:left w:val="nil"/>
              <w:bottom w:val="nil"/>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67%</w:t>
            </w:r>
          </w:p>
        </w:tc>
        <w:tc>
          <w:tcPr>
            <w:tcW w:w="698" w:type="pct"/>
            <w:tcBorders>
              <w:top w:val="single" w:sz="4" w:space="0" w:color="auto"/>
              <w:left w:val="nil"/>
              <w:bottom w:val="nil"/>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74%</w:t>
            </w:r>
          </w:p>
        </w:tc>
        <w:tc>
          <w:tcPr>
            <w:tcW w:w="684" w:type="pct"/>
            <w:tcBorders>
              <w:top w:val="single" w:sz="4" w:space="0" w:color="auto"/>
              <w:left w:val="nil"/>
              <w:bottom w:val="nil"/>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b/>
                <w:color w:val="000000"/>
              </w:rPr>
            </w:pPr>
            <w:r w:rsidRPr="0088268B">
              <w:rPr>
                <w:rFonts w:ascii="Times New Roman" w:eastAsia="Calibri" w:hAnsi="Times New Roman" w:cs="Times New Roman"/>
                <w:color w:val="000000"/>
              </w:rPr>
              <w:t>69%</w:t>
            </w:r>
          </w:p>
        </w:tc>
        <w:tc>
          <w:tcPr>
            <w:tcW w:w="809" w:type="pct"/>
            <w:tcBorders>
              <w:top w:val="single" w:sz="4" w:space="0" w:color="auto"/>
              <w:left w:val="nil"/>
              <w:bottom w:val="nil"/>
              <w:right w:val="single" w:sz="4" w:space="0" w:color="auto"/>
            </w:tcBorders>
            <w:vAlign w:val="center"/>
          </w:tcPr>
          <w:p w:rsidR="003A1D5A" w:rsidRPr="0088268B" w:rsidRDefault="003A1D5A" w:rsidP="003A1D5A">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53%</w:t>
            </w:r>
          </w:p>
        </w:tc>
      </w:tr>
      <w:tr w:rsidR="003A1D5A" w:rsidRPr="003A1D5A" w:rsidTr="0088268B">
        <w:trPr>
          <w:trHeight w:val="11"/>
        </w:trPr>
        <w:tc>
          <w:tcPr>
            <w:tcW w:w="1028" w:type="pct"/>
            <w:shd w:val="clear" w:color="auto" w:fill="auto"/>
            <w:vAlign w:val="center"/>
          </w:tcPr>
          <w:p w:rsidR="003A1D5A" w:rsidRPr="0088268B" w:rsidRDefault="003A1D5A" w:rsidP="003A1D5A">
            <w:pPr>
              <w:spacing w:beforeLines="60" w:before="144" w:afterLines="60" w:after="144" w:line="269" w:lineRule="auto"/>
              <w:jc w:val="center"/>
              <w:rPr>
                <w:rFonts w:ascii="Times New Roman" w:eastAsia="Times New Roman" w:hAnsi="Times New Roman" w:cs="Times New Roman"/>
                <w:color w:val="000000"/>
                <w:lang w:eastAsia="ru-RU"/>
              </w:rPr>
            </w:pPr>
            <w:r w:rsidRPr="0088268B">
              <w:rPr>
                <w:rFonts w:ascii="Times New Roman" w:eastAsia="Calibri" w:hAnsi="Times New Roman" w:cs="Times New Roman"/>
                <w:color w:val="000000"/>
              </w:rPr>
              <w:t>Зарплатные проекты</w:t>
            </w:r>
          </w:p>
        </w:tc>
        <w:tc>
          <w:tcPr>
            <w:tcW w:w="620" w:type="pct"/>
            <w:tcBorders>
              <w:top w:val="single" w:sz="4" w:space="0" w:color="auto"/>
              <w:left w:val="nil"/>
              <w:bottom w:val="single" w:sz="4" w:space="0" w:color="auto"/>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b/>
                <w:bCs/>
                <w:color w:val="000000"/>
              </w:rPr>
            </w:pPr>
            <w:r w:rsidRPr="0088268B">
              <w:rPr>
                <w:rFonts w:ascii="Times New Roman" w:eastAsia="Calibri" w:hAnsi="Times New Roman" w:cs="Times New Roman"/>
                <w:b/>
                <w:bCs/>
                <w:color w:val="000000"/>
              </w:rPr>
              <w:t>63%</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55%</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66%</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72%</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71%</w:t>
            </w:r>
          </w:p>
        </w:tc>
        <w:tc>
          <w:tcPr>
            <w:tcW w:w="809" w:type="pct"/>
            <w:tcBorders>
              <w:top w:val="single" w:sz="4" w:space="0" w:color="auto"/>
              <w:left w:val="single" w:sz="4" w:space="0" w:color="auto"/>
              <w:bottom w:val="single" w:sz="4" w:space="0" w:color="auto"/>
              <w:right w:val="single" w:sz="4" w:space="0" w:color="auto"/>
            </w:tcBorders>
            <w:vAlign w:val="center"/>
          </w:tcPr>
          <w:p w:rsidR="003A1D5A" w:rsidRPr="0088268B" w:rsidRDefault="003A1D5A" w:rsidP="003A1D5A">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64%</w:t>
            </w:r>
          </w:p>
        </w:tc>
      </w:tr>
      <w:tr w:rsidR="003A1D5A" w:rsidRPr="003A1D5A" w:rsidTr="0088268B">
        <w:trPr>
          <w:trHeight w:val="11"/>
        </w:trPr>
        <w:tc>
          <w:tcPr>
            <w:tcW w:w="1028" w:type="pct"/>
            <w:shd w:val="clear" w:color="auto" w:fill="auto"/>
            <w:vAlign w:val="center"/>
          </w:tcPr>
          <w:p w:rsidR="003A1D5A" w:rsidRPr="0088268B" w:rsidRDefault="003A1D5A" w:rsidP="003A1D5A">
            <w:pPr>
              <w:spacing w:beforeLines="60" w:before="144" w:afterLines="60" w:after="144" w:line="269" w:lineRule="auto"/>
              <w:jc w:val="center"/>
              <w:rPr>
                <w:rFonts w:ascii="Times New Roman" w:eastAsia="Times New Roman" w:hAnsi="Times New Roman" w:cs="Times New Roman"/>
                <w:color w:val="000000"/>
                <w:lang w:eastAsia="ru-RU"/>
              </w:rPr>
            </w:pPr>
            <w:r w:rsidRPr="0088268B">
              <w:rPr>
                <w:rFonts w:ascii="Times New Roman" w:eastAsia="Calibri" w:hAnsi="Times New Roman" w:cs="Times New Roman"/>
                <w:color w:val="000000"/>
              </w:rPr>
              <w:t>Добровольное медицинское страхование работников (ДМС)</w:t>
            </w:r>
          </w:p>
        </w:tc>
        <w:tc>
          <w:tcPr>
            <w:tcW w:w="620" w:type="pct"/>
            <w:tcBorders>
              <w:top w:val="single" w:sz="4" w:space="0" w:color="auto"/>
              <w:left w:val="nil"/>
              <w:bottom w:val="single" w:sz="4" w:space="0" w:color="auto"/>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b/>
                <w:bCs/>
                <w:color w:val="000000"/>
              </w:rPr>
            </w:pPr>
            <w:r w:rsidRPr="0088268B">
              <w:rPr>
                <w:rFonts w:ascii="Times New Roman" w:eastAsia="Calibri" w:hAnsi="Times New Roman" w:cs="Times New Roman"/>
                <w:b/>
                <w:bCs/>
                <w:color w:val="000000"/>
              </w:rPr>
              <w:t>43%</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25%</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bCs/>
                <w:color w:val="000000"/>
              </w:rPr>
            </w:pPr>
            <w:r w:rsidRPr="0088268B">
              <w:rPr>
                <w:rFonts w:ascii="Times New Roman" w:eastAsia="Calibri" w:hAnsi="Times New Roman" w:cs="Times New Roman"/>
                <w:color w:val="000000"/>
              </w:rPr>
              <w:t>47%</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63%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75%</w:t>
            </w:r>
          </w:p>
        </w:tc>
        <w:tc>
          <w:tcPr>
            <w:tcW w:w="809" w:type="pct"/>
            <w:tcBorders>
              <w:top w:val="single" w:sz="4" w:space="0" w:color="auto"/>
              <w:left w:val="single" w:sz="4" w:space="0" w:color="auto"/>
              <w:bottom w:val="single" w:sz="4" w:space="0" w:color="auto"/>
              <w:right w:val="single" w:sz="4" w:space="0" w:color="auto"/>
            </w:tcBorders>
            <w:vAlign w:val="center"/>
          </w:tcPr>
          <w:p w:rsidR="003A1D5A" w:rsidRPr="0088268B" w:rsidRDefault="003A1D5A" w:rsidP="003A1D5A">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43%</w:t>
            </w:r>
          </w:p>
        </w:tc>
      </w:tr>
      <w:tr w:rsidR="003A1D5A" w:rsidRPr="003A1D5A" w:rsidTr="0088268B">
        <w:trPr>
          <w:trHeight w:val="11"/>
        </w:trPr>
        <w:tc>
          <w:tcPr>
            <w:tcW w:w="1028" w:type="pct"/>
            <w:shd w:val="clear" w:color="auto" w:fill="auto"/>
            <w:vAlign w:val="center"/>
          </w:tcPr>
          <w:p w:rsidR="003A1D5A" w:rsidRPr="0088268B" w:rsidRDefault="003A1D5A" w:rsidP="003A1D5A">
            <w:pPr>
              <w:spacing w:beforeLines="60" w:before="144" w:afterLines="60" w:after="144" w:line="269" w:lineRule="auto"/>
              <w:jc w:val="center"/>
              <w:rPr>
                <w:rFonts w:ascii="Times New Roman" w:eastAsia="Times New Roman" w:hAnsi="Times New Roman" w:cs="Times New Roman"/>
                <w:color w:val="000000"/>
                <w:lang w:eastAsia="ru-RU"/>
              </w:rPr>
            </w:pPr>
            <w:r w:rsidRPr="0088268B">
              <w:rPr>
                <w:rFonts w:ascii="Times New Roman" w:eastAsia="Calibri" w:hAnsi="Times New Roman" w:cs="Times New Roman"/>
                <w:color w:val="000000"/>
              </w:rPr>
              <w:t>Кредитование</w:t>
            </w:r>
          </w:p>
        </w:tc>
        <w:tc>
          <w:tcPr>
            <w:tcW w:w="620" w:type="pct"/>
            <w:tcBorders>
              <w:top w:val="single" w:sz="4" w:space="0" w:color="auto"/>
              <w:left w:val="nil"/>
              <w:bottom w:val="single" w:sz="4" w:space="0" w:color="auto"/>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b/>
                <w:bCs/>
                <w:color w:val="000000"/>
              </w:rPr>
            </w:pPr>
            <w:r w:rsidRPr="0088268B">
              <w:rPr>
                <w:rFonts w:ascii="Times New Roman" w:eastAsia="Calibri" w:hAnsi="Times New Roman" w:cs="Times New Roman"/>
                <w:b/>
                <w:bCs/>
                <w:color w:val="000000"/>
              </w:rPr>
              <w:t>43%</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41%</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bCs/>
                <w:color w:val="000000"/>
              </w:rPr>
            </w:pPr>
            <w:r w:rsidRPr="0088268B">
              <w:rPr>
                <w:rFonts w:ascii="Times New Roman" w:eastAsia="Calibri" w:hAnsi="Times New Roman" w:cs="Times New Roman"/>
                <w:color w:val="000000"/>
              </w:rPr>
              <w:t>50%</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49%</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47%</w:t>
            </w:r>
          </w:p>
        </w:tc>
        <w:tc>
          <w:tcPr>
            <w:tcW w:w="809" w:type="pct"/>
            <w:tcBorders>
              <w:top w:val="single" w:sz="4" w:space="0" w:color="auto"/>
              <w:left w:val="single" w:sz="4" w:space="0" w:color="auto"/>
              <w:bottom w:val="single" w:sz="4" w:space="0" w:color="auto"/>
              <w:right w:val="single" w:sz="4" w:space="0" w:color="auto"/>
            </w:tcBorders>
            <w:vAlign w:val="center"/>
          </w:tcPr>
          <w:p w:rsidR="003A1D5A" w:rsidRPr="0088268B" w:rsidRDefault="003A1D5A" w:rsidP="003A1D5A">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37%</w:t>
            </w:r>
          </w:p>
        </w:tc>
      </w:tr>
      <w:tr w:rsidR="003A1D5A" w:rsidRPr="003A1D5A" w:rsidTr="0088268B">
        <w:trPr>
          <w:trHeight w:val="11"/>
        </w:trPr>
        <w:tc>
          <w:tcPr>
            <w:tcW w:w="1028" w:type="pct"/>
            <w:shd w:val="clear" w:color="auto" w:fill="auto"/>
            <w:vAlign w:val="center"/>
          </w:tcPr>
          <w:p w:rsidR="003A1D5A" w:rsidRPr="0088268B" w:rsidRDefault="003A1D5A" w:rsidP="003A1D5A">
            <w:pPr>
              <w:spacing w:beforeLines="60" w:before="144" w:afterLines="60" w:after="144" w:line="269" w:lineRule="auto"/>
              <w:jc w:val="center"/>
              <w:rPr>
                <w:rFonts w:ascii="Times New Roman" w:eastAsia="Times New Roman" w:hAnsi="Times New Roman" w:cs="Times New Roman"/>
                <w:color w:val="000000"/>
                <w:lang w:eastAsia="ru-RU"/>
              </w:rPr>
            </w:pPr>
            <w:r w:rsidRPr="0088268B">
              <w:rPr>
                <w:rFonts w:ascii="Times New Roman" w:eastAsia="Calibri" w:hAnsi="Times New Roman" w:cs="Times New Roman"/>
                <w:color w:val="000000"/>
              </w:rPr>
              <w:t>Страхование имущества</w:t>
            </w:r>
          </w:p>
        </w:tc>
        <w:tc>
          <w:tcPr>
            <w:tcW w:w="620" w:type="pct"/>
            <w:tcBorders>
              <w:top w:val="single" w:sz="4" w:space="0" w:color="auto"/>
              <w:left w:val="nil"/>
              <w:bottom w:val="single" w:sz="4" w:space="0" w:color="auto"/>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b/>
                <w:bCs/>
                <w:color w:val="000000"/>
              </w:rPr>
            </w:pPr>
            <w:r w:rsidRPr="0088268B">
              <w:rPr>
                <w:rFonts w:ascii="Times New Roman" w:eastAsia="Calibri" w:hAnsi="Times New Roman" w:cs="Times New Roman"/>
                <w:b/>
                <w:bCs/>
                <w:color w:val="000000"/>
              </w:rPr>
              <w:t>42%</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28%</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bCs/>
                <w:color w:val="000000"/>
              </w:rPr>
            </w:pPr>
            <w:r w:rsidRPr="0088268B">
              <w:rPr>
                <w:rFonts w:ascii="Times New Roman" w:eastAsia="Calibri" w:hAnsi="Times New Roman" w:cs="Times New Roman"/>
                <w:color w:val="000000"/>
              </w:rPr>
              <w:t>46%</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56%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58%</w:t>
            </w:r>
          </w:p>
        </w:tc>
        <w:tc>
          <w:tcPr>
            <w:tcW w:w="809" w:type="pct"/>
            <w:tcBorders>
              <w:top w:val="single" w:sz="4" w:space="0" w:color="auto"/>
              <w:left w:val="single" w:sz="4" w:space="0" w:color="auto"/>
              <w:bottom w:val="single" w:sz="4" w:space="0" w:color="auto"/>
              <w:right w:val="single" w:sz="4" w:space="0" w:color="auto"/>
            </w:tcBorders>
            <w:vAlign w:val="center"/>
          </w:tcPr>
          <w:p w:rsidR="003A1D5A" w:rsidRPr="0088268B" w:rsidRDefault="003A1D5A" w:rsidP="003A1D5A">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46%</w:t>
            </w:r>
          </w:p>
        </w:tc>
      </w:tr>
      <w:tr w:rsidR="003A1D5A" w:rsidRPr="003A1D5A" w:rsidTr="0088268B">
        <w:trPr>
          <w:trHeight w:val="11"/>
        </w:trPr>
        <w:tc>
          <w:tcPr>
            <w:tcW w:w="1028" w:type="pct"/>
            <w:shd w:val="clear" w:color="auto" w:fill="auto"/>
            <w:vAlign w:val="center"/>
          </w:tcPr>
          <w:p w:rsidR="003A1D5A" w:rsidRPr="0088268B" w:rsidRDefault="003A1D5A" w:rsidP="003A1D5A">
            <w:pPr>
              <w:spacing w:beforeLines="60" w:before="144" w:afterLines="60" w:after="144" w:line="269"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Услуги эквайринга</w:t>
            </w:r>
          </w:p>
        </w:tc>
        <w:tc>
          <w:tcPr>
            <w:tcW w:w="620" w:type="pct"/>
            <w:tcBorders>
              <w:top w:val="single" w:sz="4" w:space="0" w:color="auto"/>
              <w:left w:val="nil"/>
              <w:bottom w:val="single" w:sz="4" w:space="0" w:color="auto"/>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b/>
                <w:bCs/>
                <w:color w:val="000000"/>
              </w:rPr>
            </w:pPr>
            <w:r w:rsidRPr="0088268B">
              <w:rPr>
                <w:rFonts w:ascii="Times New Roman" w:eastAsia="Calibri" w:hAnsi="Times New Roman" w:cs="Times New Roman"/>
                <w:b/>
                <w:bCs/>
                <w:color w:val="000000"/>
              </w:rPr>
              <w:t>34%</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37%</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bCs/>
                <w:color w:val="000000"/>
              </w:rPr>
            </w:pPr>
            <w:r w:rsidRPr="0088268B">
              <w:rPr>
                <w:rFonts w:ascii="Times New Roman" w:eastAsia="Calibri" w:hAnsi="Times New Roman" w:cs="Times New Roman"/>
                <w:color w:val="000000"/>
              </w:rPr>
              <w:t>38%</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37%</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37%</w:t>
            </w:r>
          </w:p>
        </w:tc>
        <w:tc>
          <w:tcPr>
            <w:tcW w:w="809" w:type="pct"/>
            <w:tcBorders>
              <w:top w:val="single" w:sz="4" w:space="0" w:color="auto"/>
              <w:left w:val="single" w:sz="4" w:space="0" w:color="auto"/>
              <w:bottom w:val="single" w:sz="4" w:space="0" w:color="auto"/>
              <w:right w:val="single" w:sz="4" w:space="0" w:color="auto"/>
            </w:tcBorders>
            <w:vAlign w:val="center"/>
          </w:tcPr>
          <w:p w:rsidR="003A1D5A" w:rsidRPr="0088268B" w:rsidRDefault="003A1D5A" w:rsidP="003A1D5A">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22%</w:t>
            </w:r>
          </w:p>
        </w:tc>
      </w:tr>
      <w:tr w:rsidR="003A1D5A" w:rsidRPr="003A1D5A" w:rsidTr="0088268B">
        <w:trPr>
          <w:trHeight w:val="11"/>
        </w:trPr>
        <w:tc>
          <w:tcPr>
            <w:tcW w:w="1028" w:type="pct"/>
            <w:shd w:val="clear" w:color="auto" w:fill="auto"/>
            <w:vAlign w:val="center"/>
          </w:tcPr>
          <w:p w:rsidR="003A1D5A" w:rsidRPr="0088268B" w:rsidRDefault="003A1D5A" w:rsidP="003A1D5A">
            <w:pPr>
              <w:spacing w:beforeLines="60" w:before="144" w:afterLines="60" w:after="144" w:line="269"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Инвестиционные услуги</w:t>
            </w:r>
          </w:p>
        </w:tc>
        <w:tc>
          <w:tcPr>
            <w:tcW w:w="620" w:type="pct"/>
            <w:tcBorders>
              <w:top w:val="single" w:sz="4" w:space="0" w:color="auto"/>
              <w:left w:val="nil"/>
              <w:bottom w:val="single" w:sz="4" w:space="0" w:color="auto"/>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b/>
                <w:bCs/>
                <w:color w:val="000000"/>
              </w:rPr>
            </w:pPr>
            <w:r w:rsidRPr="0088268B">
              <w:rPr>
                <w:rFonts w:ascii="Times New Roman" w:eastAsia="Calibri" w:hAnsi="Times New Roman" w:cs="Times New Roman"/>
                <w:b/>
                <w:bCs/>
                <w:color w:val="000000"/>
              </w:rPr>
              <w:t>22%</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11%</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bCs/>
                <w:color w:val="000000"/>
              </w:rPr>
            </w:pPr>
            <w:r w:rsidRPr="0088268B">
              <w:rPr>
                <w:rFonts w:ascii="Times New Roman" w:eastAsia="Calibri" w:hAnsi="Times New Roman" w:cs="Times New Roman"/>
                <w:color w:val="000000"/>
              </w:rPr>
              <w:t>28%</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35%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37%</w:t>
            </w:r>
          </w:p>
        </w:tc>
        <w:tc>
          <w:tcPr>
            <w:tcW w:w="809" w:type="pct"/>
            <w:tcBorders>
              <w:top w:val="single" w:sz="4" w:space="0" w:color="auto"/>
              <w:left w:val="single" w:sz="4" w:space="0" w:color="auto"/>
              <w:bottom w:val="single" w:sz="4" w:space="0" w:color="auto"/>
              <w:right w:val="single" w:sz="4" w:space="0" w:color="auto"/>
            </w:tcBorders>
            <w:vAlign w:val="center"/>
          </w:tcPr>
          <w:p w:rsidR="003A1D5A" w:rsidRPr="0088268B" w:rsidRDefault="003A1D5A" w:rsidP="003A1D5A">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19%</w:t>
            </w:r>
          </w:p>
        </w:tc>
      </w:tr>
      <w:tr w:rsidR="003A1D5A" w:rsidRPr="003A1D5A" w:rsidTr="0088268B">
        <w:trPr>
          <w:trHeight w:val="11"/>
        </w:trPr>
        <w:tc>
          <w:tcPr>
            <w:tcW w:w="1028" w:type="pct"/>
            <w:shd w:val="clear" w:color="auto" w:fill="auto"/>
            <w:vAlign w:val="center"/>
          </w:tcPr>
          <w:p w:rsidR="003A1D5A" w:rsidRPr="0088268B" w:rsidRDefault="003A1D5A" w:rsidP="003A1D5A">
            <w:pPr>
              <w:spacing w:beforeLines="60" w:before="144" w:afterLines="60" w:after="144" w:line="269"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Услуги микрофинансовых организаций</w:t>
            </w:r>
          </w:p>
        </w:tc>
        <w:tc>
          <w:tcPr>
            <w:tcW w:w="620" w:type="pct"/>
            <w:tcBorders>
              <w:top w:val="single" w:sz="4" w:space="0" w:color="auto"/>
              <w:left w:val="nil"/>
              <w:bottom w:val="single" w:sz="4" w:space="0" w:color="auto"/>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b/>
                <w:bCs/>
                <w:color w:val="000000"/>
              </w:rPr>
            </w:pPr>
            <w:r w:rsidRPr="0088268B">
              <w:rPr>
                <w:rFonts w:ascii="Times New Roman" w:eastAsia="Calibri" w:hAnsi="Times New Roman" w:cs="Times New Roman"/>
                <w:b/>
                <w:bCs/>
                <w:color w:val="000000"/>
              </w:rPr>
              <w:t>6%</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7%</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bCs/>
                <w:color w:val="000000"/>
              </w:rPr>
            </w:pPr>
            <w:r w:rsidRPr="0088268B">
              <w:rPr>
                <w:rFonts w:ascii="Times New Roman" w:eastAsia="Calibri" w:hAnsi="Times New Roman" w:cs="Times New Roman"/>
                <w:color w:val="000000"/>
              </w:rPr>
              <w:t>6%</w:t>
            </w:r>
          </w:p>
        </w:tc>
        <w:tc>
          <w:tcPr>
            <w:tcW w:w="698"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9%</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88268B" w:rsidRDefault="003A1D5A" w:rsidP="003A1D5A">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7%</w:t>
            </w:r>
          </w:p>
        </w:tc>
        <w:tc>
          <w:tcPr>
            <w:tcW w:w="809" w:type="pct"/>
            <w:tcBorders>
              <w:top w:val="single" w:sz="4" w:space="0" w:color="auto"/>
              <w:left w:val="single" w:sz="4" w:space="0" w:color="auto"/>
              <w:bottom w:val="single" w:sz="4" w:space="0" w:color="auto"/>
              <w:right w:val="single" w:sz="4" w:space="0" w:color="auto"/>
            </w:tcBorders>
            <w:vAlign w:val="center"/>
          </w:tcPr>
          <w:p w:rsidR="003A1D5A" w:rsidRPr="0088268B" w:rsidRDefault="003A1D5A" w:rsidP="003A1D5A">
            <w:pPr>
              <w:spacing w:after="0" w:line="240" w:lineRule="auto"/>
              <w:jc w:val="center"/>
              <w:rPr>
                <w:rFonts w:ascii="Times New Roman" w:eastAsia="Calibri" w:hAnsi="Times New Roman" w:cs="Times New Roman"/>
                <w:color w:val="000000"/>
              </w:rPr>
            </w:pPr>
            <w:r w:rsidRPr="0088268B">
              <w:rPr>
                <w:rFonts w:ascii="Times New Roman" w:eastAsia="Calibri" w:hAnsi="Times New Roman" w:cs="Times New Roman"/>
                <w:color w:val="000000"/>
              </w:rPr>
              <w:t>5%</w:t>
            </w:r>
          </w:p>
        </w:tc>
      </w:tr>
    </w:tbl>
    <w:p w:rsidR="003A1D5A" w:rsidRPr="003A1D5A" w:rsidRDefault="003A1D5A" w:rsidP="003A1D5A">
      <w:pPr>
        <w:spacing w:after="0" w:line="360" w:lineRule="auto"/>
        <w:ind w:firstLine="709"/>
        <w:jc w:val="both"/>
        <w:rPr>
          <w:rFonts w:ascii="Times New Roman" w:eastAsia="Times New Roman" w:hAnsi="Times New Roman" w:cs="Times New Roman"/>
          <w:color w:val="000000"/>
          <w:sz w:val="28"/>
          <w:szCs w:val="28"/>
          <w:lang w:eastAsia="ru-RU"/>
        </w:rPr>
      </w:pPr>
    </w:p>
    <w:p w:rsidR="003A1D5A" w:rsidRPr="0088268B" w:rsidRDefault="003A1D5A" w:rsidP="003A1D5A">
      <w:pPr>
        <w:spacing w:after="0" w:line="360" w:lineRule="auto"/>
        <w:ind w:firstLine="709"/>
        <w:jc w:val="both"/>
        <w:rPr>
          <w:rFonts w:ascii="Times New Roman" w:eastAsia="Times New Roman" w:hAnsi="Times New Roman" w:cs="Times New Roman"/>
          <w:color w:val="000000"/>
          <w:sz w:val="24"/>
          <w:szCs w:val="24"/>
          <w:lang w:eastAsia="ru-RU"/>
        </w:rPr>
      </w:pPr>
      <w:r w:rsidRPr="0088268B">
        <w:rPr>
          <w:rFonts w:ascii="Times New Roman" w:eastAsia="Times New Roman" w:hAnsi="Times New Roman" w:cs="Times New Roman"/>
          <w:color w:val="000000"/>
          <w:sz w:val="24"/>
          <w:szCs w:val="24"/>
          <w:lang w:eastAsia="ru-RU"/>
        </w:rPr>
        <w:t>Средние предприятия демонстрируют наиболее широкий спектр пользования финансовыми продуктами и услугами. Чаще остальных компаний предприятия данного сегмента рынка используют расчетно-кассовое обслуживание (74%), зарплатные проекты (72%). Представители крупных предприятий чаще являются пользователями добровольного страхования сотрудников (75%), страхования имущества (58%). Относительно малых предприятий зафиксирован средний уровень активности, на уровне средних показателей по региону в целом. Наименее активными пользователями финансовых продуктов и услуг стали микропредприятия, продемонстрировав минимальные показатели пользования практически по всему спектру перечисленных выше продуктов и услуги.</w:t>
      </w:r>
    </w:p>
    <w:p w:rsidR="003A1D5A" w:rsidRPr="0088268B" w:rsidRDefault="0088268B" w:rsidP="003A1D5A">
      <w:pPr>
        <w:keepNext/>
        <w:keepLines/>
        <w:spacing w:before="40" w:after="240" w:line="240" w:lineRule="auto"/>
        <w:jc w:val="center"/>
        <w:outlineLvl w:val="2"/>
        <w:rPr>
          <w:rFonts w:ascii="Times New Roman" w:eastAsia="Arial" w:hAnsi="Times New Roman" w:cs="Times New Roman"/>
          <w:b/>
          <w:color w:val="000000"/>
          <w:sz w:val="24"/>
          <w:szCs w:val="24"/>
          <w:lang w:eastAsia="ru-RU"/>
        </w:rPr>
      </w:pPr>
      <w:bookmarkStart w:id="89" w:name="_Toc119695556"/>
      <w:bookmarkStart w:id="90" w:name="_Toc122720259"/>
      <w:r w:rsidRPr="0088268B">
        <w:rPr>
          <w:rFonts w:ascii="Times New Roman" w:eastAsia="Arial" w:hAnsi="Times New Roman" w:cs="Times New Roman"/>
          <w:b/>
          <w:color w:val="000000"/>
          <w:sz w:val="24"/>
          <w:szCs w:val="24"/>
          <w:lang w:eastAsia="ru-RU"/>
        </w:rPr>
        <w:t>3.7</w:t>
      </w:r>
      <w:r w:rsidR="003A1D5A" w:rsidRPr="0088268B">
        <w:rPr>
          <w:rFonts w:ascii="Times New Roman" w:eastAsia="Arial" w:hAnsi="Times New Roman" w:cs="Times New Roman"/>
          <w:b/>
          <w:color w:val="000000"/>
          <w:sz w:val="24"/>
          <w:szCs w:val="24"/>
          <w:lang w:eastAsia="ru-RU"/>
        </w:rPr>
        <w:t>.6 </w:t>
      </w:r>
      <w:r>
        <w:rPr>
          <w:rFonts w:ascii="Times New Roman" w:eastAsia="Arial" w:hAnsi="Times New Roman" w:cs="Times New Roman"/>
          <w:b/>
          <w:color w:val="000000"/>
          <w:sz w:val="24"/>
          <w:szCs w:val="24"/>
          <w:lang w:eastAsia="ru-RU"/>
        </w:rPr>
        <w:t xml:space="preserve">. </w:t>
      </w:r>
      <w:r w:rsidR="003A1D5A" w:rsidRPr="0088268B">
        <w:rPr>
          <w:rFonts w:ascii="Times New Roman" w:eastAsia="Arial" w:hAnsi="Times New Roman" w:cs="Times New Roman"/>
          <w:b/>
          <w:color w:val="000000"/>
          <w:sz w:val="24"/>
          <w:szCs w:val="24"/>
          <w:lang w:eastAsia="ru-RU"/>
        </w:rPr>
        <w:t>О возможности использования</w:t>
      </w:r>
      <w:r w:rsidR="003A1D5A" w:rsidRPr="0088268B">
        <w:rPr>
          <w:rFonts w:ascii="Times New Roman" w:eastAsia="Calibri" w:hAnsi="Times New Roman" w:cs="Times New Roman"/>
          <w:b/>
          <w:bCs/>
          <w:color w:val="000000"/>
          <w:sz w:val="24"/>
          <w:szCs w:val="24"/>
          <w:lang w:eastAsia="ru-RU"/>
        </w:rPr>
        <w:t xml:space="preserve"> субъектами малого и среднего предпринимательства (юридических лиц) различных каналов доступа к финансовым услугам (в том числе дистанционным)</w:t>
      </w:r>
      <w:bookmarkEnd w:id="89"/>
      <w:bookmarkEnd w:id="90"/>
    </w:p>
    <w:p w:rsidR="003A1D5A" w:rsidRPr="0088268B" w:rsidRDefault="003A1D5A" w:rsidP="003A1D5A">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88268B">
        <w:rPr>
          <w:rFonts w:ascii="Times New Roman" w:eastAsia="Times New Roman" w:hAnsi="Times New Roman" w:cs="Times New Roman"/>
          <w:color w:val="000000"/>
          <w:sz w:val="24"/>
          <w:szCs w:val="24"/>
          <w:lang w:eastAsia="ru-RU"/>
        </w:rPr>
        <w:t>Представители бизнеса Ленинградской области высоко оценивают уровень доступности каналов предоставления финансовых услуг в регионе. Максимальную оценку получили Интернет-банкинг через мобильное приложение и Интер-банкинг через стационарный компьютер, ноутбук (4,4 балла). Наименее доступным каналом, по мнению опрошенных предпринимателей, являются отделения банков, обслуживающих юридических лиц (4,1 балл).</w:t>
      </w:r>
    </w:p>
    <w:p w:rsidR="003A1D5A" w:rsidRPr="0088268B" w:rsidRDefault="003A1D5A" w:rsidP="003A1D5A">
      <w:pPr>
        <w:spacing w:after="0" w:line="360" w:lineRule="auto"/>
        <w:ind w:firstLine="709"/>
        <w:jc w:val="both"/>
        <w:rPr>
          <w:rFonts w:ascii="Times New Roman" w:eastAsia="Times New Roman" w:hAnsi="Times New Roman" w:cs="Times New Roman"/>
          <w:color w:val="000000"/>
          <w:sz w:val="24"/>
          <w:szCs w:val="24"/>
          <w:lang w:eastAsia="ru-RU"/>
        </w:rPr>
      </w:pPr>
      <w:r w:rsidRPr="0088268B">
        <w:rPr>
          <w:rFonts w:ascii="Times New Roman" w:eastAsia="Times New Roman" w:hAnsi="Times New Roman" w:cs="Times New Roman"/>
          <w:color w:val="000000"/>
          <w:sz w:val="24"/>
          <w:szCs w:val="24"/>
          <w:lang w:eastAsia="ru-RU"/>
        </w:rPr>
        <w:t>Уровень доступности каналов предоставления финансовых услуг в Ленинградской области в разрезе по размеру бизнеса представлен в таблице ниже.</w:t>
      </w:r>
    </w:p>
    <w:p w:rsidR="003A1D5A" w:rsidRPr="0088268B" w:rsidRDefault="003A1D5A" w:rsidP="0088268B">
      <w:pPr>
        <w:keepNext/>
        <w:keepLines/>
        <w:spacing w:before="120" w:after="120" w:line="240" w:lineRule="auto"/>
        <w:jc w:val="center"/>
        <w:rPr>
          <w:rFonts w:ascii="Times New Roman" w:eastAsia="Calibri" w:hAnsi="Times New Roman" w:cs="Times New Roman"/>
          <w:iCs/>
          <w:color w:val="000000"/>
          <w:sz w:val="24"/>
          <w:szCs w:val="24"/>
        </w:rPr>
      </w:pPr>
      <w:r w:rsidRPr="0088268B">
        <w:rPr>
          <w:rFonts w:ascii="Times New Roman" w:eastAsia="Calibri" w:hAnsi="Times New Roman" w:cs="Times New Roman"/>
          <w:iCs/>
          <w:color w:val="000000"/>
          <w:sz w:val="24"/>
          <w:szCs w:val="24"/>
        </w:rPr>
        <w:t xml:space="preserve">Таблица </w:t>
      </w:r>
      <w:r w:rsidR="0088268B" w:rsidRPr="0088268B">
        <w:rPr>
          <w:rFonts w:ascii="Times New Roman" w:eastAsia="Calibri" w:hAnsi="Times New Roman" w:cs="Times New Roman"/>
          <w:iCs/>
          <w:color w:val="000000"/>
          <w:sz w:val="24"/>
          <w:szCs w:val="24"/>
        </w:rPr>
        <w:t>55</w:t>
      </w:r>
      <w:r w:rsidRPr="0088268B">
        <w:rPr>
          <w:rFonts w:ascii="Times New Roman" w:eastAsia="Calibri" w:hAnsi="Times New Roman" w:cs="Times New Roman"/>
          <w:iCs/>
          <w:color w:val="000000"/>
          <w:sz w:val="24"/>
          <w:szCs w:val="24"/>
        </w:rPr>
        <w:t xml:space="preserve">. </w:t>
      </w:r>
      <w:r w:rsidRPr="0088268B">
        <w:rPr>
          <w:rFonts w:ascii="Times New Roman" w:eastAsia="Calibri" w:hAnsi="Times New Roman" w:cs="Times New Roman"/>
          <w:bCs/>
          <w:color w:val="000000"/>
          <w:sz w:val="24"/>
          <w:szCs w:val="24"/>
          <w:shd w:val="clear" w:color="auto" w:fill="FFFFFF"/>
        </w:rPr>
        <w:t>Какие каналы предоставления финансовых услуг бизнесу доступны для Вашей организации в Ленинградской области</w:t>
      </w:r>
      <w:r w:rsidRPr="0088268B">
        <w:rPr>
          <w:rFonts w:ascii="Times New Roman" w:eastAsia="Calibri" w:hAnsi="Times New Roman" w:cs="Times New Roman"/>
          <w:iCs/>
          <w:color w:val="000000"/>
          <w:sz w:val="24"/>
          <w:szCs w:val="24"/>
        </w:rPr>
        <w:t xml:space="preserve">? </w:t>
      </w:r>
      <w:r w:rsidRPr="0088268B">
        <w:rPr>
          <w:rFonts w:ascii="Times New Roman" w:eastAsia="Calibri" w:hAnsi="Times New Roman" w:cs="Times New Roman"/>
          <w:noProof/>
          <w:color w:val="000000"/>
          <w:sz w:val="24"/>
          <w:szCs w:val="24"/>
        </w:rPr>
        <w:t xml:space="preserve">(опрос предпринимателей, % от числа опрошенных. </w:t>
      </w:r>
      <w:r w:rsidRPr="0088268B">
        <w:rPr>
          <w:rFonts w:ascii="Times New Roman" w:eastAsia="Calibri" w:hAnsi="Times New Roman" w:cs="Times New Roman"/>
          <w:noProof/>
          <w:color w:val="000000"/>
          <w:sz w:val="24"/>
          <w:szCs w:val="24"/>
          <w:lang w:val="en-US"/>
        </w:rPr>
        <w:t>n</w:t>
      </w:r>
      <w:r w:rsidRPr="0088268B">
        <w:rPr>
          <w:rFonts w:ascii="Times New Roman" w:eastAsia="Calibri" w:hAnsi="Times New Roman" w:cs="Times New Roman"/>
          <w:noProof/>
          <w:color w:val="000000"/>
          <w:sz w:val="24"/>
          <w:szCs w:val="24"/>
        </w:rPr>
        <w:t xml:space="preserve"> = 500; оценка по 5-балльной шкале, где 1- практически недоступно, 5 – легко доступно</w:t>
      </w:r>
      <w:r w:rsidRPr="0088268B">
        <w:rPr>
          <w:rFonts w:ascii="Times New Roman" w:eastAsia="Calibri" w:hAnsi="Times New Roman" w:cs="Times New Roman"/>
          <w:color w:val="000000"/>
          <w:sz w:val="24"/>
          <w:szCs w:val="24"/>
        </w:rPr>
        <w:t>)</w:t>
      </w: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1"/>
        <w:gridCol w:w="1330"/>
        <w:gridCol w:w="1330"/>
        <w:gridCol w:w="1330"/>
        <w:gridCol w:w="1330"/>
        <w:gridCol w:w="1330"/>
        <w:gridCol w:w="1330"/>
      </w:tblGrid>
      <w:tr w:rsidR="003A1D5A" w:rsidRPr="003A1D5A" w:rsidTr="003B4122">
        <w:trPr>
          <w:cantSplit/>
          <w:trHeight w:val="2108"/>
          <w:tblHeader/>
        </w:trPr>
        <w:tc>
          <w:tcPr>
            <w:tcW w:w="1178" w:type="pct"/>
            <w:shd w:val="clear" w:color="auto" w:fill="auto"/>
            <w:noWrap/>
            <w:vAlign w:val="center"/>
          </w:tcPr>
          <w:p w:rsidR="003A1D5A" w:rsidRPr="003A1D5A" w:rsidRDefault="003A1D5A" w:rsidP="003A1D5A">
            <w:pPr>
              <w:spacing w:after="0" w:line="240" w:lineRule="auto"/>
              <w:jc w:val="center"/>
              <w:rPr>
                <w:rFonts w:ascii="Times New Roman" w:eastAsia="Times New Roman" w:hAnsi="Times New Roman" w:cs="Times New Roman"/>
                <w:color w:val="000000"/>
                <w:lang w:eastAsia="ru-RU"/>
              </w:rPr>
            </w:pPr>
          </w:p>
        </w:tc>
        <w:tc>
          <w:tcPr>
            <w:tcW w:w="637" w:type="pct"/>
            <w:shd w:val="clear" w:color="auto" w:fill="auto"/>
            <w:textDirection w:val="btLr"/>
            <w:vAlign w:val="center"/>
          </w:tcPr>
          <w:p w:rsidR="003A1D5A" w:rsidRPr="003A1D5A" w:rsidRDefault="003A1D5A" w:rsidP="003A1D5A">
            <w:pPr>
              <w:spacing w:after="0" w:line="240" w:lineRule="auto"/>
              <w:ind w:left="113" w:right="113"/>
              <w:jc w:val="center"/>
              <w:rPr>
                <w:rFonts w:ascii="Times New Roman" w:eastAsia="Times New Roman" w:hAnsi="Times New Roman" w:cs="Times New Roman"/>
                <w:b/>
                <w:bCs/>
                <w:color w:val="000000"/>
                <w:sz w:val="20"/>
                <w:szCs w:val="20"/>
                <w:lang w:eastAsia="ru-RU"/>
              </w:rPr>
            </w:pPr>
            <w:r w:rsidRPr="003A1D5A">
              <w:rPr>
                <w:rFonts w:ascii="Times New Roman" w:eastAsia="Times New Roman" w:hAnsi="Times New Roman" w:cs="Times New Roman"/>
                <w:b/>
                <w:color w:val="000000"/>
                <w:sz w:val="20"/>
                <w:szCs w:val="20"/>
                <w:lang w:eastAsia="ru-RU"/>
              </w:rPr>
              <w:t>В целом по области</w:t>
            </w:r>
          </w:p>
        </w:tc>
        <w:tc>
          <w:tcPr>
            <w:tcW w:w="637" w:type="pct"/>
            <w:shd w:val="clear" w:color="auto" w:fill="auto"/>
            <w:textDirection w:val="btLr"/>
            <w:vAlign w:val="center"/>
          </w:tcPr>
          <w:p w:rsidR="003A1D5A" w:rsidRPr="003A1D5A" w:rsidRDefault="003A1D5A" w:rsidP="003A1D5A">
            <w:pPr>
              <w:spacing w:after="0" w:line="240" w:lineRule="auto"/>
              <w:ind w:left="113" w:right="113"/>
              <w:jc w:val="center"/>
              <w:rPr>
                <w:rFonts w:ascii="Times New Roman" w:eastAsia="Times New Roman" w:hAnsi="Times New Roman" w:cs="Times New Roman"/>
                <w:b/>
                <w:bCs/>
                <w:color w:val="000000"/>
                <w:sz w:val="20"/>
                <w:szCs w:val="20"/>
                <w:lang w:val="en-US" w:eastAsia="ru-RU"/>
              </w:rPr>
            </w:pPr>
            <w:r w:rsidRPr="003A1D5A">
              <w:rPr>
                <w:rFonts w:ascii="Times New Roman" w:eastAsia="Times New Roman" w:hAnsi="Times New Roman" w:cs="Times New Roman"/>
                <w:b/>
                <w:bCs/>
                <w:color w:val="000000"/>
                <w:sz w:val="20"/>
                <w:szCs w:val="20"/>
                <w:lang w:eastAsia="ru-RU"/>
              </w:rPr>
              <w:t xml:space="preserve">Микро-предприятие </w:t>
            </w:r>
          </w:p>
        </w:tc>
        <w:tc>
          <w:tcPr>
            <w:tcW w:w="637" w:type="pct"/>
            <w:shd w:val="clear" w:color="auto" w:fill="auto"/>
            <w:textDirection w:val="btLr"/>
            <w:vAlign w:val="center"/>
          </w:tcPr>
          <w:p w:rsidR="003A1D5A" w:rsidRPr="003A1D5A" w:rsidRDefault="003A1D5A" w:rsidP="003A1D5A">
            <w:pPr>
              <w:spacing w:after="0" w:line="240" w:lineRule="auto"/>
              <w:ind w:left="113" w:right="113"/>
              <w:jc w:val="center"/>
              <w:rPr>
                <w:rFonts w:ascii="Times New Roman" w:eastAsia="Times New Roman" w:hAnsi="Times New Roman" w:cs="Times New Roman"/>
                <w:b/>
                <w:bCs/>
                <w:color w:val="000000"/>
                <w:sz w:val="20"/>
                <w:szCs w:val="20"/>
                <w:lang w:eastAsia="ru-RU"/>
              </w:rPr>
            </w:pPr>
            <w:r w:rsidRPr="003A1D5A">
              <w:rPr>
                <w:rFonts w:ascii="Times New Roman" w:eastAsia="Times New Roman" w:hAnsi="Times New Roman" w:cs="Times New Roman"/>
                <w:b/>
                <w:bCs/>
                <w:color w:val="000000"/>
                <w:sz w:val="20"/>
                <w:szCs w:val="20"/>
                <w:lang w:eastAsia="ru-RU"/>
              </w:rPr>
              <w:t>Малое предприятие</w:t>
            </w:r>
          </w:p>
        </w:tc>
        <w:tc>
          <w:tcPr>
            <w:tcW w:w="637" w:type="pct"/>
            <w:shd w:val="clear" w:color="auto" w:fill="auto"/>
            <w:textDirection w:val="btLr"/>
            <w:vAlign w:val="center"/>
          </w:tcPr>
          <w:p w:rsidR="003A1D5A" w:rsidRPr="003A1D5A" w:rsidRDefault="003A1D5A" w:rsidP="003A1D5A">
            <w:pPr>
              <w:spacing w:after="0" w:line="240" w:lineRule="auto"/>
              <w:ind w:left="113" w:right="113"/>
              <w:jc w:val="center"/>
              <w:rPr>
                <w:rFonts w:ascii="Times New Roman" w:eastAsia="Calibri" w:hAnsi="Times New Roman" w:cs="Times New Roman"/>
                <w:b/>
                <w:color w:val="000000"/>
                <w:sz w:val="20"/>
                <w:szCs w:val="20"/>
              </w:rPr>
            </w:pPr>
            <w:r w:rsidRPr="003A1D5A">
              <w:rPr>
                <w:rFonts w:ascii="Times New Roman" w:eastAsia="Calibri" w:hAnsi="Times New Roman" w:cs="Times New Roman"/>
                <w:b/>
                <w:color w:val="000000"/>
                <w:sz w:val="20"/>
                <w:szCs w:val="20"/>
              </w:rPr>
              <w:t>Среднее предприятие</w:t>
            </w:r>
          </w:p>
        </w:tc>
        <w:tc>
          <w:tcPr>
            <w:tcW w:w="637" w:type="pct"/>
            <w:shd w:val="clear" w:color="auto" w:fill="auto"/>
            <w:textDirection w:val="btLr"/>
            <w:vAlign w:val="center"/>
          </w:tcPr>
          <w:p w:rsidR="003A1D5A" w:rsidRPr="003A1D5A" w:rsidRDefault="003A1D5A" w:rsidP="003A1D5A">
            <w:pPr>
              <w:spacing w:after="0" w:line="240" w:lineRule="auto"/>
              <w:ind w:left="113" w:right="113"/>
              <w:jc w:val="center"/>
              <w:rPr>
                <w:rFonts w:ascii="Times New Roman" w:eastAsia="Calibri" w:hAnsi="Times New Roman" w:cs="Times New Roman"/>
                <w:b/>
                <w:color w:val="000000"/>
                <w:sz w:val="20"/>
                <w:szCs w:val="20"/>
              </w:rPr>
            </w:pPr>
            <w:r w:rsidRPr="003A1D5A">
              <w:rPr>
                <w:rFonts w:ascii="Times New Roman" w:eastAsia="Calibri" w:hAnsi="Times New Roman" w:cs="Times New Roman"/>
                <w:b/>
                <w:color w:val="000000"/>
                <w:sz w:val="20"/>
                <w:szCs w:val="20"/>
              </w:rPr>
              <w:t>Крупное предприятие</w:t>
            </w:r>
          </w:p>
        </w:tc>
        <w:tc>
          <w:tcPr>
            <w:tcW w:w="637" w:type="pct"/>
            <w:shd w:val="clear" w:color="auto" w:fill="auto"/>
            <w:textDirection w:val="btLr"/>
            <w:vAlign w:val="center"/>
          </w:tcPr>
          <w:p w:rsidR="003A1D5A" w:rsidRPr="003A1D5A" w:rsidRDefault="003A1D5A" w:rsidP="003A1D5A">
            <w:pPr>
              <w:spacing w:after="0" w:line="240" w:lineRule="auto"/>
              <w:ind w:left="113" w:right="113"/>
              <w:jc w:val="center"/>
              <w:rPr>
                <w:rFonts w:ascii="Times New Roman" w:eastAsia="Calibri" w:hAnsi="Times New Roman" w:cs="Times New Roman"/>
                <w:b/>
                <w:color w:val="000000"/>
                <w:sz w:val="20"/>
                <w:szCs w:val="20"/>
              </w:rPr>
            </w:pPr>
            <w:r w:rsidRPr="003A1D5A">
              <w:rPr>
                <w:rFonts w:ascii="Times New Roman" w:eastAsia="Calibri" w:hAnsi="Times New Roman" w:cs="Times New Roman"/>
                <w:b/>
                <w:color w:val="000000"/>
                <w:sz w:val="20"/>
                <w:szCs w:val="20"/>
              </w:rPr>
              <w:t>Затрудняюсь ответить</w:t>
            </w:r>
          </w:p>
        </w:tc>
      </w:tr>
      <w:tr w:rsidR="003A1D5A" w:rsidRPr="003A1D5A" w:rsidTr="003A1D5A">
        <w:trPr>
          <w:trHeight w:val="11"/>
        </w:trPr>
        <w:tc>
          <w:tcPr>
            <w:tcW w:w="1178" w:type="pct"/>
            <w:tcBorders>
              <w:top w:val="single" w:sz="8" w:space="0" w:color="000000"/>
              <w:left w:val="single" w:sz="8" w:space="0" w:color="000000"/>
              <w:bottom w:val="single" w:sz="8" w:space="0" w:color="000000"/>
              <w:right w:val="single" w:sz="8" w:space="0" w:color="000000"/>
            </w:tcBorders>
            <w:shd w:val="clear" w:color="auto" w:fill="auto"/>
            <w:vAlign w:val="center"/>
          </w:tcPr>
          <w:p w:rsidR="003A1D5A" w:rsidRPr="003A1D5A" w:rsidRDefault="003A1D5A" w:rsidP="003A1D5A">
            <w:pPr>
              <w:spacing w:beforeLines="60" w:before="144" w:afterLines="60" w:after="144" w:line="269" w:lineRule="auto"/>
              <w:rPr>
                <w:rFonts w:ascii="Times New Roman" w:eastAsia="Times New Roman" w:hAnsi="Times New Roman" w:cs="Times New Roman"/>
                <w:b/>
                <w:color w:val="000000"/>
                <w:lang w:eastAsia="ru-RU"/>
              </w:rPr>
            </w:pPr>
            <w:r w:rsidRPr="003A1D5A">
              <w:rPr>
                <w:rFonts w:ascii="Times New Roman" w:eastAsia="Calibri" w:hAnsi="Times New Roman" w:cs="Times New Roman"/>
                <w:color w:val="000000"/>
              </w:rPr>
              <w:t>Интернет-банкинг через мобильное приложение</w:t>
            </w:r>
          </w:p>
        </w:tc>
        <w:tc>
          <w:tcPr>
            <w:tcW w:w="637" w:type="pct"/>
            <w:vAlign w:val="center"/>
          </w:tcPr>
          <w:p w:rsidR="003A1D5A" w:rsidRPr="003A1D5A" w:rsidRDefault="003A1D5A" w:rsidP="003A1D5A">
            <w:pPr>
              <w:spacing w:after="0" w:line="240" w:lineRule="auto"/>
              <w:jc w:val="center"/>
              <w:rPr>
                <w:rFonts w:ascii="Times New Roman" w:eastAsia="Calibri" w:hAnsi="Times New Roman" w:cs="Times New Roman"/>
                <w:b/>
                <w:bCs/>
                <w:color w:val="000000"/>
                <w:szCs w:val="20"/>
              </w:rPr>
            </w:pPr>
            <w:r w:rsidRPr="003A1D5A">
              <w:rPr>
                <w:rFonts w:ascii="Times New Roman" w:eastAsia="Calibri" w:hAnsi="Times New Roman" w:cs="Times New Roman"/>
                <w:b/>
                <w:bCs/>
                <w:color w:val="000000"/>
              </w:rPr>
              <w:t>4,4</w:t>
            </w:r>
          </w:p>
        </w:tc>
        <w:tc>
          <w:tcPr>
            <w:tcW w:w="637" w:type="pct"/>
            <w:tcBorders>
              <w:top w:val="single" w:sz="4" w:space="0" w:color="auto"/>
              <w:left w:val="single" w:sz="8" w:space="0" w:color="auto"/>
              <w:bottom w:val="nil"/>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
                <w:color w:val="000000"/>
                <w:szCs w:val="20"/>
              </w:rPr>
            </w:pPr>
            <w:r w:rsidRPr="003A1D5A">
              <w:rPr>
                <w:rFonts w:ascii="Times New Roman" w:eastAsia="Calibri" w:hAnsi="Times New Roman" w:cs="Times New Roman"/>
                <w:color w:val="000000"/>
              </w:rPr>
              <w:t>4,4</w:t>
            </w:r>
          </w:p>
        </w:tc>
        <w:tc>
          <w:tcPr>
            <w:tcW w:w="637" w:type="pct"/>
            <w:tcBorders>
              <w:top w:val="single" w:sz="4" w:space="0" w:color="auto"/>
              <w:left w:val="nil"/>
              <w:bottom w:val="nil"/>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
                <w:bCs/>
                <w:color w:val="000000"/>
                <w:szCs w:val="20"/>
              </w:rPr>
            </w:pPr>
            <w:r w:rsidRPr="003A1D5A">
              <w:rPr>
                <w:rFonts w:ascii="Times New Roman" w:eastAsia="Calibri" w:hAnsi="Times New Roman" w:cs="Times New Roman"/>
                <w:color w:val="000000"/>
              </w:rPr>
              <w:t>4,5</w:t>
            </w:r>
          </w:p>
        </w:tc>
        <w:tc>
          <w:tcPr>
            <w:tcW w:w="637" w:type="pct"/>
            <w:tcBorders>
              <w:top w:val="single" w:sz="4" w:space="0" w:color="auto"/>
              <w:left w:val="nil"/>
              <w:bottom w:val="nil"/>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
                <w:color w:val="000000"/>
                <w:sz w:val="20"/>
                <w:szCs w:val="20"/>
              </w:rPr>
            </w:pPr>
            <w:r w:rsidRPr="003A1D5A">
              <w:rPr>
                <w:rFonts w:ascii="Times New Roman" w:eastAsia="Calibri" w:hAnsi="Times New Roman" w:cs="Times New Roman"/>
                <w:color w:val="000000"/>
              </w:rPr>
              <w:t>4,0</w:t>
            </w:r>
          </w:p>
        </w:tc>
        <w:tc>
          <w:tcPr>
            <w:tcW w:w="637" w:type="pct"/>
            <w:tcBorders>
              <w:top w:val="single" w:sz="4" w:space="0" w:color="auto"/>
              <w:left w:val="nil"/>
              <w:bottom w:val="nil"/>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
                <w:color w:val="000000"/>
                <w:sz w:val="20"/>
                <w:szCs w:val="20"/>
              </w:rPr>
            </w:pPr>
            <w:r w:rsidRPr="003A1D5A">
              <w:rPr>
                <w:rFonts w:ascii="Times New Roman" w:eastAsia="Calibri" w:hAnsi="Times New Roman" w:cs="Times New Roman"/>
                <w:color w:val="000000"/>
              </w:rPr>
              <w:t>4,4</w:t>
            </w:r>
          </w:p>
        </w:tc>
        <w:tc>
          <w:tcPr>
            <w:tcW w:w="637" w:type="pct"/>
            <w:tcBorders>
              <w:top w:val="single" w:sz="4" w:space="0" w:color="auto"/>
              <w:left w:val="nil"/>
              <w:bottom w:val="nil"/>
              <w:right w:val="single" w:sz="4" w:space="0" w:color="auto"/>
            </w:tcBorders>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4,4</w:t>
            </w:r>
          </w:p>
        </w:tc>
      </w:tr>
      <w:tr w:rsidR="003A1D5A" w:rsidRPr="003A1D5A" w:rsidTr="003A1D5A">
        <w:trPr>
          <w:trHeight w:val="11"/>
        </w:trPr>
        <w:tc>
          <w:tcPr>
            <w:tcW w:w="1178" w:type="pct"/>
            <w:tcBorders>
              <w:top w:val="nil"/>
              <w:left w:val="single" w:sz="8" w:space="0" w:color="000000"/>
              <w:bottom w:val="single" w:sz="8" w:space="0" w:color="000000"/>
              <w:right w:val="single" w:sz="8" w:space="0" w:color="000000"/>
            </w:tcBorders>
            <w:shd w:val="clear" w:color="auto" w:fill="auto"/>
            <w:vAlign w:val="center"/>
          </w:tcPr>
          <w:p w:rsidR="003A1D5A" w:rsidRPr="003A1D5A" w:rsidRDefault="003A1D5A" w:rsidP="003A1D5A">
            <w:pPr>
              <w:spacing w:beforeLines="60" w:before="144" w:afterLines="60" w:after="144" w:line="269" w:lineRule="auto"/>
              <w:rPr>
                <w:rFonts w:ascii="Times New Roman" w:eastAsia="Times New Roman" w:hAnsi="Times New Roman" w:cs="Times New Roman"/>
                <w:color w:val="000000"/>
                <w:lang w:eastAsia="ru-RU"/>
              </w:rPr>
            </w:pPr>
            <w:r w:rsidRPr="003A1D5A">
              <w:rPr>
                <w:rFonts w:ascii="Times New Roman" w:eastAsia="Calibri" w:hAnsi="Times New Roman" w:cs="Times New Roman"/>
                <w:color w:val="000000"/>
              </w:rPr>
              <w:t>Интернет-банкинг через стационарный компьютер, ноутбук (через веб-браузер)</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
                <w:bCs/>
                <w:color w:val="000000"/>
              </w:rPr>
            </w:pPr>
            <w:r w:rsidRPr="003A1D5A">
              <w:rPr>
                <w:rFonts w:ascii="Times New Roman" w:eastAsia="Calibri" w:hAnsi="Times New Roman" w:cs="Times New Roman"/>
                <w:b/>
                <w:bCs/>
                <w:color w:val="000000"/>
              </w:rPr>
              <w:t>4,4</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4,4</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Cs/>
                <w:color w:val="000000"/>
              </w:rPr>
            </w:pPr>
            <w:r w:rsidRPr="003A1D5A">
              <w:rPr>
                <w:rFonts w:ascii="Times New Roman" w:eastAsia="Calibri" w:hAnsi="Times New Roman" w:cs="Times New Roman"/>
                <w:color w:val="000000"/>
              </w:rPr>
              <w:t>4,5</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4,1</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4,3</w:t>
            </w:r>
          </w:p>
        </w:tc>
        <w:tc>
          <w:tcPr>
            <w:tcW w:w="637" w:type="pct"/>
            <w:tcBorders>
              <w:top w:val="single" w:sz="4" w:space="0" w:color="auto"/>
              <w:left w:val="single" w:sz="4" w:space="0" w:color="auto"/>
              <w:bottom w:val="single" w:sz="4" w:space="0" w:color="auto"/>
              <w:right w:val="single" w:sz="4" w:space="0" w:color="auto"/>
            </w:tcBorders>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4,3</w:t>
            </w:r>
          </w:p>
        </w:tc>
      </w:tr>
      <w:tr w:rsidR="003A1D5A" w:rsidRPr="003A1D5A" w:rsidTr="003A1D5A">
        <w:trPr>
          <w:trHeight w:val="11"/>
        </w:trPr>
        <w:tc>
          <w:tcPr>
            <w:tcW w:w="1178" w:type="pct"/>
            <w:tcBorders>
              <w:top w:val="nil"/>
              <w:left w:val="single" w:sz="8" w:space="0" w:color="000000"/>
              <w:bottom w:val="single" w:sz="8" w:space="0" w:color="000000"/>
              <w:right w:val="single" w:sz="8" w:space="0" w:color="000000"/>
            </w:tcBorders>
            <w:shd w:val="clear" w:color="auto" w:fill="auto"/>
            <w:vAlign w:val="center"/>
          </w:tcPr>
          <w:p w:rsidR="003A1D5A" w:rsidRPr="003A1D5A" w:rsidRDefault="003A1D5A" w:rsidP="003A1D5A">
            <w:pPr>
              <w:spacing w:beforeLines="60" w:before="144" w:afterLines="60" w:after="144" w:line="269" w:lineRule="auto"/>
              <w:rPr>
                <w:rFonts w:ascii="Times New Roman" w:eastAsia="Times New Roman" w:hAnsi="Times New Roman" w:cs="Times New Roman"/>
                <w:color w:val="000000"/>
                <w:lang w:eastAsia="ru-RU"/>
              </w:rPr>
            </w:pPr>
            <w:r w:rsidRPr="003A1D5A">
              <w:rPr>
                <w:rFonts w:ascii="Times New Roman" w:eastAsia="Calibri" w:hAnsi="Times New Roman" w:cs="Times New Roman"/>
                <w:color w:val="000000"/>
              </w:rPr>
              <w:t>Интернет-банкинг через мобильное устройство (через веб-браузер)</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
                <w:bCs/>
                <w:color w:val="000000"/>
              </w:rPr>
            </w:pPr>
            <w:r w:rsidRPr="003A1D5A">
              <w:rPr>
                <w:rFonts w:ascii="Times New Roman" w:eastAsia="Calibri" w:hAnsi="Times New Roman" w:cs="Times New Roman"/>
                <w:b/>
                <w:bCs/>
                <w:color w:val="000000"/>
              </w:rPr>
              <w:t>4,3</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4,4</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Cs/>
                <w:color w:val="000000"/>
              </w:rPr>
            </w:pPr>
            <w:r w:rsidRPr="003A1D5A">
              <w:rPr>
                <w:rFonts w:ascii="Times New Roman" w:eastAsia="Calibri" w:hAnsi="Times New Roman" w:cs="Times New Roman"/>
                <w:color w:val="000000"/>
              </w:rPr>
              <w:t>4,4</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4,0</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4,4</w:t>
            </w:r>
          </w:p>
        </w:tc>
        <w:tc>
          <w:tcPr>
            <w:tcW w:w="637" w:type="pct"/>
            <w:tcBorders>
              <w:top w:val="single" w:sz="4" w:space="0" w:color="auto"/>
              <w:left w:val="single" w:sz="4" w:space="0" w:color="auto"/>
              <w:bottom w:val="single" w:sz="4" w:space="0" w:color="auto"/>
              <w:right w:val="single" w:sz="4" w:space="0" w:color="auto"/>
            </w:tcBorders>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4,3</w:t>
            </w:r>
          </w:p>
        </w:tc>
      </w:tr>
      <w:tr w:rsidR="003A1D5A" w:rsidRPr="003A1D5A" w:rsidTr="003A1D5A">
        <w:trPr>
          <w:trHeight w:val="11"/>
        </w:trPr>
        <w:tc>
          <w:tcPr>
            <w:tcW w:w="1178" w:type="pct"/>
            <w:tcBorders>
              <w:top w:val="nil"/>
              <w:left w:val="single" w:sz="8" w:space="0" w:color="000000"/>
              <w:bottom w:val="single" w:sz="8" w:space="0" w:color="000000"/>
              <w:right w:val="single" w:sz="8" w:space="0" w:color="000000"/>
            </w:tcBorders>
            <w:shd w:val="clear" w:color="auto" w:fill="auto"/>
            <w:vAlign w:val="center"/>
          </w:tcPr>
          <w:p w:rsidR="003A1D5A" w:rsidRPr="003A1D5A" w:rsidRDefault="003A1D5A" w:rsidP="003A1D5A">
            <w:pPr>
              <w:spacing w:beforeLines="60" w:before="144" w:afterLines="60" w:after="144" w:line="269" w:lineRule="auto"/>
              <w:rPr>
                <w:rFonts w:ascii="Times New Roman" w:eastAsia="Times New Roman" w:hAnsi="Times New Roman" w:cs="Times New Roman"/>
                <w:color w:val="000000"/>
                <w:lang w:eastAsia="ru-RU"/>
              </w:rPr>
            </w:pPr>
            <w:r w:rsidRPr="003A1D5A">
              <w:rPr>
                <w:rFonts w:ascii="Times New Roman" w:eastAsia="Calibri" w:hAnsi="Times New Roman" w:cs="Times New Roman"/>
                <w:color w:val="000000"/>
              </w:rPr>
              <w:t>Банкоматы и терминалы</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
                <w:bCs/>
                <w:color w:val="000000"/>
              </w:rPr>
            </w:pPr>
            <w:r w:rsidRPr="003A1D5A">
              <w:rPr>
                <w:rFonts w:ascii="Times New Roman" w:eastAsia="Calibri" w:hAnsi="Times New Roman" w:cs="Times New Roman"/>
                <w:b/>
                <w:bCs/>
                <w:color w:val="000000"/>
              </w:rPr>
              <w:t>4,2</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4,1</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Cs/>
                <w:color w:val="000000"/>
              </w:rPr>
            </w:pPr>
            <w:r w:rsidRPr="003A1D5A">
              <w:rPr>
                <w:rFonts w:ascii="Times New Roman" w:eastAsia="Calibri" w:hAnsi="Times New Roman" w:cs="Times New Roman"/>
                <w:color w:val="000000"/>
              </w:rPr>
              <w:t>4,2</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4,2</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4,4</w:t>
            </w:r>
          </w:p>
        </w:tc>
        <w:tc>
          <w:tcPr>
            <w:tcW w:w="637" w:type="pct"/>
            <w:tcBorders>
              <w:top w:val="single" w:sz="4" w:space="0" w:color="auto"/>
              <w:left w:val="single" w:sz="4" w:space="0" w:color="auto"/>
              <w:bottom w:val="single" w:sz="4" w:space="0" w:color="auto"/>
              <w:right w:val="single" w:sz="4" w:space="0" w:color="auto"/>
            </w:tcBorders>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4,2</w:t>
            </w:r>
          </w:p>
        </w:tc>
      </w:tr>
      <w:tr w:rsidR="003A1D5A" w:rsidRPr="003A1D5A" w:rsidTr="003A1D5A">
        <w:trPr>
          <w:trHeight w:val="11"/>
        </w:trPr>
        <w:tc>
          <w:tcPr>
            <w:tcW w:w="1178" w:type="pct"/>
            <w:tcBorders>
              <w:top w:val="nil"/>
              <w:left w:val="single" w:sz="8" w:space="0" w:color="000000"/>
              <w:bottom w:val="single" w:sz="8" w:space="0" w:color="000000"/>
              <w:right w:val="single" w:sz="8" w:space="0" w:color="000000"/>
            </w:tcBorders>
            <w:shd w:val="clear" w:color="auto" w:fill="auto"/>
            <w:vAlign w:val="center"/>
          </w:tcPr>
          <w:p w:rsidR="003A1D5A" w:rsidRPr="003A1D5A" w:rsidRDefault="003A1D5A" w:rsidP="003A1D5A">
            <w:pPr>
              <w:spacing w:beforeLines="60" w:before="144" w:afterLines="60" w:after="144" w:line="269" w:lineRule="auto"/>
              <w:rPr>
                <w:rFonts w:ascii="Times New Roman" w:eastAsia="Times New Roman" w:hAnsi="Times New Roman" w:cs="Times New Roman"/>
                <w:color w:val="000000"/>
                <w:lang w:eastAsia="ru-RU"/>
              </w:rPr>
            </w:pPr>
            <w:r w:rsidRPr="003A1D5A">
              <w:rPr>
                <w:rFonts w:ascii="Times New Roman" w:eastAsia="Calibri" w:hAnsi="Times New Roman" w:cs="Times New Roman"/>
                <w:color w:val="000000"/>
              </w:rPr>
              <w:t>Мобильный банкинг через смс-команды</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
                <w:bCs/>
                <w:color w:val="000000"/>
              </w:rPr>
            </w:pPr>
            <w:r w:rsidRPr="003A1D5A">
              <w:rPr>
                <w:rFonts w:ascii="Times New Roman" w:eastAsia="Calibri" w:hAnsi="Times New Roman" w:cs="Times New Roman"/>
                <w:b/>
                <w:bCs/>
                <w:color w:val="000000"/>
              </w:rPr>
              <w:t>4,2</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4,3</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Cs/>
                <w:color w:val="000000"/>
              </w:rPr>
            </w:pPr>
            <w:r w:rsidRPr="003A1D5A">
              <w:rPr>
                <w:rFonts w:ascii="Times New Roman" w:eastAsia="Calibri" w:hAnsi="Times New Roman" w:cs="Times New Roman"/>
                <w:color w:val="000000"/>
              </w:rPr>
              <w:t>4,3</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3,7</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4,0</w:t>
            </w:r>
          </w:p>
        </w:tc>
        <w:tc>
          <w:tcPr>
            <w:tcW w:w="637" w:type="pct"/>
            <w:tcBorders>
              <w:top w:val="single" w:sz="4" w:space="0" w:color="auto"/>
              <w:left w:val="single" w:sz="4" w:space="0" w:color="auto"/>
              <w:bottom w:val="single" w:sz="4" w:space="0" w:color="auto"/>
              <w:right w:val="single" w:sz="4" w:space="0" w:color="auto"/>
            </w:tcBorders>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4,1</w:t>
            </w:r>
          </w:p>
        </w:tc>
      </w:tr>
      <w:tr w:rsidR="003A1D5A" w:rsidRPr="003A1D5A" w:rsidTr="003A1D5A">
        <w:trPr>
          <w:trHeight w:val="11"/>
        </w:trPr>
        <w:tc>
          <w:tcPr>
            <w:tcW w:w="1178" w:type="pct"/>
            <w:tcBorders>
              <w:top w:val="nil"/>
              <w:left w:val="single" w:sz="8" w:space="0" w:color="000000"/>
              <w:bottom w:val="single" w:sz="8" w:space="0" w:color="000000"/>
              <w:right w:val="single" w:sz="8" w:space="0" w:color="000000"/>
            </w:tcBorders>
            <w:shd w:val="clear" w:color="auto" w:fill="auto"/>
            <w:vAlign w:val="center"/>
          </w:tcPr>
          <w:p w:rsidR="003A1D5A" w:rsidRPr="003A1D5A" w:rsidRDefault="003A1D5A" w:rsidP="003A1D5A">
            <w:pPr>
              <w:spacing w:beforeLines="60" w:before="144" w:afterLines="60" w:after="144" w:line="269" w:lineRule="auto"/>
              <w:rPr>
                <w:rFonts w:ascii="Times New Roman" w:eastAsia="Calibri" w:hAnsi="Times New Roman" w:cs="Times New Roman"/>
                <w:color w:val="000000"/>
              </w:rPr>
            </w:pPr>
            <w:r w:rsidRPr="003A1D5A">
              <w:rPr>
                <w:rFonts w:ascii="Times New Roman" w:eastAsia="Calibri" w:hAnsi="Times New Roman" w:cs="Times New Roman"/>
                <w:color w:val="000000"/>
              </w:rPr>
              <w:t>Отделения банков, обслуживающих юридические лица</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
                <w:bCs/>
                <w:color w:val="000000"/>
              </w:rPr>
            </w:pPr>
            <w:r w:rsidRPr="003A1D5A">
              <w:rPr>
                <w:rFonts w:ascii="Times New Roman" w:eastAsia="Calibri" w:hAnsi="Times New Roman" w:cs="Times New Roman"/>
                <w:b/>
                <w:bCs/>
                <w:color w:val="000000"/>
              </w:rPr>
              <w:t>4,1</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4,0</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Cs/>
                <w:color w:val="000000"/>
              </w:rPr>
            </w:pPr>
            <w:r w:rsidRPr="003A1D5A">
              <w:rPr>
                <w:rFonts w:ascii="Times New Roman" w:eastAsia="Calibri" w:hAnsi="Times New Roman" w:cs="Times New Roman"/>
                <w:color w:val="000000"/>
              </w:rPr>
              <w:t>4,2</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3,8</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4,1</w:t>
            </w:r>
          </w:p>
        </w:tc>
        <w:tc>
          <w:tcPr>
            <w:tcW w:w="637" w:type="pct"/>
            <w:tcBorders>
              <w:top w:val="single" w:sz="4" w:space="0" w:color="auto"/>
              <w:left w:val="single" w:sz="4" w:space="0" w:color="auto"/>
              <w:bottom w:val="single" w:sz="4" w:space="0" w:color="auto"/>
              <w:right w:val="single" w:sz="4" w:space="0" w:color="auto"/>
            </w:tcBorders>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4,2</w:t>
            </w:r>
          </w:p>
        </w:tc>
      </w:tr>
    </w:tbl>
    <w:p w:rsidR="003A1D5A" w:rsidRPr="003A1D5A" w:rsidRDefault="003A1D5A" w:rsidP="003A1D5A">
      <w:pPr>
        <w:spacing w:after="0" w:line="240" w:lineRule="auto"/>
        <w:jc w:val="both"/>
        <w:rPr>
          <w:rFonts w:ascii="Times New Roman" w:eastAsia="Calibri" w:hAnsi="Times New Roman" w:cs="Times New Roman"/>
          <w:color w:val="000000"/>
          <w:sz w:val="20"/>
          <w:szCs w:val="20"/>
        </w:rPr>
      </w:pPr>
    </w:p>
    <w:p w:rsidR="003A1D5A" w:rsidRPr="0088268B" w:rsidRDefault="003A1D5A" w:rsidP="003A1D5A">
      <w:pPr>
        <w:spacing w:after="0" w:line="360" w:lineRule="auto"/>
        <w:ind w:firstLine="709"/>
        <w:jc w:val="both"/>
        <w:rPr>
          <w:rFonts w:ascii="Times New Roman" w:eastAsia="Times New Roman" w:hAnsi="Times New Roman" w:cs="Times New Roman"/>
          <w:color w:val="000000"/>
          <w:sz w:val="24"/>
          <w:szCs w:val="24"/>
          <w:lang w:eastAsia="ru-RU"/>
        </w:rPr>
      </w:pPr>
      <w:r w:rsidRPr="0088268B">
        <w:rPr>
          <w:rFonts w:ascii="Times New Roman" w:eastAsia="Times New Roman" w:hAnsi="Times New Roman" w:cs="Times New Roman"/>
          <w:color w:val="000000"/>
          <w:sz w:val="24"/>
          <w:szCs w:val="24"/>
          <w:lang w:eastAsia="ru-RU"/>
        </w:rPr>
        <w:t>Наиболее высоко уровень доступности каналов предоставления финансовых услуг оценивают представители малого бизнеса. Оценки доступности каналов зафиксированы в интервале от 4,2 балла (банкоматы и терминалы, отделения банков) до 4,5 баллов (интернет-банкинг через мобильное приложение и через стационарный компьютер).</w:t>
      </w:r>
    </w:p>
    <w:p w:rsidR="003A1D5A" w:rsidRPr="0088268B" w:rsidRDefault="003A1D5A" w:rsidP="003A1D5A">
      <w:pPr>
        <w:spacing w:after="0" w:line="360" w:lineRule="auto"/>
        <w:ind w:firstLine="709"/>
        <w:jc w:val="both"/>
        <w:rPr>
          <w:rFonts w:ascii="Times New Roman" w:eastAsia="Times New Roman" w:hAnsi="Times New Roman" w:cs="Times New Roman"/>
          <w:color w:val="000000"/>
          <w:sz w:val="24"/>
          <w:szCs w:val="24"/>
          <w:lang w:eastAsia="ru-RU"/>
        </w:rPr>
      </w:pPr>
      <w:r w:rsidRPr="0088268B">
        <w:rPr>
          <w:rFonts w:ascii="Times New Roman" w:eastAsia="Times New Roman" w:hAnsi="Times New Roman" w:cs="Times New Roman"/>
          <w:color w:val="000000"/>
          <w:sz w:val="24"/>
          <w:szCs w:val="24"/>
          <w:lang w:eastAsia="ru-RU"/>
        </w:rPr>
        <w:t>Самими критичными были представители компаний среднего бизнеса. Выше всех они оценили доступность банкоматов и терминалов (4,2 балла), а самые низкие оценки получил мобильный банкинг через смс-команды (3,7 балла).</w:t>
      </w:r>
    </w:p>
    <w:p w:rsidR="003A1D5A" w:rsidRPr="0088268B" w:rsidRDefault="003A1D5A" w:rsidP="003A1D5A">
      <w:pPr>
        <w:spacing w:after="0" w:line="360" w:lineRule="auto"/>
        <w:ind w:firstLine="709"/>
        <w:jc w:val="both"/>
        <w:rPr>
          <w:rFonts w:ascii="Times New Roman" w:eastAsia="Times New Roman" w:hAnsi="Times New Roman" w:cs="Times New Roman"/>
          <w:color w:val="000000"/>
          <w:sz w:val="24"/>
          <w:szCs w:val="24"/>
          <w:lang w:eastAsia="ru-RU"/>
        </w:rPr>
      </w:pPr>
      <w:r w:rsidRPr="0088268B">
        <w:rPr>
          <w:rFonts w:ascii="Times New Roman" w:eastAsia="Times New Roman" w:hAnsi="Times New Roman" w:cs="Times New Roman"/>
          <w:color w:val="000000"/>
          <w:sz w:val="24"/>
          <w:szCs w:val="24"/>
        </w:rPr>
        <w:t xml:space="preserve">Во многом, изменение восприятия доступа к финансовым ресурсам обусловливается реализацией мероприятий Комитета по развитию малого, среднего предпринимательства и потребительского рынка Ленинградской области в рамках региональных проектов: </w:t>
      </w:r>
      <w:r w:rsidR="00D55ED4">
        <w:rPr>
          <w:rFonts w:ascii="Times New Roman" w:eastAsia="Times New Roman" w:hAnsi="Times New Roman" w:cs="Times New Roman"/>
          <w:color w:val="000000"/>
          <w:sz w:val="24"/>
          <w:szCs w:val="24"/>
        </w:rPr>
        <w:t>«</w:t>
      </w:r>
      <w:r w:rsidRPr="0088268B">
        <w:rPr>
          <w:rFonts w:ascii="Times New Roman" w:eastAsia="Times New Roman" w:hAnsi="Times New Roman" w:cs="Times New Roman"/>
          <w:color w:val="000000"/>
          <w:sz w:val="24"/>
          <w:szCs w:val="24"/>
        </w:rPr>
        <w:t>Расширение доступа субъектов малого и среднего предпринимательства к финансовым ресурсам, в том числе к льготному финансированию</w:t>
      </w:r>
      <w:r w:rsidR="00D55ED4">
        <w:rPr>
          <w:rFonts w:ascii="Times New Roman" w:eastAsia="Times New Roman" w:hAnsi="Times New Roman" w:cs="Times New Roman"/>
          <w:color w:val="000000"/>
          <w:sz w:val="24"/>
          <w:szCs w:val="24"/>
        </w:rPr>
        <w:t>»</w:t>
      </w:r>
      <w:r w:rsidRPr="0088268B">
        <w:rPr>
          <w:rFonts w:ascii="Times New Roman" w:eastAsia="Times New Roman" w:hAnsi="Times New Roman" w:cs="Times New Roman"/>
          <w:color w:val="000000"/>
          <w:sz w:val="24"/>
          <w:szCs w:val="24"/>
        </w:rPr>
        <w:t xml:space="preserve">, </w:t>
      </w:r>
      <w:r w:rsidR="00D55ED4">
        <w:rPr>
          <w:rFonts w:ascii="Times New Roman" w:eastAsia="Times New Roman" w:hAnsi="Times New Roman" w:cs="Times New Roman"/>
          <w:color w:val="000000"/>
          <w:sz w:val="24"/>
          <w:szCs w:val="24"/>
        </w:rPr>
        <w:t>«</w:t>
      </w:r>
      <w:r w:rsidRPr="0088268B">
        <w:rPr>
          <w:rFonts w:ascii="Times New Roman" w:eastAsia="Times New Roman" w:hAnsi="Times New Roman" w:cs="Times New Roman"/>
          <w:color w:val="000000"/>
          <w:sz w:val="24"/>
          <w:szCs w:val="24"/>
        </w:rPr>
        <w:t>Акселерация субъектов малого и среднего предпринимательства</w:t>
      </w:r>
      <w:r w:rsidR="00D55ED4">
        <w:rPr>
          <w:rFonts w:ascii="Times New Roman" w:eastAsia="Times New Roman" w:hAnsi="Times New Roman" w:cs="Times New Roman"/>
          <w:color w:val="000000"/>
          <w:sz w:val="24"/>
          <w:szCs w:val="24"/>
        </w:rPr>
        <w:t>»</w:t>
      </w:r>
      <w:r w:rsidRPr="0088268B">
        <w:rPr>
          <w:rFonts w:ascii="Times New Roman" w:eastAsia="Times New Roman" w:hAnsi="Times New Roman" w:cs="Times New Roman"/>
          <w:color w:val="000000"/>
          <w:sz w:val="24"/>
          <w:szCs w:val="24"/>
        </w:rPr>
        <w:t xml:space="preserve">. Расширение возможностей субъектов малого и среднего предпринимательства происходит также в рамках деятельности микрокредитной компании </w:t>
      </w:r>
      <w:r w:rsidR="00D55ED4">
        <w:rPr>
          <w:rFonts w:ascii="Times New Roman" w:eastAsia="Times New Roman" w:hAnsi="Times New Roman" w:cs="Times New Roman"/>
          <w:color w:val="000000"/>
          <w:sz w:val="24"/>
          <w:szCs w:val="24"/>
        </w:rPr>
        <w:t>«</w:t>
      </w:r>
      <w:r w:rsidRPr="0088268B">
        <w:rPr>
          <w:rFonts w:ascii="Times New Roman" w:eastAsia="Times New Roman" w:hAnsi="Times New Roman" w:cs="Times New Roman"/>
          <w:color w:val="000000"/>
          <w:sz w:val="24"/>
          <w:szCs w:val="24"/>
        </w:rPr>
        <w:t>Фонд поддержки предпринимательства и промышленности Ленинградской области</w:t>
      </w:r>
      <w:r w:rsidR="00D55ED4">
        <w:rPr>
          <w:rFonts w:ascii="Times New Roman" w:eastAsia="Times New Roman" w:hAnsi="Times New Roman" w:cs="Times New Roman"/>
          <w:color w:val="000000"/>
          <w:sz w:val="24"/>
          <w:szCs w:val="24"/>
        </w:rPr>
        <w:t>»</w:t>
      </w:r>
      <w:r w:rsidRPr="0088268B">
        <w:rPr>
          <w:rFonts w:ascii="Times New Roman" w:eastAsia="Times New Roman" w:hAnsi="Times New Roman" w:cs="Times New Roman"/>
          <w:color w:val="000000"/>
          <w:sz w:val="24"/>
          <w:szCs w:val="24"/>
        </w:rPr>
        <w:t>, учрежденной в соответствии с Распоряжением Губернатора Ленинградской области № 446-рг от 06 августа 2018 г. Так, в 2021 г. Фонд заключил соглашения по предоставлению поручительства по кредитным продуктам с 24 банками и 4 лизинговыми компаниями, работающими на территории Ленинградской области, что существенно расширяет возможности для эффективной организации предпринимательской деятельности.</w:t>
      </w:r>
    </w:p>
    <w:p w:rsidR="003A1D5A" w:rsidRPr="0088268B" w:rsidRDefault="003A1D5A" w:rsidP="003A1D5A">
      <w:pPr>
        <w:keepNext/>
        <w:keepLines/>
        <w:spacing w:before="40" w:after="240" w:line="240" w:lineRule="auto"/>
        <w:jc w:val="center"/>
        <w:outlineLvl w:val="2"/>
        <w:rPr>
          <w:rFonts w:ascii="Times New Roman" w:eastAsia="Arial" w:hAnsi="Times New Roman" w:cs="Times New Roman"/>
          <w:b/>
          <w:color w:val="000000"/>
          <w:sz w:val="24"/>
          <w:szCs w:val="24"/>
          <w:lang w:eastAsia="ru-RU"/>
        </w:rPr>
      </w:pPr>
      <w:bookmarkStart w:id="91" w:name="_Toc119695557"/>
      <w:bookmarkStart w:id="92" w:name="_Toc122720260"/>
      <w:r w:rsidRPr="0088268B">
        <w:rPr>
          <w:rFonts w:ascii="Times New Roman" w:eastAsia="Arial" w:hAnsi="Times New Roman" w:cs="Times New Roman"/>
          <w:b/>
          <w:color w:val="000000"/>
          <w:sz w:val="24"/>
          <w:szCs w:val="24"/>
          <w:lang w:eastAsia="ru-RU"/>
        </w:rPr>
        <w:t xml:space="preserve">3.7.7. О </w:t>
      </w:r>
      <w:r w:rsidRPr="0088268B">
        <w:rPr>
          <w:rFonts w:ascii="Times New Roman" w:eastAsia="Calibri" w:hAnsi="Times New Roman" w:cs="Times New Roman"/>
          <w:b/>
          <w:bCs/>
          <w:color w:val="000000"/>
          <w:sz w:val="24"/>
          <w:szCs w:val="24"/>
          <w:lang w:eastAsia="ru-RU"/>
        </w:rPr>
        <w:t>существующих барьерах для доступа субъектов малого и среднего предпринимательства (юридических лиц) к финансовым услугам и об изменениях этих барьеров</w:t>
      </w:r>
      <w:bookmarkEnd w:id="91"/>
      <w:bookmarkEnd w:id="92"/>
    </w:p>
    <w:p w:rsidR="003A1D5A" w:rsidRPr="0088268B" w:rsidRDefault="003A1D5A" w:rsidP="003A1D5A">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88268B">
        <w:rPr>
          <w:rFonts w:ascii="Times New Roman" w:eastAsia="Times New Roman" w:hAnsi="Times New Roman" w:cs="Times New Roman"/>
          <w:color w:val="000000"/>
          <w:sz w:val="24"/>
          <w:szCs w:val="24"/>
          <w:lang w:eastAsia="ru-RU"/>
        </w:rPr>
        <w:t xml:space="preserve">Представители бизнес-сообщества Ленинградской области в качестве основных барьеров для их доступа к финансовым услугам в регионе указали высокую стоимость и невыгодные условия обслуживания (34%), сложную процедуру получения услуг (бюрократическая составляющая: требуется много документов, неоднократные визиты и пр.). Также были высказаны жалобы на длительный процесс получения услуг (17%) и необходимость развития дистанционных каналов доступа (14%). Вместе с тем, около четверти предпринимателей не фиксируют каких-либо барьеров для доступа к финансовым услугам. </w:t>
      </w:r>
    </w:p>
    <w:p w:rsidR="003A1D5A" w:rsidRPr="003A1D5A" w:rsidRDefault="003B4122" w:rsidP="003B4122">
      <w:pPr>
        <w:keepNext/>
        <w:keepLines/>
        <w:spacing w:before="120" w:after="120" w:line="240" w:lineRule="auto"/>
        <w:jc w:val="center"/>
        <w:rPr>
          <w:rFonts w:ascii="Times New Roman" w:eastAsia="Calibri" w:hAnsi="Times New Roman" w:cs="Times New Roman"/>
          <w:b/>
          <w:iCs/>
          <w:color w:val="000000"/>
          <w:sz w:val="24"/>
          <w:szCs w:val="24"/>
        </w:rPr>
      </w:pPr>
      <w:r>
        <w:rPr>
          <w:rFonts w:ascii="Times New Roman" w:eastAsia="Calibri" w:hAnsi="Times New Roman" w:cs="Times New Roman"/>
          <w:iCs/>
          <w:color w:val="000000"/>
          <w:sz w:val="24"/>
          <w:szCs w:val="24"/>
        </w:rPr>
        <w:t>Рисунок 6</w:t>
      </w:r>
      <w:r w:rsidR="003A1D5A" w:rsidRPr="003A1D5A">
        <w:rPr>
          <w:rFonts w:ascii="Times New Roman" w:eastAsia="Calibri" w:hAnsi="Times New Roman" w:cs="Times New Roman"/>
          <w:iCs/>
          <w:color w:val="000000"/>
          <w:sz w:val="24"/>
          <w:szCs w:val="24"/>
        </w:rPr>
        <w:t xml:space="preserve">1. </w:t>
      </w:r>
      <w:r w:rsidR="003A1D5A" w:rsidRPr="00682FC6">
        <w:rPr>
          <w:rFonts w:ascii="Times New Roman" w:eastAsia="Calibri" w:hAnsi="Times New Roman" w:cs="Times New Roman"/>
          <w:b/>
          <w:bCs/>
          <w:color w:val="000000"/>
          <w:sz w:val="24"/>
          <w:szCs w:val="24"/>
          <w:shd w:val="clear" w:color="auto" w:fill="FFFFFF"/>
        </w:rPr>
        <w:t>Каковы, на Ваш взгляд, основные барьеры для доступа предпринимателей к финансовым услугам в Ленинградской области?</w:t>
      </w:r>
      <w:r w:rsidR="003A1D5A" w:rsidRPr="00682FC6">
        <w:rPr>
          <w:rFonts w:ascii="Times New Roman" w:eastAsia="Calibri" w:hAnsi="Times New Roman" w:cs="Times New Roman"/>
          <w:b/>
          <w:i/>
          <w:color w:val="000000"/>
          <w:sz w:val="24"/>
          <w:szCs w:val="24"/>
        </w:rPr>
        <w:t xml:space="preserve"> </w:t>
      </w:r>
      <w:r w:rsidR="003A1D5A" w:rsidRPr="003A1D5A">
        <w:rPr>
          <w:rFonts w:ascii="Times New Roman" w:eastAsia="Calibri" w:hAnsi="Times New Roman" w:cs="Times New Roman"/>
          <w:noProof/>
          <w:color w:val="000000"/>
          <w:sz w:val="24"/>
          <w:szCs w:val="24"/>
        </w:rPr>
        <w:t xml:space="preserve">(опрос предпринимателей, % от числа опрошенных. </w:t>
      </w:r>
      <w:r w:rsidR="003A1D5A" w:rsidRPr="003A1D5A">
        <w:rPr>
          <w:rFonts w:ascii="Times New Roman" w:eastAsia="Calibri" w:hAnsi="Times New Roman" w:cs="Times New Roman"/>
          <w:noProof/>
          <w:color w:val="000000"/>
          <w:sz w:val="24"/>
          <w:szCs w:val="24"/>
          <w:lang w:val="en-US"/>
        </w:rPr>
        <w:t>n</w:t>
      </w:r>
      <w:r w:rsidR="003A1D5A" w:rsidRPr="003A1D5A">
        <w:rPr>
          <w:rFonts w:ascii="Times New Roman" w:eastAsia="Calibri" w:hAnsi="Times New Roman" w:cs="Times New Roman"/>
          <w:noProof/>
          <w:color w:val="000000"/>
          <w:sz w:val="24"/>
          <w:szCs w:val="24"/>
        </w:rPr>
        <w:t xml:space="preserve"> = 500</w:t>
      </w:r>
      <w:r w:rsidR="003A1D5A" w:rsidRPr="003A1D5A">
        <w:rPr>
          <w:rFonts w:ascii="Times New Roman" w:eastAsia="Calibri" w:hAnsi="Times New Roman" w:cs="Times New Roman"/>
          <w:color w:val="000000"/>
          <w:sz w:val="24"/>
          <w:szCs w:val="24"/>
        </w:rPr>
        <w:t>)</w:t>
      </w:r>
    </w:p>
    <w:p w:rsidR="003A1D5A" w:rsidRPr="003A1D5A" w:rsidRDefault="003A1D5A" w:rsidP="003A1D5A">
      <w:pPr>
        <w:spacing w:after="0" w:line="240" w:lineRule="auto"/>
        <w:jc w:val="both"/>
        <w:rPr>
          <w:rFonts w:ascii="Times New Roman" w:eastAsia="Calibri" w:hAnsi="Times New Roman" w:cs="Times New Roman"/>
          <w:color w:val="000000"/>
          <w:sz w:val="20"/>
          <w:szCs w:val="20"/>
        </w:rPr>
      </w:pPr>
      <w:r w:rsidRPr="003A1D5A">
        <w:rPr>
          <w:rFonts w:ascii="Times New Roman" w:eastAsia="Calibri" w:hAnsi="Times New Roman" w:cs="Times New Roman"/>
          <w:noProof/>
          <w:color w:val="000000"/>
          <w:lang w:eastAsia="ru-RU"/>
        </w:rPr>
        <w:drawing>
          <wp:inline distT="0" distB="0" distL="0" distR="0" wp14:anchorId="743E279A" wp14:editId="0F82449F">
            <wp:extent cx="5618480" cy="3695700"/>
            <wp:effectExtent l="0" t="0" r="1270" b="0"/>
            <wp:docPr id="1075" name="Диаграмма 10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3A1D5A" w:rsidRPr="003A1D5A" w:rsidRDefault="003A1D5A" w:rsidP="003A1D5A">
      <w:pPr>
        <w:spacing w:after="0" w:line="360" w:lineRule="auto"/>
        <w:ind w:firstLine="709"/>
        <w:contextualSpacing/>
        <w:jc w:val="both"/>
        <w:rPr>
          <w:rFonts w:ascii="Times New Roman" w:eastAsia="Times New Roman" w:hAnsi="Times New Roman" w:cs="Times New Roman"/>
          <w:color w:val="000000"/>
          <w:sz w:val="28"/>
          <w:szCs w:val="28"/>
          <w:lang w:eastAsia="ru-RU"/>
        </w:rPr>
      </w:pPr>
    </w:p>
    <w:p w:rsidR="003A1D5A" w:rsidRPr="003B4122" w:rsidRDefault="003A1D5A" w:rsidP="003A1D5A">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3B4122">
        <w:rPr>
          <w:rFonts w:ascii="Times New Roman" w:eastAsia="Times New Roman" w:hAnsi="Times New Roman" w:cs="Times New Roman"/>
          <w:color w:val="000000"/>
          <w:sz w:val="24"/>
          <w:szCs w:val="24"/>
          <w:lang w:eastAsia="ru-RU"/>
        </w:rPr>
        <w:t>Эти данные частично пересекаются с результатами исследований, проведенных Центральным Банком Российской Федерации. Так</w:t>
      </w:r>
      <w:r w:rsidR="003B4122">
        <w:rPr>
          <w:rFonts w:ascii="Times New Roman" w:eastAsia="Times New Roman" w:hAnsi="Times New Roman" w:cs="Times New Roman"/>
          <w:color w:val="000000"/>
          <w:sz w:val="24"/>
          <w:szCs w:val="24"/>
          <w:lang w:eastAsia="ru-RU"/>
        </w:rPr>
        <w:t xml:space="preserve">, согласно данным исследования </w:t>
      </w:r>
      <w:r w:rsidRPr="003B4122">
        <w:rPr>
          <w:rFonts w:ascii="Times New Roman" w:eastAsia="Times New Roman" w:hAnsi="Times New Roman" w:cs="Times New Roman"/>
          <w:color w:val="000000"/>
          <w:sz w:val="24"/>
          <w:szCs w:val="24"/>
          <w:lang w:eastAsia="ru-RU"/>
        </w:rPr>
        <w:t xml:space="preserve">основные сложности, с которыми субъекты малого и среднего предпринимательства сталкиваются при взаимодействии с финансовыми организациями, связаны с навязыванием дополнительных платных услуг финансовой организации (кредитные организации – 52,3%, страховые организации – 36,8%), установлением завышенных цен на финансовые услуги (кредитные организации – 36,4%, страховые организации – 39,5%) и отсутствием полной и достоверной информации об услугах (кредитные организации – 29,5%, страховые организации – 28,9%, микрофинансовые организации – 20,5%). </w:t>
      </w:r>
    </w:p>
    <w:p w:rsidR="003A1D5A" w:rsidRPr="003A1D5A" w:rsidRDefault="003A1D5A" w:rsidP="003A1D5A">
      <w:pPr>
        <w:spacing w:after="0" w:line="360" w:lineRule="auto"/>
        <w:ind w:firstLine="709"/>
        <w:contextualSpacing/>
        <w:jc w:val="both"/>
        <w:rPr>
          <w:rFonts w:ascii="Times New Roman" w:eastAsia="Times New Roman" w:hAnsi="Times New Roman" w:cs="Times New Roman"/>
          <w:color w:val="000000"/>
          <w:sz w:val="28"/>
          <w:szCs w:val="28"/>
          <w:lang w:eastAsia="ru-RU"/>
        </w:rPr>
      </w:pPr>
    </w:p>
    <w:p w:rsidR="003A1D5A" w:rsidRPr="003B4122" w:rsidRDefault="003A1D5A" w:rsidP="003B4122">
      <w:pPr>
        <w:keepNext/>
        <w:keepLines/>
        <w:spacing w:before="120" w:after="120" w:line="240" w:lineRule="auto"/>
        <w:jc w:val="center"/>
        <w:rPr>
          <w:rFonts w:ascii="Times New Roman" w:eastAsia="Calibri" w:hAnsi="Times New Roman" w:cs="Times New Roman"/>
          <w:color w:val="000000"/>
          <w:sz w:val="24"/>
          <w:szCs w:val="24"/>
        </w:rPr>
      </w:pPr>
      <w:r w:rsidRPr="003B4122">
        <w:rPr>
          <w:rFonts w:ascii="Times New Roman" w:eastAsia="Calibri" w:hAnsi="Times New Roman" w:cs="Times New Roman"/>
          <w:color w:val="000000"/>
          <w:sz w:val="24"/>
          <w:szCs w:val="24"/>
        </w:rPr>
        <w:t xml:space="preserve">Таблица </w:t>
      </w:r>
      <w:r w:rsidR="003B4122" w:rsidRPr="003B4122">
        <w:rPr>
          <w:rFonts w:ascii="Times New Roman" w:eastAsia="Calibri" w:hAnsi="Times New Roman" w:cs="Times New Roman"/>
          <w:color w:val="000000"/>
          <w:sz w:val="24"/>
          <w:szCs w:val="24"/>
        </w:rPr>
        <w:t>56</w:t>
      </w:r>
      <w:r w:rsidRPr="003B4122">
        <w:rPr>
          <w:rFonts w:ascii="Times New Roman" w:eastAsia="Calibri" w:hAnsi="Times New Roman" w:cs="Times New Roman"/>
          <w:color w:val="000000"/>
          <w:sz w:val="24"/>
          <w:szCs w:val="24"/>
        </w:rPr>
        <w:t xml:space="preserve">. </w:t>
      </w:r>
      <w:r w:rsidRPr="003B4122">
        <w:rPr>
          <w:rFonts w:ascii="Times New Roman" w:eastAsia="Calibri" w:hAnsi="Times New Roman" w:cs="Times New Roman"/>
          <w:bCs/>
          <w:color w:val="000000"/>
          <w:sz w:val="24"/>
          <w:szCs w:val="24"/>
        </w:rPr>
        <w:t>С какими сложностями Ваша компания сталкивается при взаимодействии с финансовыми организациями?</w:t>
      </w:r>
      <w:r w:rsidRPr="003B4122">
        <w:rPr>
          <w:rFonts w:ascii="Times New Roman" w:eastAsia="Calibri" w:hAnsi="Times New Roman" w:cs="Times New Roman"/>
          <w:color w:val="000000"/>
          <w:sz w:val="24"/>
          <w:szCs w:val="24"/>
        </w:rPr>
        <w:t xml:space="preserve"> (данные исследования Центрального Банка Российской Федерации)</w:t>
      </w:r>
    </w:p>
    <w:tbl>
      <w:tblPr>
        <w:tblStyle w:val="290"/>
        <w:tblW w:w="0" w:type="auto"/>
        <w:tblInd w:w="108" w:type="dxa"/>
        <w:tblLook w:val="04A0" w:firstRow="1" w:lastRow="0" w:firstColumn="1" w:lastColumn="0" w:noHBand="0" w:noVBand="1"/>
      </w:tblPr>
      <w:tblGrid>
        <w:gridCol w:w="2625"/>
        <w:gridCol w:w="1491"/>
        <w:gridCol w:w="1515"/>
        <w:gridCol w:w="2175"/>
        <w:gridCol w:w="2365"/>
      </w:tblGrid>
      <w:tr w:rsidR="003A1D5A" w:rsidRPr="003A1D5A" w:rsidTr="003B4122">
        <w:trPr>
          <w:tblHeader/>
        </w:trPr>
        <w:tc>
          <w:tcPr>
            <w:tcW w:w="2694" w:type="dxa"/>
            <w:vAlign w:val="center"/>
          </w:tcPr>
          <w:p w:rsidR="003A1D5A" w:rsidRPr="00D55ED4" w:rsidRDefault="003A1D5A" w:rsidP="003A1D5A">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Тип организации</w:t>
            </w:r>
          </w:p>
        </w:tc>
        <w:tc>
          <w:tcPr>
            <w:tcW w:w="1398" w:type="dxa"/>
            <w:vAlign w:val="center"/>
          </w:tcPr>
          <w:p w:rsidR="003A1D5A" w:rsidRPr="00D55ED4" w:rsidRDefault="003A1D5A" w:rsidP="003A1D5A">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Кредитные организации</w:t>
            </w:r>
          </w:p>
        </w:tc>
        <w:tc>
          <w:tcPr>
            <w:tcW w:w="1518" w:type="dxa"/>
            <w:vAlign w:val="center"/>
          </w:tcPr>
          <w:p w:rsidR="003A1D5A" w:rsidRPr="00D55ED4" w:rsidRDefault="003A1D5A" w:rsidP="003A1D5A">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Страховые организации</w:t>
            </w:r>
          </w:p>
        </w:tc>
        <w:tc>
          <w:tcPr>
            <w:tcW w:w="2065" w:type="dxa"/>
            <w:vAlign w:val="center"/>
          </w:tcPr>
          <w:p w:rsidR="003A1D5A" w:rsidRPr="00D55ED4" w:rsidRDefault="003A1D5A" w:rsidP="003A1D5A">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Профессиональные участники рынка ценных бумаг</w:t>
            </w:r>
          </w:p>
        </w:tc>
        <w:tc>
          <w:tcPr>
            <w:tcW w:w="2390" w:type="dxa"/>
            <w:vAlign w:val="center"/>
          </w:tcPr>
          <w:p w:rsidR="003A1D5A" w:rsidRPr="00D55ED4" w:rsidRDefault="003A1D5A" w:rsidP="003A1D5A">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Микрофинансовые организации</w:t>
            </w:r>
          </w:p>
        </w:tc>
      </w:tr>
      <w:tr w:rsidR="003A1D5A" w:rsidRPr="003A1D5A" w:rsidTr="003B4122">
        <w:tc>
          <w:tcPr>
            <w:tcW w:w="2694" w:type="dxa"/>
            <w:vAlign w:val="center"/>
          </w:tcPr>
          <w:p w:rsidR="003A1D5A" w:rsidRPr="003A1D5A" w:rsidRDefault="003A1D5A" w:rsidP="003A1D5A">
            <w:pPr>
              <w:spacing w:before="120" w:after="120" w:line="269" w:lineRule="auto"/>
              <w:rPr>
                <w:rFonts w:ascii="Times New Roman" w:eastAsia="Calibri" w:hAnsi="Times New Roman" w:cs="Times New Roman"/>
                <w:color w:val="000000"/>
              </w:rPr>
            </w:pPr>
            <w:r w:rsidRPr="003A1D5A">
              <w:rPr>
                <w:rFonts w:ascii="Times New Roman" w:eastAsia="Calibri" w:hAnsi="Times New Roman" w:cs="Times New Roman"/>
                <w:color w:val="000000"/>
              </w:rPr>
              <w:t>Установление завышенных цен на финансовые услуги</w:t>
            </w:r>
          </w:p>
        </w:tc>
        <w:tc>
          <w:tcPr>
            <w:tcW w:w="1398"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36,4%</w:t>
            </w:r>
          </w:p>
        </w:tc>
        <w:tc>
          <w:tcPr>
            <w:tcW w:w="1518"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39,5%</w:t>
            </w:r>
          </w:p>
        </w:tc>
        <w:tc>
          <w:tcPr>
            <w:tcW w:w="2065"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5,3%</w:t>
            </w:r>
          </w:p>
        </w:tc>
        <w:tc>
          <w:tcPr>
            <w:tcW w:w="2390"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15,4%</w:t>
            </w:r>
          </w:p>
        </w:tc>
      </w:tr>
      <w:tr w:rsidR="003A1D5A" w:rsidRPr="003A1D5A" w:rsidTr="003B4122">
        <w:tc>
          <w:tcPr>
            <w:tcW w:w="2694" w:type="dxa"/>
            <w:vAlign w:val="center"/>
          </w:tcPr>
          <w:p w:rsidR="003A1D5A" w:rsidRPr="003A1D5A" w:rsidRDefault="003A1D5A" w:rsidP="003A1D5A">
            <w:pPr>
              <w:spacing w:before="120" w:after="120" w:line="269" w:lineRule="auto"/>
              <w:rPr>
                <w:rFonts w:ascii="Times New Roman" w:eastAsia="Calibri" w:hAnsi="Times New Roman" w:cs="Times New Roman"/>
                <w:color w:val="000000"/>
              </w:rPr>
            </w:pPr>
            <w:r w:rsidRPr="003A1D5A">
              <w:rPr>
                <w:rFonts w:ascii="Times New Roman" w:eastAsia="Calibri" w:hAnsi="Times New Roman" w:cs="Times New Roman"/>
                <w:color w:val="000000"/>
              </w:rPr>
              <w:t>Отсутствие полной и достоверной информации об услугах</w:t>
            </w:r>
          </w:p>
        </w:tc>
        <w:tc>
          <w:tcPr>
            <w:tcW w:w="1398"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29,5%</w:t>
            </w:r>
          </w:p>
        </w:tc>
        <w:tc>
          <w:tcPr>
            <w:tcW w:w="1518"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28,9%</w:t>
            </w:r>
          </w:p>
        </w:tc>
        <w:tc>
          <w:tcPr>
            <w:tcW w:w="2065"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2,6%</w:t>
            </w:r>
          </w:p>
        </w:tc>
        <w:tc>
          <w:tcPr>
            <w:tcW w:w="2390"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20,5%</w:t>
            </w:r>
          </w:p>
        </w:tc>
      </w:tr>
      <w:tr w:rsidR="003A1D5A" w:rsidRPr="003A1D5A" w:rsidTr="003B4122">
        <w:tc>
          <w:tcPr>
            <w:tcW w:w="2694" w:type="dxa"/>
            <w:vAlign w:val="center"/>
          </w:tcPr>
          <w:p w:rsidR="003A1D5A" w:rsidRPr="003A1D5A" w:rsidRDefault="003A1D5A" w:rsidP="003A1D5A">
            <w:pPr>
              <w:spacing w:before="120" w:after="120" w:line="269" w:lineRule="auto"/>
              <w:rPr>
                <w:rFonts w:ascii="Times New Roman" w:eastAsia="Calibri" w:hAnsi="Times New Roman" w:cs="Times New Roman"/>
                <w:color w:val="000000"/>
              </w:rPr>
            </w:pPr>
            <w:r w:rsidRPr="003A1D5A">
              <w:rPr>
                <w:rFonts w:ascii="Times New Roman" w:eastAsia="Calibri" w:hAnsi="Times New Roman" w:cs="Times New Roman"/>
                <w:color w:val="000000"/>
              </w:rPr>
              <w:t>Навязывание дополнительных платных услуг финансовой организации</w:t>
            </w:r>
          </w:p>
        </w:tc>
        <w:tc>
          <w:tcPr>
            <w:tcW w:w="1398"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52,3%</w:t>
            </w:r>
          </w:p>
        </w:tc>
        <w:tc>
          <w:tcPr>
            <w:tcW w:w="1518"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36,8%</w:t>
            </w:r>
          </w:p>
        </w:tc>
        <w:tc>
          <w:tcPr>
            <w:tcW w:w="2065"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10,5%</w:t>
            </w:r>
          </w:p>
        </w:tc>
        <w:tc>
          <w:tcPr>
            <w:tcW w:w="2390"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10,3%</w:t>
            </w:r>
          </w:p>
        </w:tc>
      </w:tr>
      <w:tr w:rsidR="003A1D5A" w:rsidRPr="003A1D5A" w:rsidTr="003B4122">
        <w:tc>
          <w:tcPr>
            <w:tcW w:w="2694" w:type="dxa"/>
            <w:vAlign w:val="center"/>
          </w:tcPr>
          <w:p w:rsidR="003A1D5A" w:rsidRPr="003A1D5A" w:rsidRDefault="003A1D5A" w:rsidP="003A1D5A">
            <w:pPr>
              <w:spacing w:before="120" w:after="120" w:line="269" w:lineRule="auto"/>
              <w:rPr>
                <w:rFonts w:ascii="Times New Roman" w:eastAsia="Calibri" w:hAnsi="Times New Roman" w:cs="Times New Roman"/>
                <w:color w:val="000000"/>
              </w:rPr>
            </w:pPr>
            <w:r w:rsidRPr="003A1D5A">
              <w:rPr>
                <w:rFonts w:ascii="Times New Roman" w:eastAsia="Calibri" w:hAnsi="Times New Roman" w:cs="Times New Roman"/>
                <w:color w:val="000000"/>
              </w:rPr>
              <w:t>Навязывание финансовой организацией услуг связанных (аффилированных) с ней лиц</w:t>
            </w:r>
          </w:p>
        </w:tc>
        <w:tc>
          <w:tcPr>
            <w:tcW w:w="1398"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27,3%</w:t>
            </w:r>
          </w:p>
        </w:tc>
        <w:tc>
          <w:tcPr>
            <w:tcW w:w="1518"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13,2%</w:t>
            </w:r>
          </w:p>
        </w:tc>
        <w:tc>
          <w:tcPr>
            <w:tcW w:w="2065"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5,3%</w:t>
            </w:r>
          </w:p>
        </w:tc>
        <w:tc>
          <w:tcPr>
            <w:tcW w:w="2390"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7,7%</w:t>
            </w:r>
          </w:p>
        </w:tc>
      </w:tr>
      <w:tr w:rsidR="003A1D5A" w:rsidRPr="003A1D5A" w:rsidTr="003B4122">
        <w:tc>
          <w:tcPr>
            <w:tcW w:w="2694" w:type="dxa"/>
            <w:vAlign w:val="center"/>
          </w:tcPr>
          <w:p w:rsidR="003A1D5A" w:rsidRPr="003A1D5A" w:rsidRDefault="003A1D5A" w:rsidP="003A1D5A">
            <w:pPr>
              <w:spacing w:before="120" w:after="120" w:line="269" w:lineRule="auto"/>
              <w:rPr>
                <w:rFonts w:ascii="Times New Roman" w:eastAsia="Calibri" w:hAnsi="Times New Roman" w:cs="Times New Roman"/>
                <w:color w:val="000000"/>
              </w:rPr>
            </w:pPr>
            <w:r w:rsidRPr="003A1D5A">
              <w:rPr>
                <w:rFonts w:ascii="Times New Roman" w:eastAsia="Calibri" w:hAnsi="Times New Roman" w:cs="Times New Roman"/>
                <w:color w:val="000000"/>
              </w:rPr>
              <w:t>Отказ в обслуживании, в т.ч. в результате предъявления завышенных требований</w:t>
            </w:r>
          </w:p>
        </w:tc>
        <w:tc>
          <w:tcPr>
            <w:tcW w:w="1398"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22,7%</w:t>
            </w:r>
          </w:p>
        </w:tc>
        <w:tc>
          <w:tcPr>
            <w:tcW w:w="1518"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2,6%</w:t>
            </w:r>
          </w:p>
        </w:tc>
        <w:tc>
          <w:tcPr>
            <w:tcW w:w="2065"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0,0%</w:t>
            </w:r>
          </w:p>
        </w:tc>
        <w:tc>
          <w:tcPr>
            <w:tcW w:w="2390"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2,6%</w:t>
            </w:r>
          </w:p>
        </w:tc>
      </w:tr>
      <w:tr w:rsidR="003A1D5A" w:rsidRPr="003A1D5A" w:rsidTr="003B4122">
        <w:tc>
          <w:tcPr>
            <w:tcW w:w="2694" w:type="dxa"/>
            <w:vAlign w:val="center"/>
          </w:tcPr>
          <w:p w:rsidR="003A1D5A" w:rsidRPr="003A1D5A" w:rsidRDefault="003A1D5A" w:rsidP="003A1D5A">
            <w:pPr>
              <w:spacing w:before="120" w:after="120" w:line="269" w:lineRule="auto"/>
              <w:rPr>
                <w:rFonts w:ascii="Times New Roman" w:eastAsia="Calibri" w:hAnsi="Times New Roman" w:cs="Times New Roman"/>
                <w:color w:val="000000"/>
              </w:rPr>
            </w:pPr>
            <w:r w:rsidRPr="003A1D5A">
              <w:rPr>
                <w:rFonts w:ascii="Times New Roman" w:eastAsia="Calibri" w:hAnsi="Times New Roman" w:cs="Times New Roman"/>
                <w:color w:val="000000"/>
              </w:rPr>
              <w:t>Не пользуемся этими услугами</w:t>
            </w:r>
          </w:p>
        </w:tc>
        <w:tc>
          <w:tcPr>
            <w:tcW w:w="1398"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4,5%</w:t>
            </w:r>
          </w:p>
        </w:tc>
        <w:tc>
          <w:tcPr>
            <w:tcW w:w="1518"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26,3%</w:t>
            </w:r>
          </w:p>
        </w:tc>
        <w:tc>
          <w:tcPr>
            <w:tcW w:w="2065"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73,7%</w:t>
            </w:r>
          </w:p>
        </w:tc>
        <w:tc>
          <w:tcPr>
            <w:tcW w:w="2390"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53,8%</w:t>
            </w:r>
          </w:p>
        </w:tc>
      </w:tr>
      <w:tr w:rsidR="003A1D5A" w:rsidRPr="003A1D5A" w:rsidTr="003B4122">
        <w:tc>
          <w:tcPr>
            <w:tcW w:w="2694" w:type="dxa"/>
            <w:vAlign w:val="center"/>
          </w:tcPr>
          <w:p w:rsidR="003A1D5A" w:rsidRPr="003A1D5A" w:rsidRDefault="003A1D5A" w:rsidP="003A1D5A">
            <w:pPr>
              <w:spacing w:before="120" w:after="120" w:line="269" w:lineRule="auto"/>
              <w:rPr>
                <w:rFonts w:ascii="Times New Roman" w:eastAsia="Calibri" w:hAnsi="Times New Roman" w:cs="Times New Roman"/>
                <w:color w:val="000000"/>
              </w:rPr>
            </w:pPr>
            <w:r w:rsidRPr="003A1D5A">
              <w:rPr>
                <w:rFonts w:ascii="Times New Roman" w:eastAsia="Calibri" w:hAnsi="Times New Roman" w:cs="Times New Roman"/>
                <w:color w:val="000000"/>
              </w:rPr>
              <w:t>Сложности не возникают</w:t>
            </w:r>
          </w:p>
        </w:tc>
        <w:tc>
          <w:tcPr>
            <w:tcW w:w="1398"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20,5%</w:t>
            </w:r>
          </w:p>
        </w:tc>
        <w:tc>
          <w:tcPr>
            <w:tcW w:w="1518"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10,5%</w:t>
            </w:r>
          </w:p>
        </w:tc>
        <w:tc>
          <w:tcPr>
            <w:tcW w:w="2065"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15,8%</w:t>
            </w:r>
          </w:p>
        </w:tc>
        <w:tc>
          <w:tcPr>
            <w:tcW w:w="2390"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20,5%</w:t>
            </w:r>
          </w:p>
        </w:tc>
      </w:tr>
    </w:tbl>
    <w:p w:rsidR="003A1D5A" w:rsidRPr="003A1D5A" w:rsidRDefault="003A1D5A" w:rsidP="003A1D5A">
      <w:pPr>
        <w:rPr>
          <w:rFonts w:ascii="Times New Roman" w:eastAsia="Calibri" w:hAnsi="Times New Roman" w:cs="Times New Roman"/>
          <w:color w:val="000000"/>
        </w:rPr>
      </w:pPr>
    </w:p>
    <w:p w:rsidR="003A1D5A" w:rsidRPr="003B4122" w:rsidRDefault="003A1D5A" w:rsidP="003B4122">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3B4122">
        <w:rPr>
          <w:rFonts w:ascii="Times New Roman" w:eastAsia="Times New Roman" w:hAnsi="Times New Roman" w:cs="Times New Roman"/>
          <w:color w:val="000000"/>
          <w:sz w:val="24"/>
          <w:szCs w:val="24"/>
          <w:lang w:eastAsia="ru-RU"/>
        </w:rPr>
        <w:t xml:space="preserve">Согласно данным опроса с участием 65 предприятий Ленинградской области, опубликованным в аналитическом обзоре Центрального Банка Российской Федерации </w:t>
      </w:r>
      <w:r w:rsidR="00D55ED4">
        <w:rPr>
          <w:rFonts w:ascii="Times New Roman" w:eastAsia="Times New Roman" w:hAnsi="Times New Roman" w:cs="Times New Roman"/>
          <w:color w:val="000000"/>
          <w:sz w:val="24"/>
          <w:szCs w:val="24"/>
          <w:lang w:eastAsia="ru-RU"/>
        </w:rPr>
        <w:t>«</w:t>
      </w:r>
      <w:r w:rsidRPr="003B4122">
        <w:rPr>
          <w:rFonts w:ascii="Times New Roman" w:eastAsia="Times New Roman" w:hAnsi="Times New Roman" w:cs="Times New Roman"/>
          <w:color w:val="000000"/>
          <w:sz w:val="24"/>
          <w:szCs w:val="24"/>
          <w:lang w:eastAsia="ru-RU"/>
        </w:rPr>
        <w:t>Доступность финансовых ресурсов. Ленинградская область. I полугодие 2022 г.</w:t>
      </w:r>
      <w:r w:rsidR="00D55ED4">
        <w:rPr>
          <w:rFonts w:ascii="Times New Roman" w:eastAsia="Times New Roman" w:hAnsi="Times New Roman" w:cs="Times New Roman"/>
          <w:color w:val="000000"/>
          <w:sz w:val="24"/>
          <w:szCs w:val="24"/>
          <w:lang w:eastAsia="ru-RU"/>
        </w:rPr>
        <w:t>»</w:t>
      </w:r>
      <w:r w:rsidRPr="003B4122">
        <w:rPr>
          <w:rFonts w:ascii="Times New Roman" w:eastAsia="Times New Roman" w:hAnsi="Times New Roman" w:cs="Times New Roman"/>
          <w:color w:val="000000"/>
          <w:sz w:val="24"/>
          <w:szCs w:val="24"/>
          <w:lang w:eastAsia="ru-RU"/>
        </w:rPr>
        <w:t>, стоимость финансовых услуг в целом оказывает сдерживающее влияние на п</w:t>
      </w:r>
      <w:r w:rsidR="003B4122">
        <w:rPr>
          <w:rFonts w:ascii="Times New Roman" w:eastAsia="Times New Roman" w:hAnsi="Times New Roman" w:cs="Times New Roman"/>
          <w:color w:val="000000"/>
          <w:sz w:val="24"/>
          <w:szCs w:val="24"/>
          <w:lang w:eastAsia="ru-RU"/>
        </w:rPr>
        <w:t>редпринимательскую активность.</w:t>
      </w:r>
    </w:p>
    <w:p w:rsidR="003A1D5A" w:rsidRPr="003B4122" w:rsidRDefault="003A1D5A" w:rsidP="003A1D5A">
      <w:pPr>
        <w:spacing w:after="0" w:line="360" w:lineRule="auto"/>
        <w:ind w:firstLine="709"/>
        <w:jc w:val="both"/>
        <w:rPr>
          <w:rFonts w:ascii="Times New Roman" w:eastAsia="Times New Roman" w:hAnsi="Times New Roman" w:cs="Times New Roman"/>
          <w:color w:val="000000"/>
          <w:sz w:val="24"/>
          <w:szCs w:val="24"/>
          <w:lang w:eastAsia="ru-RU"/>
        </w:rPr>
      </w:pPr>
      <w:r w:rsidRPr="003B4122">
        <w:rPr>
          <w:rFonts w:ascii="Times New Roman" w:eastAsia="Times New Roman" w:hAnsi="Times New Roman" w:cs="Times New Roman"/>
          <w:color w:val="000000"/>
          <w:sz w:val="24"/>
          <w:szCs w:val="24"/>
          <w:lang w:eastAsia="ru-RU"/>
        </w:rPr>
        <w:t>Основные барьеры для доступа к финансовым услугам в Ленинградской области в разрезе по размеру бизнеса представлены в таблице ниже.</w:t>
      </w:r>
    </w:p>
    <w:p w:rsidR="003A1D5A" w:rsidRPr="003A1D5A" w:rsidRDefault="003A1D5A" w:rsidP="003B4122">
      <w:pPr>
        <w:keepNext/>
        <w:keepLines/>
        <w:spacing w:before="120" w:after="120" w:line="240" w:lineRule="auto"/>
        <w:jc w:val="center"/>
        <w:rPr>
          <w:rFonts w:ascii="Times New Roman" w:eastAsia="Calibri" w:hAnsi="Times New Roman" w:cs="Times New Roman"/>
          <w:b/>
          <w:iCs/>
          <w:color w:val="000000"/>
          <w:sz w:val="24"/>
          <w:szCs w:val="24"/>
        </w:rPr>
      </w:pPr>
      <w:r w:rsidRPr="003A1D5A">
        <w:rPr>
          <w:rFonts w:ascii="Times New Roman" w:eastAsia="Calibri" w:hAnsi="Times New Roman" w:cs="Times New Roman"/>
          <w:iCs/>
          <w:color w:val="000000"/>
          <w:sz w:val="24"/>
          <w:szCs w:val="24"/>
        </w:rPr>
        <w:t xml:space="preserve">Таблица </w:t>
      </w:r>
      <w:r w:rsidR="003B4122">
        <w:rPr>
          <w:rFonts w:ascii="Times New Roman" w:eastAsia="Calibri" w:hAnsi="Times New Roman" w:cs="Times New Roman"/>
          <w:iCs/>
          <w:color w:val="000000"/>
          <w:sz w:val="24"/>
          <w:szCs w:val="24"/>
        </w:rPr>
        <w:t>57</w:t>
      </w:r>
      <w:r w:rsidRPr="003A1D5A">
        <w:rPr>
          <w:rFonts w:ascii="Times New Roman" w:eastAsia="Calibri" w:hAnsi="Times New Roman" w:cs="Times New Roman"/>
          <w:iCs/>
          <w:color w:val="000000"/>
          <w:sz w:val="24"/>
          <w:szCs w:val="24"/>
        </w:rPr>
        <w:t xml:space="preserve">. </w:t>
      </w:r>
      <w:r w:rsidRPr="003A1D5A">
        <w:rPr>
          <w:rFonts w:ascii="Times New Roman" w:eastAsia="Calibri" w:hAnsi="Times New Roman" w:cs="Times New Roman"/>
          <w:b/>
          <w:bCs/>
          <w:color w:val="000000"/>
          <w:sz w:val="24"/>
          <w:szCs w:val="24"/>
          <w:shd w:val="clear" w:color="auto" w:fill="FFFFFF"/>
        </w:rPr>
        <w:t>Каковы, на Ваш взгляд, основные барьеры для доступа предпринимателей к финансовым услугам в Ленинградской области?</w:t>
      </w:r>
      <w:r w:rsidRPr="003A1D5A">
        <w:rPr>
          <w:rFonts w:ascii="Times New Roman" w:eastAsia="Calibri" w:hAnsi="Times New Roman" w:cs="Times New Roman"/>
          <w:i/>
          <w:color w:val="000000"/>
          <w:sz w:val="24"/>
          <w:szCs w:val="24"/>
        </w:rPr>
        <w:t xml:space="preserve"> </w:t>
      </w:r>
      <w:r w:rsidRPr="003A1D5A">
        <w:rPr>
          <w:rFonts w:ascii="Times New Roman" w:eastAsia="Calibri" w:hAnsi="Times New Roman" w:cs="Times New Roman"/>
          <w:noProof/>
          <w:color w:val="000000"/>
          <w:sz w:val="24"/>
          <w:szCs w:val="24"/>
        </w:rPr>
        <w:t xml:space="preserve">(опрос предпринимателей, % от числа опрошенных. </w:t>
      </w:r>
      <w:r w:rsidRPr="003A1D5A">
        <w:rPr>
          <w:rFonts w:ascii="Times New Roman" w:eastAsia="Calibri" w:hAnsi="Times New Roman" w:cs="Times New Roman"/>
          <w:noProof/>
          <w:color w:val="000000"/>
          <w:sz w:val="24"/>
          <w:szCs w:val="24"/>
          <w:lang w:val="en-US"/>
        </w:rPr>
        <w:t>n</w:t>
      </w:r>
      <w:r w:rsidRPr="003A1D5A">
        <w:rPr>
          <w:rFonts w:ascii="Times New Roman" w:eastAsia="Calibri" w:hAnsi="Times New Roman" w:cs="Times New Roman"/>
          <w:noProof/>
          <w:color w:val="000000"/>
          <w:sz w:val="24"/>
          <w:szCs w:val="24"/>
        </w:rPr>
        <w:t xml:space="preserve"> = 500</w:t>
      </w:r>
      <w:r w:rsidRPr="003A1D5A">
        <w:rPr>
          <w:rFonts w:ascii="Times New Roman" w:eastAsia="Calibri" w:hAnsi="Times New Roman" w:cs="Times New Roman"/>
          <w:color w:val="000000"/>
          <w:sz w:val="24"/>
          <w:szCs w:val="24"/>
        </w:rPr>
        <w:t>)</w:t>
      </w: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1"/>
        <w:gridCol w:w="1288"/>
        <w:gridCol w:w="1291"/>
        <w:gridCol w:w="1291"/>
        <w:gridCol w:w="1288"/>
        <w:gridCol w:w="1291"/>
        <w:gridCol w:w="1291"/>
      </w:tblGrid>
      <w:tr w:rsidR="003A1D5A" w:rsidRPr="003A1D5A" w:rsidTr="00682FC6">
        <w:trPr>
          <w:cantSplit/>
          <w:trHeight w:val="2108"/>
          <w:tblHeader/>
        </w:trPr>
        <w:tc>
          <w:tcPr>
            <w:tcW w:w="1294" w:type="pct"/>
            <w:shd w:val="clear" w:color="auto" w:fill="auto"/>
            <w:noWrap/>
            <w:vAlign w:val="center"/>
          </w:tcPr>
          <w:p w:rsidR="003A1D5A" w:rsidRPr="003A1D5A" w:rsidRDefault="003A1D5A" w:rsidP="003A1D5A">
            <w:pPr>
              <w:spacing w:after="0" w:line="240" w:lineRule="auto"/>
              <w:jc w:val="center"/>
              <w:rPr>
                <w:rFonts w:ascii="Times New Roman" w:eastAsia="Times New Roman" w:hAnsi="Times New Roman" w:cs="Times New Roman"/>
                <w:color w:val="000000"/>
                <w:lang w:eastAsia="ru-RU"/>
              </w:rPr>
            </w:pPr>
          </w:p>
        </w:tc>
        <w:tc>
          <w:tcPr>
            <w:tcW w:w="617" w:type="pct"/>
            <w:shd w:val="clear" w:color="auto" w:fill="auto"/>
            <w:textDirection w:val="btLr"/>
            <w:vAlign w:val="center"/>
          </w:tcPr>
          <w:p w:rsidR="003A1D5A" w:rsidRPr="003A1D5A" w:rsidRDefault="003A1D5A" w:rsidP="003A1D5A">
            <w:pPr>
              <w:spacing w:after="0" w:line="240" w:lineRule="auto"/>
              <w:ind w:left="113" w:right="113"/>
              <w:jc w:val="center"/>
              <w:rPr>
                <w:rFonts w:ascii="Times New Roman" w:eastAsia="Times New Roman" w:hAnsi="Times New Roman" w:cs="Times New Roman"/>
                <w:b/>
                <w:bCs/>
                <w:color w:val="000000"/>
                <w:sz w:val="20"/>
                <w:szCs w:val="20"/>
                <w:lang w:eastAsia="ru-RU"/>
              </w:rPr>
            </w:pPr>
            <w:r w:rsidRPr="003A1D5A">
              <w:rPr>
                <w:rFonts w:ascii="Times New Roman" w:eastAsia="Times New Roman" w:hAnsi="Times New Roman" w:cs="Times New Roman"/>
                <w:b/>
                <w:color w:val="000000"/>
                <w:sz w:val="20"/>
                <w:szCs w:val="20"/>
                <w:lang w:eastAsia="ru-RU"/>
              </w:rPr>
              <w:t>В целом по области</w:t>
            </w:r>
          </w:p>
        </w:tc>
        <w:tc>
          <w:tcPr>
            <w:tcW w:w="618" w:type="pct"/>
            <w:shd w:val="clear" w:color="auto" w:fill="auto"/>
            <w:textDirection w:val="btLr"/>
            <w:vAlign w:val="center"/>
          </w:tcPr>
          <w:p w:rsidR="003A1D5A" w:rsidRPr="003A1D5A" w:rsidRDefault="003A1D5A" w:rsidP="003A1D5A">
            <w:pPr>
              <w:spacing w:after="0" w:line="240" w:lineRule="auto"/>
              <w:ind w:left="113" w:right="113"/>
              <w:jc w:val="center"/>
              <w:rPr>
                <w:rFonts w:ascii="Times New Roman" w:eastAsia="Times New Roman" w:hAnsi="Times New Roman" w:cs="Times New Roman"/>
                <w:b/>
                <w:bCs/>
                <w:color w:val="000000"/>
                <w:sz w:val="20"/>
                <w:szCs w:val="20"/>
                <w:lang w:val="en-US" w:eastAsia="ru-RU"/>
              </w:rPr>
            </w:pPr>
            <w:r w:rsidRPr="003A1D5A">
              <w:rPr>
                <w:rFonts w:ascii="Times New Roman" w:eastAsia="Times New Roman" w:hAnsi="Times New Roman" w:cs="Times New Roman"/>
                <w:b/>
                <w:bCs/>
                <w:color w:val="000000"/>
                <w:sz w:val="20"/>
                <w:szCs w:val="20"/>
                <w:lang w:eastAsia="ru-RU"/>
              </w:rPr>
              <w:t xml:space="preserve">Микро-предприятие </w:t>
            </w:r>
          </w:p>
        </w:tc>
        <w:tc>
          <w:tcPr>
            <w:tcW w:w="618" w:type="pct"/>
            <w:shd w:val="clear" w:color="auto" w:fill="auto"/>
            <w:textDirection w:val="btLr"/>
            <w:vAlign w:val="center"/>
          </w:tcPr>
          <w:p w:rsidR="003A1D5A" w:rsidRPr="003A1D5A" w:rsidRDefault="003A1D5A" w:rsidP="003A1D5A">
            <w:pPr>
              <w:spacing w:after="0" w:line="240" w:lineRule="auto"/>
              <w:ind w:left="113" w:right="113"/>
              <w:jc w:val="center"/>
              <w:rPr>
                <w:rFonts w:ascii="Times New Roman" w:eastAsia="Times New Roman" w:hAnsi="Times New Roman" w:cs="Times New Roman"/>
                <w:b/>
                <w:bCs/>
                <w:color w:val="000000"/>
                <w:sz w:val="20"/>
                <w:szCs w:val="20"/>
                <w:lang w:eastAsia="ru-RU"/>
              </w:rPr>
            </w:pPr>
            <w:r w:rsidRPr="003A1D5A">
              <w:rPr>
                <w:rFonts w:ascii="Times New Roman" w:eastAsia="Times New Roman" w:hAnsi="Times New Roman" w:cs="Times New Roman"/>
                <w:b/>
                <w:bCs/>
                <w:color w:val="000000"/>
                <w:sz w:val="20"/>
                <w:szCs w:val="20"/>
                <w:lang w:eastAsia="ru-RU"/>
              </w:rPr>
              <w:t>Малое предприятие</w:t>
            </w:r>
          </w:p>
        </w:tc>
        <w:tc>
          <w:tcPr>
            <w:tcW w:w="617" w:type="pct"/>
            <w:shd w:val="clear" w:color="auto" w:fill="auto"/>
            <w:textDirection w:val="btLr"/>
            <w:vAlign w:val="center"/>
          </w:tcPr>
          <w:p w:rsidR="003A1D5A" w:rsidRPr="003A1D5A" w:rsidRDefault="003A1D5A" w:rsidP="003A1D5A">
            <w:pPr>
              <w:spacing w:after="0" w:line="240" w:lineRule="auto"/>
              <w:ind w:left="113" w:right="113"/>
              <w:jc w:val="center"/>
              <w:rPr>
                <w:rFonts w:ascii="Times New Roman" w:eastAsia="Calibri" w:hAnsi="Times New Roman" w:cs="Times New Roman"/>
                <w:b/>
                <w:color w:val="000000"/>
                <w:sz w:val="20"/>
                <w:szCs w:val="20"/>
              </w:rPr>
            </w:pPr>
            <w:r w:rsidRPr="003A1D5A">
              <w:rPr>
                <w:rFonts w:ascii="Times New Roman" w:eastAsia="Calibri" w:hAnsi="Times New Roman" w:cs="Times New Roman"/>
                <w:b/>
                <w:color w:val="000000"/>
                <w:sz w:val="20"/>
                <w:szCs w:val="20"/>
              </w:rPr>
              <w:t>Среднее предприятие</w:t>
            </w:r>
          </w:p>
        </w:tc>
        <w:tc>
          <w:tcPr>
            <w:tcW w:w="618" w:type="pct"/>
            <w:shd w:val="clear" w:color="auto" w:fill="auto"/>
            <w:textDirection w:val="btLr"/>
            <w:vAlign w:val="center"/>
          </w:tcPr>
          <w:p w:rsidR="003A1D5A" w:rsidRPr="003A1D5A" w:rsidRDefault="003A1D5A" w:rsidP="003A1D5A">
            <w:pPr>
              <w:spacing w:after="0" w:line="240" w:lineRule="auto"/>
              <w:ind w:left="113" w:right="113"/>
              <w:jc w:val="center"/>
              <w:rPr>
                <w:rFonts w:ascii="Times New Roman" w:eastAsia="Calibri" w:hAnsi="Times New Roman" w:cs="Times New Roman"/>
                <w:b/>
                <w:color w:val="000000"/>
                <w:sz w:val="20"/>
                <w:szCs w:val="20"/>
              </w:rPr>
            </w:pPr>
            <w:r w:rsidRPr="003A1D5A">
              <w:rPr>
                <w:rFonts w:ascii="Times New Roman" w:eastAsia="Calibri" w:hAnsi="Times New Roman" w:cs="Times New Roman"/>
                <w:b/>
                <w:color w:val="000000"/>
                <w:sz w:val="20"/>
                <w:szCs w:val="20"/>
              </w:rPr>
              <w:t>Крупное предприятие</w:t>
            </w:r>
          </w:p>
        </w:tc>
        <w:tc>
          <w:tcPr>
            <w:tcW w:w="618" w:type="pct"/>
            <w:shd w:val="clear" w:color="auto" w:fill="auto"/>
            <w:textDirection w:val="btLr"/>
            <w:vAlign w:val="center"/>
          </w:tcPr>
          <w:p w:rsidR="003A1D5A" w:rsidRPr="003A1D5A" w:rsidRDefault="003A1D5A" w:rsidP="003A1D5A">
            <w:pPr>
              <w:spacing w:after="0" w:line="240" w:lineRule="auto"/>
              <w:ind w:left="113" w:right="113"/>
              <w:jc w:val="center"/>
              <w:rPr>
                <w:rFonts w:ascii="Times New Roman" w:eastAsia="Calibri" w:hAnsi="Times New Roman" w:cs="Times New Roman"/>
                <w:b/>
                <w:color w:val="000000"/>
                <w:sz w:val="20"/>
                <w:szCs w:val="20"/>
              </w:rPr>
            </w:pPr>
            <w:r w:rsidRPr="003A1D5A">
              <w:rPr>
                <w:rFonts w:ascii="Times New Roman" w:eastAsia="Calibri" w:hAnsi="Times New Roman" w:cs="Times New Roman"/>
                <w:b/>
                <w:color w:val="000000"/>
                <w:sz w:val="20"/>
                <w:szCs w:val="20"/>
              </w:rPr>
              <w:t>Затрудняюсь ответить</w:t>
            </w:r>
          </w:p>
        </w:tc>
      </w:tr>
      <w:tr w:rsidR="003A1D5A" w:rsidRPr="003A1D5A" w:rsidTr="003A1D5A">
        <w:trPr>
          <w:trHeight w:val="11"/>
        </w:trPr>
        <w:tc>
          <w:tcPr>
            <w:tcW w:w="1294" w:type="pct"/>
            <w:tcBorders>
              <w:top w:val="single" w:sz="8" w:space="0" w:color="000000"/>
              <w:left w:val="single" w:sz="8" w:space="0" w:color="000000"/>
              <w:bottom w:val="single" w:sz="8" w:space="0" w:color="000000"/>
              <w:right w:val="single" w:sz="8" w:space="0" w:color="000000"/>
            </w:tcBorders>
            <w:shd w:val="clear" w:color="auto" w:fill="auto"/>
          </w:tcPr>
          <w:p w:rsidR="003A1D5A" w:rsidRPr="003A1D5A" w:rsidRDefault="003A1D5A" w:rsidP="003A1D5A">
            <w:pPr>
              <w:spacing w:beforeLines="60" w:before="144" w:afterLines="60" w:after="144" w:line="269" w:lineRule="auto"/>
              <w:rPr>
                <w:rFonts w:ascii="Times New Roman" w:eastAsia="Times New Roman" w:hAnsi="Times New Roman" w:cs="Times New Roman"/>
                <w:b/>
                <w:color w:val="000000"/>
                <w:lang w:eastAsia="ru-RU"/>
              </w:rPr>
            </w:pPr>
            <w:r w:rsidRPr="003A1D5A">
              <w:rPr>
                <w:rFonts w:ascii="Times New Roman" w:eastAsia="Calibri" w:hAnsi="Times New Roman" w:cs="Times New Roman"/>
                <w:color w:val="000000"/>
              </w:rPr>
              <w:t>Высокая стоимость или невыгодные условия обслуживания</w:t>
            </w:r>
          </w:p>
        </w:tc>
        <w:tc>
          <w:tcPr>
            <w:tcW w:w="617" w:type="pct"/>
            <w:vAlign w:val="center"/>
          </w:tcPr>
          <w:p w:rsidR="003A1D5A" w:rsidRPr="003A1D5A" w:rsidRDefault="003A1D5A" w:rsidP="003A1D5A">
            <w:pPr>
              <w:spacing w:after="0" w:line="240" w:lineRule="auto"/>
              <w:jc w:val="center"/>
              <w:rPr>
                <w:rFonts w:ascii="Times New Roman" w:eastAsia="Calibri" w:hAnsi="Times New Roman" w:cs="Times New Roman"/>
                <w:b/>
                <w:bCs/>
                <w:color w:val="000000"/>
              </w:rPr>
            </w:pPr>
            <w:r w:rsidRPr="003A1D5A">
              <w:rPr>
                <w:rFonts w:ascii="Times New Roman" w:eastAsia="Calibri" w:hAnsi="Times New Roman" w:cs="Times New Roman"/>
                <w:b/>
                <w:bCs/>
                <w:color w:val="000000"/>
              </w:rPr>
              <w:t>34%</w:t>
            </w:r>
          </w:p>
        </w:tc>
        <w:tc>
          <w:tcPr>
            <w:tcW w:w="618" w:type="pct"/>
            <w:tcBorders>
              <w:top w:val="single" w:sz="4" w:space="0" w:color="auto"/>
              <w:left w:val="single" w:sz="8" w:space="0" w:color="auto"/>
              <w:bottom w:val="nil"/>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
                <w:color w:val="000000"/>
              </w:rPr>
            </w:pPr>
            <w:r w:rsidRPr="003A1D5A">
              <w:rPr>
                <w:rFonts w:ascii="Times New Roman" w:eastAsia="Calibri" w:hAnsi="Times New Roman" w:cs="Times New Roman"/>
                <w:color w:val="000000"/>
              </w:rPr>
              <w:t>37%</w:t>
            </w:r>
          </w:p>
        </w:tc>
        <w:tc>
          <w:tcPr>
            <w:tcW w:w="618" w:type="pct"/>
            <w:tcBorders>
              <w:top w:val="single" w:sz="4" w:space="0" w:color="auto"/>
              <w:left w:val="nil"/>
              <w:bottom w:val="nil"/>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
                <w:bCs/>
                <w:color w:val="000000"/>
              </w:rPr>
            </w:pPr>
            <w:r w:rsidRPr="003A1D5A">
              <w:rPr>
                <w:rFonts w:ascii="Times New Roman" w:eastAsia="Calibri" w:hAnsi="Times New Roman" w:cs="Times New Roman"/>
                <w:color w:val="000000"/>
              </w:rPr>
              <w:t>33%</w:t>
            </w:r>
          </w:p>
        </w:tc>
        <w:tc>
          <w:tcPr>
            <w:tcW w:w="617" w:type="pct"/>
            <w:tcBorders>
              <w:top w:val="single" w:sz="4" w:space="0" w:color="auto"/>
              <w:left w:val="nil"/>
              <w:bottom w:val="nil"/>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
                <w:color w:val="000000"/>
              </w:rPr>
            </w:pPr>
            <w:r w:rsidRPr="003A1D5A">
              <w:rPr>
                <w:rFonts w:ascii="Times New Roman" w:eastAsia="Calibri" w:hAnsi="Times New Roman" w:cs="Times New Roman"/>
                <w:color w:val="000000"/>
              </w:rPr>
              <w:t>37%</w:t>
            </w:r>
          </w:p>
        </w:tc>
        <w:tc>
          <w:tcPr>
            <w:tcW w:w="618" w:type="pct"/>
            <w:tcBorders>
              <w:top w:val="single" w:sz="4" w:space="0" w:color="auto"/>
              <w:left w:val="nil"/>
              <w:bottom w:val="nil"/>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
                <w:color w:val="000000"/>
              </w:rPr>
            </w:pPr>
            <w:r w:rsidRPr="003A1D5A">
              <w:rPr>
                <w:rFonts w:ascii="Times New Roman" w:eastAsia="Calibri" w:hAnsi="Times New Roman" w:cs="Times New Roman"/>
                <w:color w:val="000000"/>
              </w:rPr>
              <w:t>47%</w:t>
            </w:r>
          </w:p>
        </w:tc>
        <w:tc>
          <w:tcPr>
            <w:tcW w:w="618" w:type="pct"/>
            <w:tcBorders>
              <w:top w:val="single" w:sz="4" w:space="0" w:color="auto"/>
              <w:left w:val="nil"/>
              <w:bottom w:val="nil"/>
              <w:right w:val="single" w:sz="4" w:space="0" w:color="auto"/>
            </w:tcBorders>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24%</w:t>
            </w:r>
          </w:p>
        </w:tc>
      </w:tr>
      <w:tr w:rsidR="003A1D5A" w:rsidRPr="003A1D5A" w:rsidTr="003A1D5A">
        <w:trPr>
          <w:trHeight w:val="11"/>
        </w:trPr>
        <w:tc>
          <w:tcPr>
            <w:tcW w:w="1294" w:type="pct"/>
            <w:tcBorders>
              <w:top w:val="nil"/>
              <w:left w:val="single" w:sz="8" w:space="0" w:color="000000"/>
              <w:bottom w:val="single" w:sz="8" w:space="0" w:color="000000"/>
              <w:right w:val="single" w:sz="8" w:space="0" w:color="000000"/>
            </w:tcBorders>
            <w:shd w:val="clear" w:color="auto" w:fill="auto"/>
          </w:tcPr>
          <w:p w:rsidR="003A1D5A" w:rsidRPr="003A1D5A" w:rsidRDefault="003A1D5A" w:rsidP="003A1D5A">
            <w:pPr>
              <w:spacing w:beforeLines="60" w:before="144" w:afterLines="60" w:after="144" w:line="269" w:lineRule="auto"/>
              <w:rPr>
                <w:rFonts w:ascii="Times New Roman" w:eastAsia="Times New Roman" w:hAnsi="Times New Roman" w:cs="Times New Roman"/>
                <w:color w:val="000000"/>
                <w:lang w:eastAsia="ru-RU"/>
              </w:rPr>
            </w:pPr>
            <w:r w:rsidRPr="003A1D5A">
              <w:rPr>
                <w:rFonts w:ascii="Times New Roman" w:eastAsia="Calibri" w:hAnsi="Times New Roman" w:cs="Times New Roman"/>
                <w:color w:val="000000"/>
              </w:rPr>
              <w:t xml:space="preserve">Сложная процедура получения услуг </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
                <w:bCs/>
                <w:color w:val="000000"/>
              </w:rPr>
            </w:pPr>
            <w:r w:rsidRPr="003A1D5A">
              <w:rPr>
                <w:rFonts w:ascii="Times New Roman" w:eastAsia="Calibri" w:hAnsi="Times New Roman" w:cs="Times New Roman"/>
                <w:b/>
                <w:bCs/>
                <w:color w:val="000000"/>
              </w:rPr>
              <w:t>30%</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28%</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Cs/>
                <w:color w:val="000000"/>
              </w:rPr>
            </w:pPr>
            <w:r w:rsidRPr="003A1D5A">
              <w:rPr>
                <w:rFonts w:ascii="Times New Roman" w:eastAsia="Calibri" w:hAnsi="Times New Roman" w:cs="Times New Roman"/>
                <w:color w:val="000000"/>
              </w:rPr>
              <w:t>31%</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30%</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42%</w:t>
            </w:r>
          </w:p>
        </w:tc>
        <w:tc>
          <w:tcPr>
            <w:tcW w:w="618" w:type="pct"/>
            <w:tcBorders>
              <w:top w:val="single" w:sz="4" w:space="0" w:color="auto"/>
              <w:left w:val="single" w:sz="4" w:space="0" w:color="auto"/>
              <w:bottom w:val="single" w:sz="4" w:space="0" w:color="auto"/>
              <w:right w:val="single" w:sz="4" w:space="0" w:color="auto"/>
            </w:tcBorders>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26%</w:t>
            </w:r>
          </w:p>
        </w:tc>
      </w:tr>
      <w:tr w:rsidR="003A1D5A" w:rsidRPr="003A1D5A" w:rsidTr="003A1D5A">
        <w:trPr>
          <w:trHeight w:val="11"/>
        </w:trPr>
        <w:tc>
          <w:tcPr>
            <w:tcW w:w="1294" w:type="pct"/>
            <w:tcBorders>
              <w:top w:val="nil"/>
              <w:left w:val="single" w:sz="8" w:space="0" w:color="000000"/>
              <w:bottom w:val="single" w:sz="8" w:space="0" w:color="000000"/>
              <w:right w:val="single" w:sz="8" w:space="0" w:color="000000"/>
            </w:tcBorders>
            <w:shd w:val="clear" w:color="auto" w:fill="auto"/>
          </w:tcPr>
          <w:p w:rsidR="003A1D5A" w:rsidRPr="003A1D5A" w:rsidRDefault="003A1D5A" w:rsidP="003A1D5A">
            <w:pPr>
              <w:spacing w:beforeLines="60" w:before="144" w:afterLines="60" w:after="144" w:line="269" w:lineRule="auto"/>
              <w:rPr>
                <w:rFonts w:ascii="Times New Roman" w:eastAsia="Times New Roman" w:hAnsi="Times New Roman" w:cs="Times New Roman"/>
                <w:color w:val="000000"/>
                <w:lang w:eastAsia="ru-RU"/>
              </w:rPr>
            </w:pPr>
            <w:r w:rsidRPr="003A1D5A">
              <w:rPr>
                <w:rFonts w:ascii="Times New Roman" w:eastAsia="Calibri" w:hAnsi="Times New Roman" w:cs="Times New Roman"/>
                <w:color w:val="000000"/>
              </w:rPr>
              <w:t>Длительный процесс получения услуг</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
                <w:bCs/>
                <w:color w:val="000000"/>
              </w:rPr>
            </w:pPr>
            <w:r w:rsidRPr="003A1D5A">
              <w:rPr>
                <w:rFonts w:ascii="Times New Roman" w:eastAsia="Calibri" w:hAnsi="Times New Roman" w:cs="Times New Roman"/>
                <w:b/>
                <w:bCs/>
                <w:color w:val="000000"/>
              </w:rPr>
              <w:t>17%</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15%</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Cs/>
                <w:color w:val="000000"/>
              </w:rPr>
            </w:pPr>
            <w:r w:rsidRPr="003A1D5A">
              <w:rPr>
                <w:rFonts w:ascii="Times New Roman" w:eastAsia="Calibri" w:hAnsi="Times New Roman" w:cs="Times New Roman"/>
                <w:color w:val="000000"/>
              </w:rPr>
              <w:t>17%</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28%</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19%</w:t>
            </w:r>
          </w:p>
        </w:tc>
        <w:tc>
          <w:tcPr>
            <w:tcW w:w="618" w:type="pct"/>
            <w:tcBorders>
              <w:top w:val="single" w:sz="4" w:space="0" w:color="auto"/>
              <w:left w:val="single" w:sz="4" w:space="0" w:color="auto"/>
              <w:bottom w:val="single" w:sz="4" w:space="0" w:color="auto"/>
              <w:right w:val="single" w:sz="4" w:space="0" w:color="auto"/>
            </w:tcBorders>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16%</w:t>
            </w:r>
          </w:p>
        </w:tc>
      </w:tr>
      <w:tr w:rsidR="003A1D5A" w:rsidRPr="003A1D5A" w:rsidTr="003A1D5A">
        <w:trPr>
          <w:trHeight w:val="11"/>
        </w:trPr>
        <w:tc>
          <w:tcPr>
            <w:tcW w:w="1294" w:type="pct"/>
            <w:tcBorders>
              <w:top w:val="nil"/>
              <w:left w:val="single" w:sz="8" w:space="0" w:color="000000"/>
              <w:bottom w:val="single" w:sz="8" w:space="0" w:color="000000"/>
              <w:right w:val="single" w:sz="8" w:space="0" w:color="000000"/>
            </w:tcBorders>
            <w:shd w:val="clear" w:color="auto" w:fill="auto"/>
          </w:tcPr>
          <w:p w:rsidR="003A1D5A" w:rsidRPr="003A1D5A" w:rsidRDefault="003A1D5A" w:rsidP="003A1D5A">
            <w:pPr>
              <w:spacing w:beforeLines="60" w:before="144" w:afterLines="60" w:after="144" w:line="269" w:lineRule="auto"/>
              <w:rPr>
                <w:rFonts w:ascii="Times New Roman" w:eastAsia="Times New Roman" w:hAnsi="Times New Roman" w:cs="Times New Roman"/>
                <w:color w:val="000000"/>
                <w:lang w:eastAsia="ru-RU"/>
              </w:rPr>
            </w:pPr>
            <w:r w:rsidRPr="003A1D5A">
              <w:rPr>
                <w:rFonts w:ascii="Times New Roman" w:eastAsia="Calibri" w:hAnsi="Times New Roman" w:cs="Times New Roman"/>
                <w:color w:val="000000"/>
              </w:rPr>
              <w:t>Недостаточно развиты каналы дистанционного доступа к услугам</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
                <w:bCs/>
                <w:color w:val="000000"/>
              </w:rPr>
            </w:pPr>
            <w:r w:rsidRPr="003A1D5A">
              <w:rPr>
                <w:rFonts w:ascii="Times New Roman" w:eastAsia="Calibri" w:hAnsi="Times New Roman" w:cs="Times New Roman"/>
                <w:b/>
                <w:bCs/>
                <w:color w:val="000000"/>
              </w:rPr>
              <w:t>14%</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14%</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Cs/>
                <w:color w:val="000000"/>
              </w:rPr>
            </w:pPr>
            <w:r w:rsidRPr="003A1D5A">
              <w:rPr>
                <w:rFonts w:ascii="Times New Roman" w:eastAsia="Calibri" w:hAnsi="Times New Roman" w:cs="Times New Roman"/>
                <w:color w:val="000000"/>
              </w:rPr>
              <w:t>17%</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21%</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12%</w:t>
            </w:r>
          </w:p>
        </w:tc>
        <w:tc>
          <w:tcPr>
            <w:tcW w:w="618" w:type="pct"/>
            <w:tcBorders>
              <w:top w:val="single" w:sz="4" w:space="0" w:color="auto"/>
              <w:left w:val="single" w:sz="4" w:space="0" w:color="auto"/>
              <w:bottom w:val="single" w:sz="4" w:space="0" w:color="auto"/>
              <w:right w:val="single" w:sz="4" w:space="0" w:color="auto"/>
            </w:tcBorders>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12%</w:t>
            </w:r>
          </w:p>
        </w:tc>
      </w:tr>
      <w:tr w:rsidR="003A1D5A" w:rsidRPr="003A1D5A" w:rsidTr="003A1D5A">
        <w:trPr>
          <w:trHeight w:val="11"/>
        </w:trPr>
        <w:tc>
          <w:tcPr>
            <w:tcW w:w="1294" w:type="pct"/>
            <w:tcBorders>
              <w:top w:val="nil"/>
              <w:left w:val="single" w:sz="8" w:space="0" w:color="000000"/>
              <w:bottom w:val="single" w:sz="4" w:space="0" w:color="auto"/>
              <w:right w:val="single" w:sz="8" w:space="0" w:color="000000"/>
            </w:tcBorders>
            <w:shd w:val="clear" w:color="auto" w:fill="auto"/>
          </w:tcPr>
          <w:p w:rsidR="003A1D5A" w:rsidRPr="003A1D5A" w:rsidRDefault="003A1D5A" w:rsidP="003A1D5A">
            <w:pPr>
              <w:spacing w:beforeLines="60" w:before="144" w:afterLines="60" w:after="144" w:line="269" w:lineRule="auto"/>
              <w:rPr>
                <w:rFonts w:ascii="Times New Roman" w:eastAsia="Times New Roman" w:hAnsi="Times New Roman" w:cs="Times New Roman"/>
                <w:color w:val="000000"/>
                <w:lang w:eastAsia="ru-RU"/>
              </w:rPr>
            </w:pPr>
            <w:r w:rsidRPr="003A1D5A">
              <w:rPr>
                <w:rFonts w:ascii="Times New Roman" w:eastAsia="Calibri" w:hAnsi="Times New Roman" w:cs="Times New Roman"/>
                <w:color w:val="000000"/>
              </w:rPr>
              <w:t>Недостаток финансовых организаций</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
                <w:bCs/>
                <w:color w:val="000000"/>
              </w:rPr>
            </w:pPr>
            <w:r w:rsidRPr="003A1D5A">
              <w:rPr>
                <w:rFonts w:ascii="Times New Roman" w:eastAsia="Calibri" w:hAnsi="Times New Roman" w:cs="Times New Roman"/>
                <w:b/>
                <w:bCs/>
                <w:color w:val="000000"/>
              </w:rPr>
              <w:t>9%</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10%</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Cs/>
                <w:color w:val="000000"/>
              </w:rPr>
            </w:pPr>
            <w:r w:rsidRPr="003A1D5A">
              <w:rPr>
                <w:rFonts w:ascii="Times New Roman" w:eastAsia="Calibri" w:hAnsi="Times New Roman" w:cs="Times New Roman"/>
                <w:color w:val="000000"/>
              </w:rPr>
              <w:t>8%</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9%</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7%</w:t>
            </w:r>
          </w:p>
        </w:tc>
        <w:tc>
          <w:tcPr>
            <w:tcW w:w="618" w:type="pct"/>
            <w:tcBorders>
              <w:top w:val="single" w:sz="4" w:space="0" w:color="auto"/>
              <w:left w:val="single" w:sz="4" w:space="0" w:color="auto"/>
              <w:bottom w:val="single" w:sz="4" w:space="0" w:color="auto"/>
              <w:right w:val="single" w:sz="4" w:space="0" w:color="auto"/>
            </w:tcBorders>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8%</w:t>
            </w:r>
          </w:p>
        </w:tc>
      </w:tr>
      <w:tr w:rsidR="003A1D5A" w:rsidRPr="003A1D5A" w:rsidTr="003A1D5A">
        <w:trPr>
          <w:trHeight w:val="11"/>
        </w:trPr>
        <w:tc>
          <w:tcPr>
            <w:tcW w:w="1294" w:type="pct"/>
            <w:tcBorders>
              <w:top w:val="single" w:sz="4" w:space="0" w:color="auto"/>
              <w:left w:val="single" w:sz="4" w:space="0" w:color="auto"/>
              <w:bottom w:val="single" w:sz="4" w:space="0" w:color="auto"/>
              <w:right w:val="single" w:sz="4" w:space="0" w:color="auto"/>
            </w:tcBorders>
            <w:shd w:val="clear" w:color="auto" w:fill="auto"/>
          </w:tcPr>
          <w:p w:rsidR="003A1D5A" w:rsidRPr="003A1D5A" w:rsidRDefault="003A1D5A" w:rsidP="003A1D5A">
            <w:pPr>
              <w:spacing w:beforeLines="60" w:before="144" w:afterLines="60" w:after="144" w:line="269" w:lineRule="auto"/>
              <w:rPr>
                <w:rFonts w:ascii="Times New Roman" w:eastAsia="Calibri" w:hAnsi="Times New Roman" w:cs="Times New Roman"/>
                <w:color w:val="000000"/>
              </w:rPr>
            </w:pPr>
            <w:r w:rsidRPr="003A1D5A">
              <w:rPr>
                <w:rFonts w:ascii="Times New Roman" w:eastAsia="Calibri" w:hAnsi="Times New Roman" w:cs="Times New Roman"/>
                <w:color w:val="000000"/>
              </w:rPr>
              <w:t>Другое</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
                <w:bCs/>
                <w:color w:val="000000"/>
              </w:rPr>
            </w:pPr>
            <w:r w:rsidRPr="003A1D5A">
              <w:rPr>
                <w:rFonts w:ascii="Times New Roman" w:eastAsia="Calibri" w:hAnsi="Times New Roman" w:cs="Times New Roman"/>
                <w:b/>
                <w:bCs/>
                <w:color w:val="000000"/>
              </w:rPr>
              <w:t>1%</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2%</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Cs/>
                <w:color w:val="000000"/>
              </w:rPr>
            </w:pPr>
            <w:r w:rsidRPr="003A1D5A">
              <w:rPr>
                <w:rFonts w:ascii="Times New Roman" w:eastAsia="Calibri" w:hAnsi="Times New Roman" w:cs="Times New Roman"/>
                <w:color w:val="000000"/>
              </w:rPr>
              <w:t>1%</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2%</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p>
        </w:tc>
        <w:tc>
          <w:tcPr>
            <w:tcW w:w="618" w:type="pct"/>
            <w:tcBorders>
              <w:top w:val="single" w:sz="4" w:space="0" w:color="auto"/>
              <w:left w:val="single" w:sz="4" w:space="0" w:color="auto"/>
              <w:bottom w:val="single" w:sz="4" w:space="0" w:color="auto"/>
              <w:right w:val="single" w:sz="4" w:space="0" w:color="auto"/>
            </w:tcBorders>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1%</w:t>
            </w:r>
          </w:p>
        </w:tc>
      </w:tr>
      <w:tr w:rsidR="003A1D5A" w:rsidRPr="003A1D5A" w:rsidTr="003A1D5A">
        <w:trPr>
          <w:trHeight w:val="11"/>
        </w:trPr>
        <w:tc>
          <w:tcPr>
            <w:tcW w:w="1294" w:type="pct"/>
            <w:tcBorders>
              <w:top w:val="single" w:sz="4" w:space="0" w:color="auto"/>
              <w:left w:val="single" w:sz="4" w:space="0" w:color="auto"/>
              <w:bottom w:val="single" w:sz="4" w:space="0" w:color="auto"/>
              <w:right w:val="single" w:sz="4" w:space="0" w:color="auto"/>
            </w:tcBorders>
            <w:shd w:val="clear" w:color="auto" w:fill="auto"/>
          </w:tcPr>
          <w:p w:rsidR="003A1D5A" w:rsidRPr="003A1D5A" w:rsidRDefault="003A1D5A" w:rsidP="003A1D5A">
            <w:pPr>
              <w:spacing w:beforeLines="60" w:before="144" w:afterLines="60" w:after="144" w:line="269" w:lineRule="auto"/>
              <w:rPr>
                <w:rFonts w:ascii="Times New Roman" w:eastAsia="Calibri" w:hAnsi="Times New Roman" w:cs="Times New Roman"/>
                <w:color w:val="000000"/>
              </w:rPr>
            </w:pPr>
            <w:r w:rsidRPr="003A1D5A">
              <w:rPr>
                <w:rFonts w:ascii="Times New Roman" w:eastAsia="Calibri" w:hAnsi="Times New Roman" w:cs="Times New Roman"/>
                <w:color w:val="000000"/>
              </w:rPr>
              <w:t>Нет барьеров</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
                <w:bCs/>
                <w:color w:val="000000"/>
              </w:rPr>
            </w:pPr>
            <w:r w:rsidRPr="003A1D5A">
              <w:rPr>
                <w:rFonts w:ascii="Times New Roman" w:eastAsia="Calibri" w:hAnsi="Times New Roman" w:cs="Times New Roman"/>
                <w:b/>
                <w:bCs/>
                <w:color w:val="000000"/>
              </w:rPr>
              <w:t>23%</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24%</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Cs/>
                <w:color w:val="000000"/>
              </w:rPr>
            </w:pPr>
            <w:r w:rsidRPr="003A1D5A">
              <w:rPr>
                <w:rFonts w:ascii="Times New Roman" w:eastAsia="Calibri" w:hAnsi="Times New Roman" w:cs="Times New Roman"/>
                <w:color w:val="000000"/>
              </w:rPr>
              <w:t>25%</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33%</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17%</w:t>
            </w:r>
          </w:p>
        </w:tc>
        <w:tc>
          <w:tcPr>
            <w:tcW w:w="618" w:type="pct"/>
            <w:tcBorders>
              <w:top w:val="single" w:sz="4" w:space="0" w:color="auto"/>
              <w:left w:val="single" w:sz="4" w:space="0" w:color="auto"/>
              <w:bottom w:val="single" w:sz="4" w:space="0" w:color="auto"/>
              <w:right w:val="single" w:sz="4" w:space="0" w:color="auto"/>
            </w:tcBorders>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20%</w:t>
            </w:r>
          </w:p>
        </w:tc>
      </w:tr>
      <w:tr w:rsidR="003A1D5A" w:rsidRPr="003A1D5A" w:rsidTr="003A1D5A">
        <w:trPr>
          <w:trHeight w:val="11"/>
        </w:trPr>
        <w:tc>
          <w:tcPr>
            <w:tcW w:w="1294" w:type="pct"/>
            <w:tcBorders>
              <w:top w:val="single" w:sz="4" w:space="0" w:color="auto"/>
              <w:left w:val="single" w:sz="4" w:space="0" w:color="auto"/>
              <w:bottom w:val="single" w:sz="4" w:space="0" w:color="auto"/>
              <w:right w:val="single" w:sz="4" w:space="0" w:color="auto"/>
            </w:tcBorders>
            <w:shd w:val="clear" w:color="auto" w:fill="auto"/>
          </w:tcPr>
          <w:p w:rsidR="003A1D5A" w:rsidRPr="003A1D5A" w:rsidRDefault="003A1D5A" w:rsidP="003A1D5A">
            <w:pPr>
              <w:spacing w:beforeLines="60" w:before="144" w:afterLines="60" w:after="144" w:line="269" w:lineRule="auto"/>
              <w:rPr>
                <w:rFonts w:ascii="Times New Roman" w:eastAsia="Calibri" w:hAnsi="Times New Roman" w:cs="Times New Roman"/>
                <w:color w:val="000000"/>
              </w:rPr>
            </w:pPr>
            <w:r w:rsidRPr="003A1D5A">
              <w:rPr>
                <w:rFonts w:ascii="Times New Roman" w:eastAsia="Calibri" w:hAnsi="Times New Roman" w:cs="Times New Roman"/>
                <w:color w:val="000000"/>
              </w:rPr>
              <w:t>Затрудняюсь ответить</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
                <w:bCs/>
                <w:color w:val="000000"/>
              </w:rPr>
            </w:pPr>
            <w:r w:rsidRPr="003A1D5A">
              <w:rPr>
                <w:rFonts w:ascii="Times New Roman" w:eastAsia="Calibri" w:hAnsi="Times New Roman" w:cs="Times New Roman"/>
                <w:b/>
                <w:bCs/>
                <w:color w:val="000000"/>
              </w:rPr>
              <w:t>17%</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17%</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Cs/>
                <w:color w:val="000000"/>
              </w:rPr>
            </w:pPr>
            <w:r w:rsidRPr="003A1D5A">
              <w:rPr>
                <w:rFonts w:ascii="Times New Roman" w:eastAsia="Calibri" w:hAnsi="Times New Roman" w:cs="Times New Roman"/>
                <w:color w:val="000000"/>
              </w:rPr>
              <w:t>14%</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7%</w:t>
            </w:r>
          </w:p>
        </w:tc>
        <w:tc>
          <w:tcPr>
            <w:tcW w:w="618" w:type="pct"/>
            <w:tcBorders>
              <w:top w:val="single" w:sz="4" w:space="0" w:color="auto"/>
              <w:left w:val="single" w:sz="4" w:space="0" w:color="auto"/>
              <w:bottom w:val="single" w:sz="4" w:space="0" w:color="auto"/>
              <w:right w:val="single" w:sz="4" w:space="0" w:color="auto"/>
            </w:tcBorders>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30%</w:t>
            </w:r>
          </w:p>
        </w:tc>
      </w:tr>
    </w:tbl>
    <w:p w:rsidR="003A1D5A" w:rsidRPr="003A1D5A" w:rsidRDefault="003A1D5A" w:rsidP="003A1D5A">
      <w:pPr>
        <w:spacing w:after="0" w:line="240" w:lineRule="auto"/>
        <w:jc w:val="both"/>
        <w:rPr>
          <w:rFonts w:ascii="Times New Roman" w:eastAsia="Calibri" w:hAnsi="Times New Roman" w:cs="Times New Roman"/>
          <w:color w:val="000000"/>
          <w:sz w:val="20"/>
          <w:szCs w:val="20"/>
        </w:rPr>
      </w:pPr>
    </w:p>
    <w:p w:rsidR="003A1D5A" w:rsidRPr="00682FC6" w:rsidRDefault="003A1D5A" w:rsidP="003A1D5A">
      <w:pPr>
        <w:spacing w:after="0" w:line="360" w:lineRule="auto"/>
        <w:ind w:firstLine="709"/>
        <w:jc w:val="both"/>
        <w:rPr>
          <w:rFonts w:ascii="Times New Roman" w:eastAsia="Times New Roman" w:hAnsi="Times New Roman" w:cs="Times New Roman"/>
          <w:color w:val="000000"/>
          <w:sz w:val="24"/>
          <w:szCs w:val="24"/>
          <w:lang w:eastAsia="ru-RU"/>
        </w:rPr>
      </w:pPr>
      <w:r w:rsidRPr="00682FC6">
        <w:rPr>
          <w:rFonts w:ascii="Times New Roman" w:eastAsia="Times New Roman" w:hAnsi="Times New Roman" w:cs="Times New Roman"/>
          <w:color w:val="000000"/>
          <w:sz w:val="24"/>
          <w:szCs w:val="24"/>
          <w:lang w:eastAsia="ru-RU"/>
        </w:rPr>
        <w:t>Треть представителей среднего бизнеса в регионе не фиксируют барьеров для их доступа к финансовым услугам. Вместе с тем, субъекты предпринимательства данной группы более других обеспокоены длительностью получения услуг (28% против 17% по региону) и необходимостью развития дистанционных каналов доступа к услугам (21% против 14%).</w:t>
      </w:r>
    </w:p>
    <w:p w:rsidR="003A1D5A" w:rsidRPr="00682FC6" w:rsidRDefault="003A1D5A" w:rsidP="003A1D5A">
      <w:pPr>
        <w:spacing w:after="0" w:line="360" w:lineRule="auto"/>
        <w:ind w:firstLine="709"/>
        <w:jc w:val="both"/>
        <w:rPr>
          <w:rFonts w:ascii="Times New Roman" w:eastAsia="Times New Roman" w:hAnsi="Times New Roman" w:cs="Times New Roman"/>
          <w:color w:val="000000"/>
          <w:sz w:val="24"/>
          <w:szCs w:val="24"/>
          <w:lang w:eastAsia="ru-RU"/>
        </w:rPr>
      </w:pPr>
      <w:r w:rsidRPr="00682FC6">
        <w:rPr>
          <w:rFonts w:ascii="Times New Roman" w:eastAsia="Times New Roman" w:hAnsi="Times New Roman" w:cs="Times New Roman"/>
          <w:color w:val="000000"/>
          <w:sz w:val="24"/>
          <w:szCs w:val="24"/>
          <w:lang w:eastAsia="ru-RU"/>
        </w:rPr>
        <w:t>Представители крупного бизнеса продемонстрировали наибольшую обеспокоенность наличием таких барьеров, лишь 17% из них заявили об отсутствии барьеров. Предприниматели данной группы больше остальных обеспокоены высокой стоимостью или невыгодными условиями обслуживания (47% против 34%), а также ей сложной процедурой получения услуг (42% против 30%).</w:t>
      </w:r>
    </w:p>
    <w:p w:rsidR="003A1D5A" w:rsidRPr="00682FC6" w:rsidRDefault="003A1D5A" w:rsidP="003A1D5A">
      <w:pPr>
        <w:spacing w:after="0" w:line="360" w:lineRule="auto"/>
        <w:ind w:firstLine="709"/>
        <w:jc w:val="both"/>
        <w:rPr>
          <w:rFonts w:ascii="Times New Roman" w:eastAsia="Times New Roman" w:hAnsi="Times New Roman" w:cs="Times New Roman"/>
          <w:color w:val="000000"/>
          <w:sz w:val="24"/>
          <w:szCs w:val="24"/>
          <w:lang w:eastAsia="ru-RU"/>
        </w:rPr>
      </w:pPr>
      <w:r w:rsidRPr="00682FC6">
        <w:rPr>
          <w:rFonts w:ascii="Times New Roman" w:eastAsia="Times New Roman" w:hAnsi="Times New Roman" w:cs="Times New Roman"/>
          <w:color w:val="000000"/>
          <w:sz w:val="24"/>
          <w:szCs w:val="24"/>
          <w:lang w:eastAsia="ru-RU"/>
        </w:rPr>
        <w:t>Малые предприятия и микропредприятия фиксируют актуальность барьеров для доступа к финансовым услугам на уровне средних показателей по региону.</w:t>
      </w:r>
    </w:p>
    <w:p w:rsidR="003A1D5A" w:rsidRPr="00682FC6" w:rsidRDefault="003A1D5A" w:rsidP="003A1D5A">
      <w:pPr>
        <w:spacing w:after="0" w:line="360" w:lineRule="auto"/>
        <w:ind w:firstLine="709"/>
        <w:jc w:val="both"/>
        <w:rPr>
          <w:rFonts w:ascii="Times New Roman" w:eastAsia="Times New Roman" w:hAnsi="Times New Roman" w:cs="Times New Roman"/>
          <w:color w:val="000000"/>
          <w:sz w:val="24"/>
          <w:szCs w:val="24"/>
          <w:lang w:eastAsia="ru-RU"/>
        </w:rPr>
      </w:pPr>
      <w:r w:rsidRPr="00682FC6">
        <w:rPr>
          <w:rFonts w:ascii="Times New Roman" w:eastAsia="Times New Roman" w:hAnsi="Times New Roman" w:cs="Times New Roman"/>
          <w:color w:val="000000"/>
          <w:sz w:val="24"/>
          <w:szCs w:val="24"/>
          <w:lang w:eastAsia="ru-RU"/>
        </w:rPr>
        <w:t>Оценивая динамику развития барьеров для доступа к финансовым услугам, предприниматели чаще отмечали отсутствие серьезных изменений (42%). Фактически каждый пятый (22%) считает, что подобных барьеров за последний год стало меньше. В то же время 15% опрошенных представителей бизнес-сообщества фиксируют увеличение барьеров, а 2% - их возникновение на рынке.</w:t>
      </w:r>
    </w:p>
    <w:p w:rsidR="003A1D5A" w:rsidRPr="003A1D5A" w:rsidRDefault="00682FC6" w:rsidP="00682FC6">
      <w:pPr>
        <w:keepNext/>
        <w:keepLines/>
        <w:spacing w:before="120" w:after="120" w:line="240" w:lineRule="auto"/>
        <w:jc w:val="center"/>
        <w:rPr>
          <w:rFonts w:ascii="Times New Roman" w:eastAsia="Calibri" w:hAnsi="Times New Roman" w:cs="Times New Roman"/>
          <w:b/>
          <w:iCs/>
          <w:color w:val="000000"/>
          <w:sz w:val="24"/>
          <w:szCs w:val="24"/>
        </w:rPr>
      </w:pPr>
      <w:bookmarkStart w:id="93" w:name="_Hlk119409368"/>
      <w:r>
        <w:rPr>
          <w:rFonts w:ascii="Times New Roman" w:eastAsia="Calibri" w:hAnsi="Times New Roman" w:cs="Times New Roman"/>
          <w:iCs/>
          <w:color w:val="000000"/>
          <w:sz w:val="24"/>
          <w:szCs w:val="24"/>
        </w:rPr>
        <w:t>Рисунок 6</w:t>
      </w:r>
      <w:r w:rsidR="003A1D5A" w:rsidRPr="003A1D5A">
        <w:rPr>
          <w:rFonts w:ascii="Times New Roman" w:eastAsia="Calibri" w:hAnsi="Times New Roman" w:cs="Times New Roman"/>
          <w:iCs/>
          <w:color w:val="000000"/>
          <w:sz w:val="24"/>
          <w:szCs w:val="24"/>
        </w:rPr>
        <w:t xml:space="preserve">2. </w:t>
      </w:r>
      <w:r w:rsidR="003A1D5A" w:rsidRPr="003A1D5A">
        <w:rPr>
          <w:rFonts w:ascii="Times New Roman" w:eastAsia="Calibri" w:hAnsi="Times New Roman" w:cs="Times New Roman"/>
          <w:b/>
          <w:color w:val="000000"/>
          <w:sz w:val="24"/>
          <w:szCs w:val="24"/>
        </w:rPr>
        <w:t xml:space="preserve">По Вашей оценке, как изменился уровень </w:t>
      </w:r>
      <w:r w:rsidR="003A1D5A" w:rsidRPr="003A1D5A">
        <w:rPr>
          <w:rFonts w:ascii="Times New Roman" w:eastAsia="Calibri" w:hAnsi="Times New Roman" w:cs="Times New Roman"/>
          <w:b/>
          <w:bCs/>
          <w:color w:val="000000"/>
          <w:sz w:val="24"/>
          <w:szCs w:val="24"/>
          <w:shd w:val="clear" w:color="auto" w:fill="FFFFFF"/>
        </w:rPr>
        <w:t>барьеров для доступа предпринимателей к финансовым услугам в Ленинградской области за последний год?</w:t>
      </w:r>
      <w:r w:rsidR="003A1D5A" w:rsidRPr="003A1D5A">
        <w:rPr>
          <w:rFonts w:ascii="Times New Roman" w:eastAsia="Calibri" w:hAnsi="Times New Roman" w:cs="Times New Roman"/>
          <w:i/>
          <w:color w:val="000000"/>
          <w:sz w:val="24"/>
          <w:szCs w:val="24"/>
        </w:rPr>
        <w:t xml:space="preserve"> </w:t>
      </w:r>
      <w:r w:rsidR="003A1D5A" w:rsidRPr="003A1D5A">
        <w:rPr>
          <w:rFonts w:ascii="Times New Roman" w:eastAsia="Calibri" w:hAnsi="Times New Roman" w:cs="Times New Roman"/>
          <w:noProof/>
          <w:color w:val="000000"/>
          <w:sz w:val="24"/>
          <w:szCs w:val="24"/>
        </w:rPr>
        <w:t xml:space="preserve">(опрос предпринимателей, % от числа опрошенных. </w:t>
      </w:r>
      <w:r w:rsidR="003A1D5A" w:rsidRPr="003A1D5A">
        <w:rPr>
          <w:rFonts w:ascii="Times New Roman" w:eastAsia="Calibri" w:hAnsi="Times New Roman" w:cs="Times New Roman"/>
          <w:noProof/>
          <w:color w:val="000000"/>
          <w:sz w:val="24"/>
          <w:szCs w:val="24"/>
          <w:lang w:val="en-US"/>
        </w:rPr>
        <w:t>n</w:t>
      </w:r>
      <w:r w:rsidR="003A1D5A" w:rsidRPr="003A1D5A">
        <w:rPr>
          <w:rFonts w:ascii="Times New Roman" w:eastAsia="Calibri" w:hAnsi="Times New Roman" w:cs="Times New Roman"/>
          <w:noProof/>
          <w:color w:val="000000"/>
          <w:sz w:val="24"/>
          <w:szCs w:val="24"/>
        </w:rPr>
        <w:t xml:space="preserve"> = 500</w:t>
      </w:r>
      <w:r w:rsidR="003A1D5A" w:rsidRPr="003A1D5A">
        <w:rPr>
          <w:rFonts w:ascii="Times New Roman" w:eastAsia="Calibri" w:hAnsi="Times New Roman" w:cs="Times New Roman"/>
          <w:color w:val="000000"/>
          <w:sz w:val="24"/>
          <w:szCs w:val="24"/>
        </w:rPr>
        <w:t>)</w:t>
      </w:r>
    </w:p>
    <w:bookmarkEnd w:id="93"/>
    <w:p w:rsidR="003A1D5A" w:rsidRPr="003A1D5A" w:rsidRDefault="003A1D5A" w:rsidP="003A1D5A">
      <w:pPr>
        <w:rPr>
          <w:rFonts w:ascii="Times New Roman" w:eastAsia="Times New Roman" w:hAnsi="Times New Roman" w:cs="Times New Roman"/>
          <w:color w:val="000000"/>
          <w:sz w:val="28"/>
          <w:szCs w:val="28"/>
          <w:lang w:eastAsia="ru-RU"/>
        </w:rPr>
      </w:pPr>
      <w:r w:rsidRPr="003A1D5A">
        <w:rPr>
          <w:rFonts w:ascii="Times New Roman" w:eastAsia="Calibri" w:hAnsi="Times New Roman" w:cs="Times New Roman"/>
          <w:noProof/>
          <w:color w:val="000000"/>
          <w:lang w:eastAsia="ru-RU"/>
        </w:rPr>
        <w:drawing>
          <wp:inline distT="0" distB="0" distL="0" distR="0" wp14:anchorId="138F3D0A" wp14:editId="792561BA">
            <wp:extent cx="5940425" cy="2457450"/>
            <wp:effectExtent l="0" t="0" r="3175" b="0"/>
            <wp:docPr id="1076" name="Диаграмма 10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3A1D5A" w:rsidRPr="003A1D5A" w:rsidRDefault="003A1D5A" w:rsidP="003A1D5A">
      <w:pPr>
        <w:rPr>
          <w:rFonts w:ascii="Times New Roman" w:eastAsia="Times New Roman" w:hAnsi="Times New Roman" w:cs="Times New Roman"/>
          <w:color w:val="000000"/>
          <w:sz w:val="28"/>
          <w:szCs w:val="28"/>
          <w:lang w:eastAsia="ru-RU"/>
        </w:rPr>
      </w:pPr>
    </w:p>
    <w:p w:rsidR="003A1D5A" w:rsidRPr="00682FC6" w:rsidRDefault="003A1D5A" w:rsidP="003A1D5A">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682FC6">
        <w:rPr>
          <w:rFonts w:ascii="Times New Roman" w:eastAsia="Times New Roman" w:hAnsi="Times New Roman" w:cs="Times New Roman"/>
          <w:color w:val="000000"/>
          <w:sz w:val="24"/>
          <w:szCs w:val="24"/>
          <w:lang w:eastAsia="ru-RU"/>
        </w:rPr>
        <w:t xml:space="preserve">Как показали результаты опроса с участием 65 предприятий Ленинградской области, опубликованным в аналитическом обзоре Центрального Банка Российской Федерации "Доступность финансовых ресурсов. Ленинградская область. I полугодие 2022 г.", более половины респондентов (52,3%) не пользовались заемными финансовыми ресурсами в рассматриваемом периоде (во II полугодии 2021 г. - 34,4%). Преобладающее число предприятий (78,7%) в I полугодии 2022 г. отметили, что потребность в использовании банковского кредитования для осуществления их деятельности отсутствует. Однако для 12,8% респондентов причиной отказа от привлечения финансовых ресурсов стали высокие ставки по кредитам, для 4,3% - отсутствие обеспечения. </w:t>
      </w:r>
    </w:p>
    <w:p w:rsidR="003A1D5A" w:rsidRPr="003A1D5A" w:rsidRDefault="003A1D5A" w:rsidP="00682FC6">
      <w:pPr>
        <w:keepNext/>
        <w:keepLines/>
        <w:spacing w:before="120" w:after="120" w:line="240" w:lineRule="auto"/>
        <w:jc w:val="center"/>
        <w:rPr>
          <w:rFonts w:ascii="Times New Roman" w:eastAsia="Calibri" w:hAnsi="Times New Roman" w:cs="Times New Roman"/>
          <w:color w:val="000000"/>
          <w:sz w:val="24"/>
          <w:szCs w:val="24"/>
        </w:rPr>
      </w:pPr>
      <w:r w:rsidRPr="003A1D5A">
        <w:rPr>
          <w:rFonts w:ascii="Times New Roman" w:eastAsia="Calibri" w:hAnsi="Times New Roman" w:cs="Times New Roman"/>
          <w:color w:val="000000"/>
          <w:sz w:val="24"/>
          <w:szCs w:val="24"/>
        </w:rPr>
        <w:t xml:space="preserve">Таблица </w:t>
      </w:r>
      <w:r w:rsidR="00682FC6">
        <w:rPr>
          <w:rFonts w:ascii="Times New Roman" w:eastAsia="Calibri" w:hAnsi="Times New Roman" w:cs="Times New Roman"/>
          <w:color w:val="000000"/>
          <w:sz w:val="24"/>
          <w:szCs w:val="24"/>
        </w:rPr>
        <w:t>58</w:t>
      </w:r>
      <w:r w:rsidRPr="003A1D5A">
        <w:rPr>
          <w:rFonts w:ascii="Times New Roman" w:eastAsia="Calibri" w:hAnsi="Times New Roman" w:cs="Times New Roman"/>
          <w:color w:val="000000"/>
          <w:sz w:val="24"/>
          <w:szCs w:val="24"/>
        </w:rPr>
        <w:t xml:space="preserve">. </w:t>
      </w:r>
      <w:r w:rsidRPr="003A1D5A">
        <w:rPr>
          <w:rFonts w:ascii="Times New Roman" w:eastAsia="Calibri" w:hAnsi="Times New Roman" w:cs="Times New Roman"/>
          <w:bCs/>
          <w:color w:val="000000"/>
          <w:sz w:val="24"/>
          <w:szCs w:val="24"/>
        </w:rPr>
        <w:t>Основные причины непривлечения заемных ресурсов</w:t>
      </w:r>
      <w:r w:rsidRPr="003A1D5A">
        <w:rPr>
          <w:rFonts w:ascii="Times New Roman" w:eastAsia="Calibri" w:hAnsi="Times New Roman" w:cs="Times New Roman"/>
          <w:color w:val="000000"/>
          <w:sz w:val="24"/>
          <w:szCs w:val="24"/>
        </w:rPr>
        <w:t xml:space="preserve"> (данные аналитического обзора Центрального Банка Российской Федерации)</w:t>
      </w:r>
    </w:p>
    <w:tbl>
      <w:tblPr>
        <w:tblStyle w:val="290"/>
        <w:tblW w:w="0" w:type="auto"/>
        <w:tblLook w:val="04A0" w:firstRow="1" w:lastRow="0" w:firstColumn="1" w:lastColumn="0" w:noHBand="0" w:noVBand="1"/>
      </w:tblPr>
      <w:tblGrid>
        <w:gridCol w:w="6487"/>
        <w:gridCol w:w="1702"/>
        <w:gridCol w:w="1702"/>
      </w:tblGrid>
      <w:tr w:rsidR="003A1D5A" w:rsidRPr="003A1D5A" w:rsidTr="00D55ED4">
        <w:trPr>
          <w:tblHeader/>
        </w:trPr>
        <w:tc>
          <w:tcPr>
            <w:tcW w:w="6487" w:type="dxa"/>
            <w:vAlign w:val="center"/>
          </w:tcPr>
          <w:p w:rsidR="003A1D5A" w:rsidRPr="00D55ED4" w:rsidRDefault="003A1D5A" w:rsidP="00D55ED4">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Причина непривлечения заемных ресурсов</w:t>
            </w:r>
          </w:p>
        </w:tc>
        <w:tc>
          <w:tcPr>
            <w:tcW w:w="1702" w:type="dxa"/>
            <w:vAlign w:val="center"/>
          </w:tcPr>
          <w:p w:rsidR="003A1D5A" w:rsidRPr="00D55ED4" w:rsidRDefault="003A1D5A" w:rsidP="00D55ED4">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lang w:val="en-US"/>
              </w:rPr>
              <w:t>II</w:t>
            </w:r>
            <w:r w:rsidRPr="00D55ED4">
              <w:rPr>
                <w:rFonts w:ascii="Times New Roman" w:eastAsia="Calibri" w:hAnsi="Times New Roman" w:cs="Times New Roman"/>
                <w:b/>
                <w:color w:val="000000"/>
              </w:rPr>
              <w:t xml:space="preserve"> полугодие 2021 г.</w:t>
            </w:r>
          </w:p>
        </w:tc>
        <w:tc>
          <w:tcPr>
            <w:tcW w:w="1702" w:type="dxa"/>
            <w:vAlign w:val="center"/>
          </w:tcPr>
          <w:p w:rsidR="003A1D5A" w:rsidRPr="00D55ED4" w:rsidRDefault="003A1D5A" w:rsidP="00D55ED4">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lang w:val="en-US"/>
              </w:rPr>
              <w:t>I</w:t>
            </w:r>
            <w:r w:rsidRPr="00D55ED4">
              <w:rPr>
                <w:rFonts w:ascii="Times New Roman" w:eastAsia="Calibri" w:hAnsi="Times New Roman" w:cs="Times New Roman"/>
                <w:b/>
                <w:color w:val="000000"/>
              </w:rPr>
              <w:t xml:space="preserve"> полугодие 2022 г.</w:t>
            </w:r>
          </w:p>
        </w:tc>
      </w:tr>
      <w:tr w:rsidR="003A1D5A" w:rsidRPr="003A1D5A" w:rsidTr="003A1D5A">
        <w:tc>
          <w:tcPr>
            <w:tcW w:w="6487" w:type="dxa"/>
          </w:tcPr>
          <w:p w:rsidR="003A1D5A" w:rsidRPr="003A1D5A" w:rsidRDefault="003A1D5A" w:rsidP="003A1D5A">
            <w:pPr>
              <w:spacing w:before="120" w:after="120" w:line="269" w:lineRule="auto"/>
              <w:rPr>
                <w:rFonts w:ascii="Times New Roman" w:eastAsia="Calibri" w:hAnsi="Times New Roman" w:cs="Times New Roman"/>
                <w:color w:val="000000"/>
              </w:rPr>
            </w:pPr>
            <w:r w:rsidRPr="003A1D5A">
              <w:rPr>
                <w:rFonts w:ascii="Times New Roman" w:eastAsia="Calibri" w:hAnsi="Times New Roman" w:cs="Times New Roman"/>
                <w:color w:val="000000"/>
              </w:rPr>
              <w:t>Нет потребности</w:t>
            </w:r>
          </w:p>
        </w:tc>
        <w:tc>
          <w:tcPr>
            <w:tcW w:w="1702" w:type="dxa"/>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78,4%</w:t>
            </w:r>
          </w:p>
        </w:tc>
        <w:tc>
          <w:tcPr>
            <w:tcW w:w="1702" w:type="dxa"/>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78,7%</w:t>
            </w:r>
          </w:p>
        </w:tc>
      </w:tr>
      <w:tr w:rsidR="003A1D5A" w:rsidRPr="003A1D5A" w:rsidTr="003A1D5A">
        <w:tc>
          <w:tcPr>
            <w:tcW w:w="6487" w:type="dxa"/>
          </w:tcPr>
          <w:p w:rsidR="003A1D5A" w:rsidRPr="003A1D5A" w:rsidRDefault="003A1D5A" w:rsidP="003A1D5A">
            <w:pPr>
              <w:spacing w:before="120" w:after="120" w:line="269" w:lineRule="auto"/>
              <w:rPr>
                <w:rFonts w:ascii="Times New Roman" w:eastAsia="Calibri" w:hAnsi="Times New Roman" w:cs="Times New Roman"/>
                <w:color w:val="000000"/>
              </w:rPr>
            </w:pPr>
            <w:r w:rsidRPr="003A1D5A">
              <w:rPr>
                <w:rFonts w:ascii="Times New Roman" w:eastAsia="Calibri" w:hAnsi="Times New Roman" w:cs="Times New Roman"/>
                <w:color w:val="000000"/>
              </w:rPr>
              <w:t>Высокие ставки</w:t>
            </w:r>
          </w:p>
        </w:tc>
        <w:tc>
          <w:tcPr>
            <w:tcW w:w="1702" w:type="dxa"/>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16,2%</w:t>
            </w:r>
          </w:p>
        </w:tc>
        <w:tc>
          <w:tcPr>
            <w:tcW w:w="1702" w:type="dxa"/>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12,8%</w:t>
            </w:r>
          </w:p>
        </w:tc>
      </w:tr>
      <w:tr w:rsidR="003A1D5A" w:rsidRPr="003A1D5A" w:rsidTr="003A1D5A">
        <w:tc>
          <w:tcPr>
            <w:tcW w:w="6487" w:type="dxa"/>
          </w:tcPr>
          <w:p w:rsidR="003A1D5A" w:rsidRPr="003A1D5A" w:rsidRDefault="003A1D5A" w:rsidP="003A1D5A">
            <w:pPr>
              <w:spacing w:before="120" w:after="120" w:line="269" w:lineRule="auto"/>
              <w:rPr>
                <w:rFonts w:ascii="Times New Roman" w:eastAsia="Calibri" w:hAnsi="Times New Roman" w:cs="Times New Roman"/>
                <w:color w:val="000000"/>
              </w:rPr>
            </w:pPr>
            <w:r w:rsidRPr="003A1D5A">
              <w:rPr>
                <w:rFonts w:ascii="Times New Roman" w:eastAsia="Calibri" w:hAnsi="Times New Roman" w:cs="Times New Roman"/>
                <w:color w:val="000000"/>
              </w:rPr>
              <w:t>Кредит или кредитная линия, полученные ранее</w:t>
            </w:r>
          </w:p>
        </w:tc>
        <w:tc>
          <w:tcPr>
            <w:tcW w:w="1702" w:type="dxa"/>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w:t>
            </w:r>
          </w:p>
        </w:tc>
        <w:tc>
          <w:tcPr>
            <w:tcW w:w="1702" w:type="dxa"/>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4,3%</w:t>
            </w:r>
          </w:p>
        </w:tc>
      </w:tr>
      <w:tr w:rsidR="003A1D5A" w:rsidRPr="003A1D5A" w:rsidTr="003A1D5A">
        <w:tc>
          <w:tcPr>
            <w:tcW w:w="6487" w:type="dxa"/>
          </w:tcPr>
          <w:p w:rsidR="003A1D5A" w:rsidRPr="003A1D5A" w:rsidRDefault="003A1D5A" w:rsidP="003A1D5A">
            <w:pPr>
              <w:spacing w:before="120" w:after="120" w:line="269" w:lineRule="auto"/>
              <w:rPr>
                <w:rFonts w:ascii="Times New Roman" w:eastAsia="Calibri" w:hAnsi="Times New Roman" w:cs="Times New Roman"/>
                <w:color w:val="000000"/>
              </w:rPr>
            </w:pPr>
            <w:r w:rsidRPr="003A1D5A">
              <w:rPr>
                <w:rFonts w:ascii="Times New Roman" w:eastAsia="Calibri" w:hAnsi="Times New Roman" w:cs="Times New Roman"/>
                <w:color w:val="000000"/>
              </w:rPr>
              <w:t>Отсутствие обеспечения</w:t>
            </w:r>
          </w:p>
        </w:tc>
        <w:tc>
          <w:tcPr>
            <w:tcW w:w="1702" w:type="dxa"/>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10,8%</w:t>
            </w:r>
          </w:p>
        </w:tc>
        <w:tc>
          <w:tcPr>
            <w:tcW w:w="1702" w:type="dxa"/>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4,3%</w:t>
            </w:r>
          </w:p>
        </w:tc>
      </w:tr>
      <w:tr w:rsidR="003A1D5A" w:rsidRPr="003A1D5A" w:rsidTr="003A1D5A">
        <w:tc>
          <w:tcPr>
            <w:tcW w:w="6487" w:type="dxa"/>
          </w:tcPr>
          <w:p w:rsidR="003A1D5A" w:rsidRPr="003A1D5A" w:rsidRDefault="003A1D5A" w:rsidP="003A1D5A">
            <w:pPr>
              <w:spacing w:before="120" w:after="120" w:line="269" w:lineRule="auto"/>
              <w:rPr>
                <w:rFonts w:ascii="Times New Roman" w:eastAsia="Calibri" w:hAnsi="Times New Roman" w:cs="Times New Roman"/>
                <w:color w:val="000000"/>
              </w:rPr>
            </w:pPr>
            <w:r w:rsidRPr="003A1D5A">
              <w:rPr>
                <w:rFonts w:ascii="Times New Roman" w:eastAsia="Calibri" w:hAnsi="Times New Roman" w:cs="Times New Roman"/>
                <w:color w:val="000000"/>
              </w:rPr>
              <w:t>Требования открытия расчетного счета</w:t>
            </w:r>
          </w:p>
        </w:tc>
        <w:tc>
          <w:tcPr>
            <w:tcW w:w="1702" w:type="dxa"/>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2,1%</w:t>
            </w:r>
          </w:p>
        </w:tc>
        <w:tc>
          <w:tcPr>
            <w:tcW w:w="1702" w:type="dxa"/>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5,4%</w:t>
            </w:r>
          </w:p>
        </w:tc>
      </w:tr>
      <w:tr w:rsidR="003A1D5A" w:rsidRPr="003A1D5A" w:rsidTr="003A1D5A">
        <w:tc>
          <w:tcPr>
            <w:tcW w:w="6487" w:type="dxa"/>
          </w:tcPr>
          <w:p w:rsidR="003A1D5A" w:rsidRPr="003A1D5A" w:rsidRDefault="003A1D5A" w:rsidP="003A1D5A">
            <w:pPr>
              <w:spacing w:before="120" w:after="120" w:line="269" w:lineRule="auto"/>
              <w:rPr>
                <w:rFonts w:ascii="Times New Roman" w:eastAsia="Calibri" w:hAnsi="Times New Roman" w:cs="Times New Roman"/>
                <w:color w:val="000000"/>
              </w:rPr>
            </w:pPr>
            <w:r w:rsidRPr="003A1D5A">
              <w:rPr>
                <w:rFonts w:ascii="Times New Roman" w:eastAsia="Calibri" w:hAnsi="Times New Roman" w:cs="Times New Roman"/>
                <w:color w:val="000000"/>
              </w:rPr>
              <w:t>Длительность рассмотрения заявки</w:t>
            </w:r>
          </w:p>
        </w:tc>
        <w:tc>
          <w:tcPr>
            <w:tcW w:w="1702" w:type="dxa"/>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5,4%</w:t>
            </w:r>
          </w:p>
        </w:tc>
        <w:tc>
          <w:tcPr>
            <w:tcW w:w="1702" w:type="dxa"/>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2,1%</w:t>
            </w:r>
          </w:p>
        </w:tc>
      </w:tr>
      <w:tr w:rsidR="003A1D5A" w:rsidRPr="003A1D5A" w:rsidTr="003A1D5A">
        <w:tc>
          <w:tcPr>
            <w:tcW w:w="6487" w:type="dxa"/>
          </w:tcPr>
          <w:p w:rsidR="003A1D5A" w:rsidRPr="003A1D5A" w:rsidRDefault="003A1D5A" w:rsidP="003A1D5A">
            <w:pPr>
              <w:spacing w:before="120" w:after="120" w:line="269" w:lineRule="auto"/>
              <w:rPr>
                <w:rFonts w:ascii="Times New Roman" w:eastAsia="Calibri" w:hAnsi="Times New Roman" w:cs="Times New Roman"/>
                <w:color w:val="000000"/>
              </w:rPr>
            </w:pPr>
            <w:r w:rsidRPr="003A1D5A">
              <w:rPr>
                <w:rFonts w:ascii="Times New Roman" w:eastAsia="Calibri" w:hAnsi="Times New Roman" w:cs="Times New Roman"/>
                <w:color w:val="000000"/>
              </w:rPr>
              <w:t>Сложность оформления</w:t>
            </w:r>
          </w:p>
        </w:tc>
        <w:tc>
          <w:tcPr>
            <w:tcW w:w="1702" w:type="dxa"/>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2,7%</w:t>
            </w:r>
          </w:p>
        </w:tc>
        <w:tc>
          <w:tcPr>
            <w:tcW w:w="1702" w:type="dxa"/>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2,1%</w:t>
            </w:r>
          </w:p>
        </w:tc>
      </w:tr>
      <w:tr w:rsidR="003A1D5A" w:rsidRPr="003A1D5A" w:rsidTr="003A1D5A">
        <w:tc>
          <w:tcPr>
            <w:tcW w:w="6487" w:type="dxa"/>
          </w:tcPr>
          <w:p w:rsidR="003A1D5A" w:rsidRPr="003A1D5A" w:rsidRDefault="003A1D5A" w:rsidP="003A1D5A">
            <w:pPr>
              <w:spacing w:before="120" w:after="120" w:line="269" w:lineRule="auto"/>
              <w:rPr>
                <w:rFonts w:ascii="Times New Roman" w:eastAsia="Calibri" w:hAnsi="Times New Roman" w:cs="Times New Roman"/>
                <w:color w:val="000000"/>
              </w:rPr>
            </w:pPr>
            <w:r w:rsidRPr="003A1D5A">
              <w:rPr>
                <w:rFonts w:ascii="Times New Roman" w:eastAsia="Calibri" w:hAnsi="Times New Roman" w:cs="Times New Roman"/>
                <w:color w:val="000000"/>
              </w:rPr>
              <w:t>Другие причины</w:t>
            </w:r>
          </w:p>
        </w:tc>
        <w:tc>
          <w:tcPr>
            <w:tcW w:w="1702" w:type="dxa"/>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13,5%</w:t>
            </w:r>
          </w:p>
        </w:tc>
        <w:tc>
          <w:tcPr>
            <w:tcW w:w="1702" w:type="dxa"/>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6,4%</w:t>
            </w:r>
          </w:p>
        </w:tc>
      </w:tr>
    </w:tbl>
    <w:p w:rsidR="003A1D5A" w:rsidRPr="003A1D5A" w:rsidRDefault="003A1D5A" w:rsidP="003A1D5A">
      <w:pPr>
        <w:rPr>
          <w:rFonts w:ascii="Times New Roman" w:eastAsia="Calibri" w:hAnsi="Times New Roman" w:cs="Times New Roman"/>
          <w:color w:val="000000"/>
        </w:rPr>
      </w:pPr>
    </w:p>
    <w:p w:rsidR="003A1D5A" w:rsidRPr="00682FC6" w:rsidRDefault="003A1D5A" w:rsidP="003A1D5A">
      <w:pPr>
        <w:spacing w:after="0" w:line="360" w:lineRule="auto"/>
        <w:ind w:firstLine="709"/>
        <w:contextualSpacing/>
        <w:jc w:val="both"/>
        <w:rPr>
          <w:rFonts w:ascii="Times New Roman" w:eastAsia="Times New Roman" w:hAnsi="Times New Roman" w:cs="Times New Roman"/>
          <w:color w:val="000000"/>
          <w:sz w:val="24"/>
          <w:szCs w:val="24"/>
          <w:lang w:eastAsia="ru-RU"/>
        </w:rPr>
      </w:pPr>
      <w:r w:rsidRPr="00682FC6">
        <w:rPr>
          <w:rFonts w:ascii="Times New Roman" w:eastAsia="Times New Roman" w:hAnsi="Times New Roman" w:cs="Times New Roman"/>
          <w:color w:val="000000"/>
          <w:sz w:val="24"/>
          <w:szCs w:val="24"/>
          <w:lang w:eastAsia="ru-RU"/>
        </w:rPr>
        <w:t>Также в отчетном периоде предприятия отмечали ужесточение как ценовых, так и неценовых условий заимствования, особенно в условиях кредитования в части повышения процентной ставки по кредиту. Ужесточение ценовых условий (повышении процентной ставки по кредиту) в отчетном периоде зафиксировали 75,0% респондентов (на 22,6% больше, чем во II полугодии 2021 г.). Чаще всего ужесточение отмечали предприятия строительства, сельского хозяйства, промышленного производства. Кроме того, по мнению предприятий, заметно ужесточились требования кредиторов к финансовому положению заемщиков, дополнительные сборы и комиссии.</w:t>
      </w:r>
    </w:p>
    <w:p w:rsidR="003A1D5A" w:rsidRPr="003A1D5A" w:rsidRDefault="003A1D5A" w:rsidP="00682FC6">
      <w:pPr>
        <w:keepNext/>
        <w:keepLines/>
        <w:spacing w:before="120" w:after="120" w:line="240" w:lineRule="auto"/>
        <w:jc w:val="center"/>
        <w:rPr>
          <w:rFonts w:ascii="Times New Roman" w:eastAsia="Calibri" w:hAnsi="Times New Roman" w:cs="Times New Roman"/>
          <w:color w:val="000000"/>
          <w:sz w:val="24"/>
          <w:szCs w:val="24"/>
        </w:rPr>
      </w:pPr>
      <w:r w:rsidRPr="003A1D5A">
        <w:rPr>
          <w:rFonts w:ascii="Times New Roman" w:eastAsia="Calibri" w:hAnsi="Times New Roman" w:cs="Times New Roman"/>
          <w:color w:val="000000"/>
          <w:sz w:val="24"/>
          <w:szCs w:val="24"/>
        </w:rPr>
        <w:t xml:space="preserve">Таблица </w:t>
      </w:r>
      <w:r w:rsidR="00682FC6">
        <w:rPr>
          <w:rFonts w:ascii="Times New Roman" w:eastAsia="Calibri" w:hAnsi="Times New Roman" w:cs="Times New Roman"/>
          <w:color w:val="000000"/>
          <w:sz w:val="24"/>
          <w:szCs w:val="24"/>
        </w:rPr>
        <w:t>59</w:t>
      </w:r>
      <w:r w:rsidRPr="003A1D5A">
        <w:rPr>
          <w:rFonts w:ascii="Times New Roman" w:eastAsia="Calibri" w:hAnsi="Times New Roman" w:cs="Times New Roman"/>
          <w:color w:val="000000"/>
          <w:sz w:val="24"/>
          <w:szCs w:val="24"/>
        </w:rPr>
        <w:t xml:space="preserve">. </w:t>
      </w:r>
      <w:r w:rsidRPr="003A1D5A">
        <w:rPr>
          <w:rFonts w:ascii="Times New Roman" w:eastAsia="Calibri" w:hAnsi="Times New Roman" w:cs="Times New Roman"/>
          <w:bCs/>
          <w:color w:val="000000"/>
          <w:sz w:val="24"/>
          <w:szCs w:val="24"/>
        </w:rPr>
        <w:t xml:space="preserve">Динамика ценовых условий заимствования в </w:t>
      </w:r>
      <w:r w:rsidRPr="003A1D5A">
        <w:rPr>
          <w:rFonts w:ascii="Times New Roman" w:eastAsia="Calibri" w:hAnsi="Times New Roman" w:cs="Times New Roman"/>
          <w:bCs/>
          <w:color w:val="000000"/>
          <w:sz w:val="24"/>
          <w:szCs w:val="24"/>
          <w:lang w:val="en-US"/>
        </w:rPr>
        <w:t>I</w:t>
      </w:r>
      <w:r w:rsidRPr="003A1D5A">
        <w:rPr>
          <w:rFonts w:ascii="Times New Roman" w:eastAsia="Calibri" w:hAnsi="Times New Roman" w:cs="Times New Roman"/>
          <w:bCs/>
          <w:color w:val="000000"/>
          <w:sz w:val="24"/>
          <w:szCs w:val="24"/>
        </w:rPr>
        <w:t xml:space="preserve"> полугодии 2022 г. по сравнению со </w:t>
      </w:r>
      <w:r w:rsidRPr="003A1D5A">
        <w:rPr>
          <w:rFonts w:ascii="Times New Roman" w:eastAsia="Calibri" w:hAnsi="Times New Roman" w:cs="Times New Roman"/>
          <w:bCs/>
          <w:color w:val="000000"/>
          <w:sz w:val="24"/>
          <w:szCs w:val="24"/>
          <w:lang w:val="en-US"/>
        </w:rPr>
        <w:t>II</w:t>
      </w:r>
      <w:r w:rsidRPr="003A1D5A">
        <w:rPr>
          <w:rFonts w:ascii="Times New Roman" w:eastAsia="Calibri" w:hAnsi="Times New Roman" w:cs="Times New Roman"/>
          <w:bCs/>
          <w:color w:val="000000"/>
          <w:sz w:val="24"/>
          <w:szCs w:val="24"/>
        </w:rPr>
        <w:t xml:space="preserve"> полугодием 2021 г.</w:t>
      </w:r>
      <w:r w:rsidRPr="003A1D5A">
        <w:rPr>
          <w:rFonts w:ascii="Times New Roman" w:eastAsia="Calibri" w:hAnsi="Times New Roman" w:cs="Times New Roman"/>
          <w:color w:val="000000"/>
          <w:sz w:val="24"/>
          <w:szCs w:val="24"/>
        </w:rPr>
        <w:t xml:space="preserve"> (данные аналитического обзора Центрального Банка Российской Федерации)</w:t>
      </w:r>
    </w:p>
    <w:tbl>
      <w:tblPr>
        <w:tblStyle w:val="290"/>
        <w:tblW w:w="0" w:type="auto"/>
        <w:tblInd w:w="108" w:type="dxa"/>
        <w:tblLayout w:type="fixed"/>
        <w:tblLook w:val="04A0" w:firstRow="1" w:lastRow="0" w:firstColumn="1" w:lastColumn="0" w:noHBand="0" w:noVBand="1"/>
      </w:tblPr>
      <w:tblGrid>
        <w:gridCol w:w="4962"/>
        <w:gridCol w:w="1700"/>
        <w:gridCol w:w="1559"/>
        <w:gridCol w:w="1844"/>
      </w:tblGrid>
      <w:tr w:rsidR="003A1D5A" w:rsidRPr="003A1D5A" w:rsidTr="00682FC6">
        <w:trPr>
          <w:tblHeader/>
        </w:trPr>
        <w:tc>
          <w:tcPr>
            <w:tcW w:w="4962" w:type="dxa"/>
            <w:vAlign w:val="center"/>
          </w:tcPr>
          <w:p w:rsidR="003A1D5A" w:rsidRPr="00D55ED4" w:rsidRDefault="003A1D5A" w:rsidP="003A1D5A">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Условия</w:t>
            </w:r>
          </w:p>
        </w:tc>
        <w:tc>
          <w:tcPr>
            <w:tcW w:w="1700" w:type="dxa"/>
            <w:vAlign w:val="center"/>
          </w:tcPr>
          <w:p w:rsidR="003A1D5A" w:rsidRPr="00D55ED4" w:rsidRDefault="003A1D5A" w:rsidP="003A1D5A">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Ужесточились</w:t>
            </w:r>
          </w:p>
        </w:tc>
        <w:tc>
          <w:tcPr>
            <w:tcW w:w="1559" w:type="dxa"/>
            <w:vAlign w:val="center"/>
          </w:tcPr>
          <w:p w:rsidR="003A1D5A" w:rsidRPr="00D55ED4" w:rsidRDefault="003A1D5A" w:rsidP="003A1D5A">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Не изменились</w:t>
            </w:r>
          </w:p>
        </w:tc>
        <w:tc>
          <w:tcPr>
            <w:tcW w:w="1844" w:type="dxa"/>
            <w:vAlign w:val="center"/>
          </w:tcPr>
          <w:p w:rsidR="003A1D5A" w:rsidRPr="00D55ED4" w:rsidRDefault="003A1D5A" w:rsidP="003A1D5A">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Смягчились</w:t>
            </w:r>
          </w:p>
        </w:tc>
      </w:tr>
      <w:tr w:rsidR="003A1D5A" w:rsidRPr="003A1D5A" w:rsidTr="00682FC6">
        <w:tc>
          <w:tcPr>
            <w:tcW w:w="4962" w:type="dxa"/>
            <w:vAlign w:val="center"/>
          </w:tcPr>
          <w:p w:rsidR="003A1D5A" w:rsidRPr="003A1D5A" w:rsidRDefault="003A1D5A" w:rsidP="003A1D5A">
            <w:pPr>
              <w:spacing w:before="120" w:after="120" w:line="269" w:lineRule="auto"/>
              <w:rPr>
                <w:rFonts w:ascii="Times New Roman" w:eastAsia="Calibri" w:hAnsi="Times New Roman" w:cs="Times New Roman"/>
                <w:color w:val="000000"/>
              </w:rPr>
            </w:pPr>
            <w:r w:rsidRPr="003A1D5A">
              <w:rPr>
                <w:rFonts w:ascii="Times New Roman" w:eastAsia="Calibri" w:hAnsi="Times New Roman" w:cs="Times New Roman"/>
                <w:color w:val="000000"/>
              </w:rPr>
              <w:t>Требования к обеспечению по кредиту</w:t>
            </w:r>
          </w:p>
        </w:tc>
        <w:tc>
          <w:tcPr>
            <w:tcW w:w="1700"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12,5%</w:t>
            </w:r>
          </w:p>
        </w:tc>
        <w:tc>
          <w:tcPr>
            <w:tcW w:w="1559"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87,5%</w:t>
            </w:r>
          </w:p>
        </w:tc>
        <w:tc>
          <w:tcPr>
            <w:tcW w:w="1844"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w:t>
            </w:r>
          </w:p>
        </w:tc>
      </w:tr>
      <w:tr w:rsidR="003A1D5A" w:rsidRPr="003A1D5A" w:rsidTr="00682FC6">
        <w:tc>
          <w:tcPr>
            <w:tcW w:w="4962" w:type="dxa"/>
            <w:vAlign w:val="center"/>
          </w:tcPr>
          <w:p w:rsidR="003A1D5A" w:rsidRPr="003A1D5A" w:rsidRDefault="003A1D5A" w:rsidP="003A1D5A">
            <w:pPr>
              <w:spacing w:before="120" w:after="120" w:line="269" w:lineRule="auto"/>
              <w:rPr>
                <w:rFonts w:ascii="Times New Roman" w:eastAsia="Calibri" w:hAnsi="Times New Roman" w:cs="Times New Roman"/>
                <w:color w:val="000000"/>
              </w:rPr>
            </w:pPr>
            <w:r w:rsidRPr="003A1D5A">
              <w:rPr>
                <w:rFonts w:ascii="Times New Roman" w:eastAsia="Calibri" w:hAnsi="Times New Roman" w:cs="Times New Roman"/>
                <w:color w:val="000000"/>
              </w:rPr>
              <w:t>Требования к финансовому положению</w:t>
            </w:r>
          </w:p>
        </w:tc>
        <w:tc>
          <w:tcPr>
            <w:tcW w:w="1700"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18,8%</w:t>
            </w:r>
          </w:p>
        </w:tc>
        <w:tc>
          <w:tcPr>
            <w:tcW w:w="1559"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75,0%</w:t>
            </w:r>
          </w:p>
        </w:tc>
        <w:tc>
          <w:tcPr>
            <w:tcW w:w="1844"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6,3%</w:t>
            </w:r>
          </w:p>
        </w:tc>
      </w:tr>
      <w:tr w:rsidR="003A1D5A" w:rsidRPr="003A1D5A" w:rsidTr="00682FC6">
        <w:tc>
          <w:tcPr>
            <w:tcW w:w="4962" w:type="dxa"/>
            <w:vAlign w:val="center"/>
          </w:tcPr>
          <w:p w:rsidR="003A1D5A" w:rsidRPr="003A1D5A" w:rsidRDefault="003A1D5A" w:rsidP="003A1D5A">
            <w:pPr>
              <w:spacing w:before="120" w:after="120" w:line="269" w:lineRule="auto"/>
              <w:rPr>
                <w:rFonts w:ascii="Times New Roman" w:eastAsia="Calibri" w:hAnsi="Times New Roman" w:cs="Times New Roman"/>
                <w:color w:val="000000"/>
              </w:rPr>
            </w:pPr>
            <w:r w:rsidRPr="003A1D5A">
              <w:rPr>
                <w:rFonts w:ascii="Times New Roman" w:eastAsia="Calibri" w:hAnsi="Times New Roman" w:cs="Times New Roman"/>
                <w:color w:val="000000"/>
              </w:rPr>
              <w:t>Дополнительные сборы и комиссии</w:t>
            </w:r>
          </w:p>
        </w:tc>
        <w:tc>
          <w:tcPr>
            <w:tcW w:w="1700"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20,0%</w:t>
            </w:r>
          </w:p>
        </w:tc>
        <w:tc>
          <w:tcPr>
            <w:tcW w:w="1559"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73,3%</w:t>
            </w:r>
          </w:p>
        </w:tc>
        <w:tc>
          <w:tcPr>
            <w:tcW w:w="1844"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6,7%</w:t>
            </w:r>
          </w:p>
        </w:tc>
      </w:tr>
      <w:tr w:rsidR="003A1D5A" w:rsidRPr="003A1D5A" w:rsidTr="00682FC6">
        <w:tc>
          <w:tcPr>
            <w:tcW w:w="4962" w:type="dxa"/>
            <w:vAlign w:val="center"/>
          </w:tcPr>
          <w:p w:rsidR="003A1D5A" w:rsidRPr="003A1D5A" w:rsidRDefault="003A1D5A" w:rsidP="003A1D5A">
            <w:pPr>
              <w:spacing w:before="120" w:after="120" w:line="269" w:lineRule="auto"/>
              <w:rPr>
                <w:rFonts w:ascii="Times New Roman" w:eastAsia="Calibri" w:hAnsi="Times New Roman" w:cs="Times New Roman"/>
                <w:color w:val="000000"/>
              </w:rPr>
            </w:pPr>
            <w:r w:rsidRPr="003A1D5A">
              <w:rPr>
                <w:rFonts w:ascii="Times New Roman" w:eastAsia="Calibri" w:hAnsi="Times New Roman" w:cs="Times New Roman"/>
                <w:color w:val="000000"/>
              </w:rPr>
              <w:t>Процентная ставка по кредиту / займу</w:t>
            </w:r>
          </w:p>
        </w:tc>
        <w:tc>
          <w:tcPr>
            <w:tcW w:w="1700"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75,0%</w:t>
            </w:r>
          </w:p>
        </w:tc>
        <w:tc>
          <w:tcPr>
            <w:tcW w:w="1559"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6,3%</w:t>
            </w:r>
          </w:p>
        </w:tc>
        <w:tc>
          <w:tcPr>
            <w:tcW w:w="1844"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18,8%</w:t>
            </w:r>
          </w:p>
        </w:tc>
      </w:tr>
      <w:tr w:rsidR="003A1D5A" w:rsidRPr="003A1D5A" w:rsidTr="00682FC6">
        <w:tc>
          <w:tcPr>
            <w:tcW w:w="4962" w:type="dxa"/>
            <w:vAlign w:val="center"/>
          </w:tcPr>
          <w:p w:rsidR="003A1D5A" w:rsidRPr="003A1D5A" w:rsidRDefault="003A1D5A" w:rsidP="003A1D5A">
            <w:pPr>
              <w:spacing w:before="120" w:after="120" w:line="269" w:lineRule="auto"/>
              <w:rPr>
                <w:rFonts w:ascii="Times New Roman" w:eastAsia="Calibri" w:hAnsi="Times New Roman" w:cs="Times New Roman"/>
                <w:color w:val="000000"/>
              </w:rPr>
            </w:pPr>
            <w:r w:rsidRPr="003A1D5A">
              <w:rPr>
                <w:rFonts w:ascii="Times New Roman" w:eastAsia="Calibri" w:hAnsi="Times New Roman" w:cs="Times New Roman"/>
                <w:color w:val="000000"/>
              </w:rPr>
              <w:t>Максимальный срок кредита / займа</w:t>
            </w:r>
          </w:p>
        </w:tc>
        <w:tc>
          <w:tcPr>
            <w:tcW w:w="1700"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6,3%</w:t>
            </w:r>
          </w:p>
        </w:tc>
        <w:tc>
          <w:tcPr>
            <w:tcW w:w="1559"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87,5%</w:t>
            </w:r>
          </w:p>
        </w:tc>
        <w:tc>
          <w:tcPr>
            <w:tcW w:w="1844"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6,3%</w:t>
            </w:r>
          </w:p>
        </w:tc>
      </w:tr>
      <w:tr w:rsidR="003A1D5A" w:rsidRPr="003A1D5A" w:rsidTr="00682FC6">
        <w:tc>
          <w:tcPr>
            <w:tcW w:w="4962" w:type="dxa"/>
            <w:vAlign w:val="center"/>
          </w:tcPr>
          <w:p w:rsidR="003A1D5A" w:rsidRPr="003A1D5A" w:rsidRDefault="003A1D5A" w:rsidP="003A1D5A">
            <w:pPr>
              <w:spacing w:before="120" w:after="120" w:line="269" w:lineRule="auto"/>
              <w:rPr>
                <w:rFonts w:ascii="Times New Roman" w:eastAsia="Calibri" w:hAnsi="Times New Roman" w:cs="Times New Roman"/>
                <w:color w:val="000000"/>
              </w:rPr>
            </w:pPr>
            <w:r w:rsidRPr="003A1D5A">
              <w:rPr>
                <w:rFonts w:ascii="Times New Roman" w:eastAsia="Calibri" w:hAnsi="Times New Roman" w:cs="Times New Roman"/>
                <w:color w:val="000000"/>
              </w:rPr>
              <w:t>Минимальный размер кредита / займа</w:t>
            </w:r>
          </w:p>
        </w:tc>
        <w:tc>
          <w:tcPr>
            <w:tcW w:w="1700"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12,5%</w:t>
            </w:r>
          </w:p>
        </w:tc>
        <w:tc>
          <w:tcPr>
            <w:tcW w:w="1559"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81,3%</w:t>
            </w:r>
          </w:p>
        </w:tc>
        <w:tc>
          <w:tcPr>
            <w:tcW w:w="1844"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6,3%</w:t>
            </w:r>
          </w:p>
        </w:tc>
      </w:tr>
      <w:tr w:rsidR="003A1D5A" w:rsidRPr="003A1D5A" w:rsidTr="00682FC6">
        <w:tc>
          <w:tcPr>
            <w:tcW w:w="4962" w:type="dxa"/>
            <w:vAlign w:val="center"/>
          </w:tcPr>
          <w:p w:rsidR="003A1D5A" w:rsidRPr="003A1D5A" w:rsidRDefault="003A1D5A" w:rsidP="003A1D5A">
            <w:pPr>
              <w:spacing w:before="120" w:after="120" w:line="269" w:lineRule="auto"/>
              <w:rPr>
                <w:rFonts w:ascii="Times New Roman" w:eastAsia="Calibri" w:hAnsi="Times New Roman" w:cs="Times New Roman"/>
                <w:color w:val="000000"/>
              </w:rPr>
            </w:pPr>
            <w:r w:rsidRPr="003A1D5A">
              <w:rPr>
                <w:rFonts w:ascii="Times New Roman" w:eastAsia="Calibri" w:hAnsi="Times New Roman" w:cs="Times New Roman"/>
                <w:color w:val="000000"/>
              </w:rPr>
              <w:t>Другие условия</w:t>
            </w:r>
          </w:p>
        </w:tc>
        <w:tc>
          <w:tcPr>
            <w:tcW w:w="1700"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12,5%</w:t>
            </w:r>
          </w:p>
        </w:tc>
        <w:tc>
          <w:tcPr>
            <w:tcW w:w="1559"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87,5%</w:t>
            </w:r>
          </w:p>
        </w:tc>
        <w:tc>
          <w:tcPr>
            <w:tcW w:w="1844" w:type="dxa"/>
            <w:vAlign w:val="center"/>
          </w:tcPr>
          <w:p w:rsidR="003A1D5A" w:rsidRPr="003A1D5A" w:rsidRDefault="003A1D5A" w:rsidP="003A1D5A">
            <w:pPr>
              <w:spacing w:before="120" w:after="120" w:line="269"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 xml:space="preserve">- </w:t>
            </w:r>
          </w:p>
        </w:tc>
      </w:tr>
    </w:tbl>
    <w:p w:rsidR="003A1D5A" w:rsidRPr="003A1D5A" w:rsidRDefault="003A1D5A" w:rsidP="003A1D5A">
      <w:pPr>
        <w:spacing w:after="0" w:line="360" w:lineRule="auto"/>
        <w:ind w:firstLine="709"/>
        <w:contextualSpacing/>
        <w:jc w:val="both"/>
        <w:rPr>
          <w:rFonts w:ascii="Times New Roman" w:eastAsia="Times New Roman" w:hAnsi="Times New Roman" w:cs="Times New Roman"/>
          <w:color w:val="000000"/>
          <w:sz w:val="28"/>
          <w:szCs w:val="28"/>
          <w:lang w:eastAsia="ru-RU"/>
        </w:rPr>
      </w:pPr>
    </w:p>
    <w:p w:rsidR="003A1D5A" w:rsidRPr="00682FC6" w:rsidRDefault="003A1D5A" w:rsidP="003A1D5A">
      <w:pPr>
        <w:spacing w:after="0" w:line="360" w:lineRule="auto"/>
        <w:ind w:firstLine="709"/>
        <w:jc w:val="both"/>
        <w:rPr>
          <w:rFonts w:ascii="Times New Roman" w:eastAsia="Times New Roman" w:hAnsi="Times New Roman" w:cs="Times New Roman"/>
          <w:color w:val="000000"/>
          <w:sz w:val="24"/>
          <w:szCs w:val="24"/>
          <w:lang w:eastAsia="ru-RU"/>
        </w:rPr>
      </w:pPr>
      <w:r w:rsidRPr="00682FC6">
        <w:rPr>
          <w:rFonts w:ascii="Times New Roman" w:eastAsia="Times New Roman" w:hAnsi="Times New Roman" w:cs="Times New Roman"/>
          <w:color w:val="000000"/>
          <w:sz w:val="24"/>
          <w:szCs w:val="24"/>
          <w:lang w:eastAsia="ru-RU"/>
        </w:rPr>
        <w:t>Динамика барьеров для доступа к финансовым услугам в Ленинградской области в разрезе по размеру бизнеса представлена в таблице ниже.</w:t>
      </w:r>
    </w:p>
    <w:p w:rsidR="003A1D5A" w:rsidRPr="00682FC6" w:rsidRDefault="003A1D5A" w:rsidP="00682FC6">
      <w:pPr>
        <w:keepNext/>
        <w:keepLines/>
        <w:spacing w:before="120" w:after="120" w:line="240" w:lineRule="auto"/>
        <w:jc w:val="center"/>
        <w:rPr>
          <w:rFonts w:ascii="Times New Roman" w:eastAsia="Calibri" w:hAnsi="Times New Roman" w:cs="Times New Roman"/>
          <w:color w:val="000000"/>
          <w:sz w:val="24"/>
          <w:szCs w:val="24"/>
        </w:rPr>
      </w:pPr>
      <w:r w:rsidRPr="003A1D5A">
        <w:rPr>
          <w:rFonts w:ascii="Times New Roman" w:eastAsia="Calibri" w:hAnsi="Times New Roman" w:cs="Times New Roman"/>
          <w:iCs/>
          <w:color w:val="000000"/>
          <w:sz w:val="24"/>
          <w:szCs w:val="24"/>
        </w:rPr>
        <w:t xml:space="preserve">Таблица </w:t>
      </w:r>
      <w:r w:rsidR="00682FC6">
        <w:rPr>
          <w:rFonts w:ascii="Times New Roman" w:eastAsia="Calibri" w:hAnsi="Times New Roman" w:cs="Times New Roman"/>
          <w:iCs/>
          <w:color w:val="000000"/>
          <w:sz w:val="24"/>
          <w:szCs w:val="24"/>
        </w:rPr>
        <w:t>60.</w:t>
      </w:r>
      <w:r w:rsidRPr="003A1D5A">
        <w:rPr>
          <w:rFonts w:ascii="Times New Roman" w:eastAsia="Calibri" w:hAnsi="Times New Roman" w:cs="Times New Roman"/>
          <w:iCs/>
          <w:color w:val="000000"/>
          <w:sz w:val="24"/>
          <w:szCs w:val="24"/>
        </w:rPr>
        <w:t xml:space="preserve"> </w:t>
      </w:r>
      <w:r w:rsidRPr="00682FC6">
        <w:rPr>
          <w:rFonts w:ascii="Times New Roman" w:eastAsia="Calibri" w:hAnsi="Times New Roman" w:cs="Times New Roman"/>
          <w:color w:val="000000"/>
          <w:sz w:val="24"/>
          <w:szCs w:val="24"/>
        </w:rPr>
        <w:t xml:space="preserve">По Вашей оценке, как изменился уровень </w:t>
      </w:r>
      <w:r w:rsidRPr="00682FC6">
        <w:rPr>
          <w:rFonts w:ascii="Times New Roman" w:eastAsia="Calibri" w:hAnsi="Times New Roman" w:cs="Times New Roman"/>
          <w:bCs/>
          <w:color w:val="000000"/>
          <w:sz w:val="24"/>
          <w:szCs w:val="24"/>
          <w:shd w:val="clear" w:color="auto" w:fill="FFFFFF"/>
        </w:rPr>
        <w:t>барьеров для доступа предпринимателей к финансовым услугам в Ленинградской области за последний год?</w:t>
      </w:r>
      <w:r w:rsidRPr="00682FC6">
        <w:rPr>
          <w:rFonts w:ascii="Times New Roman" w:eastAsia="Calibri" w:hAnsi="Times New Roman" w:cs="Times New Roman"/>
          <w:i/>
          <w:color w:val="000000"/>
          <w:sz w:val="24"/>
          <w:szCs w:val="24"/>
        </w:rPr>
        <w:t xml:space="preserve"> </w:t>
      </w:r>
      <w:r w:rsidRPr="00682FC6">
        <w:rPr>
          <w:rFonts w:ascii="Times New Roman" w:eastAsia="Calibri" w:hAnsi="Times New Roman" w:cs="Times New Roman"/>
          <w:noProof/>
          <w:color w:val="000000"/>
          <w:sz w:val="24"/>
          <w:szCs w:val="24"/>
        </w:rPr>
        <w:t xml:space="preserve">(опрос предпринимателей, % от числа опрошенных. </w:t>
      </w:r>
      <w:r w:rsidRPr="00682FC6">
        <w:rPr>
          <w:rFonts w:ascii="Times New Roman" w:eastAsia="Calibri" w:hAnsi="Times New Roman" w:cs="Times New Roman"/>
          <w:noProof/>
          <w:color w:val="000000"/>
          <w:sz w:val="24"/>
          <w:szCs w:val="24"/>
          <w:lang w:val="en-US"/>
        </w:rPr>
        <w:t>n</w:t>
      </w:r>
      <w:r w:rsidRPr="00682FC6">
        <w:rPr>
          <w:rFonts w:ascii="Times New Roman" w:eastAsia="Calibri" w:hAnsi="Times New Roman" w:cs="Times New Roman"/>
          <w:noProof/>
          <w:color w:val="000000"/>
          <w:sz w:val="24"/>
          <w:szCs w:val="24"/>
        </w:rPr>
        <w:t xml:space="preserve"> = 500</w:t>
      </w:r>
      <w:r w:rsidRPr="00682FC6">
        <w:rPr>
          <w:rFonts w:ascii="Times New Roman" w:eastAsia="Calibri" w:hAnsi="Times New Roman" w:cs="Times New Roman"/>
          <w:color w:val="000000"/>
          <w:sz w:val="24"/>
          <w:szCs w:val="24"/>
        </w:rPr>
        <w:t>)</w:t>
      </w:r>
    </w:p>
    <w:tbl>
      <w:tblPr>
        <w:tblW w:w="495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5"/>
        <w:gridCol w:w="1251"/>
        <w:gridCol w:w="1249"/>
        <w:gridCol w:w="1249"/>
        <w:gridCol w:w="1248"/>
        <w:gridCol w:w="1248"/>
        <w:gridCol w:w="1242"/>
      </w:tblGrid>
      <w:tr w:rsidR="003A1D5A" w:rsidRPr="003A1D5A" w:rsidTr="00682FC6">
        <w:trPr>
          <w:cantSplit/>
          <w:trHeight w:val="2108"/>
          <w:tblHeader/>
        </w:trPr>
        <w:tc>
          <w:tcPr>
            <w:tcW w:w="1323" w:type="pct"/>
            <w:shd w:val="clear" w:color="auto" w:fill="auto"/>
            <w:noWrap/>
            <w:vAlign w:val="center"/>
          </w:tcPr>
          <w:p w:rsidR="003A1D5A" w:rsidRPr="003A1D5A" w:rsidRDefault="003A1D5A" w:rsidP="003A1D5A">
            <w:pPr>
              <w:spacing w:after="0" w:line="240" w:lineRule="auto"/>
              <w:jc w:val="center"/>
              <w:rPr>
                <w:rFonts w:ascii="Times New Roman" w:eastAsia="Times New Roman" w:hAnsi="Times New Roman" w:cs="Times New Roman"/>
                <w:color w:val="000000"/>
                <w:lang w:eastAsia="ru-RU"/>
              </w:rPr>
            </w:pPr>
          </w:p>
        </w:tc>
        <w:tc>
          <w:tcPr>
            <w:tcW w:w="614" w:type="pct"/>
            <w:shd w:val="clear" w:color="auto" w:fill="auto"/>
            <w:textDirection w:val="btLr"/>
            <w:vAlign w:val="center"/>
          </w:tcPr>
          <w:p w:rsidR="003A1D5A" w:rsidRPr="003A1D5A" w:rsidRDefault="003A1D5A" w:rsidP="003A1D5A">
            <w:pPr>
              <w:spacing w:after="0" w:line="240" w:lineRule="auto"/>
              <w:ind w:left="113" w:right="113"/>
              <w:jc w:val="center"/>
              <w:rPr>
                <w:rFonts w:ascii="Times New Roman" w:eastAsia="Times New Roman" w:hAnsi="Times New Roman" w:cs="Times New Roman"/>
                <w:b/>
                <w:bCs/>
                <w:color w:val="000000"/>
                <w:sz w:val="20"/>
                <w:szCs w:val="20"/>
                <w:lang w:eastAsia="ru-RU"/>
              </w:rPr>
            </w:pPr>
            <w:r w:rsidRPr="003A1D5A">
              <w:rPr>
                <w:rFonts w:ascii="Times New Roman" w:eastAsia="Times New Roman" w:hAnsi="Times New Roman" w:cs="Times New Roman"/>
                <w:b/>
                <w:color w:val="000000"/>
                <w:sz w:val="20"/>
                <w:szCs w:val="20"/>
                <w:lang w:eastAsia="ru-RU"/>
              </w:rPr>
              <w:t>В целом по области</w:t>
            </w:r>
          </w:p>
        </w:tc>
        <w:tc>
          <w:tcPr>
            <w:tcW w:w="613" w:type="pct"/>
            <w:shd w:val="clear" w:color="auto" w:fill="auto"/>
            <w:textDirection w:val="btLr"/>
            <w:vAlign w:val="center"/>
          </w:tcPr>
          <w:p w:rsidR="003A1D5A" w:rsidRPr="00682FC6" w:rsidRDefault="003A1D5A" w:rsidP="003A1D5A">
            <w:pPr>
              <w:spacing w:after="0" w:line="240" w:lineRule="auto"/>
              <w:ind w:left="113" w:right="113"/>
              <w:jc w:val="center"/>
              <w:rPr>
                <w:rFonts w:ascii="Times New Roman" w:eastAsia="Times New Roman" w:hAnsi="Times New Roman" w:cs="Times New Roman"/>
                <w:b/>
                <w:bCs/>
                <w:color w:val="000000"/>
                <w:sz w:val="20"/>
                <w:szCs w:val="20"/>
                <w:lang w:eastAsia="ru-RU"/>
              </w:rPr>
            </w:pPr>
            <w:r w:rsidRPr="003A1D5A">
              <w:rPr>
                <w:rFonts w:ascii="Times New Roman" w:eastAsia="Times New Roman" w:hAnsi="Times New Roman" w:cs="Times New Roman"/>
                <w:b/>
                <w:bCs/>
                <w:color w:val="000000"/>
                <w:sz w:val="20"/>
                <w:szCs w:val="20"/>
                <w:lang w:eastAsia="ru-RU"/>
              </w:rPr>
              <w:t xml:space="preserve">Микро-предприятие </w:t>
            </w:r>
          </w:p>
        </w:tc>
        <w:tc>
          <w:tcPr>
            <w:tcW w:w="613" w:type="pct"/>
            <w:shd w:val="clear" w:color="auto" w:fill="auto"/>
            <w:textDirection w:val="btLr"/>
            <w:vAlign w:val="center"/>
          </w:tcPr>
          <w:p w:rsidR="003A1D5A" w:rsidRPr="003A1D5A" w:rsidRDefault="003A1D5A" w:rsidP="003A1D5A">
            <w:pPr>
              <w:spacing w:after="0" w:line="240" w:lineRule="auto"/>
              <w:ind w:left="113" w:right="113"/>
              <w:jc w:val="center"/>
              <w:rPr>
                <w:rFonts w:ascii="Times New Roman" w:eastAsia="Times New Roman" w:hAnsi="Times New Roman" w:cs="Times New Roman"/>
                <w:b/>
                <w:bCs/>
                <w:color w:val="000000"/>
                <w:sz w:val="20"/>
                <w:szCs w:val="20"/>
                <w:lang w:eastAsia="ru-RU"/>
              </w:rPr>
            </w:pPr>
            <w:r w:rsidRPr="003A1D5A">
              <w:rPr>
                <w:rFonts w:ascii="Times New Roman" w:eastAsia="Times New Roman" w:hAnsi="Times New Roman" w:cs="Times New Roman"/>
                <w:b/>
                <w:bCs/>
                <w:color w:val="000000"/>
                <w:sz w:val="20"/>
                <w:szCs w:val="20"/>
                <w:lang w:eastAsia="ru-RU"/>
              </w:rPr>
              <w:t>Малое предприятие</w:t>
            </w:r>
          </w:p>
        </w:tc>
        <w:tc>
          <w:tcPr>
            <w:tcW w:w="613" w:type="pct"/>
            <w:shd w:val="clear" w:color="auto" w:fill="auto"/>
            <w:textDirection w:val="btLr"/>
            <w:vAlign w:val="center"/>
          </w:tcPr>
          <w:p w:rsidR="003A1D5A" w:rsidRPr="003A1D5A" w:rsidRDefault="003A1D5A" w:rsidP="003A1D5A">
            <w:pPr>
              <w:spacing w:after="0" w:line="240" w:lineRule="auto"/>
              <w:ind w:left="113" w:right="113"/>
              <w:jc w:val="center"/>
              <w:rPr>
                <w:rFonts w:ascii="Times New Roman" w:eastAsia="Calibri" w:hAnsi="Times New Roman" w:cs="Times New Roman"/>
                <w:b/>
                <w:color w:val="000000"/>
                <w:sz w:val="20"/>
                <w:szCs w:val="20"/>
              </w:rPr>
            </w:pPr>
            <w:r w:rsidRPr="003A1D5A">
              <w:rPr>
                <w:rFonts w:ascii="Times New Roman" w:eastAsia="Calibri" w:hAnsi="Times New Roman" w:cs="Times New Roman"/>
                <w:b/>
                <w:color w:val="000000"/>
                <w:sz w:val="20"/>
                <w:szCs w:val="20"/>
              </w:rPr>
              <w:t>Среднее предприятие</w:t>
            </w:r>
          </w:p>
        </w:tc>
        <w:tc>
          <w:tcPr>
            <w:tcW w:w="613" w:type="pct"/>
            <w:shd w:val="clear" w:color="auto" w:fill="auto"/>
            <w:textDirection w:val="btLr"/>
            <w:vAlign w:val="center"/>
          </w:tcPr>
          <w:p w:rsidR="003A1D5A" w:rsidRPr="003A1D5A" w:rsidRDefault="003A1D5A" w:rsidP="003A1D5A">
            <w:pPr>
              <w:spacing w:after="0" w:line="240" w:lineRule="auto"/>
              <w:ind w:left="113" w:right="113"/>
              <w:jc w:val="center"/>
              <w:rPr>
                <w:rFonts w:ascii="Times New Roman" w:eastAsia="Calibri" w:hAnsi="Times New Roman" w:cs="Times New Roman"/>
                <w:b/>
                <w:color w:val="000000"/>
                <w:sz w:val="20"/>
                <w:szCs w:val="20"/>
              </w:rPr>
            </w:pPr>
            <w:r w:rsidRPr="003A1D5A">
              <w:rPr>
                <w:rFonts w:ascii="Times New Roman" w:eastAsia="Calibri" w:hAnsi="Times New Roman" w:cs="Times New Roman"/>
                <w:b/>
                <w:color w:val="000000"/>
                <w:sz w:val="20"/>
                <w:szCs w:val="20"/>
              </w:rPr>
              <w:t>Крупное предприятие</w:t>
            </w:r>
          </w:p>
        </w:tc>
        <w:tc>
          <w:tcPr>
            <w:tcW w:w="610" w:type="pct"/>
            <w:shd w:val="clear" w:color="auto" w:fill="auto"/>
            <w:textDirection w:val="btLr"/>
            <w:vAlign w:val="center"/>
          </w:tcPr>
          <w:p w:rsidR="003A1D5A" w:rsidRPr="003A1D5A" w:rsidRDefault="003A1D5A" w:rsidP="003A1D5A">
            <w:pPr>
              <w:spacing w:after="0" w:line="240" w:lineRule="auto"/>
              <w:ind w:left="113" w:right="113"/>
              <w:jc w:val="center"/>
              <w:rPr>
                <w:rFonts w:ascii="Times New Roman" w:eastAsia="Calibri" w:hAnsi="Times New Roman" w:cs="Times New Roman"/>
                <w:b/>
                <w:color w:val="000000"/>
                <w:sz w:val="20"/>
                <w:szCs w:val="20"/>
              </w:rPr>
            </w:pPr>
            <w:r w:rsidRPr="003A1D5A">
              <w:rPr>
                <w:rFonts w:ascii="Times New Roman" w:eastAsia="Calibri" w:hAnsi="Times New Roman" w:cs="Times New Roman"/>
                <w:b/>
                <w:color w:val="000000"/>
                <w:sz w:val="20"/>
                <w:szCs w:val="20"/>
              </w:rPr>
              <w:t>Затрудняюсь ответить</w:t>
            </w:r>
          </w:p>
        </w:tc>
      </w:tr>
      <w:tr w:rsidR="003A1D5A" w:rsidRPr="003A1D5A" w:rsidTr="00682FC6">
        <w:trPr>
          <w:trHeight w:val="11"/>
        </w:trPr>
        <w:tc>
          <w:tcPr>
            <w:tcW w:w="1323" w:type="pct"/>
            <w:tcBorders>
              <w:top w:val="nil"/>
              <w:left w:val="single" w:sz="8" w:space="0" w:color="000000"/>
              <w:bottom w:val="single" w:sz="8" w:space="0" w:color="000000"/>
              <w:right w:val="single" w:sz="8" w:space="0" w:color="000000"/>
            </w:tcBorders>
            <w:shd w:val="clear" w:color="auto" w:fill="auto"/>
          </w:tcPr>
          <w:p w:rsidR="003A1D5A" w:rsidRPr="003A1D5A" w:rsidRDefault="003A1D5A" w:rsidP="003A1D5A">
            <w:pPr>
              <w:spacing w:beforeLines="60" w:before="144" w:afterLines="60" w:after="144" w:line="269" w:lineRule="auto"/>
              <w:rPr>
                <w:rFonts w:ascii="Times New Roman" w:eastAsia="Times New Roman" w:hAnsi="Times New Roman" w:cs="Times New Roman"/>
                <w:color w:val="000000"/>
                <w:lang w:eastAsia="ru-RU"/>
              </w:rPr>
            </w:pPr>
            <w:r w:rsidRPr="003A1D5A">
              <w:rPr>
                <w:rFonts w:ascii="Times New Roman" w:eastAsia="Calibri" w:hAnsi="Times New Roman" w:cs="Times New Roman"/>
                <w:color w:val="000000"/>
              </w:rPr>
              <w:t>Барьеров стало меньше</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
                <w:bCs/>
                <w:color w:val="000000"/>
              </w:rPr>
            </w:pPr>
            <w:r w:rsidRPr="003A1D5A">
              <w:rPr>
                <w:rFonts w:ascii="Times New Roman" w:eastAsia="Calibri" w:hAnsi="Times New Roman" w:cs="Times New Roman"/>
                <w:b/>
                <w:bCs/>
                <w:color w:val="000000"/>
              </w:rPr>
              <w:t>22%</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24%</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Cs/>
                <w:color w:val="000000"/>
              </w:rPr>
            </w:pPr>
            <w:r w:rsidRPr="003A1D5A">
              <w:rPr>
                <w:rFonts w:ascii="Times New Roman" w:eastAsia="Calibri" w:hAnsi="Times New Roman" w:cs="Times New Roman"/>
                <w:color w:val="000000"/>
              </w:rPr>
              <w:t>22%</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23%</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27%</w:t>
            </w:r>
          </w:p>
        </w:tc>
        <w:tc>
          <w:tcPr>
            <w:tcW w:w="610" w:type="pct"/>
            <w:tcBorders>
              <w:top w:val="single" w:sz="4" w:space="0" w:color="auto"/>
              <w:left w:val="single" w:sz="4" w:space="0" w:color="auto"/>
              <w:bottom w:val="single" w:sz="4" w:space="0" w:color="auto"/>
              <w:right w:val="single" w:sz="4" w:space="0" w:color="auto"/>
            </w:tcBorders>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17%</w:t>
            </w:r>
          </w:p>
        </w:tc>
      </w:tr>
      <w:tr w:rsidR="003A1D5A" w:rsidRPr="003A1D5A" w:rsidTr="00682FC6">
        <w:trPr>
          <w:trHeight w:val="11"/>
        </w:trPr>
        <w:tc>
          <w:tcPr>
            <w:tcW w:w="1323" w:type="pct"/>
            <w:tcBorders>
              <w:top w:val="nil"/>
              <w:left w:val="single" w:sz="8" w:space="0" w:color="000000"/>
              <w:bottom w:val="single" w:sz="8" w:space="0" w:color="000000"/>
              <w:right w:val="single" w:sz="8" w:space="0" w:color="000000"/>
            </w:tcBorders>
            <w:shd w:val="clear" w:color="auto" w:fill="auto"/>
          </w:tcPr>
          <w:p w:rsidR="003A1D5A" w:rsidRPr="003A1D5A" w:rsidRDefault="003A1D5A" w:rsidP="003A1D5A">
            <w:pPr>
              <w:spacing w:beforeLines="60" w:before="144" w:afterLines="60" w:after="144" w:line="269" w:lineRule="auto"/>
              <w:rPr>
                <w:rFonts w:ascii="Times New Roman" w:eastAsia="Times New Roman" w:hAnsi="Times New Roman" w:cs="Times New Roman"/>
                <w:color w:val="000000"/>
                <w:lang w:eastAsia="ru-RU"/>
              </w:rPr>
            </w:pPr>
            <w:r w:rsidRPr="003A1D5A">
              <w:rPr>
                <w:rFonts w:ascii="Times New Roman" w:eastAsia="Calibri" w:hAnsi="Times New Roman" w:cs="Times New Roman"/>
                <w:color w:val="000000"/>
              </w:rPr>
              <w:t>Барьеров стало больше</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
                <w:bCs/>
                <w:color w:val="000000"/>
              </w:rPr>
            </w:pPr>
            <w:r w:rsidRPr="003A1D5A">
              <w:rPr>
                <w:rFonts w:ascii="Times New Roman" w:eastAsia="Calibri" w:hAnsi="Times New Roman" w:cs="Times New Roman"/>
                <w:b/>
                <w:bCs/>
                <w:color w:val="000000"/>
              </w:rPr>
              <w:t>15%</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17%</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Cs/>
                <w:color w:val="000000"/>
              </w:rPr>
            </w:pPr>
            <w:r w:rsidRPr="003A1D5A">
              <w:rPr>
                <w:rFonts w:ascii="Times New Roman" w:eastAsia="Calibri" w:hAnsi="Times New Roman" w:cs="Times New Roman"/>
                <w:color w:val="000000"/>
              </w:rPr>
              <w:t>11%</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16%</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25%</w:t>
            </w:r>
          </w:p>
        </w:tc>
        <w:tc>
          <w:tcPr>
            <w:tcW w:w="610" w:type="pct"/>
            <w:tcBorders>
              <w:top w:val="single" w:sz="4" w:space="0" w:color="auto"/>
              <w:left w:val="single" w:sz="4" w:space="0" w:color="auto"/>
              <w:bottom w:val="single" w:sz="4" w:space="0" w:color="auto"/>
              <w:right w:val="single" w:sz="4" w:space="0" w:color="auto"/>
            </w:tcBorders>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10%</w:t>
            </w:r>
          </w:p>
        </w:tc>
      </w:tr>
      <w:tr w:rsidR="003A1D5A" w:rsidRPr="003A1D5A" w:rsidTr="00682FC6">
        <w:trPr>
          <w:trHeight w:val="11"/>
        </w:trPr>
        <w:tc>
          <w:tcPr>
            <w:tcW w:w="1323" w:type="pct"/>
            <w:tcBorders>
              <w:top w:val="nil"/>
              <w:left w:val="single" w:sz="8" w:space="0" w:color="000000"/>
              <w:bottom w:val="single" w:sz="4" w:space="0" w:color="auto"/>
              <w:right w:val="single" w:sz="8" w:space="0" w:color="000000"/>
            </w:tcBorders>
            <w:shd w:val="clear" w:color="auto" w:fill="auto"/>
          </w:tcPr>
          <w:p w:rsidR="003A1D5A" w:rsidRPr="003A1D5A" w:rsidRDefault="003A1D5A" w:rsidP="003A1D5A">
            <w:pPr>
              <w:spacing w:beforeLines="60" w:before="144" w:afterLines="60" w:after="144" w:line="269" w:lineRule="auto"/>
              <w:rPr>
                <w:rFonts w:ascii="Times New Roman" w:eastAsia="Times New Roman" w:hAnsi="Times New Roman" w:cs="Times New Roman"/>
                <w:color w:val="000000"/>
                <w:lang w:eastAsia="ru-RU"/>
              </w:rPr>
            </w:pPr>
            <w:r w:rsidRPr="003A1D5A">
              <w:rPr>
                <w:rFonts w:ascii="Times New Roman" w:eastAsia="Calibri" w:hAnsi="Times New Roman" w:cs="Times New Roman"/>
                <w:color w:val="000000"/>
              </w:rPr>
              <w:t>Барьеры отсутствовали, но сейчас появились</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
                <w:bCs/>
                <w:color w:val="000000"/>
              </w:rPr>
            </w:pPr>
            <w:r w:rsidRPr="003A1D5A">
              <w:rPr>
                <w:rFonts w:ascii="Times New Roman" w:eastAsia="Calibri" w:hAnsi="Times New Roman" w:cs="Times New Roman"/>
                <w:b/>
                <w:bCs/>
                <w:color w:val="000000"/>
              </w:rPr>
              <w:t>2%</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2%</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Cs/>
                <w:color w:val="000000"/>
              </w:rPr>
            </w:pPr>
            <w:r w:rsidRPr="003A1D5A">
              <w:rPr>
                <w:rFonts w:ascii="Times New Roman" w:eastAsia="Calibri" w:hAnsi="Times New Roman" w:cs="Times New Roman"/>
                <w:color w:val="000000"/>
              </w:rPr>
              <w:t>3%</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9%</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2%</w:t>
            </w:r>
          </w:p>
        </w:tc>
        <w:tc>
          <w:tcPr>
            <w:tcW w:w="610" w:type="pct"/>
            <w:tcBorders>
              <w:top w:val="single" w:sz="4" w:space="0" w:color="auto"/>
              <w:left w:val="single" w:sz="4" w:space="0" w:color="auto"/>
              <w:bottom w:val="single" w:sz="4" w:space="0" w:color="auto"/>
              <w:right w:val="single" w:sz="4" w:space="0" w:color="auto"/>
            </w:tcBorders>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1%</w:t>
            </w:r>
          </w:p>
        </w:tc>
      </w:tr>
      <w:tr w:rsidR="003A1D5A" w:rsidRPr="003A1D5A" w:rsidTr="00682FC6">
        <w:trPr>
          <w:trHeight w:val="11"/>
        </w:trPr>
        <w:tc>
          <w:tcPr>
            <w:tcW w:w="1323" w:type="pct"/>
            <w:tcBorders>
              <w:top w:val="single" w:sz="4" w:space="0" w:color="auto"/>
              <w:left w:val="single" w:sz="4" w:space="0" w:color="auto"/>
              <w:bottom w:val="single" w:sz="4" w:space="0" w:color="auto"/>
              <w:right w:val="single" w:sz="4" w:space="0" w:color="auto"/>
            </w:tcBorders>
            <w:shd w:val="clear" w:color="auto" w:fill="auto"/>
          </w:tcPr>
          <w:p w:rsidR="003A1D5A" w:rsidRPr="003A1D5A" w:rsidRDefault="003A1D5A" w:rsidP="003A1D5A">
            <w:pPr>
              <w:spacing w:beforeLines="60" w:before="144" w:afterLines="60" w:after="144" w:line="269" w:lineRule="auto"/>
              <w:rPr>
                <w:rFonts w:ascii="Times New Roman" w:eastAsia="Calibri" w:hAnsi="Times New Roman" w:cs="Times New Roman"/>
                <w:color w:val="000000"/>
              </w:rPr>
            </w:pPr>
            <w:r w:rsidRPr="003A1D5A">
              <w:rPr>
                <w:rFonts w:ascii="Times New Roman" w:eastAsia="Calibri" w:hAnsi="Times New Roman" w:cs="Times New Roman"/>
                <w:color w:val="000000"/>
              </w:rPr>
              <w:t>Ничего не изменилось</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
                <w:bCs/>
                <w:color w:val="000000"/>
              </w:rPr>
            </w:pPr>
            <w:r w:rsidRPr="003A1D5A">
              <w:rPr>
                <w:rFonts w:ascii="Times New Roman" w:eastAsia="Calibri" w:hAnsi="Times New Roman" w:cs="Times New Roman"/>
                <w:b/>
                <w:bCs/>
                <w:color w:val="000000"/>
              </w:rPr>
              <w:t>42%</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38%</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Cs/>
                <w:color w:val="000000"/>
              </w:rPr>
            </w:pPr>
            <w:r w:rsidRPr="003A1D5A">
              <w:rPr>
                <w:rFonts w:ascii="Times New Roman" w:eastAsia="Calibri" w:hAnsi="Times New Roman" w:cs="Times New Roman"/>
                <w:color w:val="000000"/>
              </w:rPr>
              <w:t>47%</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44%</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36%</w:t>
            </w:r>
          </w:p>
        </w:tc>
        <w:tc>
          <w:tcPr>
            <w:tcW w:w="610" w:type="pct"/>
            <w:tcBorders>
              <w:top w:val="single" w:sz="4" w:space="0" w:color="auto"/>
              <w:left w:val="single" w:sz="4" w:space="0" w:color="auto"/>
              <w:bottom w:val="single" w:sz="4" w:space="0" w:color="auto"/>
              <w:right w:val="single" w:sz="4" w:space="0" w:color="auto"/>
            </w:tcBorders>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43%</w:t>
            </w:r>
          </w:p>
        </w:tc>
      </w:tr>
      <w:tr w:rsidR="003A1D5A" w:rsidRPr="003A1D5A" w:rsidTr="00682FC6">
        <w:trPr>
          <w:trHeight w:val="11"/>
        </w:trPr>
        <w:tc>
          <w:tcPr>
            <w:tcW w:w="1323" w:type="pct"/>
            <w:tcBorders>
              <w:top w:val="single" w:sz="4" w:space="0" w:color="auto"/>
              <w:left w:val="single" w:sz="4" w:space="0" w:color="auto"/>
              <w:bottom w:val="single" w:sz="4" w:space="0" w:color="auto"/>
              <w:right w:val="single" w:sz="4" w:space="0" w:color="auto"/>
            </w:tcBorders>
            <w:shd w:val="clear" w:color="auto" w:fill="auto"/>
          </w:tcPr>
          <w:p w:rsidR="003A1D5A" w:rsidRPr="003A1D5A" w:rsidRDefault="003A1D5A" w:rsidP="003A1D5A">
            <w:pPr>
              <w:spacing w:beforeLines="60" w:before="144" w:afterLines="60" w:after="144" w:line="269" w:lineRule="auto"/>
              <w:rPr>
                <w:rFonts w:ascii="Times New Roman" w:eastAsia="Calibri" w:hAnsi="Times New Roman" w:cs="Times New Roman"/>
                <w:color w:val="000000"/>
              </w:rPr>
            </w:pPr>
            <w:r w:rsidRPr="003A1D5A">
              <w:rPr>
                <w:rFonts w:ascii="Times New Roman" w:eastAsia="Calibri" w:hAnsi="Times New Roman" w:cs="Times New Roman"/>
                <w:color w:val="000000"/>
              </w:rPr>
              <w:t>Затрудняюсь ответить</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
                <w:bCs/>
                <w:color w:val="000000"/>
              </w:rPr>
            </w:pPr>
            <w:r w:rsidRPr="003A1D5A">
              <w:rPr>
                <w:rFonts w:ascii="Times New Roman" w:eastAsia="Calibri" w:hAnsi="Times New Roman" w:cs="Times New Roman"/>
                <w:b/>
                <w:bCs/>
                <w:color w:val="000000"/>
              </w:rPr>
              <w:t>19%</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19%</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bCs/>
                <w:color w:val="000000"/>
              </w:rPr>
            </w:pPr>
            <w:r w:rsidRPr="003A1D5A">
              <w:rPr>
                <w:rFonts w:ascii="Times New Roman" w:eastAsia="Calibri" w:hAnsi="Times New Roman" w:cs="Times New Roman"/>
                <w:color w:val="000000"/>
              </w:rPr>
              <w:t>17%</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7%</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10%</w:t>
            </w:r>
          </w:p>
        </w:tc>
        <w:tc>
          <w:tcPr>
            <w:tcW w:w="610" w:type="pct"/>
            <w:tcBorders>
              <w:top w:val="single" w:sz="4" w:space="0" w:color="auto"/>
              <w:left w:val="single" w:sz="4" w:space="0" w:color="auto"/>
              <w:bottom w:val="single" w:sz="4" w:space="0" w:color="auto"/>
              <w:right w:val="single" w:sz="4" w:space="0" w:color="auto"/>
            </w:tcBorders>
            <w:vAlign w:val="center"/>
          </w:tcPr>
          <w:p w:rsidR="003A1D5A" w:rsidRPr="003A1D5A" w:rsidRDefault="003A1D5A" w:rsidP="003A1D5A">
            <w:pPr>
              <w:spacing w:after="0" w:line="240" w:lineRule="auto"/>
              <w:jc w:val="center"/>
              <w:rPr>
                <w:rFonts w:ascii="Times New Roman" w:eastAsia="Calibri" w:hAnsi="Times New Roman" w:cs="Times New Roman"/>
                <w:color w:val="000000"/>
              </w:rPr>
            </w:pPr>
            <w:r w:rsidRPr="003A1D5A">
              <w:rPr>
                <w:rFonts w:ascii="Times New Roman" w:eastAsia="Calibri" w:hAnsi="Times New Roman" w:cs="Times New Roman"/>
                <w:color w:val="000000"/>
              </w:rPr>
              <w:t>29%</w:t>
            </w:r>
          </w:p>
        </w:tc>
      </w:tr>
    </w:tbl>
    <w:p w:rsidR="003A1D5A" w:rsidRPr="00682FC6" w:rsidRDefault="003A1D5A" w:rsidP="003A1D5A">
      <w:pPr>
        <w:spacing w:after="0" w:line="360" w:lineRule="auto"/>
        <w:ind w:firstLine="709"/>
        <w:jc w:val="both"/>
        <w:rPr>
          <w:rFonts w:ascii="Times New Roman" w:eastAsia="Times New Roman" w:hAnsi="Times New Roman" w:cs="Times New Roman"/>
          <w:color w:val="000000"/>
          <w:sz w:val="24"/>
          <w:szCs w:val="24"/>
          <w:lang w:eastAsia="ru-RU"/>
        </w:rPr>
      </w:pPr>
    </w:p>
    <w:p w:rsidR="003A1D5A" w:rsidRPr="00682FC6" w:rsidRDefault="003A1D5A" w:rsidP="003A1D5A">
      <w:pPr>
        <w:spacing w:after="0" w:line="360" w:lineRule="auto"/>
        <w:ind w:firstLine="709"/>
        <w:jc w:val="both"/>
        <w:rPr>
          <w:rFonts w:ascii="Times New Roman" w:eastAsia="Times New Roman" w:hAnsi="Times New Roman" w:cs="Times New Roman"/>
          <w:color w:val="000000"/>
          <w:sz w:val="24"/>
          <w:szCs w:val="24"/>
          <w:lang w:eastAsia="ru-RU"/>
        </w:rPr>
      </w:pPr>
      <w:r w:rsidRPr="00682FC6">
        <w:rPr>
          <w:rFonts w:ascii="Times New Roman" w:eastAsia="Times New Roman" w:hAnsi="Times New Roman" w:cs="Times New Roman"/>
          <w:color w:val="000000"/>
          <w:sz w:val="24"/>
          <w:szCs w:val="24"/>
          <w:lang w:eastAsia="ru-RU"/>
        </w:rPr>
        <w:t xml:space="preserve">В разрезе по размеру бизнеса статистически значимых отличий в оценках предпринимателей не зафиксировано. Представители малого и среднего бизнеса несколько чаще остальных групп заявляли о стабильности ситуации с барьерами для доступа к финансовым услугам (47% и 44%, соответственно). Каждый четвертый предприниматель из сегмента крупных предприятий обеспокоен ростом барьеров (25% против 15% по региону в целом). </w:t>
      </w:r>
    </w:p>
    <w:p w:rsidR="003A1D5A" w:rsidRPr="00682FC6" w:rsidRDefault="003A1D5A" w:rsidP="003A1D5A">
      <w:pPr>
        <w:spacing w:after="0" w:line="360" w:lineRule="auto"/>
        <w:ind w:firstLine="709"/>
        <w:jc w:val="both"/>
        <w:rPr>
          <w:rFonts w:ascii="Times New Roman" w:eastAsia="Calibri" w:hAnsi="Times New Roman" w:cs="Times New Roman"/>
          <w:color w:val="000000"/>
          <w:sz w:val="24"/>
          <w:szCs w:val="24"/>
        </w:rPr>
      </w:pPr>
    </w:p>
    <w:p w:rsidR="003A1D5A" w:rsidRPr="00682FC6" w:rsidRDefault="003A1D5A" w:rsidP="003A1D5A">
      <w:pPr>
        <w:keepNext/>
        <w:keepLines/>
        <w:spacing w:before="40" w:after="240" w:line="240" w:lineRule="auto"/>
        <w:jc w:val="center"/>
        <w:outlineLvl w:val="2"/>
        <w:rPr>
          <w:rFonts w:ascii="Times New Roman" w:eastAsia="Arial" w:hAnsi="Times New Roman" w:cs="Times New Roman"/>
          <w:b/>
          <w:color w:val="000000"/>
          <w:sz w:val="24"/>
          <w:szCs w:val="24"/>
          <w:lang w:eastAsia="ru-RU"/>
        </w:rPr>
      </w:pPr>
      <w:bookmarkStart w:id="94" w:name="_Toc119695558"/>
      <w:bookmarkStart w:id="95" w:name="_Toc122720261"/>
      <w:r w:rsidRPr="00682FC6">
        <w:rPr>
          <w:rFonts w:ascii="Times New Roman" w:eastAsia="Arial" w:hAnsi="Times New Roman" w:cs="Times New Roman"/>
          <w:b/>
          <w:color w:val="000000"/>
          <w:sz w:val="24"/>
          <w:szCs w:val="24"/>
          <w:lang w:eastAsia="ru-RU"/>
        </w:rPr>
        <w:t>3.7.8. О</w:t>
      </w:r>
      <w:r w:rsidRPr="00682FC6">
        <w:rPr>
          <w:rFonts w:ascii="Times New Roman" w:eastAsia="Calibri" w:hAnsi="Times New Roman" w:cs="Times New Roman"/>
          <w:b/>
          <w:bCs/>
          <w:color w:val="000000"/>
          <w:sz w:val="24"/>
          <w:szCs w:val="24"/>
          <w:lang w:eastAsia="ru-RU"/>
        </w:rPr>
        <w:t>б уровне финансовых знаний субъектов малого и среднего предпринимательства (юридических лиц)</w:t>
      </w:r>
      <w:bookmarkEnd w:id="94"/>
      <w:bookmarkEnd w:id="95"/>
    </w:p>
    <w:p w:rsidR="003A1D5A" w:rsidRPr="00682FC6" w:rsidRDefault="003A1D5A" w:rsidP="003A1D5A">
      <w:pPr>
        <w:spacing w:line="360" w:lineRule="auto"/>
        <w:jc w:val="both"/>
        <w:rPr>
          <w:rFonts w:ascii="Times New Roman" w:eastAsia="Calibri" w:hAnsi="Times New Roman" w:cs="Times New Roman"/>
          <w:color w:val="000000"/>
          <w:sz w:val="24"/>
          <w:szCs w:val="24"/>
        </w:rPr>
      </w:pPr>
      <w:r w:rsidRPr="00682FC6">
        <w:rPr>
          <w:rFonts w:ascii="Times New Roman" w:eastAsia="Calibri" w:hAnsi="Times New Roman" w:cs="Times New Roman"/>
          <w:color w:val="000000"/>
          <w:sz w:val="24"/>
          <w:szCs w:val="24"/>
        </w:rPr>
        <w:t>По результатам Всероссийского онлайн-зачета по финансовой̆ грамотности для предпринимателей Ленинградская область по уровню финансовой грамотности предпринимателей вошла в категорию "отличников": количество успешно сдавших зачет составило 86% от общего количества принявших участие в исследовании</w:t>
      </w:r>
      <w:r w:rsidRPr="00682FC6">
        <w:rPr>
          <w:rFonts w:ascii="Times New Roman" w:eastAsia="Calibri" w:hAnsi="Times New Roman" w:cs="Times New Roman"/>
          <w:color w:val="000000"/>
          <w:sz w:val="24"/>
          <w:szCs w:val="24"/>
          <w:vertAlign w:val="superscript"/>
        </w:rPr>
        <w:footnoteReference w:id="4"/>
      </w:r>
      <w:r w:rsidRPr="00682FC6">
        <w:rPr>
          <w:rFonts w:ascii="Times New Roman" w:eastAsia="Calibri" w:hAnsi="Times New Roman" w:cs="Times New Roman"/>
          <w:color w:val="000000"/>
          <w:sz w:val="24"/>
          <w:szCs w:val="24"/>
        </w:rPr>
        <w:t>.</w:t>
      </w:r>
    </w:p>
    <w:p w:rsidR="003A1D5A" w:rsidRPr="003A1D5A" w:rsidRDefault="003A1D5A" w:rsidP="00682FC6">
      <w:pPr>
        <w:keepNext/>
        <w:keepLines/>
        <w:spacing w:before="120" w:after="120" w:line="240" w:lineRule="auto"/>
        <w:jc w:val="center"/>
        <w:rPr>
          <w:rFonts w:ascii="Times New Roman" w:eastAsia="Calibri" w:hAnsi="Times New Roman" w:cs="Times New Roman"/>
          <w:color w:val="000000"/>
          <w:sz w:val="24"/>
          <w:szCs w:val="24"/>
        </w:rPr>
      </w:pPr>
      <w:r w:rsidRPr="003A1D5A">
        <w:rPr>
          <w:rFonts w:ascii="Times New Roman" w:eastAsia="Calibri" w:hAnsi="Times New Roman" w:cs="Times New Roman"/>
          <w:color w:val="000000"/>
          <w:sz w:val="24"/>
          <w:szCs w:val="24"/>
        </w:rPr>
        <w:t xml:space="preserve">Таблица </w:t>
      </w:r>
      <w:r w:rsidR="00682FC6">
        <w:rPr>
          <w:rFonts w:ascii="Times New Roman" w:eastAsia="Calibri" w:hAnsi="Times New Roman" w:cs="Times New Roman"/>
          <w:color w:val="000000"/>
          <w:sz w:val="24"/>
          <w:szCs w:val="24"/>
        </w:rPr>
        <w:t>6</w:t>
      </w:r>
      <w:r w:rsidRPr="003A1D5A">
        <w:rPr>
          <w:rFonts w:ascii="Times New Roman" w:eastAsia="Calibri" w:hAnsi="Times New Roman" w:cs="Times New Roman"/>
          <w:color w:val="000000"/>
          <w:sz w:val="24"/>
          <w:szCs w:val="24"/>
        </w:rPr>
        <w:t xml:space="preserve">1. </w:t>
      </w:r>
      <w:r w:rsidRPr="003A1D5A">
        <w:rPr>
          <w:rFonts w:ascii="Times New Roman" w:eastAsia="Calibri" w:hAnsi="Times New Roman" w:cs="Times New Roman"/>
          <w:bCs/>
          <w:color w:val="000000"/>
          <w:sz w:val="24"/>
          <w:szCs w:val="24"/>
        </w:rPr>
        <w:t>Регионы, показавшие лучшие результаты по итогам Всероссийского онлайн - зачета по финансовой̆ гр</w:t>
      </w:r>
      <w:r w:rsidR="00682FC6">
        <w:rPr>
          <w:rFonts w:ascii="Times New Roman" w:eastAsia="Calibri" w:hAnsi="Times New Roman" w:cs="Times New Roman"/>
          <w:bCs/>
          <w:color w:val="000000"/>
          <w:sz w:val="24"/>
          <w:szCs w:val="24"/>
        </w:rPr>
        <w:t>амотности для предпринимателей</w:t>
      </w:r>
    </w:p>
    <w:tbl>
      <w:tblPr>
        <w:tblStyle w:val="290"/>
        <w:tblW w:w="0" w:type="auto"/>
        <w:tblLook w:val="04A0" w:firstRow="1" w:lastRow="0" w:firstColumn="1" w:lastColumn="0" w:noHBand="0" w:noVBand="1"/>
      </w:tblPr>
      <w:tblGrid>
        <w:gridCol w:w="2943"/>
        <w:gridCol w:w="1392"/>
        <w:gridCol w:w="1869"/>
        <w:gridCol w:w="1869"/>
        <w:gridCol w:w="1869"/>
      </w:tblGrid>
      <w:tr w:rsidR="003A1D5A" w:rsidRPr="00682FC6" w:rsidTr="003A1D5A">
        <w:trPr>
          <w:tblHeader/>
        </w:trPr>
        <w:tc>
          <w:tcPr>
            <w:tcW w:w="2943" w:type="dxa"/>
            <w:vAlign w:val="center"/>
          </w:tcPr>
          <w:p w:rsidR="003A1D5A" w:rsidRPr="00682FC6" w:rsidRDefault="003A1D5A" w:rsidP="003A1D5A">
            <w:pPr>
              <w:spacing w:after="160" w:line="259" w:lineRule="auto"/>
              <w:rPr>
                <w:rFonts w:ascii="Times New Roman" w:eastAsia="Calibri" w:hAnsi="Times New Roman" w:cs="Times New Roman"/>
                <w:color w:val="000000"/>
              </w:rPr>
            </w:pPr>
          </w:p>
        </w:tc>
        <w:tc>
          <w:tcPr>
            <w:tcW w:w="795" w:type="dxa"/>
            <w:vAlign w:val="center"/>
          </w:tcPr>
          <w:p w:rsidR="003A1D5A" w:rsidRPr="00D55ED4" w:rsidRDefault="003A1D5A" w:rsidP="003A1D5A">
            <w:pPr>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Количество участников</w:t>
            </w:r>
          </w:p>
        </w:tc>
        <w:tc>
          <w:tcPr>
            <w:tcW w:w="1869" w:type="dxa"/>
            <w:vAlign w:val="center"/>
          </w:tcPr>
          <w:p w:rsidR="003A1D5A" w:rsidRPr="00D55ED4" w:rsidRDefault="003A1D5A" w:rsidP="003A1D5A">
            <w:pPr>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Количество успешно сдавших (по лучшей попытке)</w:t>
            </w:r>
          </w:p>
        </w:tc>
        <w:tc>
          <w:tcPr>
            <w:tcW w:w="1869" w:type="dxa"/>
            <w:vAlign w:val="center"/>
          </w:tcPr>
          <w:p w:rsidR="003A1D5A" w:rsidRPr="00D55ED4" w:rsidRDefault="003A1D5A" w:rsidP="003A1D5A">
            <w:pPr>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 успешно сдавших от общего числа принявших участие в регионе</w:t>
            </w:r>
          </w:p>
        </w:tc>
        <w:tc>
          <w:tcPr>
            <w:tcW w:w="1869" w:type="dxa"/>
            <w:vAlign w:val="center"/>
          </w:tcPr>
          <w:p w:rsidR="003A1D5A" w:rsidRPr="00D55ED4" w:rsidRDefault="003A1D5A" w:rsidP="003A1D5A">
            <w:pPr>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 принявших участие от населения региона</w:t>
            </w:r>
          </w:p>
        </w:tc>
      </w:tr>
      <w:tr w:rsidR="003A1D5A" w:rsidRPr="00682FC6" w:rsidTr="00D55ED4">
        <w:tc>
          <w:tcPr>
            <w:tcW w:w="2943" w:type="dxa"/>
            <w:vAlign w:val="center"/>
          </w:tcPr>
          <w:p w:rsidR="003A1D5A" w:rsidRPr="00682FC6" w:rsidRDefault="003A1D5A" w:rsidP="00D55ED4">
            <w:pPr>
              <w:spacing w:after="160" w:line="259" w:lineRule="auto"/>
              <w:rPr>
                <w:rFonts w:ascii="Times New Roman" w:eastAsia="Calibri" w:hAnsi="Times New Roman" w:cs="Times New Roman"/>
                <w:color w:val="000000"/>
              </w:rPr>
            </w:pPr>
            <w:r w:rsidRPr="00682FC6">
              <w:rPr>
                <w:rFonts w:ascii="Times New Roman" w:eastAsia="Calibri" w:hAnsi="Times New Roman" w:cs="Times New Roman"/>
                <w:color w:val="000000"/>
              </w:rPr>
              <w:t>Республика Алтай</w:t>
            </w:r>
          </w:p>
        </w:tc>
        <w:tc>
          <w:tcPr>
            <w:tcW w:w="795"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39</w:t>
            </w:r>
          </w:p>
        </w:tc>
        <w:tc>
          <w:tcPr>
            <w:tcW w:w="1869"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36</w:t>
            </w:r>
          </w:p>
        </w:tc>
        <w:tc>
          <w:tcPr>
            <w:tcW w:w="1869"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92%</w:t>
            </w:r>
          </w:p>
        </w:tc>
        <w:tc>
          <w:tcPr>
            <w:tcW w:w="1869"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0,0177%</w:t>
            </w:r>
          </w:p>
        </w:tc>
      </w:tr>
      <w:tr w:rsidR="003A1D5A" w:rsidRPr="00682FC6" w:rsidTr="00D55ED4">
        <w:tc>
          <w:tcPr>
            <w:tcW w:w="2943" w:type="dxa"/>
            <w:vAlign w:val="center"/>
          </w:tcPr>
          <w:p w:rsidR="003A1D5A" w:rsidRPr="00682FC6" w:rsidRDefault="003A1D5A" w:rsidP="00D55ED4">
            <w:pPr>
              <w:spacing w:after="160" w:line="259" w:lineRule="auto"/>
              <w:rPr>
                <w:rFonts w:ascii="Times New Roman" w:eastAsia="Calibri" w:hAnsi="Times New Roman" w:cs="Times New Roman"/>
                <w:color w:val="000000"/>
              </w:rPr>
            </w:pPr>
            <w:r w:rsidRPr="00682FC6">
              <w:rPr>
                <w:rFonts w:ascii="Times New Roman" w:eastAsia="Calibri" w:hAnsi="Times New Roman" w:cs="Times New Roman"/>
                <w:color w:val="000000"/>
              </w:rPr>
              <w:t>Рязанская область</w:t>
            </w:r>
          </w:p>
        </w:tc>
        <w:tc>
          <w:tcPr>
            <w:tcW w:w="795"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601</w:t>
            </w:r>
          </w:p>
        </w:tc>
        <w:tc>
          <w:tcPr>
            <w:tcW w:w="1869"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524</w:t>
            </w:r>
          </w:p>
        </w:tc>
        <w:tc>
          <w:tcPr>
            <w:tcW w:w="1869"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87%</w:t>
            </w:r>
          </w:p>
        </w:tc>
        <w:tc>
          <w:tcPr>
            <w:tcW w:w="1869"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0,0547%</w:t>
            </w:r>
          </w:p>
        </w:tc>
      </w:tr>
      <w:tr w:rsidR="003A1D5A" w:rsidRPr="00682FC6" w:rsidTr="00D55ED4">
        <w:tc>
          <w:tcPr>
            <w:tcW w:w="2943" w:type="dxa"/>
            <w:vAlign w:val="center"/>
          </w:tcPr>
          <w:p w:rsidR="003A1D5A" w:rsidRPr="00682FC6" w:rsidRDefault="003A1D5A" w:rsidP="00D55ED4">
            <w:pPr>
              <w:spacing w:after="160" w:line="259" w:lineRule="auto"/>
              <w:rPr>
                <w:rFonts w:ascii="Times New Roman" w:eastAsia="Calibri" w:hAnsi="Times New Roman" w:cs="Times New Roman"/>
                <w:color w:val="000000"/>
              </w:rPr>
            </w:pPr>
            <w:r w:rsidRPr="00682FC6">
              <w:rPr>
                <w:rFonts w:ascii="Times New Roman" w:eastAsia="Calibri" w:hAnsi="Times New Roman" w:cs="Times New Roman"/>
                <w:color w:val="000000"/>
              </w:rPr>
              <w:t>Ленинградская область</w:t>
            </w:r>
          </w:p>
        </w:tc>
        <w:tc>
          <w:tcPr>
            <w:tcW w:w="795"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128</w:t>
            </w:r>
          </w:p>
        </w:tc>
        <w:tc>
          <w:tcPr>
            <w:tcW w:w="1869"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110</w:t>
            </w:r>
          </w:p>
        </w:tc>
        <w:tc>
          <w:tcPr>
            <w:tcW w:w="1869"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86%</w:t>
            </w:r>
          </w:p>
        </w:tc>
        <w:tc>
          <w:tcPr>
            <w:tcW w:w="1869"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0,0068%</w:t>
            </w:r>
          </w:p>
        </w:tc>
      </w:tr>
      <w:tr w:rsidR="003A1D5A" w:rsidRPr="00682FC6" w:rsidTr="00D55ED4">
        <w:tc>
          <w:tcPr>
            <w:tcW w:w="2943" w:type="dxa"/>
            <w:vAlign w:val="center"/>
          </w:tcPr>
          <w:p w:rsidR="003A1D5A" w:rsidRPr="00682FC6" w:rsidRDefault="003A1D5A" w:rsidP="00D55ED4">
            <w:pPr>
              <w:spacing w:after="160" w:line="259" w:lineRule="auto"/>
              <w:rPr>
                <w:rFonts w:ascii="Times New Roman" w:eastAsia="Calibri" w:hAnsi="Times New Roman" w:cs="Times New Roman"/>
                <w:color w:val="000000"/>
              </w:rPr>
            </w:pPr>
            <w:r w:rsidRPr="00682FC6">
              <w:rPr>
                <w:rFonts w:ascii="Times New Roman" w:eastAsia="Calibri" w:hAnsi="Times New Roman" w:cs="Times New Roman"/>
                <w:color w:val="000000"/>
              </w:rPr>
              <w:t>г. Севастополь</w:t>
            </w:r>
          </w:p>
        </w:tc>
        <w:tc>
          <w:tcPr>
            <w:tcW w:w="795"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82</w:t>
            </w:r>
          </w:p>
        </w:tc>
        <w:tc>
          <w:tcPr>
            <w:tcW w:w="1869"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69</w:t>
            </w:r>
          </w:p>
        </w:tc>
        <w:tc>
          <w:tcPr>
            <w:tcW w:w="1869"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84%</w:t>
            </w:r>
          </w:p>
        </w:tc>
        <w:tc>
          <w:tcPr>
            <w:tcW w:w="1869"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0,0161%</w:t>
            </w:r>
          </w:p>
        </w:tc>
      </w:tr>
      <w:tr w:rsidR="003A1D5A" w:rsidRPr="00682FC6" w:rsidTr="00D55ED4">
        <w:tc>
          <w:tcPr>
            <w:tcW w:w="2943" w:type="dxa"/>
            <w:vAlign w:val="center"/>
          </w:tcPr>
          <w:p w:rsidR="003A1D5A" w:rsidRPr="00682FC6" w:rsidRDefault="003A1D5A" w:rsidP="00D55ED4">
            <w:pPr>
              <w:spacing w:after="160" w:line="259" w:lineRule="auto"/>
              <w:rPr>
                <w:rFonts w:ascii="Times New Roman" w:eastAsia="Calibri" w:hAnsi="Times New Roman" w:cs="Times New Roman"/>
                <w:color w:val="000000"/>
              </w:rPr>
            </w:pPr>
            <w:r w:rsidRPr="00682FC6">
              <w:rPr>
                <w:rFonts w:ascii="Times New Roman" w:eastAsia="Calibri" w:hAnsi="Times New Roman" w:cs="Times New Roman"/>
                <w:color w:val="000000"/>
              </w:rPr>
              <w:t>Республика Крым</w:t>
            </w:r>
          </w:p>
        </w:tc>
        <w:tc>
          <w:tcPr>
            <w:tcW w:w="795"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330</w:t>
            </w:r>
          </w:p>
        </w:tc>
        <w:tc>
          <w:tcPr>
            <w:tcW w:w="1869"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262</w:t>
            </w:r>
          </w:p>
        </w:tc>
        <w:tc>
          <w:tcPr>
            <w:tcW w:w="1869"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79%</w:t>
            </w:r>
          </w:p>
        </w:tc>
        <w:tc>
          <w:tcPr>
            <w:tcW w:w="1869"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0,0174%</w:t>
            </w:r>
          </w:p>
        </w:tc>
      </w:tr>
      <w:tr w:rsidR="003A1D5A" w:rsidRPr="00682FC6" w:rsidTr="00D55ED4">
        <w:tc>
          <w:tcPr>
            <w:tcW w:w="2943" w:type="dxa"/>
            <w:vAlign w:val="center"/>
          </w:tcPr>
          <w:p w:rsidR="003A1D5A" w:rsidRPr="00682FC6" w:rsidRDefault="003A1D5A" w:rsidP="00D55ED4">
            <w:pPr>
              <w:spacing w:after="160" w:line="259" w:lineRule="auto"/>
              <w:rPr>
                <w:rFonts w:ascii="Times New Roman" w:eastAsia="Calibri" w:hAnsi="Times New Roman" w:cs="Times New Roman"/>
                <w:color w:val="000000"/>
              </w:rPr>
            </w:pPr>
            <w:r w:rsidRPr="00682FC6">
              <w:rPr>
                <w:rFonts w:ascii="Times New Roman" w:eastAsia="Calibri" w:hAnsi="Times New Roman" w:cs="Times New Roman"/>
                <w:color w:val="000000"/>
              </w:rPr>
              <w:t>Вологодская область</w:t>
            </w:r>
          </w:p>
        </w:tc>
        <w:tc>
          <w:tcPr>
            <w:tcW w:w="795"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20</w:t>
            </w:r>
          </w:p>
        </w:tc>
        <w:tc>
          <w:tcPr>
            <w:tcW w:w="1869"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15</w:t>
            </w:r>
          </w:p>
        </w:tc>
        <w:tc>
          <w:tcPr>
            <w:tcW w:w="1869"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75%</w:t>
            </w:r>
          </w:p>
        </w:tc>
        <w:tc>
          <w:tcPr>
            <w:tcW w:w="1869"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0,0017%</w:t>
            </w:r>
          </w:p>
        </w:tc>
      </w:tr>
      <w:tr w:rsidR="003A1D5A" w:rsidRPr="00682FC6" w:rsidTr="00D55ED4">
        <w:tc>
          <w:tcPr>
            <w:tcW w:w="2943" w:type="dxa"/>
            <w:vAlign w:val="center"/>
          </w:tcPr>
          <w:p w:rsidR="003A1D5A" w:rsidRPr="00682FC6" w:rsidRDefault="003A1D5A" w:rsidP="00D55ED4">
            <w:pPr>
              <w:spacing w:after="160" w:line="259" w:lineRule="auto"/>
              <w:rPr>
                <w:rFonts w:ascii="Times New Roman" w:eastAsia="Calibri" w:hAnsi="Times New Roman" w:cs="Times New Roman"/>
                <w:color w:val="000000"/>
              </w:rPr>
            </w:pPr>
            <w:r w:rsidRPr="00682FC6">
              <w:rPr>
                <w:rFonts w:ascii="Times New Roman" w:eastAsia="Calibri" w:hAnsi="Times New Roman" w:cs="Times New Roman"/>
                <w:color w:val="000000"/>
              </w:rPr>
              <w:t>Тульская область</w:t>
            </w:r>
          </w:p>
        </w:tc>
        <w:tc>
          <w:tcPr>
            <w:tcW w:w="795"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49</w:t>
            </w:r>
          </w:p>
        </w:tc>
        <w:tc>
          <w:tcPr>
            <w:tcW w:w="1869"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36</w:t>
            </w:r>
          </w:p>
        </w:tc>
        <w:tc>
          <w:tcPr>
            <w:tcW w:w="1869"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73%</w:t>
            </w:r>
          </w:p>
        </w:tc>
        <w:tc>
          <w:tcPr>
            <w:tcW w:w="1869"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0,0034%</w:t>
            </w:r>
          </w:p>
        </w:tc>
      </w:tr>
      <w:tr w:rsidR="003A1D5A" w:rsidRPr="00682FC6" w:rsidTr="00D55ED4">
        <w:tc>
          <w:tcPr>
            <w:tcW w:w="2943" w:type="dxa"/>
            <w:vAlign w:val="center"/>
          </w:tcPr>
          <w:p w:rsidR="003A1D5A" w:rsidRPr="00682FC6" w:rsidRDefault="003A1D5A" w:rsidP="00D55ED4">
            <w:pPr>
              <w:spacing w:after="160" w:line="259" w:lineRule="auto"/>
              <w:rPr>
                <w:rFonts w:ascii="Times New Roman" w:eastAsia="Calibri" w:hAnsi="Times New Roman" w:cs="Times New Roman"/>
                <w:color w:val="000000"/>
              </w:rPr>
            </w:pPr>
            <w:r w:rsidRPr="00682FC6">
              <w:rPr>
                <w:rFonts w:ascii="Times New Roman" w:eastAsia="Calibri" w:hAnsi="Times New Roman" w:cs="Times New Roman"/>
                <w:color w:val="000000"/>
              </w:rPr>
              <w:t>Мурманская область</w:t>
            </w:r>
          </w:p>
        </w:tc>
        <w:tc>
          <w:tcPr>
            <w:tcW w:w="795"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90</w:t>
            </w:r>
          </w:p>
        </w:tc>
        <w:tc>
          <w:tcPr>
            <w:tcW w:w="1869"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66</w:t>
            </w:r>
          </w:p>
        </w:tc>
        <w:tc>
          <w:tcPr>
            <w:tcW w:w="1869"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73%</w:t>
            </w:r>
          </w:p>
        </w:tc>
        <w:tc>
          <w:tcPr>
            <w:tcW w:w="1869"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0,0123%</w:t>
            </w:r>
          </w:p>
        </w:tc>
      </w:tr>
      <w:tr w:rsidR="003A1D5A" w:rsidRPr="00682FC6" w:rsidTr="00D55ED4">
        <w:tc>
          <w:tcPr>
            <w:tcW w:w="2943" w:type="dxa"/>
            <w:vAlign w:val="center"/>
          </w:tcPr>
          <w:p w:rsidR="003A1D5A" w:rsidRPr="00682FC6" w:rsidRDefault="003A1D5A" w:rsidP="00D55ED4">
            <w:pPr>
              <w:spacing w:after="160" w:line="259" w:lineRule="auto"/>
              <w:rPr>
                <w:rFonts w:ascii="Times New Roman" w:eastAsia="Calibri" w:hAnsi="Times New Roman" w:cs="Times New Roman"/>
                <w:color w:val="000000"/>
              </w:rPr>
            </w:pPr>
            <w:r w:rsidRPr="00682FC6">
              <w:rPr>
                <w:rFonts w:ascii="Times New Roman" w:eastAsia="Calibri" w:hAnsi="Times New Roman" w:cs="Times New Roman"/>
                <w:color w:val="000000"/>
              </w:rPr>
              <w:t>Республика Марий Эл</w:t>
            </w:r>
          </w:p>
        </w:tc>
        <w:tc>
          <w:tcPr>
            <w:tcW w:w="795"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15</w:t>
            </w:r>
          </w:p>
        </w:tc>
        <w:tc>
          <w:tcPr>
            <w:tcW w:w="1869"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11</w:t>
            </w:r>
          </w:p>
        </w:tc>
        <w:tc>
          <w:tcPr>
            <w:tcW w:w="1869"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73%</w:t>
            </w:r>
          </w:p>
        </w:tc>
        <w:tc>
          <w:tcPr>
            <w:tcW w:w="1869"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0,0022%</w:t>
            </w:r>
          </w:p>
        </w:tc>
      </w:tr>
      <w:tr w:rsidR="003A1D5A" w:rsidRPr="00682FC6" w:rsidTr="00D55ED4">
        <w:tc>
          <w:tcPr>
            <w:tcW w:w="2943" w:type="dxa"/>
            <w:vAlign w:val="center"/>
          </w:tcPr>
          <w:p w:rsidR="003A1D5A" w:rsidRPr="00682FC6" w:rsidRDefault="003A1D5A" w:rsidP="00D55ED4">
            <w:pPr>
              <w:rPr>
                <w:rFonts w:ascii="Times New Roman" w:eastAsia="Calibri" w:hAnsi="Times New Roman" w:cs="Times New Roman"/>
                <w:color w:val="000000"/>
              </w:rPr>
            </w:pPr>
            <w:r w:rsidRPr="00682FC6">
              <w:rPr>
                <w:rFonts w:ascii="Times New Roman" w:eastAsia="Calibri" w:hAnsi="Times New Roman" w:cs="Times New Roman"/>
                <w:color w:val="000000"/>
              </w:rPr>
              <w:t>Калининградская область</w:t>
            </w:r>
          </w:p>
        </w:tc>
        <w:tc>
          <w:tcPr>
            <w:tcW w:w="795"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99</w:t>
            </w:r>
          </w:p>
        </w:tc>
        <w:tc>
          <w:tcPr>
            <w:tcW w:w="1869"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68</w:t>
            </w:r>
          </w:p>
        </w:tc>
        <w:tc>
          <w:tcPr>
            <w:tcW w:w="1869"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69%</w:t>
            </w:r>
          </w:p>
        </w:tc>
        <w:tc>
          <w:tcPr>
            <w:tcW w:w="1869" w:type="dxa"/>
            <w:vAlign w:val="center"/>
          </w:tcPr>
          <w:p w:rsidR="003A1D5A" w:rsidRPr="00682FC6" w:rsidRDefault="003A1D5A" w:rsidP="003A1D5A">
            <w:pPr>
              <w:jc w:val="center"/>
              <w:rPr>
                <w:rFonts w:ascii="Times New Roman" w:eastAsia="Calibri" w:hAnsi="Times New Roman" w:cs="Times New Roman"/>
                <w:color w:val="000000"/>
              </w:rPr>
            </w:pPr>
            <w:r w:rsidRPr="00682FC6">
              <w:rPr>
                <w:rFonts w:ascii="Times New Roman" w:eastAsia="Calibri" w:hAnsi="Times New Roman" w:cs="Times New Roman"/>
                <w:color w:val="000000"/>
              </w:rPr>
              <w:t>0,0097%</w:t>
            </w:r>
          </w:p>
        </w:tc>
      </w:tr>
    </w:tbl>
    <w:p w:rsidR="003A1D5A" w:rsidRPr="00682FC6" w:rsidRDefault="003A1D5A" w:rsidP="003A1D5A">
      <w:pPr>
        <w:spacing w:line="360" w:lineRule="auto"/>
        <w:jc w:val="both"/>
        <w:rPr>
          <w:rFonts w:ascii="Times New Roman" w:eastAsia="Calibri" w:hAnsi="Times New Roman" w:cs="Times New Roman"/>
          <w:color w:val="000000"/>
        </w:rPr>
      </w:pPr>
    </w:p>
    <w:p w:rsidR="003A1D5A" w:rsidRPr="00682FC6" w:rsidRDefault="003A1D5A" w:rsidP="00682FC6">
      <w:pPr>
        <w:spacing w:after="0" w:line="360" w:lineRule="auto"/>
        <w:ind w:firstLine="709"/>
        <w:jc w:val="both"/>
        <w:rPr>
          <w:rFonts w:ascii="Times New Roman" w:eastAsia="Calibri" w:hAnsi="Times New Roman" w:cs="Times New Roman"/>
          <w:color w:val="000000"/>
          <w:sz w:val="24"/>
          <w:szCs w:val="24"/>
        </w:rPr>
      </w:pPr>
      <w:r w:rsidRPr="00682FC6">
        <w:rPr>
          <w:rFonts w:ascii="Times New Roman" w:eastAsia="Calibri" w:hAnsi="Times New Roman" w:cs="Times New Roman"/>
          <w:color w:val="000000"/>
          <w:sz w:val="24"/>
          <w:szCs w:val="24"/>
        </w:rPr>
        <w:t>Среди предпринимателей базового уровня</w:t>
      </w:r>
      <w:r w:rsidRPr="00682FC6">
        <w:rPr>
          <w:rFonts w:ascii="Times New Roman" w:eastAsia="Calibri" w:hAnsi="Times New Roman" w:cs="Times New Roman"/>
          <w:color w:val="000000"/>
          <w:sz w:val="24"/>
          <w:szCs w:val="24"/>
          <w:vertAlign w:val="superscript"/>
        </w:rPr>
        <w:footnoteReference w:id="5"/>
      </w:r>
      <w:r w:rsidRPr="00682FC6">
        <w:rPr>
          <w:rFonts w:ascii="Times New Roman" w:eastAsia="Calibri" w:hAnsi="Times New Roman" w:cs="Times New Roman"/>
          <w:color w:val="000000"/>
          <w:sz w:val="24"/>
          <w:szCs w:val="24"/>
        </w:rPr>
        <w:t xml:space="preserve"> распределение показателей сдачи зачета по блокам является достаточно равномерным. Наибольшая финансовая грамотность проявляется в таких темах как система быстрых платежей (91,2% правильных ответов с первой попытки), привлечение финансирования на фондовом рынке (90,7% правильных ответов) и финансовый мониторинг и валютный контроль (88,6%).</w:t>
      </w:r>
    </w:p>
    <w:p w:rsidR="003A1D5A" w:rsidRPr="00682FC6" w:rsidRDefault="003A1D5A" w:rsidP="00682FC6">
      <w:pPr>
        <w:spacing w:after="0" w:line="360" w:lineRule="auto"/>
        <w:ind w:firstLine="709"/>
        <w:jc w:val="both"/>
        <w:rPr>
          <w:rFonts w:ascii="Times New Roman" w:eastAsia="Times New Roman" w:hAnsi="Times New Roman" w:cs="Times New Roman"/>
          <w:color w:val="000000"/>
          <w:sz w:val="24"/>
          <w:szCs w:val="24"/>
          <w:lang w:eastAsia="ru-RU"/>
        </w:rPr>
      </w:pPr>
      <w:r w:rsidRPr="00682FC6">
        <w:rPr>
          <w:rFonts w:ascii="Times New Roman" w:eastAsia="Times New Roman" w:hAnsi="Times New Roman" w:cs="Times New Roman"/>
          <w:color w:val="000000"/>
          <w:sz w:val="24"/>
          <w:szCs w:val="24"/>
          <w:lang w:eastAsia="ru-RU"/>
        </w:rPr>
        <w:t>Оценка уровня финансовой грамотности предпринимателей Ленинградской области в разрезе по размеру бизнеса представлена в таблице ниже.</w:t>
      </w:r>
    </w:p>
    <w:p w:rsidR="003A1D5A" w:rsidRPr="00682FC6" w:rsidRDefault="003A1D5A" w:rsidP="00682FC6">
      <w:pPr>
        <w:keepNext/>
        <w:keepLines/>
        <w:spacing w:before="120" w:after="120" w:line="240" w:lineRule="auto"/>
        <w:jc w:val="center"/>
        <w:rPr>
          <w:rFonts w:ascii="Times New Roman" w:eastAsia="Calibri" w:hAnsi="Times New Roman" w:cs="Times New Roman"/>
          <w:color w:val="000000"/>
          <w:sz w:val="24"/>
          <w:szCs w:val="24"/>
        </w:rPr>
      </w:pPr>
      <w:r w:rsidRPr="00682FC6">
        <w:rPr>
          <w:rFonts w:ascii="Times New Roman" w:eastAsia="Calibri" w:hAnsi="Times New Roman" w:cs="Times New Roman"/>
          <w:iCs/>
          <w:color w:val="000000"/>
          <w:sz w:val="24"/>
          <w:szCs w:val="24"/>
        </w:rPr>
        <w:t xml:space="preserve">Таблица </w:t>
      </w:r>
      <w:r w:rsidR="00682FC6" w:rsidRPr="00682FC6">
        <w:rPr>
          <w:rFonts w:ascii="Times New Roman" w:eastAsia="Calibri" w:hAnsi="Times New Roman" w:cs="Times New Roman"/>
          <w:iCs/>
          <w:color w:val="000000"/>
          <w:sz w:val="24"/>
          <w:szCs w:val="24"/>
        </w:rPr>
        <w:t>62</w:t>
      </w:r>
      <w:r w:rsidRPr="00682FC6">
        <w:rPr>
          <w:rFonts w:ascii="Times New Roman" w:eastAsia="Calibri" w:hAnsi="Times New Roman" w:cs="Times New Roman"/>
          <w:iCs/>
          <w:color w:val="000000"/>
          <w:sz w:val="24"/>
          <w:szCs w:val="24"/>
        </w:rPr>
        <w:t xml:space="preserve">. </w:t>
      </w:r>
      <w:r w:rsidRPr="00682FC6">
        <w:rPr>
          <w:rFonts w:ascii="Times New Roman" w:eastAsia="Calibri" w:hAnsi="Times New Roman" w:cs="Times New Roman"/>
          <w:bCs/>
          <w:color w:val="000000"/>
          <w:sz w:val="24"/>
          <w:szCs w:val="24"/>
          <w:shd w:val="clear" w:color="auto" w:fill="FFFFFF"/>
        </w:rPr>
        <w:t>В настоящий момент как Вы оцениваете свою финансовую грамотность?</w:t>
      </w:r>
      <w:r w:rsidRPr="00682FC6">
        <w:rPr>
          <w:rFonts w:ascii="Times New Roman" w:eastAsia="Calibri" w:hAnsi="Times New Roman" w:cs="Times New Roman"/>
          <w:i/>
          <w:color w:val="000000"/>
          <w:sz w:val="24"/>
          <w:szCs w:val="24"/>
        </w:rPr>
        <w:t xml:space="preserve"> </w:t>
      </w:r>
      <w:r w:rsidRPr="00682FC6">
        <w:rPr>
          <w:rFonts w:ascii="Times New Roman" w:eastAsia="Calibri" w:hAnsi="Times New Roman" w:cs="Times New Roman"/>
          <w:noProof/>
          <w:color w:val="000000"/>
          <w:sz w:val="24"/>
          <w:szCs w:val="24"/>
        </w:rPr>
        <w:t xml:space="preserve">(опрос предпринимателей, % от числа опрошенных. </w:t>
      </w:r>
      <w:r w:rsidRPr="00682FC6">
        <w:rPr>
          <w:rFonts w:ascii="Times New Roman" w:eastAsia="Calibri" w:hAnsi="Times New Roman" w:cs="Times New Roman"/>
          <w:noProof/>
          <w:color w:val="000000"/>
          <w:sz w:val="24"/>
          <w:szCs w:val="24"/>
          <w:lang w:val="en-US"/>
        </w:rPr>
        <w:t>n</w:t>
      </w:r>
      <w:r w:rsidRPr="00682FC6">
        <w:rPr>
          <w:rFonts w:ascii="Times New Roman" w:eastAsia="Calibri" w:hAnsi="Times New Roman" w:cs="Times New Roman"/>
          <w:noProof/>
          <w:color w:val="000000"/>
          <w:sz w:val="24"/>
          <w:szCs w:val="24"/>
        </w:rPr>
        <w:t xml:space="preserve"> = 500</w:t>
      </w:r>
      <w:r w:rsidRPr="00682FC6">
        <w:rPr>
          <w:rFonts w:ascii="Times New Roman" w:eastAsia="Calibri" w:hAnsi="Times New Roman" w:cs="Times New Roman"/>
          <w:color w:val="000000"/>
          <w:sz w:val="24"/>
          <w:szCs w:val="24"/>
        </w:rPr>
        <w:t>)</w:t>
      </w:r>
    </w:p>
    <w:tbl>
      <w:tblPr>
        <w:tblW w:w="50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250"/>
        <w:gridCol w:w="1249"/>
        <w:gridCol w:w="1249"/>
        <w:gridCol w:w="1249"/>
        <w:gridCol w:w="1249"/>
        <w:gridCol w:w="1243"/>
      </w:tblGrid>
      <w:tr w:rsidR="003A1D5A" w:rsidRPr="003A1D5A" w:rsidTr="00682FC6">
        <w:trPr>
          <w:cantSplit/>
          <w:trHeight w:val="2108"/>
          <w:tblHeader/>
        </w:trPr>
        <w:tc>
          <w:tcPr>
            <w:tcW w:w="1361" w:type="pct"/>
            <w:shd w:val="clear" w:color="auto" w:fill="auto"/>
            <w:noWrap/>
            <w:vAlign w:val="center"/>
          </w:tcPr>
          <w:p w:rsidR="003A1D5A" w:rsidRPr="00682FC6" w:rsidRDefault="003A1D5A" w:rsidP="003A1D5A">
            <w:pPr>
              <w:spacing w:after="0" w:line="240" w:lineRule="auto"/>
              <w:jc w:val="center"/>
              <w:rPr>
                <w:rFonts w:ascii="Times New Roman" w:eastAsia="Times New Roman" w:hAnsi="Times New Roman" w:cs="Times New Roman"/>
                <w:color w:val="000000"/>
                <w:lang w:eastAsia="ru-RU"/>
              </w:rPr>
            </w:pPr>
          </w:p>
        </w:tc>
        <w:tc>
          <w:tcPr>
            <w:tcW w:w="607" w:type="pct"/>
            <w:tcBorders>
              <w:bottom w:val="single" w:sz="4" w:space="0" w:color="auto"/>
            </w:tcBorders>
            <w:shd w:val="clear" w:color="auto" w:fill="auto"/>
            <w:textDirection w:val="btLr"/>
            <w:vAlign w:val="center"/>
          </w:tcPr>
          <w:p w:rsidR="003A1D5A" w:rsidRPr="00682FC6" w:rsidRDefault="003A1D5A" w:rsidP="003A1D5A">
            <w:pPr>
              <w:spacing w:after="0" w:line="240" w:lineRule="auto"/>
              <w:ind w:left="113" w:right="113"/>
              <w:jc w:val="center"/>
              <w:rPr>
                <w:rFonts w:ascii="Times New Roman" w:eastAsia="Times New Roman" w:hAnsi="Times New Roman" w:cs="Times New Roman"/>
                <w:b/>
                <w:bCs/>
                <w:color w:val="000000"/>
                <w:lang w:eastAsia="ru-RU"/>
              </w:rPr>
            </w:pPr>
            <w:r w:rsidRPr="00682FC6">
              <w:rPr>
                <w:rFonts w:ascii="Times New Roman" w:eastAsia="Times New Roman" w:hAnsi="Times New Roman" w:cs="Times New Roman"/>
                <w:b/>
                <w:color w:val="000000"/>
                <w:lang w:eastAsia="ru-RU"/>
              </w:rPr>
              <w:t>В целом по области</w:t>
            </w:r>
          </w:p>
        </w:tc>
        <w:tc>
          <w:tcPr>
            <w:tcW w:w="607" w:type="pct"/>
            <w:tcBorders>
              <w:bottom w:val="single" w:sz="4" w:space="0" w:color="auto"/>
            </w:tcBorders>
            <w:shd w:val="clear" w:color="auto" w:fill="auto"/>
            <w:textDirection w:val="btLr"/>
            <w:vAlign w:val="center"/>
          </w:tcPr>
          <w:p w:rsidR="003A1D5A" w:rsidRPr="00682FC6" w:rsidRDefault="003A1D5A" w:rsidP="003A1D5A">
            <w:pPr>
              <w:spacing w:after="0" w:line="240" w:lineRule="auto"/>
              <w:ind w:left="113" w:right="113"/>
              <w:jc w:val="center"/>
              <w:rPr>
                <w:rFonts w:ascii="Times New Roman" w:eastAsia="Times New Roman" w:hAnsi="Times New Roman" w:cs="Times New Roman"/>
                <w:b/>
                <w:bCs/>
                <w:color w:val="000000"/>
                <w:lang w:val="en-US" w:eastAsia="ru-RU"/>
              </w:rPr>
            </w:pPr>
            <w:r w:rsidRPr="00682FC6">
              <w:rPr>
                <w:rFonts w:ascii="Times New Roman" w:eastAsia="Times New Roman" w:hAnsi="Times New Roman" w:cs="Times New Roman"/>
                <w:b/>
                <w:bCs/>
                <w:color w:val="000000"/>
                <w:lang w:eastAsia="ru-RU"/>
              </w:rPr>
              <w:t xml:space="preserve">Микро-предприятие </w:t>
            </w:r>
          </w:p>
        </w:tc>
        <w:tc>
          <w:tcPr>
            <w:tcW w:w="607" w:type="pct"/>
            <w:tcBorders>
              <w:bottom w:val="single" w:sz="4" w:space="0" w:color="auto"/>
            </w:tcBorders>
            <w:shd w:val="clear" w:color="auto" w:fill="auto"/>
            <w:textDirection w:val="btLr"/>
            <w:vAlign w:val="center"/>
          </w:tcPr>
          <w:p w:rsidR="003A1D5A" w:rsidRPr="00682FC6" w:rsidRDefault="003A1D5A" w:rsidP="003A1D5A">
            <w:pPr>
              <w:spacing w:after="0" w:line="240" w:lineRule="auto"/>
              <w:ind w:left="113" w:right="113"/>
              <w:jc w:val="center"/>
              <w:rPr>
                <w:rFonts w:ascii="Times New Roman" w:eastAsia="Times New Roman" w:hAnsi="Times New Roman" w:cs="Times New Roman"/>
                <w:b/>
                <w:bCs/>
                <w:color w:val="000000"/>
                <w:lang w:eastAsia="ru-RU"/>
              </w:rPr>
            </w:pPr>
            <w:r w:rsidRPr="00682FC6">
              <w:rPr>
                <w:rFonts w:ascii="Times New Roman" w:eastAsia="Times New Roman" w:hAnsi="Times New Roman" w:cs="Times New Roman"/>
                <w:b/>
                <w:bCs/>
                <w:color w:val="000000"/>
                <w:lang w:eastAsia="ru-RU"/>
              </w:rPr>
              <w:t>Малое предприятие</w:t>
            </w:r>
          </w:p>
        </w:tc>
        <w:tc>
          <w:tcPr>
            <w:tcW w:w="607" w:type="pct"/>
            <w:tcBorders>
              <w:bottom w:val="single" w:sz="4" w:space="0" w:color="auto"/>
            </w:tcBorders>
            <w:shd w:val="clear" w:color="auto" w:fill="auto"/>
            <w:textDirection w:val="btLr"/>
            <w:vAlign w:val="center"/>
          </w:tcPr>
          <w:p w:rsidR="003A1D5A" w:rsidRPr="00682FC6" w:rsidRDefault="003A1D5A" w:rsidP="003A1D5A">
            <w:pPr>
              <w:spacing w:after="0" w:line="240" w:lineRule="auto"/>
              <w:ind w:left="113" w:right="113"/>
              <w:jc w:val="center"/>
              <w:rPr>
                <w:rFonts w:ascii="Times New Roman" w:eastAsia="Calibri" w:hAnsi="Times New Roman" w:cs="Times New Roman"/>
                <w:b/>
                <w:color w:val="000000"/>
              </w:rPr>
            </w:pPr>
            <w:r w:rsidRPr="00682FC6">
              <w:rPr>
                <w:rFonts w:ascii="Times New Roman" w:eastAsia="Calibri" w:hAnsi="Times New Roman" w:cs="Times New Roman"/>
                <w:b/>
                <w:color w:val="000000"/>
              </w:rPr>
              <w:t>Среднее предприятие</w:t>
            </w:r>
          </w:p>
        </w:tc>
        <w:tc>
          <w:tcPr>
            <w:tcW w:w="607" w:type="pct"/>
            <w:tcBorders>
              <w:bottom w:val="single" w:sz="4" w:space="0" w:color="auto"/>
            </w:tcBorders>
            <w:shd w:val="clear" w:color="auto" w:fill="auto"/>
            <w:textDirection w:val="btLr"/>
            <w:vAlign w:val="center"/>
          </w:tcPr>
          <w:p w:rsidR="003A1D5A" w:rsidRPr="00682FC6" w:rsidRDefault="003A1D5A" w:rsidP="003A1D5A">
            <w:pPr>
              <w:spacing w:after="0" w:line="240" w:lineRule="auto"/>
              <w:ind w:left="113" w:right="113"/>
              <w:jc w:val="center"/>
              <w:rPr>
                <w:rFonts w:ascii="Times New Roman" w:eastAsia="Calibri" w:hAnsi="Times New Roman" w:cs="Times New Roman"/>
                <w:b/>
                <w:color w:val="000000"/>
              </w:rPr>
            </w:pPr>
            <w:r w:rsidRPr="00682FC6">
              <w:rPr>
                <w:rFonts w:ascii="Times New Roman" w:eastAsia="Calibri" w:hAnsi="Times New Roman" w:cs="Times New Roman"/>
                <w:b/>
                <w:color w:val="000000"/>
              </w:rPr>
              <w:t>Крупное предприятие</w:t>
            </w:r>
          </w:p>
        </w:tc>
        <w:tc>
          <w:tcPr>
            <w:tcW w:w="607" w:type="pct"/>
            <w:tcBorders>
              <w:bottom w:val="single" w:sz="4" w:space="0" w:color="auto"/>
            </w:tcBorders>
            <w:shd w:val="clear" w:color="auto" w:fill="auto"/>
            <w:textDirection w:val="btLr"/>
            <w:vAlign w:val="center"/>
          </w:tcPr>
          <w:p w:rsidR="003A1D5A" w:rsidRPr="00682FC6" w:rsidRDefault="003A1D5A" w:rsidP="003A1D5A">
            <w:pPr>
              <w:spacing w:after="0" w:line="240" w:lineRule="auto"/>
              <w:ind w:left="113" w:right="113"/>
              <w:jc w:val="center"/>
              <w:rPr>
                <w:rFonts w:ascii="Times New Roman" w:eastAsia="Calibri" w:hAnsi="Times New Roman" w:cs="Times New Roman"/>
                <w:b/>
                <w:color w:val="000000"/>
              </w:rPr>
            </w:pPr>
            <w:r w:rsidRPr="00682FC6">
              <w:rPr>
                <w:rFonts w:ascii="Times New Roman" w:eastAsia="Calibri" w:hAnsi="Times New Roman" w:cs="Times New Roman"/>
                <w:b/>
                <w:color w:val="000000"/>
              </w:rPr>
              <w:t>Затрудняюсь ответить</w:t>
            </w:r>
          </w:p>
        </w:tc>
      </w:tr>
      <w:tr w:rsidR="003A1D5A" w:rsidRPr="003A1D5A" w:rsidTr="003A1D5A">
        <w:trPr>
          <w:trHeight w:val="11"/>
        </w:trPr>
        <w:tc>
          <w:tcPr>
            <w:tcW w:w="1361" w:type="pct"/>
            <w:tcBorders>
              <w:top w:val="nil"/>
              <w:left w:val="single" w:sz="8" w:space="0" w:color="000000"/>
              <w:bottom w:val="single" w:sz="8" w:space="0" w:color="000000"/>
              <w:right w:val="single" w:sz="4" w:space="0" w:color="auto"/>
            </w:tcBorders>
            <w:shd w:val="clear" w:color="auto" w:fill="auto"/>
          </w:tcPr>
          <w:p w:rsidR="003A1D5A" w:rsidRPr="00682FC6" w:rsidRDefault="003A1D5A" w:rsidP="003A1D5A">
            <w:pPr>
              <w:spacing w:beforeLines="60" w:before="144" w:afterLines="60" w:after="144" w:line="269" w:lineRule="auto"/>
              <w:rPr>
                <w:rFonts w:ascii="Times New Roman" w:eastAsia="Times New Roman" w:hAnsi="Times New Roman" w:cs="Times New Roman"/>
                <w:color w:val="000000"/>
                <w:lang w:eastAsia="ru-RU"/>
              </w:rPr>
            </w:pPr>
            <w:r w:rsidRPr="00682FC6">
              <w:rPr>
                <w:rFonts w:ascii="Times New Roman" w:eastAsia="Calibri" w:hAnsi="Times New Roman" w:cs="Times New Roman"/>
                <w:color w:val="000000"/>
              </w:rPr>
              <w:t>Высокий уровень</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682FC6" w:rsidRDefault="003A1D5A" w:rsidP="003A1D5A">
            <w:pPr>
              <w:spacing w:after="0" w:line="240" w:lineRule="auto"/>
              <w:jc w:val="center"/>
              <w:rPr>
                <w:rFonts w:ascii="Times New Roman" w:eastAsia="Calibri" w:hAnsi="Times New Roman" w:cs="Times New Roman"/>
                <w:b/>
                <w:bCs/>
                <w:color w:val="000000"/>
              </w:rPr>
            </w:pPr>
            <w:r w:rsidRPr="00682FC6">
              <w:rPr>
                <w:rFonts w:ascii="Times New Roman" w:eastAsia="Calibri" w:hAnsi="Times New Roman" w:cs="Times New Roman"/>
                <w:b/>
                <w:color w:val="000000"/>
              </w:rPr>
              <w:t>5%</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682FC6" w:rsidRDefault="003A1D5A" w:rsidP="003A1D5A">
            <w:pPr>
              <w:spacing w:after="0" w:line="240" w:lineRule="auto"/>
              <w:jc w:val="center"/>
              <w:rPr>
                <w:rFonts w:ascii="Times New Roman" w:eastAsia="Calibri" w:hAnsi="Times New Roman" w:cs="Times New Roman"/>
                <w:color w:val="000000"/>
              </w:rPr>
            </w:pPr>
            <w:r w:rsidRPr="00682FC6">
              <w:rPr>
                <w:rFonts w:ascii="Times New Roman" w:eastAsia="Calibri" w:hAnsi="Times New Roman" w:cs="Times New Roman"/>
                <w:color w:val="000000"/>
              </w:rPr>
              <w:t>4%</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682FC6" w:rsidRDefault="003A1D5A" w:rsidP="003A1D5A">
            <w:pPr>
              <w:spacing w:after="0" w:line="240" w:lineRule="auto"/>
              <w:jc w:val="center"/>
              <w:rPr>
                <w:rFonts w:ascii="Times New Roman" w:eastAsia="Calibri" w:hAnsi="Times New Roman" w:cs="Times New Roman"/>
                <w:color w:val="000000"/>
              </w:rPr>
            </w:pPr>
            <w:r w:rsidRPr="00682FC6">
              <w:rPr>
                <w:rFonts w:ascii="Times New Roman" w:eastAsia="Calibri" w:hAnsi="Times New Roman" w:cs="Times New Roman"/>
                <w:color w:val="000000"/>
              </w:rPr>
              <w:t>3%</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682FC6" w:rsidRDefault="003A1D5A" w:rsidP="003A1D5A">
            <w:pPr>
              <w:spacing w:after="0" w:line="240" w:lineRule="auto"/>
              <w:jc w:val="center"/>
              <w:rPr>
                <w:rFonts w:ascii="Times New Roman" w:eastAsia="Calibri" w:hAnsi="Times New Roman" w:cs="Times New Roman"/>
                <w:color w:val="000000"/>
              </w:rPr>
            </w:pPr>
            <w:r w:rsidRPr="00682FC6">
              <w:rPr>
                <w:rFonts w:ascii="Times New Roman" w:eastAsia="Calibri" w:hAnsi="Times New Roman" w:cs="Times New Roman"/>
                <w:color w:val="000000"/>
              </w:rPr>
              <w:t>9%</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682FC6" w:rsidRDefault="003A1D5A" w:rsidP="003A1D5A">
            <w:pPr>
              <w:spacing w:after="0" w:line="240" w:lineRule="auto"/>
              <w:jc w:val="center"/>
              <w:rPr>
                <w:rFonts w:ascii="Times New Roman" w:eastAsia="Calibri" w:hAnsi="Times New Roman" w:cs="Times New Roman"/>
                <w:color w:val="000000"/>
              </w:rPr>
            </w:pPr>
            <w:r w:rsidRPr="00682FC6">
              <w:rPr>
                <w:rFonts w:ascii="Times New Roman" w:eastAsia="Calibri" w:hAnsi="Times New Roman" w:cs="Times New Roman"/>
                <w:color w:val="000000"/>
              </w:rPr>
              <w:t>8%</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682FC6" w:rsidRDefault="003A1D5A" w:rsidP="003A1D5A">
            <w:pPr>
              <w:spacing w:after="0" w:line="240" w:lineRule="auto"/>
              <w:jc w:val="center"/>
              <w:rPr>
                <w:rFonts w:ascii="Times New Roman" w:eastAsia="Calibri" w:hAnsi="Times New Roman" w:cs="Times New Roman"/>
                <w:color w:val="000000"/>
              </w:rPr>
            </w:pPr>
            <w:r w:rsidRPr="00682FC6">
              <w:rPr>
                <w:rFonts w:ascii="Times New Roman" w:eastAsia="Calibri" w:hAnsi="Times New Roman" w:cs="Times New Roman"/>
                <w:color w:val="000000"/>
              </w:rPr>
              <w:t>4%</w:t>
            </w:r>
          </w:p>
        </w:tc>
      </w:tr>
      <w:tr w:rsidR="003A1D5A" w:rsidRPr="003A1D5A" w:rsidTr="003A1D5A">
        <w:trPr>
          <w:trHeight w:val="11"/>
        </w:trPr>
        <w:tc>
          <w:tcPr>
            <w:tcW w:w="1361" w:type="pct"/>
            <w:tcBorders>
              <w:top w:val="nil"/>
              <w:left w:val="single" w:sz="8" w:space="0" w:color="000000"/>
              <w:bottom w:val="single" w:sz="8" w:space="0" w:color="000000"/>
              <w:right w:val="single" w:sz="4" w:space="0" w:color="auto"/>
            </w:tcBorders>
            <w:shd w:val="clear" w:color="auto" w:fill="auto"/>
          </w:tcPr>
          <w:p w:rsidR="003A1D5A" w:rsidRPr="00682FC6" w:rsidRDefault="003A1D5A" w:rsidP="003A1D5A">
            <w:pPr>
              <w:spacing w:beforeLines="60" w:before="144" w:afterLines="60" w:after="144" w:line="269" w:lineRule="auto"/>
              <w:rPr>
                <w:rFonts w:ascii="Times New Roman" w:eastAsia="Times New Roman" w:hAnsi="Times New Roman" w:cs="Times New Roman"/>
                <w:color w:val="000000"/>
                <w:lang w:eastAsia="ru-RU"/>
              </w:rPr>
            </w:pPr>
            <w:r w:rsidRPr="00682FC6">
              <w:rPr>
                <w:rFonts w:ascii="Times New Roman" w:eastAsia="Calibri" w:hAnsi="Times New Roman" w:cs="Times New Roman"/>
                <w:color w:val="000000"/>
              </w:rPr>
              <w:t>Выше среднего уровень</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682FC6" w:rsidRDefault="003A1D5A" w:rsidP="003A1D5A">
            <w:pPr>
              <w:spacing w:after="0" w:line="240" w:lineRule="auto"/>
              <w:jc w:val="center"/>
              <w:rPr>
                <w:rFonts w:ascii="Times New Roman" w:eastAsia="Calibri" w:hAnsi="Times New Roman" w:cs="Times New Roman"/>
                <w:b/>
                <w:bCs/>
                <w:color w:val="000000"/>
              </w:rPr>
            </w:pPr>
            <w:r w:rsidRPr="00682FC6">
              <w:rPr>
                <w:rFonts w:ascii="Times New Roman" w:eastAsia="Calibri" w:hAnsi="Times New Roman" w:cs="Times New Roman"/>
                <w:b/>
                <w:color w:val="000000"/>
              </w:rPr>
              <w:t>24%</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682FC6" w:rsidRDefault="003A1D5A" w:rsidP="003A1D5A">
            <w:pPr>
              <w:spacing w:after="0" w:line="240" w:lineRule="auto"/>
              <w:jc w:val="center"/>
              <w:rPr>
                <w:rFonts w:ascii="Times New Roman" w:eastAsia="Calibri" w:hAnsi="Times New Roman" w:cs="Times New Roman"/>
                <w:color w:val="000000"/>
              </w:rPr>
            </w:pPr>
            <w:r w:rsidRPr="00682FC6">
              <w:rPr>
                <w:rFonts w:ascii="Times New Roman" w:eastAsia="Calibri" w:hAnsi="Times New Roman" w:cs="Times New Roman"/>
                <w:color w:val="000000"/>
              </w:rPr>
              <w:t>24%</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682FC6" w:rsidRDefault="003A1D5A" w:rsidP="003A1D5A">
            <w:pPr>
              <w:spacing w:after="0" w:line="240" w:lineRule="auto"/>
              <w:jc w:val="center"/>
              <w:rPr>
                <w:rFonts w:ascii="Times New Roman" w:eastAsia="Calibri" w:hAnsi="Times New Roman" w:cs="Times New Roman"/>
                <w:color w:val="000000"/>
              </w:rPr>
            </w:pPr>
            <w:r w:rsidRPr="00682FC6">
              <w:rPr>
                <w:rFonts w:ascii="Times New Roman" w:eastAsia="Calibri" w:hAnsi="Times New Roman" w:cs="Times New Roman"/>
                <w:color w:val="000000"/>
              </w:rPr>
              <w:t>22%</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682FC6" w:rsidRDefault="003A1D5A" w:rsidP="003A1D5A">
            <w:pPr>
              <w:spacing w:after="0" w:line="240" w:lineRule="auto"/>
              <w:jc w:val="center"/>
              <w:rPr>
                <w:rFonts w:ascii="Times New Roman" w:eastAsia="Calibri" w:hAnsi="Times New Roman" w:cs="Times New Roman"/>
                <w:color w:val="000000"/>
              </w:rPr>
            </w:pPr>
            <w:r w:rsidRPr="00682FC6">
              <w:rPr>
                <w:rFonts w:ascii="Times New Roman" w:eastAsia="Calibri" w:hAnsi="Times New Roman" w:cs="Times New Roman"/>
                <w:color w:val="000000"/>
              </w:rPr>
              <w:t>30%</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682FC6" w:rsidRDefault="003A1D5A" w:rsidP="003A1D5A">
            <w:pPr>
              <w:spacing w:after="0" w:line="240" w:lineRule="auto"/>
              <w:jc w:val="center"/>
              <w:rPr>
                <w:rFonts w:ascii="Times New Roman" w:eastAsia="Calibri" w:hAnsi="Times New Roman" w:cs="Times New Roman"/>
                <w:color w:val="000000"/>
              </w:rPr>
            </w:pPr>
            <w:r w:rsidRPr="00682FC6">
              <w:rPr>
                <w:rFonts w:ascii="Times New Roman" w:eastAsia="Calibri" w:hAnsi="Times New Roman" w:cs="Times New Roman"/>
                <w:color w:val="000000"/>
              </w:rPr>
              <w:t>32%</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682FC6" w:rsidRDefault="003A1D5A" w:rsidP="003A1D5A">
            <w:pPr>
              <w:spacing w:after="0" w:line="240" w:lineRule="auto"/>
              <w:jc w:val="center"/>
              <w:rPr>
                <w:rFonts w:ascii="Times New Roman" w:eastAsia="Calibri" w:hAnsi="Times New Roman" w:cs="Times New Roman"/>
                <w:color w:val="000000"/>
              </w:rPr>
            </w:pPr>
            <w:r w:rsidRPr="00682FC6">
              <w:rPr>
                <w:rFonts w:ascii="Times New Roman" w:eastAsia="Calibri" w:hAnsi="Times New Roman" w:cs="Times New Roman"/>
                <w:color w:val="000000"/>
              </w:rPr>
              <w:t>19%</w:t>
            </w:r>
          </w:p>
        </w:tc>
      </w:tr>
      <w:tr w:rsidR="003A1D5A" w:rsidRPr="003A1D5A" w:rsidTr="003A1D5A">
        <w:trPr>
          <w:trHeight w:val="11"/>
        </w:trPr>
        <w:tc>
          <w:tcPr>
            <w:tcW w:w="1361" w:type="pct"/>
            <w:tcBorders>
              <w:top w:val="nil"/>
              <w:left w:val="single" w:sz="8" w:space="0" w:color="000000"/>
              <w:bottom w:val="single" w:sz="4" w:space="0" w:color="auto"/>
              <w:right w:val="single" w:sz="4" w:space="0" w:color="auto"/>
            </w:tcBorders>
            <w:shd w:val="clear" w:color="auto" w:fill="auto"/>
          </w:tcPr>
          <w:p w:rsidR="003A1D5A" w:rsidRPr="00682FC6" w:rsidRDefault="003A1D5A" w:rsidP="003A1D5A">
            <w:pPr>
              <w:spacing w:beforeLines="60" w:before="144" w:afterLines="60" w:after="144" w:line="269" w:lineRule="auto"/>
              <w:rPr>
                <w:rFonts w:ascii="Times New Roman" w:eastAsia="Times New Roman" w:hAnsi="Times New Roman" w:cs="Times New Roman"/>
                <w:color w:val="000000"/>
                <w:lang w:eastAsia="ru-RU"/>
              </w:rPr>
            </w:pPr>
            <w:r w:rsidRPr="00682FC6">
              <w:rPr>
                <w:rFonts w:ascii="Times New Roman" w:eastAsia="Calibri" w:hAnsi="Times New Roman" w:cs="Times New Roman"/>
                <w:color w:val="000000"/>
              </w:rPr>
              <w:t>Средний уровень</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682FC6" w:rsidRDefault="003A1D5A" w:rsidP="003A1D5A">
            <w:pPr>
              <w:spacing w:after="0" w:line="240" w:lineRule="auto"/>
              <w:jc w:val="center"/>
              <w:rPr>
                <w:rFonts w:ascii="Times New Roman" w:eastAsia="Calibri" w:hAnsi="Times New Roman" w:cs="Times New Roman"/>
                <w:b/>
                <w:bCs/>
                <w:color w:val="000000"/>
              </w:rPr>
            </w:pPr>
            <w:r w:rsidRPr="00682FC6">
              <w:rPr>
                <w:rFonts w:ascii="Times New Roman" w:eastAsia="Calibri" w:hAnsi="Times New Roman" w:cs="Times New Roman"/>
                <w:b/>
                <w:color w:val="000000"/>
              </w:rPr>
              <w:t>53%</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682FC6" w:rsidRDefault="003A1D5A" w:rsidP="003A1D5A">
            <w:pPr>
              <w:spacing w:after="0" w:line="240" w:lineRule="auto"/>
              <w:jc w:val="center"/>
              <w:rPr>
                <w:rFonts w:ascii="Times New Roman" w:eastAsia="Calibri" w:hAnsi="Times New Roman" w:cs="Times New Roman"/>
                <w:color w:val="000000"/>
              </w:rPr>
            </w:pPr>
            <w:r w:rsidRPr="00682FC6">
              <w:rPr>
                <w:rFonts w:ascii="Times New Roman" w:eastAsia="Calibri" w:hAnsi="Times New Roman" w:cs="Times New Roman"/>
                <w:color w:val="000000"/>
              </w:rPr>
              <w:t>52%</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682FC6" w:rsidRDefault="003A1D5A" w:rsidP="003A1D5A">
            <w:pPr>
              <w:spacing w:after="0" w:line="240" w:lineRule="auto"/>
              <w:jc w:val="center"/>
              <w:rPr>
                <w:rFonts w:ascii="Times New Roman" w:eastAsia="Calibri" w:hAnsi="Times New Roman" w:cs="Times New Roman"/>
                <w:color w:val="000000"/>
              </w:rPr>
            </w:pPr>
            <w:r w:rsidRPr="00682FC6">
              <w:rPr>
                <w:rFonts w:ascii="Times New Roman" w:eastAsia="Calibri" w:hAnsi="Times New Roman" w:cs="Times New Roman"/>
                <w:color w:val="000000"/>
              </w:rPr>
              <w:t>56%</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682FC6" w:rsidRDefault="003A1D5A" w:rsidP="003A1D5A">
            <w:pPr>
              <w:spacing w:after="0" w:line="240" w:lineRule="auto"/>
              <w:jc w:val="center"/>
              <w:rPr>
                <w:rFonts w:ascii="Times New Roman" w:eastAsia="Calibri" w:hAnsi="Times New Roman" w:cs="Times New Roman"/>
                <w:color w:val="000000"/>
              </w:rPr>
            </w:pPr>
            <w:r w:rsidRPr="00682FC6">
              <w:rPr>
                <w:rFonts w:ascii="Times New Roman" w:eastAsia="Calibri" w:hAnsi="Times New Roman" w:cs="Times New Roman"/>
                <w:color w:val="000000"/>
              </w:rPr>
              <w:t>47%</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682FC6" w:rsidRDefault="003A1D5A" w:rsidP="003A1D5A">
            <w:pPr>
              <w:spacing w:after="0" w:line="240" w:lineRule="auto"/>
              <w:jc w:val="center"/>
              <w:rPr>
                <w:rFonts w:ascii="Times New Roman" w:eastAsia="Calibri" w:hAnsi="Times New Roman" w:cs="Times New Roman"/>
                <w:color w:val="000000"/>
              </w:rPr>
            </w:pPr>
            <w:r w:rsidRPr="00682FC6">
              <w:rPr>
                <w:rFonts w:ascii="Times New Roman" w:eastAsia="Calibri" w:hAnsi="Times New Roman" w:cs="Times New Roman"/>
                <w:color w:val="000000"/>
              </w:rPr>
              <w:t>53%</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682FC6" w:rsidRDefault="003A1D5A" w:rsidP="003A1D5A">
            <w:pPr>
              <w:spacing w:after="0" w:line="240" w:lineRule="auto"/>
              <w:jc w:val="center"/>
              <w:rPr>
                <w:rFonts w:ascii="Times New Roman" w:eastAsia="Calibri" w:hAnsi="Times New Roman" w:cs="Times New Roman"/>
                <w:color w:val="000000"/>
              </w:rPr>
            </w:pPr>
            <w:r w:rsidRPr="00682FC6">
              <w:rPr>
                <w:rFonts w:ascii="Times New Roman" w:eastAsia="Calibri" w:hAnsi="Times New Roman" w:cs="Times New Roman"/>
                <w:color w:val="000000"/>
              </w:rPr>
              <w:t>54%</w:t>
            </w:r>
          </w:p>
        </w:tc>
      </w:tr>
      <w:tr w:rsidR="003A1D5A" w:rsidRPr="003A1D5A" w:rsidTr="003A1D5A">
        <w:trPr>
          <w:trHeight w:val="11"/>
        </w:trPr>
        <w:tc>
          <w:tcPr>
            <w:tcW w:w="1361" w:type="pct"/>
            <w:tcBorders>
              <w:top w:val="single" w:sz="4" w:space="0" w:color="auto"/>
              <w:left w:val="single" w:sz="4" w:space="0" w:color="auto"/>
              <w:bottom w:val="single" w:sz="4" w:space="0" w:color="auto"/>
              <w:right w:val="single" w:sz="4" w:space="0" w:color="auto"/>
            </w:tcBorders>
            <w:shd w:val="clear" w:color="auto" w:fill="auto"/>
          </w:tcPr>
          <w:p w:rsidR="003A1D5A" w:rsidRPr="00682FC6" w:rsidRDefault="003A1D5A" w:rsidP="003A1D5A">
            <w:pPr>
              <w:spacing w:beforeLines="60" w:before="144" w:afterLines="60" w:after="144" w:line="269" w:lineRule="auto"/>
              <w:rPr>
                <w:rFonts w:ascii="Times New Roman" w:eastAsia="Calibri" w:hAnsi="Times New Roman" w:cs="Times New Roman"/>
                <w:color w:val="000000"/>
              </w:rPr>
            </w:pPr>
            <w:r w:rsidRPr="00682FC6">
              <w:rPr>
                <w:rFonts w:ascii="Times New Roman" w:eastAsia="Calibri" w:hAnsi="Times New Roman" w:cs="Times New Roman"/>
                <w:color w:val="000000"/>
              </w:rPr>
              <w:t>Ниже среднего уровень</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682FC6" w:rsidRDefault="003A1D5A" w:rsidP="003A1D5A">
            <w:pPr>
              <w:spacing w:after="0" w:line="240" w:lineRule="auto"/>
              <w:jc w:val="center"/>
              <w:rPr>
                <w:rFonts w:ascii="Times New Roman" w:eastAsia="Calibri" w:hAnsi="Times New Roman" w:cs="Times New Roman"/>
                <w:b/>
                <w:bCs/>
                <w:color w:val="000000"/>
              </w:rPr>
            </w:pPr>
            <w:r w:rsidRPr="00682FC6">
              <w:rPr>
                <w:rFonts w:ascii="Times New Roman" w:eastAsia="Calibri" w:hAnsi="Times New Roman" w:cs="Times New Roman"/>
                <w:b/>
                <w:color w:val="000000"/>
              </w:rPr>
              <w:t>9%</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682FC6" w:rsidRDefault="003A1D5A" w:rsidP="003A1D5A">
            <w:pPr>
              <w:spacing w:after="0" w:line="240" w:lineRule="auto"/>
              <w:jc w:val="center"/>
              <w:rPr>
                <w:rFonts w:ascii="Times New Roman" w:eastAsia="Calibri" w:hAnsi="Times New Roman" w:cs="Times New Roman"/>
                <w:color w:val="000000"/>
              </w:rPr>
            </w:pPr>
            <w:r w:rsidRPr="00682FC6">
              <w:rPr>
                <w:rFonts w:ascii="Times New Roman" w:eastAsia="Calibri" w:hAnsi="Times New Roman" w:cs="Times New Roman"/>
                <w:color w:val="000000"/>
              </w:rPr>
              <w:t>10%</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682FC6" w:rsidRDefault="003A1D5A" w:rsidP="003A1D5A">
            <w:pPr>
              <w:spacing w:after="0" w:line="240" w:lineRule="auto"/>
              <w:jc w:val="center"/>
              <w:rPr>
                <w:rFonts w:ascii="Times New Roman" w:eastAsia="Calibri" w:hAnsi="Times New Roman" w:cs="Times New Roman"/>
                <w:color w:val="000000"/>
              </w:rPr>
            </w:pPr>
            <w:r w:rsidRPr="00682FC6">
              <w:rPr>
                <w:rFonts w:ascii="Times New Roman" w:eastAsia="Calibri" w:hAnsi="Times New Roman" w:cs="Times New Roman"/>
                <w:color w:val="000000"/>
              </w:rPr>
              <w:t>8%</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682FC6" w:rsidRDefault="003A1D5A" w:rsidP="003A1D5A">
            <w:pPr>
              <w:spacing w:after="0" w:line="240" w:lineRule="auto"/>
              <w:jc w:val="center"/>
              <w:rPr>
                <w:rFonts w:ascii="Times New Roman" w:eastAsia="Calibri" w:hAnsi="Times New Roman" w:cs="Times New Roman"/>
                <w:color w:val="000000"/>
              </w:rPr>
            </w:pPr>
            <w:r w:rsidRPr="00682FC6">
              <w:rPr>
                <w:rFonts w:ascii="Times New Roman" w:eastAsia="Calibri" w:hAnsi="Times New Roman" w:cs="Times New Roman"/>
                <w:color w:val="000000"/>
              </w:rPr>
              <w:t>7%</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682FC6" w:rsidRDefault="003A1D5A" w:rsidP="003A1D5A">
            <w:pPr>
              <w:spacing w:after="0" w:line="240" w:lineRule="auto"/>
              <w:jc w:val="center"/>
              <w:rPr>
                <w:rFonts w:ascii="Times New Roman" w:eastAsia="Calibri" w:hAnsi="Times New Roman" w:cs="Times New Roman"/>
                <w:color w:val="000000"/>
              </w:rPr>
            </w:pPr>
            <w:r w:rsidRPr="00682FC6">
              <w:rPr>
                <w:rFonts w:ascii="Times New Roman" w:eastAsia="Calibri" w:hAnsi="Times New Roman" w:cs="Times New Roman"/>
                <w:color w:val="000000"/>
              </w:rPr>
              <w:t>2%</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682FC6" w:rsidRDefault="003A1D5A" w:rsidP="003A1D5A">
            <w:pPr>
              <w:spacing w:after="0" w:line="240" w:lineRule="auto"/>
              <w:jc w:val="center"/>
              <w:rPr>
                <w:rFonts w:ascii="Times New Roman" w:eastAsia="Calibri" w:hAnsi="Times New Roman" w:cs="Times New Roman"/>
                <w:color w:val="000000"/>
              </w:rPr>
            </w:pPr>
            <w:r w:rsidRPr="00682FC6">
              <w:rPr>
                <w:rFonts w:ascii="Times New Roman" w:eastAsia="Calibri" w:hAnsi="Times New Roman" w:cs="Times New Roman"/>
                <w:color w:val="000000"/>
              </w:rPr>
              <w:t>12%</w:t>
            </w:r>
          </w:p>
        </w:tc>
      </w:tr>
      <w:tr w:rsidR="003A1D5A" w:rsidRPr="003A1D5A" w:rsidTr="003A1D5A">
        <w:trPr>
          <w:trHeight w:val="11"/>
        </w:trPr>
        <w:tc>
          <w:tcPr>
            <w:tcW w:w="1361" w:type="pct"/>
            <w:tcBorders>
              <w:top w:val="single" w:sz="4" w:space="0" w:color="auto"/>
              <w:left w:val="single" w:sz="4" w:space="0" w:color="auto"/>
              <w:bottom w:val="single" w:sz="4" w:space="0" w:color="auto"/>
              <w:right w:val="single" w:sz="4" w:space="0" w:color="auto"/>
            </w:tcBorders>
            <w:shd w:val="clear" w:color="auto" w:fill="auto"/>
          </w:tcPr>
          <w:p w:rsidR="003A1D5A" w:rsidRPr="00682FC6" w:rsidRDefault="003A1D5A" w:rsidP="003A1D5A">
            <w:pPr>
              <w:spacing w:beforeLines="60" w:before="144" w:afterLines="60" w:after="144" w:line="269" w:lineRule="auto"/>
              <w:rPr>
                <w:rFonts w:ascii="Times New Roman" w:eastAsia="Calibri" w:hAnsi="Times New Roman" w:cs="Times New Roman"/>
                <w:color w:val="000000"/>
              </w:rPr>
            </w:pPr>
            <w:r w:rsidRPr="00682FC6">
              <w:rPr>
                <w:rFonts w:ascii="Times New Roman" w:eastAsia="Calibri" w:hAnsi="Times New Roman" w:cs="Times New Roman"/>
                <w:color w:val="000000"/>
              </w:rPr>
              <w:t>Низкий уровень</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682FC6" w:rsidRDefault="003A1D5A" w:rsidP="003A1D5A">
            <w:pPr>
              <w:spacing w:after="0" w:line="240" w:lineRule="auto"/>
              <w:jc w:val="center"/>
              <w:rPr>
                <w:rFonts w:ascii="Times New Roman" w:eastAsia="Calibri" w:hAnsi="Times New Roman" w:cs="Times New Roman"/>
                <w:b/>
                <w:bCs/>
                <w:color w:val="000000"/>
              </w:rPr>
            </w:pPr>
            <w:r w:rsidRPr="00682FC6">
              <w:rPr>
                <w:rFonts w:ascii="Times New Roman" w:eastAsia="Calibri" w:hAnsi="Times New Roman" w:cs="Times New Roman"/>
                <w:b/>
                <w:color w:val="000000"/>
              </w:rPr>
              <w:t>2%</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682FC6" w:rsidRDefault="003A1D5A" w:rsidP="003A1D5A">
            <w:pPr>
              <w:spacing w:after="0" w:line="240" w:lineRule="auto"/>
              <w:jc w:val="center"/>
              <w:rPr>
                <w:rFonts w:ascii="Times New Roman" w:eastAsia="Calibri" w:hAnsi="Times New Roman" w:cs="Times New Roman"/>
                <w:color w:val="000000"/>
              </w:rPr>
            </w:pPr>
            <w:r w:rsidRPr="00682FC6">
              <w:rPr>
                <w:rFonts w:ascii="Times New Roman" w:eastAsia="Calibri" w:hAnsi="Times New Roman" w:cs="Times New Roman"/>
                <w:color w:val="000000"/>
              </w:rPr>
              <w:t>1%</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682FC6" w:rsidRDefault="003A1D5A" w:rsidP="003A1D5A">
            <w:pPr>
              <w:spacing w:after="0" w:line="240" w:lineRule="auto"/>
              <w:jc w:val="center"/>
              <w:rPr>
                <w:rFonts w:ascii="Times New Roman" w:eastAsia="Calibri" w:hAnsi="Times New Roman" w:cs="Times New Roman"/>
                <w:color w:val="000000"/>
              </w:rPr>
            </w:pPr>
            <w:r w:rsidRPr="00682FC6">
              <w:rPr>
                <w:rFonts w:ascii="Times New Roman" w:eastAsia="Calibri" w:hAnsi="Times New Roman" w:cs="Times New Roman"/>
                <w:color w:val="000000"/>
              </w:rPr>
              <w:t>3%</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682FC6" w:rsidRDefault="003A1D5A" w:rsidP="003A1D5A">
            <w:pPr>
              <w:spacing w:after="0" w:line="240" w:lineRule="auto"/>
              <w:jc w:val="center"/>
              <w:rPr>
                <w:rFonts w:ascii="Times New Roman" w:eastAsia="Calibri" w:hAnsi="Times New Roman" w:cs="Times New Roman"/>
                <w:color w:val="000000"/>
              </w:rPr>
            </w:pPr>
            <w:r w:rsidRPr="00682FC6">
              <w:rPr>
                <w:rFonts w:ascii="Times New Roman" w:eastAsia="Calibri" w:hAnsi="Times New Roman" w:cs="Times New Roman"/>
                <w:color w:val="000000"/>
              </w:rPr>
              <w:t>7%</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682FC6" w:rsidRDefault="003A1D5A" w:rsidP="003A1D5A">
            <w:pPr>
              <w:spacing w:after="0" w:line="240" w:lineRule="auto"/>
              <w:jc w:val="center"/>
              <w:rPr>
                <w:rFonts w:ascii="Times New Roman" w:eastAsia="Calibri" w:hAnsi="Times New Roman" w:cs="Times New Roman"/>
                <w:color w:val="000000"/>
              </w:rPr>
            </w:pPr>
            <w:r w:rsidRPr="00682FC6">
              <w:rPr>
                <w:rFonts w:ascii="Times New Roman" w:eastAsia="Calibri" w:hAnsi="Times New Roman" w:cs="Times New Roman"/>
                <w:color w:val="000000"/>
              </w:rPr>
              <w:t>2%</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682FC6" w:rsidRDefault="003A1D5A" w:rsidP="003A1D5A">
            <w:pPr>
              <w:spacing w:after="0" w:line="240" w:lineRule="auto"/>
              <w:jc w:val="center"/>
              <w:rPr>
                <w:rFonts w:ascii="Times New Roman" w:eastAsia="Calibri" w:hAnsi="Times New Roman" w:cs="Times New Roman"/>
                <w:color w:val="000000"/>
              </w:rPr>
            </w:pPr>
            <w:r w:rsidRPr="00682FC6">
              <w:rPr>
                <w:rFonts w:ascii="Times New Roman" w:eastAsia="Calibri" w:hAnsi="Times New Roman" w:cs="Times New Roman"/>
                <w:color w:val="000000"/>
              </w:rPr>
              <w:t>3%</w:t>
            </w:r>
          </w:p>
        </w:tc>
      </w:tr>
      <w:tr w:rsidR="003A1D5A" w:rsidRPr="003A1D5A" w:rsidTr="003A1D5A">
        <w:trPr>
          <w:trHeight w:val="11"/>
        </w:trPr>
        <w:tc>
          <w:tcPr>
            <w:tcW w:w="1361" w:type="pct"/>
            <w:tcBorders>
              <w:top w:val="single" w:sz="4" w:space="0" w:color="auto"/>
              <w:left w:val="single" w:sz="4" w:space="0" w:color="auto"/>
              <w:bottom w:val="single" w:sz="4" w:space="0" w:color="auto"/>
              <w:right w:val="single" w:sz="4" w:space="0" w:color="auto"/>
            </w:tcBorders>
            <w:shd w:val="clear" w:color="auto" w:fill="auto"/>
          </w:tcPr>
          <w:p w:rsidR="003A1D5A" w:rsidRPr="00682FC6" w:rsidRDefault="003A1D5A" w:rsidP="003A1D5A">
            <w:pPr>
              <w:spacing w:beforeLines="60" w:before="144" w:afterLines="60" w:after="144" w:line="269" w:lineRule="auto"/>
              <w:rPr>
                <w:rFonts w:ascii="Times New Roman" w:eastAsia="Calibri" w:hAnsi="Times New Roman" w:cs="Times New Roman"/>
                <w:color w:val="000000"/>
              </w:rPr>
            </w:pPr>
            <w:r w:rsidRPr="00682FC6">
              <w:rPr>
                <w:rFonts w:ascii="Times New Roman" w:eastAsia="Calibri" w:hAnsi="Times New Roman" w:cs="Times New Roman"/>
                <w:color w:val="000000"/>
              </w:rPr>
              <w:t>Затрудняюсь ответить</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682FC6" w:rsidRDefault="003A1D5A" w:rsidP="003A1D5A">
            <w:pPr>
              <w:spacing w:after="0" w:line="240" w:lineRule="auto"/>
              <w:jc w:val="center"/>
              <w:rPr>
                <w:rFonts w:ascii="Times New Roman" w:eastAsia="Calibri" w:hAnsi="Times New Roman" w:cs="Times New Roman"/>
                <w:b/>
                <w:bCs/>
                <w:color w:val="000000"/>
              </w:rPr>
            </w:pPr>
            <w:r w:rsidRPr="00682FC6">
              <w:rPr>
                <w:rFonts w:ascii="Times New Roman" w:eastAsia="Calibri" w:hAnsi="Times New Roman" w:cs="Times New Roman"/>
                <w:b/>
                <w:color w:val="000000"/>
              </w:rPr>
              <w:t>8%</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682FC6" w:rsidRDefault="003A1D5A" w:rsidP="003A1D5A">
            <w:pPr>
              <w:spacing w:after="0" w:line="240" w:lineRule="auto"/>
              <w:jc w:val="center"/>
              <w:rPr>
                <w:rFonts w:ascii="Times New Roman" w:eastAsia="Calibri" w:hAnsi="Times New Roman" w:cs="Times New Roman"/>
                <w:color w:val="000000"/>
              </w:rPr>
            </w:pPr>
            <w:r w:rsidRPr="00682FC6">
              <w:rPr>
                <w:rFonts w:ascii="Times New Roman" w:eastAsia="Calibri" w:hAnsi="Times New Roman" w:cs="Times New Roman"/>
                <w:color w:val="000000"/>
              </w:rPr>
              <w:t>10%</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682FC6" w:rsidRDefault="003A1D5A" w:rsidP="003A1D5A">
            <w:pPr>
              <w:spacing w:after="0" w:line="240" w:lineRule="auto"/>
              <w:jc w:val="center"/>
              <w:rPr>
                <w:rFonts w:ascii="Times New Roman" w:eastAsia="Calibri" w:hAnsi="Times New Roman" w:cs="Times New Roman"/>
                <w:color w:val="000000"/>
              </w:rPr>
            </w:pPr>
            <w:r w:rsidRPr="00682FC6">
              <w:rPr>
                <w:rFonts w:ascii="Times New Roman" w:eastAsia="Calibri" w:hAnsi="Times New Roman" w:cs="Times New Roman"/>
                <w:color w:val="000000"/>
              </w:rPr>
              <w:t>8%</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682FC6" w:rsidRDefault="003A1D5A" w:rsidP="003A1D5A">
            <w:pPr>
              <w:spacing w:after="0" w:line="240" w:lineRule="auto"/>
              <w:jc w:val="center"/>
              <w:rPr>
                <w:rFonts w:ascii="Times New Roman" w:eastAsia="Calibri" w:hAnsi="Times New Roman" w:cs="Times New Roman"/>
                <w:color w:val="000000"/>
              </w:rPr>
            </w:pPr>
            <w:r w:rsidRPr="00682FC6">
              <w:rPr>
                <w:rFonts w:ascii="Times New Roman" w:eastAsia="Calibri" w:hAnsi="Times New Roman" w:cs="Times New Roman"/>
                <w:color w:val="000000"/>
              </w:rPr>
              <w:t> </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682FC6" w:rsidRDefault="003A1D5A" w:rsidP="003A1D5A">
            <w:pPr>
              <w:spacing w:after="0" w:line="240" w:lineRule="auto"/>
              <w:jc w:val="center"/>
              <w:rPr>
                <w:rFonts w:ascii="Times New Roman" w:eastAsia="Calibri" w:hAnsi="Times New Roman" w:cs="Times New Roman"/>
                <w:color w:val="000000"/>
              </w:rPr>
            </w:pPr>
            <w:r w:rsidRPr="00682FC6">
              <w:rPr>
                <w:rFonts w:ascii="Times New Roman" w:eastAsia="Calibri" w:hAnsi="Times New Roman" w:cs="Times New Roman"/>
                <w:color w:val="000000"/>
              </w:rPr>
              <w:t>3%</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A1D5A" w:rsidRPr="00682FC6" w:rsidRDefault="003A1D5A" w:rsidP="003A1D5A">
            <w:pPr>
              <w:spacing w:after="0" w:line="240" w:lineRule="auto"/>
              <w:jc w:val="center"/>
              <w:rPr>
                <w:rFonts w:ascii="Times New Roman" w:eastAsia="Calibri" w:hAnsi="Times New Roman" w:cs="Times New Roman"/>
                <w:color w:val="000000"/>
              </w:rPr>
            </w:pPr>
            <w:r w:rsidRPr="00682FC6">
              <w:rPr>
                <w:rFonts w:ascii="Times New Roman" w:eastAsia="Calibri" w:hAnsi="Times New Roman" w:cs="Times New Roman"/>
                <w:color w:val="000000"/>
              </w:rPr>
              <w:t>9%</w:t>
            </w:r>
          </w:p>
        </w:tc>
      </w:tr>
    </w:tbl>
    <w:p w:rsidR="003A1D5A" w:rsidRPr="00682FC6" w:rsidRDefault="003A1D5A" w:rsidP="003A1D5A">
      <w:pPr>
        <w:spacing w:after="0" w:line="360" w:lineRule="auto"/>
        <w:ind w:firstLine="709"/>
        <w:jc w:val="both"/>
        <w:rPr>
          <w:rFonts w:ascii="Times New Roman" w:eastAsia="Times New Roman" w:hAnsi="Times New Roman" w:cs="Times New Roman"/>
          <w:color w:val="000000"/>
          <w:sz w:val="24"/>
          <w:szCs w:val="24"/>
          <w:lang w:eastAsia="ru-RU"/>
        </w:rPr>
      </w:pPr>
    </w:p>
    <w:p w:rsidR="003A1D5A" w:rsidRPr="00682FC6" w:rsidRDefault="003A1D5A" w:rsidP="003A1D5A">
      <w:pPr>
        <w:spacing w:after="0" w:line="360" w:lineRule="auto"/>
        <w:ind w:firstLine="709"/>
        <w:jc w:val="both"/>
        <w:rPr>
          <w:rFonts w:ascii="Times New Roman" w:eastAsia="Times New Roman" w:hAnsi="Times New Roman" w:cs="Times New Roman"/>
          <w:color w:val="000000"/>
          <w:sz w:val="24"/>
          <w:szCs w:val="24"/>
          <w:lang w:eastAsia="ru-RU"/>
        </w:rPr>
      </w:pPr>
      <w:r w:rsidRPr="00682FC6">
        <w:rPr>
          <w:rFonts w:ascii="Times New Roman" w:eastAsia="Times New Roman" w:hAnsi="Times New Roman" w:cs="Times New Roman"/>
          <w:color w:val="000000"/>
          <w:sz w:val="24"/>
          <w:szCs w:val="24"/>
          <w:lang w:eastAsia="ru-RU"/>
        </w:rPr>
        <w:t xml:space="preserve">Представители среднего и крупного бизнеса выше остальных групп оценивают свой уровень финансовой грамотности. Как высокий и выше среднего его оценили 40% опрошенных из числа средних предприятий и 41% предпринимателей из сектора крупного бизнеса. Предприниматели из малых и микропредприятий дали оценки на уровне средних показателей по региону. </w:t>
      </w:r>
    </w:p>
    <w:p w:rsidR="003A1D5A" w:rsidRPr="00682FC6" w:rsidRDefault="003A1D5A" w:rsidP="003A1D5A">
      <w:pPr>
        <w:spacing w:after="0" w:line="360" w:lineRule="auto"/>
        <w:ind w:firstLine="709"/>
        <w:jc w:val="both"/>
        <w:rPr>
          <w:rFonts w:ascii="Times New Roman" w:eastAsia="Times New Roman" w:hAnsi="Times New Roman" w:cs="Times New Roman"/>
          <w:color w:val="000000"/>
          <w:sz w:val="24"/>
          <w:szCs w:val="24"/>
          <w:lang w:eastAsia="ru-RU"/>
        </w:rPr>
      </w:pPr>
      <w:r w:rsidRPr="00682FC6">
        <w:rPr>
          <w:rFonts w:ascii="Times New Roman" w:eastAsia="Times New Roman" w:hAnsi="Times New Roman" w:cs="Times New Roman"/>
          <w:color w:val="000000"/>
          <w:sz w:val="24"/>
          <w:szCs w:val="24"/>
          <w:lang w:eastAsia="ru-RU"/>
        </w:rPr>
        <w:t>Представители бизнес-сообщества Ленинградской области в ходе исследования продемонстрировали достаточно высокий уровень знаний, поведения и установок в сфере финансов, что подтверждает данную ими самооценку уровня финансовой грамотности в целом.</w:t>
      </w:r>
    </w:p>
    <w:p w:rsidR="00CD2C97" w:rsidRPr="00682FC6" w:rsidRDefault="00CD2C97" w:rsidP="00967DCB">
      <w:pPr>
        <w:spacing w:after="0" w:line="360" w:lineRule="auto"/>
        <w:ind w:firstLine="709"/>
        <w:jc w:val="both"/>
        <w:rPr>
          <w:rFonts w:ascii="Times New Roman" w:eastAsia="Times New Roman" w:hAnsi="Times New Roman" w:cs="Times New Roman"/>
          <w:color w:val="000000"/>
          <w:sz w:val="24"/>
          <w:szCs w:val="24"/>
          <w:lang w:eastAsia="ru-RU"/>
        </w:rPr>
      </w:pPr>
    </w:p>
    <w:p w:rsidR="00CD2C97" w:rsidRPr="00682FC6" w:rsidRDefault="00CD2C97" w:rsidP="00CD2C97">
      <w:pPr>
        <w:keepNext/>
        <w:keepLines/>
        <w:pageBreakBefore/>
        <w:spacing w:before="240" w:after="120" w:line="240" w:lineRule="auto"/>
        <w:ind w:right="-28" w:firstLine="284"/>
        <w:jc w:val="center"/>
        <w:outlineLvl w:val="1"/>
        <w:rPr>
          <w:rFonts w:ascii="Times New Roman" w:eastAsia="Arial" w:hAnsi="Times New Roman" w:cs="Times New Roman"/>
          <w:b/>
          <w:color w:val="000000"/>
          <w:sz w:val="24"/>
          <w:szCs w:val="24"/>
          <w:lang w:eastAsia="ru-RU"/>
        </w:rPr>
      </w:pPr>
      <w:r w:rsidRPr="00682FC6">
        <w:rPr>
          <w:rFonts w:ascii="Times New Roman" w:eastAsia="Arial" w:hAnsi="Times New Roman" w:cs="Times New Roman"/>
          <w:b/>
          <w:color w:val="000000"/>
          <w:sz w:val="24"/>
          <w:szCs w:val="24"/>
          <w:lang w:eastAsia="ru-RU"/>
        </w:rPr>
        <w:t>3.8.Результаты мониторинга цен (с учетом динамики) на товары, входящие в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 утвержденный постановлением Правительства Российской Федерации от 15 июля 2010 г. N 530</w:t>
      </w:r>
    </w:p>
    <w:p w:rsidR="00CD2C97" w:rsidRPr="00682FC6" w:rsidRDefault="00CD2C97" w:rsidP="00CD2C97">
      <w:pPr>
        <w:spacing w:after="0" w:line="360" w:lineRule="auto"/>
        <w:ind w:firstLine="709"/>
        <w:jc w:val="both"/>
        <w:rPr>
          <w:rFonts w:ascii="Times New Roman" w:eastAsia="Times New Roman" w:hAnsi="Times New Roman" w:cs="Times New Roman"/>
          <w:color w:val="000000"/>
          <w:sz w:val="24"/>
          <w:szCs w:val="24"/>
          <w:lang w:eastAsia="ru-RU"/>
        </w:rPr>
      </w:pPr>
      <w:r w:rsidRPr="00682FC6">
        <w:rPr>
          <w:rFonts w:ascii="Times New Roman" w:eastAsia="Times New Roman" w:hAnsi="Times New Roman" w:cs="Times New Roman"/>
          <w:color w:val="000000"/>
          <w:sz w:val="24"/>
          <w:szCs w:val="24"/>
          <w:lang w:eastAsia="ru-RU"/>
        </w:rPr>
        <w:t>По данным Банка России, годовая инфляция в Ленинградской области в октябре снизилась и составила 11,44% после 12,44% месяцем ранее. Ее уровень оставался ниже, чем по Северо-Западному федеральному округу (12,56%) и по России в целом (12,63%). На снижение инфляции в регионе в основном повлияли расширение предложения продовольственной продукции и сдержанная потребительская активность.</w:t>
      </w:r>
    </w:p>
    <w:p w:rsidR="00CD2C97" w:rsidRPr="00682FC6" w:rsidRDefault="00CD2C97" w:rsidP="00682FC6">
      <w:pPr>
        <w:keepNext/>
        <w:keepLines/>
        <w:spacing w:before="120" w:after="120" w:line="240" w:lineRule="auto"/>
        <w:jc w:val="center"/>
        <w:rPr>
          <w:rFonts w:ascii="Times New Roman" w:eastAsia="Calibri" w:hAnsi="Times New Roman" w:cs="Times New Roman"/>
          <w:color w:val="000000"/>
          <w:sz w:val="24"/>
          <w:szCs w:val="24"/>
        </w:rPr>
      </w:pPr>
      <w:r w:rsidRPr="00CD2C97">
        <w:rPr>
          <w:rFonts w:ascii="Times New Roman" w:eastAsia="Calibri" w:hAnsi="Times New Roman" w:cs="Times New Roman"/>
          <w:color w:val="000000"/>
          <w:sz w:val="24"/>
          <w:szCs w:val="24"/>
        </w:rPr>
        <w:t xml:space="preserve">Рисунок </w:t>
      </w:r>
      <w:r w:rsidR="00682FC6">
        <w:rPr>
          <w:rFonts w:ascii="Times New Roman" w:eastAsia="Calibri" w:hAnsi="Times New Roman" w:cs="Times New Roman"/>
          <w:color w:val="000000"/>
          <w:sz w:val="24"/>
          <w:szCs w:val="24"/>
        </w:rPr>
        <w:t>63</w:t>
      </w:r>
      <w:r w:rsidRPr="00CD2C97">
        <w:rPr>
          <w:rFonts w:ascii="Times New Roman" w:eastAsia="Calibri" w:hAnsi="Times New Roman" w:cs="Times New Roman"/>
          <w:color w:val="000000"/>
          <w:sz w:val="24"/>
          <w:szCs w:val="24"/>
        </w:rPr>
        <w:t xml:space="preserve">. </w:t>
      </w:r>
      <w:r w:rsidRPr="00682FC6">
        <w:rPr>
          <w:rFonts w:ascii="Times New Roman" w:eastAsia="Calibri" w:hAnsi="Times New Roman" w:cs="Times New Roman"/>
          <w:color w:val="000000"/>
          <w:sz w:val="24"/>
          <w:szCs w:val="24"/>
        </w:rPr>
        <w:t>Годовая инфляция в Ленинградской области в сравнении с соседними регионами и в целом по России (по данным Банка России)</w:t>
      </w:r>
    </w:p>
    <w:p w:rsidR="00CD2C97" w:rsidRPr="00CD2C97" w:rsidRDefault="00CD2C97" w:rsidP="00CD2C97">
      <w:pPr>
        <w:spacing w:before="120" w:after="120" w:line="300" w:lineRule="auto"/>
        <w:ind w:firstLine="709"/>
        <w:jc w:val="both"/>
        <w:rPr>
          <w:rFonts w:ascii="Times New Roman" w:eastAsia="Calibri" w:hAnsi="Times New Roman" w:cs="Times New Roman"/>
          <w:color w:val="000000"/>
          <w:sz w:val="24"/>
          <w:szCs w:val="24"/>
        </w:rPr>
      </w:pPr>
      <w:r w:rsidRPr="00CD2C97">
        <w:rPr>
          <w:rFonts w:ascii="Times New Roman" w:eastAsia="Calibri" w:hAnsi="Times New Roman" w:cs="Times New Roman"/>
          <w:noProof/>
          <w:color w:val="000000"/>
          <w:sz w:val="24"/>
          <w:szCs w:val="24"/>
          <w:bdr w:val="none" w:sz="0" w:space="0" w:color="auto" w:frame="1"/>
          <w:lang w:eastAsia="ru-RU"/>
        </w:rPr>
        <w:drawing>
          <wp:inline distT="0" distB="0" distL="0" distR="0" wp14:anchorId="1707E947" wp14:editId="258CFC7F">
            <wp:extent cx="5219700" cy="3909060"/>
            <wp:effectExtent l="0" t="0" r="0" b="0"/>
            <wp:docPr id="1078" name="Рисунок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219700" cy="3909060"/>
                    </a:xfrm>
                    <a:prstGeom prst="rect">
                      <a:avLst/>
                    </a:prstGeom>
                    <a:noFill/>
                    <a:ln>
                      <a:noFill/>
                    </a:ln>
                  </pic:spPr>
                </pic:pic>
              </a:graphicData>
            </a:graphic>
          </wp:inline>
        </w:drawing>
      </w:r>
    </w:p>
    <w:p w:rsidR="00CD2C97" w:rsidRPr="00682FC6" w:rsidRDefault="00CD2C97" w:rsidP="00CD2C97">
      <w:pPr>
        <w:spacing w:after="0" w:line="360" w:lineRule="auto"/>
        <w:ind w:firstLine="709"/>
        <w:jc w:val="both"/>
        <w:rPr>
          <w:rFonts w:ascii="Times New Roman" w:eastAsia="Times New Roman" w:hAnsi="Times New Roman" w:cs="Times New Roman"/>
          <w:color w:val="000000"/>
          <w:sz w:val="24"/>
          <w:szCs w:val="24"/>
          <w:lang w:eastAsia="ru-RU"/>
        </w:rPr>
      </w:pPr>
      <w:r w:rsidRPr="00682FC6">
        <w:rPr>
          <w:rFonts w:ascii="Times New Roman" w:eastAsia="Times New Roman" w:hAnsi="Times New Roman" w:cs="Times New Roman"/>
          <w:color w:val="000000"/>
          <w:sz w:val="24"/>
          <w:szCs w:val="24"/>
          <w:lang w:eastAsia="ru-RU"/>
        </w:rPr>
        <w:t>Годовой темп прироста цен на продовольственные товары в регионе в октябре снизился и составил 10,16% после 12,78% месяцем ранее. Это было связано в основном с расширением предложения отдельных продуктов питания.</w:t>
      </w:r>
    </w:p>
    <w:p w:rsidR="00CD2C97" w:rsidRPr="00682FC6" w:rsidRDefault="00CD2C97" w:rsidP="00CD2C97">
      <w:pPr>
        <w:spacing w:after="0" w:line="360" w:lineRule="auto"/>
        <w:ind w:firstLine="709"/>
        <w:jc w:val="both"/>
        <w:rPr>
          <w:rFonts w:ascii="Times New Roman" w:eastAsia="Times New Roman" w:hAnsi="Times New Roman" w:cs="Times New Roman"/>
          <w:color w:val="000000"/>
          <w:sz w:val="24"/>
          <w:szCs w:val="24"/>
          <w:lang w:eastAsia="ru-RU"/>
        </w:rPr>
      </w:pPr>
      <w:r w:rsidRPr="00682FC6">
        <w:rPr>
          <w:rFonts w:ascii="Times New Roman" w:eastAsia="Times New Roman" w:hAnsi="Times New Roman" w:cs="Times New Roman"/>
          <w:color w:val="000000"/>
          <w:sz w:val="24"/>
          <w:szCs w:val="24"/>
          <w:lang w:eastAsia="ru-RU"/>
        </w:rPr>
        <w:t>Годовой темп прироста цен на непродовольственные товары в октябре уменьшился и составил 13,06% после 13,44% в предыдущем месяце.</w:t>
      </w:r>
    </w:p>
    <w:p w:rsidR="00CD2C97" w:rsidRPr="00682FC6" w:rsidRDefault="00CD2C97" w:rsidP="00CD2C97">
      <w:pPr>
        <w:spacing w:after="0" w:line="360" w:lineRule="auto"/>
        <w:ind w:firstLine="709"/>
        <w:jc w:val="both"/>
        <w:rPr>
          <w:rFonts w:ascii="Times New Roman" w:eastAsia="Times New Roman" w:hAnsi="Times New Roman" w:cs="Times New Roman"/>
          <w:color w:val="000000"/>
          <w:sz w:val="24"/>
          <w:szCs w:val="24"/>
          <w:lang w:eastAsia="ru-RU"/>
        </w:rPr>
      </w:pPr>
      <w:r w:rsidRPr="00682FC6">
        <w:rPr>
          <w:rFonts w:ascii="Times New Roman" w:eastAsia="Times New Roman" w:hAnsi="Times New Roman" w:cs="Times New Roman"/>
          <w:color w:val="000000"/>
          <w:sz w:val="24"/>
          <w:szCs w:val="24"/>
          <w:lang w:eastAsia="ru-RU"/>
        </w:rPr>
        <w:t>Годовой темп прироста цен на услуги в октябре увеличился и составил 11,08% после 10,30% в сентябре.</w:t>
      </w:r>
    </w:p>
    <w:p w:rsidR="00CD2C97" w:rsidRPr="00682FC6" w:rsidRDefault="00CD2C97" w:rsidP="00CD2C97">
      <w:pPr>
        <w:spacing w:after="0" w:line="360" w:lineRule="auto"/>
        <w:ind w:firstLine="709"/>
        <w:jc w:val="both"/>
        <w:rPr>
          <w:rFonts w:ascii="Times New Roman" w:eastAsia="Times New Roman" w:hAnsi="Times New Roman" w:cs="Times New Roman"/>
          <w:color w:val="000000"/>
          <w:sz w:val="24"/>
          <w:szCs w:val="24"/>
          <w:lang w:eastAsia="ru-RU"/>
        </w:rPr>
      </w:pPr>
      <w:r w:rsidRPr="00682FC6">
        <w:rPr>
          <w:rFonts w:ascii="Times New Roman" w:eastAsia="Times New Roman" w:hAnsi="Times New Roman" w:cs="Times New Roman"/>
          <w:color w:val="000000"/>
          <w:sz w:val="24"/>
          <w:szCs w:val="24"/>
          <w:lang w:eastAsia="ru-RU"/>
        </w:rPr>
        <w:t xml:space="preserve">(Источник: Банк России </w:t>
      </w:r>
      <w:hyperlink r:id="rId126" w:history="1">
        <w:r w:rsidRPr="00682FC6">
          <w:rPr>
            <w:rFonts w:ascii="Times New Roman" w:eastAsia="Times New Roman" w:hAnsi="Times New Roman" w:cs="Times New Roman"/>
            <w:color w:val="000000"/>
            <w:sz w:val="24"/>
            <w:szCs w:val="24"/>
            <w:lang w:eastAsia="ru-RU"/>
          </w:rPr>
          <w:t>https://cbr.ru/press/reginfl/?id=26195</w:t>
        </w:r>
      </w:hyperlink>
      <w:r w:rsidRPr="00682FC6">
        <w:rPr>
          <w:rFonts w:ascii="Times New Roman" w:eastAsia="Times New Roman" w:hAnsi="Times New Roman" w:cs="Times New Roman"/>
          <w:color w:val="000000"/>
          <w:sz w:val="24"/>
          <w:szCs w:val="24"/>
          <w:lang w:eastAsia="ru-RU"/>
        </w:rPr>
        <w:t>)</w:t>
      </w:r>
    </w:p>
    <w:p w:rsidR="00CD2C97" w:rsidRPr="00682FC6" w:rsidRDefault="00CD2C97" w:rsidP="00CD2C97">
      <w:pPr>
        <w:spacing w:after="0" w:line="360" w:lineRule="auto"/>
        <w:ind w:firstLine="709"/>
        <w:jc w:val="both"/>
        <w:rPr>
          <w:rFonts w:ascii="Times New Roman" w:eastAsia="Times New Roman" w:hAnsi="Times New Roman" w:cs="Times New Roman"/>
          <w:color w:val="000000"/>
          <w:sz w:val="24"/>
          <w:szCs w:val="24"/>
          <w:lang w:eastAsia="ru-RU"/>
        </w:rPr>
      </w:pPr>
      <w:r w:rsidRPr="00682FC6">
        <w:rPr>
          <w:rFonts w:ascii="Times New Roman" w:eastAsia="Times New Roman" w:hAnsi="Times New Roman" w:cs="Times New Roman"/>
          <w:color w:val="000000"/>
          <w:sz w:val="24"/>
          <w:szCs w:val="24"/>
          <w:lang w:eastAsia="ru-RU"/>
        </w:rPr>
        <w:t>Стоимость фиксированного набора потребительских товаров и услуг в Ленинградской области в октябре 2022 г. близка к среднему значению по Российской Федерации (19882,12 руб. и 19885,36 руб. соответственно). Наибольшая стоимость наблюдалась в Санкт-Петербурге (22030,50 руб.), наименьшая - в Новгородской области (17823,10 руб.) Динамика стоимости к началу 2022 г. (декабрю 2021 г.) в Ленинградской области, как и в Новгородской области, была на уровне среднего значения по Российской Федерации (106,7% и 106,5% при 106,2% по РФ). В остальных исследуемых регионах темпы роста стоимости выше, а в Санкт-Петербурге и Вологодской области достигнут прирост 10% (110,8% и 110,4% соответственно).</w:t>
      </w:r>
    </w:p>
    <w:p w:rsidR="00CD2C97" w:rsidRPr="00CD2C97" w:rsidRDefault="00CD2C97" w:rsidP="00682FC6">
      <w:pPr>
        <w:keepNext/>
        <w:keepLines/>
        <w:spacing w:before="120" w:after="120" w:line="240" w:lineRule="auto"/>
        <w:jc w:val="center"/>
        <w:rPr>
          <w:rFonts w:ascii="Times New Roman" w:eastAsia="Calibri" w:hAnsi="Times New Roman" w:cs="Times New Roman"/>
          <w:color w:val="000000"/>
          <w:sz w:val="24"/>
          <w:szCs w:val="24"/>
        </w:rPr>
      </w:pPr>
      <w:r w:rsidRPr="00CD2C97">
        <w:rPr>
          <w:rFonts w:ascii="Times New Roman" w:eastAsia="Calibri" w:hAnsi="Times New Roman" w:cs="Times New Roman"/>
          <w:color w:val="000000"/>
          <w:sz w:val="24"/>
          <w:szCs w:val="24"/>
        </w:rPr>
        <w:t>Рисунок</w:t>
      </w:r>
      <w:r w:rsidR="00682FC6">
        <w:rPr>
          <w:rFonts w:ascii="Times New Roman" w:eastAsia="Calibri" w:hAnsi="Times New Roman" w:cs="Times New Roman"/>
          <w:color w:val="000000"/>
          <w:sz w:val="24"/>
          <w:szCs w:val="24"/>
        </w:rPr>
        <w:t xml:space="preserve"> 64</w:t>
      </w:r>
      <w:r w:rsidRPr="00CD2C97">
        <w:rPr>
          <w:rFonts w:ascii="Times New Roman" w:eastAsia="Calibri" w:hAnsi="Times New Roman" w:cs="Times New Roman"/>
          <w:color w:val="000000"/>
          <w:sz w:val="24"/>
          <w:szCs w:val="24"/>
        </w:rPr>
        <w:t>. Стоимость фиксированного набора потребительских товаров и услуг в октябре 2022 г. и декабре 2021 г., руб.</w:t>
      </w:r>
    </w:p>
    <w:p w:rsidR="00CD2C97" w:rsidRPr="00CD2C97" w:rsidRDefault="00CD2C97" w:rsidP="00CD2C97">
      <w:pPr>
        <w:spacing w:before="120" w:after="120" w:line="240" w:lineRule="auto"/>
        <w:jc w:val="both"/>
        <w:rPr>
          <w:rFonts w:ascii="Times New Roman" w:eastAsia="Calibri" w:hAnsi="Times New Roman" w:cs="Times New Roman"/>
          <w:color w:val="000000"/>
          <w:sz w:val="24"/>
          <w:szCs w:val="24"/>
        </w:rPr>
      </w:pPr>
      <w:r w:rsidRPr="00CD2C97">
        <w:rPr>
          <w:rFonts w:ascii="Times New Roman" w:eastAsia="Calibri" w:hAnsi="Times New Roman" w:cs="Times New Roman"/>
          <w:noProof/>
          <w:color w:val="000000"/>
          <w:sz w:val="24"/>
          <w:szCs w:val="24"/>
          <w:lang w:eastAsia="ru-RU"/>
        </w:rPr>
        <w:drawing>
          <wp:inline distT="0" distB="0" distL="0" distR="0" wp14:anchorId="2CBF545A" wp14:editId="4313CDB9">
            <wp:extent cx="6172835" cy="3200400"/>
            <wp:effectExtent l="0" t="0" r="0" b="0"/>
            <wp:docPr id="1080" name="Диаграмма 10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CD2C97" w:rsidRPr="00CD2C97" w:rsidRDefault="00CD2C97" w:rsidP="00CD2C97">
      <w:pPr>
        <w:spacing w:before="120" w:after="120" w:line="240" w:lineRule="auto"/>
        <w:jc w:val="both"/>
        <w:rPr>
          <w:rFonts w:ascii="Times New Roman" w:eastAsia="Calibri" w:hAnsi="Times New Roman" w:cs="Times New Roman"/>
          <w:color w:val="000000"/>
          <w:sz w:val="24"/>
          <w:szCs w:val="24"/>
        </w:rPr>
      </w:pPr>
    </w:p>
    <w:p w:rsidR="00CD2C97" w:rsidRPr="00682FC6" w:rsidRDefault="00682FC6" w:rsidP="00CD2C97">
      <w:pPr>
        <w:keepNext/>
        <w:keepLines/>
        <w:spacing w:before="40" w:after="240" w:line="240" w:lineRule="auto"/>
        <w:jc w:val="center"/>
        <w:outlineLvl w:val="2"/>
        <w:rPr>
          <w:rFonts w:ascii="Times New Roman" w:eastAsia="Arial" w:hAnsi="Times New Roman" w:cs="Times New Roman"/>
          <w:b/>
          <w:color w:val="000000"/>
          <w:sz w:val="24"/>
          <w:szCs w:val="24"/>
          <w:lang w:eastAsia="ru-RU"/>
        </w:rPr>
      </w:pPr>
      <w:bookmarkStart w:id="96" w:name="_Toc121158201"/>
      <w:bookmarkStart w:id="97" w:name="_Toc122720263"/>
      <w:r w:rsidRPr="00682FC6">
        <w:rPr>
          <w:rFonts w:ascii="Times New Roman" w:eastAsia="Arial" w:hAnsi="Times New Roman" w:cs="Times New Roman"/>
          <w:b/>
          <w:color w:val="000000"/>
          <w:sz w:val="24"/>
          <w:szCs w:val="24"/>
          <w:lang w:eastAsia="ru-RU"/>
        </w:rPr>
        <w:t>3</w:t>
      </w:r>
      <w:r w:rsidR="00CD2C97" w:rsidRPr="00682FC6">
        <w:rPr>
          <w:rFonts w:ascii="Times New Roman" w:eastAsia="Arial" w:hAnsi="Times New Roman" w:cs="Times New Roman"/>
          <w:b/>
          <w:color w:val="000000"/>
          <w:sz w:val="24"/>
          <w:szCs w:val="24"/>
          <w:lang w:eastAsia="ru-RU"/>
        </w:rPr>
        <w:t>.</w:t>
      </w:r>
      <w:r w:rsidRPr="00682FC6">
        <w:rPr>
          <w:rFonts w:ascii="Times New Roman" w:eastAsia="Arial" w:hAnsi="Times New Roman" w:cs="Times New Roman"/>
          <w:b/>
          <w:color w:val="000000"/>
          <w:sz w:val="24"/>
          <w:szCs w:val="24"/>
          <w:lang w:eastAsia="ru-RU"/>
        </w:rPr>
        <w:t xml:space="preserve">8.1. </w:t>
      </w:r>
      <w:r w:rsidR="00CD2C97" w:rsidRPr="00682FC6">
        <w:rPr>
          <w:rFonts w:ascii="Times New Roman" w:eastAsia="Arial" w:hAnsi="Times New Roman" w:cs="Times New Roman"/>
          <w:b/>
          <w:color w:val="000000"/>
          <w:sz w:val="24"/>
          <w:szCs w:val="24"/>
          <w:lang w:eastAsia="ru-RU"/>
        </w:rPr>
        <w:t>Об уровне цен на указанные товары (по сравнению с соседними субъектами Российской Федерации и со средним значением по Российской Федерации) и их динамике (по сравнению с соседними субъектами Российской Федерации и со средним значением по Российской Федерации)</w:t>
      </w:r>
      <w:bookmarkEnd w:id="96"/>
      <w:bookmarkEnd w:id="97"/>
    </w:p>
    <w:p w:rsidR="00CD2C97" w:rsidRPr="00682FC6" w:rsidRDefault="00CD2C97" w:rsidP="00CD2C97">
      <w:pPr>
        <w:spacing w:after="0" w:line="360" w:lineRule="auto"/>
        <w:ind w:firstLine="709"/>
        <w:jc w:val="both"/>
        <w:rPr>
          <w:rFonts w:ascii="Times New Roman" w:eastAsia="Times New Roman" w:hAnsi="Times New Roman" w:cs="Times New Roman"/>
          <w:color w:val="000000"/>
          <w:sz w:val="24"/>
          <w:szCs w:val="24"/>
          <w:lang w:eastAsia="ru-RU"/>
        </w:rPr>
      </w:pPr>
      <w:r w:rsidRPr="00682FC6">
        <w:rPr>
          <w:rFonts w:ascii="Times New Roman" w:eastAsia="Times New Roman" w:hAnsi="Times New Roman" w:cs="Times New Roman"/>
          <w:color w:val="000000"/>
          <w:sz w:val="24"/>
          <w:szCs w:val="24"/>
          <w:lang w:eastAsia="ru-RU"/>
        </w:rPr>
        <w:t>В соответствии с пунктом 60 Единой методики мониторинга состояния и развития конкуренции на товарных рынках субъекта Российской Федерации, утвержденной приказом Минэкономразвития России от 11.03.2020 № 130, при проведении мониторинга осуществлялся анализ информации о ценах на товары, включенные в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 утвержденный постановлением Правительства Российской Федерации от 15.07.2010 № 530 (далее – перечень социально значимых товаров), и включенные в перечень отдельных видов социально значимых продовольственных товаров, за приобретение определенного количества которых хозяйствующему субъекту, осуществляющему торговую деятельность, не допускается выплата вознаграждения, утвержденный указанным постановлением.</w:t>
      </w:r>
    </w:p>
    <w:p w:rsidR="00CD2C97" w:rsidRPr="00682FC6" w:rsidRDefault="00CD2C97" w:rsidP="00CD2C97">
      <w:pPr>
        <w:spacing w:after="0" w:line="360" w:lineRule="auto"/>
        <w:ind w:firstLine="709"/>
        <w:jc w:val="both"/>
        <w:rPr>
          <w:rFonts w:ascii="Times New Roman" w:eastAsia="Times New Roman" w:hAnsi="Times New Roman" w:cs="Times New Roman"/>
          <w:color w:val="000000"/>
          <w:sz w:val="24"/>
          <w:szCs w:val="24"/>
          <w:lang w:eastAsia="ru-RU"/>
        </w:rPr>
      </w:pPr>
      <w:r w:rsidRPr="00682FC6">
        <w:rPr>
          <w:rFonts w:ascii="Times New Roman" w:eastAsia="Times New Roman" w:hAnsi="Times New Roman" w:cs="Times New Roman"/>
          <w:color w:val="000000"/>
          <w:sz w:val="24"/>
          <w:szCs w:val="24"/>
          <w:lang w:eastAsia="ru-RU"/>
        </w:rPr>
        <w:t xml:space="preserve">Перечень социально значимых товаров, уровень цен (средние потребительские цены) в октябре 2022 г. и их динамика (индексы потребительских цен) в Ленинградской области приведены в </w:t>
      </w:r>
      <w:r w:rsidR="00682FC6">
        <w:rPr>
          <w:rFonts w:ascii="Times New Roman" w:eastAsia="Times New Roman" w:hAnsi="Times New Roman" w:cs="Times New Roman"/>
          <w:color w:val="000000"/>
          <w:sz w:val="24"/>
          <w:szCs w:val="24"/>
          <w:lang w:eastAsia="ru-RU"/>
        </w:rPr>
        <w:t>т</w:t>
      </w:r>
      <w:r w:rsidRPr="00682FC6">
        <w:rPr>
          <w:rFonts w:ascii="Times New Roman" w:eastAsia="Times New Roman" w:hAnsi="Times New Roman" w:cs="Times New Roman"/>
          <w:color w:val="000000"/>
          <w:sz w:val="24"/>
          <w:szCs w:val="24"/>
          <w:lang w:eastAsia="ru-RU"/>
        </w:rPr>
        <w:t xml:space="preserve">аблице </w:t>
      </w:r>
      <w:r w:rsidR="00682FC6">
        <w:rPr>
          <w:rFonts w:ascii="Times New Roman" w:eastAsia="Times New Roman" w:hAnsi="Times New Roman" w:cs="Times New Roman"/>
          <w:color w:val="000000"/>
          <w:sz w:val="24"/>
          <w:szCs w:val="24"/>
          <w:lang w:eastAsia="ru-RU"/>
        </w:rPr>
        <w:t>63</w:t>
      </w:r>
      <w:r w:rsidRPr="00682FC6">
        <w:rPr>
          <w:rFonts w:ascii="Times New Roman" w:eastAsia="Times New Roman" w:hAnsi="Times New Roman" w:cs="Times New Roman"/>
          <w:color w:val="000000"/>
          <w:sz w:val="24"/>
          <w:szCs w:val="24"/>
          <w:lang w:eastAsia="ru-RU"/>
        </w:rPr>
        <w:t xml:space="preserve">. </w:t>
      </w:r>
    </w:p>
    <w:p w:rsidR="00CD2C97" w:rsidRPr="00682FC6" w:rsidRDefault="00CD2C97" w:rsidP="00CD2C97">
      <w:pPr>
        <w:spacing w:after="0" w:line="360" w:lineRule="auto"/>
        <w:ind w:firstLine="709"/>
        <w:jc w:val="both"/>
        <w:rPr>
          <w:rFonts w:ascii="Times New Roman" w:eastAsia="Times New Roman" w:hAnsi="Times New Roman" w:cs="Times New Roman"/>
          <w:color w:val="000000"/>
          <w:sz w:val="24"/>
          <w:szCs w:val="24"/>
          <w:lang w:eastAsia="ru-RU"/>
        </w:rPr>
      </w:pPr>
      <w:r w:rsidRPr="00682FC6">
        <w:rPr>
          <w:rFonts w:ascii="Times New Roman" w:eastAsia="Times New Roman" w:hAnsi="Times New Roman" w:cs="Times New Roman"/>
          <w:color w:val="000000"/>
          <w:sz w:val="24"/>
          <w:szCs w:val="24"/>
          <w:lang w:eastAsia="ru-RU"/>
        </w:rPr>
        <w:t xml:space="preserve">В настоящем разделе приведены данные Росстата о средних потребительских ценах и индексах потребительских цен </w:t>
      </w:r>
      <w:hyperlink r:id="rId128" w:history="1">
        <w:r w:rsidRPr="00682FC6">
          <w:rPr>
            <w:rFonts w:ascii="Times New Roman" w:eastAsia="Times New Roman" w:hAnsi="Times New Roman" w:cs="Times New Roman"/>
            <w:color w:val="000000"/>
            <w:sz w:val="24"/>
            <w:szCs w:val="24"/>
            <w:lang w:eastAsia="ru-RU"/>
          </w:rPr>
          <w:t>https://rosstat.gov.ru/statistics/price\</w:t>
        </w:r>
      </w:hyperlink>
    </w:p>
    <w:p w:rsidR="00CD2C97" w:rsidRPr="00CD2C97" w:rsidRDefault="00CD2C97" w:rsidP="00682FC6">
      <w:pPr>
        <w:keepNext/>
        <w:keepLines/>
        <w:spacing w:before="120" w:after="120" w:line="240" w:lineRule="auto"/>
        <w:jc w:val="center"/>
        <w:rPr>
          <w:rFonts w:ascii="Times New Roman" w:eastAsia="Calibri" w:hAnsi="Times New Roman" w:cs="Times New Roman"/>
          <w:color w:val="000000"/>
          <w:sz w:val="24"/>
          <w:szCs w:val="24"/>
        </w:rPr>
      </w:pPr>
      <w:r w:rsidRPr="00CD2C97">
        <w:rPr>
          <w:rFonts w:ascii="Times New Roman" w:eastAsia="Calibri" w:hAnsi="Times New Roman" w:cs="Times New Roman"/>
          <w:color w:val="000000"/>
          <w:sz w:val="24"/>
          <w:szCs w:val="24"/>
        </w:rPr>
        <w:t xml:space="preserve">Таблица </w:t>
      </w:r>
      <w:r w:rsidR="00682FC6">
        <w:rPr>
          <w:rFonts w:ascii="Times New Roman" w:eastAsia="Calibri" w:hAnsi="Times New Roman" w:cs="Times New Roman"/>
          <w:color w:val="000000"/>
          <w:sz w:val="24"/>
          <w:szCs w:val="24"/>
        </w:rPr>
        <w:t>63</w:t>
      </w:r>
      <w:r w:rsidRPr="00CD2C97">
        <w:rPr>
          <w:rFonts w:ascii="Times New Roman" w:eastAsia="Calibri" w:hAnsi="Times New Roman" w:cs="Times New Roman"/>
          <w:color w:val="000000"/>
          <w:sz w:val="24"/>
          <w:szCs w:val="24"/>
        </w:rPr>
        <w:t>. Перечень социально значимых товаров, средние потребительские цены и индексы потребительских цен на октябрь 2022 г. в Ленинградской области</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3295"/>
        <w:gridCol w:w="1909"/>
        <w:gridCol w:w="1445"/>
        <w:gridCol w:w="1427"/>
        <w:gridCol w:w="1659"/>
      </w:tblGrid>
      <w:tr w:rsidR="00CD2C97" w:rsidRPr="008A5536" w:rsidTr="008A5536">
        <w:trPr>
          <w:trHeight w:val="276"/>
          <w:tblHeader/>
        </w:trPr>
        <w:tc>
          <w:tcPr>
            <w:tcW w:w="426" w:type="dxa"/>
            <w:vMerge w:val="restart"/>
            <w:shd w:val="clear" w:color="auto" w:fill="auto"/>
            <w:noWrap/>
            <w:vAlign w:val="center"/>
            <w:hideMark/>
          </w:tcPr>
          <w:p w:rsidR="00CD2C97" w:rsidRPr="008A5536" w:rsidRDefault="00CD2C97" w:rsidP="00CD2C97">
            <w:pPr>
              <w:spacing w:after="0" w:line="240" w:lineRule="auto"/>
              <w:rPr>
                <w:rFonts w:ascii="Times New Roman" w:eastAsia="Times New Roman" w:hAnsi="Times New Roman" w:cs="Times New Roman"/>
                <w:color w:val="000000"/>
                <w:lang w:eastAsia="ru-RU"/>
              </w:rPr>
            </w:pPr>
          </w:p>
        </w:tc>
        <w:tc>
          <w:tcPr>
            <w:tcW w:w="3300" w:type="dxa"/>
            <w:vMerge w:val="restart"/>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p>
        </w:tc>
        <w:tc>
          <w:tcPr>
            <w:tcW w:w="1802" w:type="dxa"/>
            <w:shd w:val="clear" w:color="auto" w:fill="auto"/>
            <w:noWrap/>
            <w:vAlign w:val="center"/>
            <w:hideMark/>
          </w:tcPr>
          <w:p w:rsidR="00CD2C97" w:rsidRPr="00D55ED4" w:rsidRDefault="00CD2C97" w:rsidP="00CD2C97">
            <w:pPr>
              <w:spacing w:after="0" w:line="240" w:lineRule="auto"/>
              <w:jc w:val="center"/>
              <w:rPr>
                <w:rFonts w:ascii="Times New Roman" w:eastAsia="Times New Roman" w:hAnsi="Times New Roman" w:cs="Times New Roman"/>
                <w:b/>
                <w:color w:val="000000"/>
                <w:lang w:eastAsia="ru-RU"/>
              </w:rPr>
            </w:pPr>
            <w:r w:rsidRPr="00D55ED4">
              <w:rPr>
                <w:rFonts w:ascii="Times New Roman" w:eastAsia="Times New Roman" w:hAnsi="Times New Roman" w:cs="Times New Roman"/>
                <w:b/>
                <w:color w:val="000000"/>
                <w:lang w:eastAsia="ru-RU"/>
              </w:rPr>
              <w:t>Средние потребительские цены, руб.</w:t>
            </w:r>
          </w:p>
        </w:tc>
        <w:tc>
          <w:tcPr>
            <w:tcW w:w="4537" w:type="dxa"/>
            <w:gridSpan w:val="3"/>
            <w:shd w:val="clear" w:color="auto" w:fill="auto"/>
            <w:noWrap/>
            <w:vAlign w:val="center"/>
            <w:hideMark/>
          </w:tcPr>
          <w:p w:rsidR="00CD2C97" w:rsidRPr="00D55ED4" w:rsidRDefault="00CD2C97" w:rsidP="00CD2C97">
            <w:pPr>
              <w:spacing w:after="0" w:line="240" w:lineRule="auto"/>
              <w:jc w:val="center"/>
              <w:rPr>
                <w:rFonts w:ascii="Times New Roman" w:eastAsia="Times New Roman" w:hAnsi="Times New Roman" w:cs="Times New Roman"/>
                <w:b/>
                <w:color w:val="000000"/>
                <w:lang w:eastAsia="ru-RU"/>
              </w:rPr>
            </w:pPr>
            <w:r w:rsidRPr="00D55ED4">
              <w:rPr>
                <w:rFonts w:ascii="Times New Roman" w:eastAsia="Times New Roman" w:hAnsi="Times New Roman" w:cs="Times New Roman"/>
                <w:b/>
                <w:color w:val="000000"/>
                <w:lang w:eastAsia="ru-RU"/>
              </w:rPr>
              <w:t xml:space="preserve">Индексы потребительских цен, </w:t>
            </w:r>
            <w:r w:rsidRPr="00D55ED4">
              <w:rPr>
                <w:rFonts w:ascii="Times New Roman" w:eastAsia="Times New Roman" w:hAnsi="Times New Roman" w:cs="Times New Roman"/>
                <w:b/>
                <w:color w:val="000000"/>
                <w:lang w:eastAsia="ru-RU"/>
              </w:rPr>
              <w:br/>
              <w:t>октябрь 2022, %</w:t>
            </w:r>
          </w:p>
        </w:tc>
      </w:tr>
      <w:tr w:rsidR="00CD2C97" w:rsidRPr="008A5536" w:rsidTr="008A5536">
        <w:trPr>
          <w:trHeight w:val="276"/>
          <w:tblHeader/>
        </w:trPr>
        <w:tc>
          <w:tcPr>
            <w:tcW w:w="426" w:type="dxa"/>
            <w:vMerge/>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p>
        </w:tc>
        <w:tc>
          <w:tcPr>
            <w:tcW w:w="3300" w:type="dxa"/>
            <w:vMerge/>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p>
        </w:tc>
        <w:tc>
          <w:tcPr>
            <w:tcW w:w="1802" w:type="dxa"/>
            <w:shd w:val="clear" w:color="auto" w:fill="auto"/>
            <w:noWrap/>
            <w:vAlign w:val="center"/>
            <w:hideMark/>
          </w:tcPr>
          <w:p w:rsidR="00CD2C97" w:rsidRPr="00D55ED4" w:rsidRDefault="00CD2C97" w:rsidP="00CD2C97">
            <w:pPr>
              <w:spacing w:after="0" w:line="240" w:lineRule="auto"/>
              <w:jc w:val="center"/>
              <w:rPr>
                <w:rFonts w:ascii="Times New Roman" w:eastAsia="Times New Roman" w:hAnsi="Times New Roman" w:cs="Times New Roman"/>
                <w:b/>
                <w:color w:val="000000"/>
                <w:lang w:eastAsia="ru-RU"/>
              </w:rPr>
            </w:pPr>
            <w:r w:rsidRPr="00D55ED4">
              <w:rPr>
                <w:rFonts w:ascii="Times New Roman" w:eastAsia="Times New Roman" w:hAnsi="Times New Roman" w:cs="Times New Roman"/>
                <w:b/>
                <w:color w:val="000000"/>
                <w:lang w:eastAsia="ru-RU"/>
              </w:rPr>
              <w:t>Октябрь 2022</w:t>
            </w:r>
          </w:p>
        </w:tc>
        <w:tc>
          <w:tcPr>
            <w:tcW w:w="1447" w:type="dxa"/>
            <w:shd w:val="clear" w:color="auto" w:fill="auto"/>
            <w:noWrap/>
            <w:vAlign w:val="center"/>
            <w:hideMark/>
          </w:tcPr>
          <w:p w:rsidR="00CD2C97" w:rsidRPr="00D55ED4" w:rsidRDefault="00CD2C97" w:rsidP="00CD2C97">
            <w:pPr>
              <w:spacing w:after="0" w:line="240" w:lineRule="auto"/>
              <w:jc w:val="center"/>
              <w:rPr>
                <w:rFonts w:ascii="Times New Roman" w:eastAsia="Times New Roman" w:hAnsi="Times New Roman" w:cs="Times New Roman"/>
                <w:b/>
                <w:color w:val="000000"/>
                <w:lang w:eastAsia="ru-RU"/>
              </w:rPr>
            </w:pPr>
            <w:r w:rsidRPr="00D55ED4">
              <w:rPr>
                <w:rFonts w:ascii="Times New Roman" w:eastAsia="Times New Roman" w:hAnsi="Times New Roman" w:cs="Times New Roman"/>
                <w:b/>
                <w:color w:val="000000"/>
                <w:lang w:eastAsia="ru-RU"/>
              </w:rPr>
              <w:t>к сентябрю 2022</w:t>
            </w:r>
          </w:p>
        </w:tc>
        <w:tc>
          <w:tcPr>
            <w:tcW w:w="1429" w:type="dxa"/>
            <w:shd w:val="clear" w:color="auto" w:fill="auto"/>
            <w:noWrap/>
            <w:vAlign w:val="center"/>
            <w:hideMark/>
          </w:tcPr>
          <w:p w:rsidR="00CD2C97" w:rsidRPr="00D55ED4" w:rsidRDefault="00CD2C97" w:rsidP="00CD2C97">
            <w:pPr>
              <w:spacing w:after="0" w:line="240" w:lineRule="auto"/>
              <w:jc w:val="center"/>
              <w:rPr>
                <w:rFonts w:ascii="Times New Roman" w:eastAsia="Times New Roman" w:hAnsi="Times New Roman" w:cs="Times New Roman"/>
                <w:b/>
                <w:color w:val="000000"/>
                <w:lang w:eastAsia="ru-RU"/>
              </w:rPr>
            </w:pPr>
            <w:r w:rsidRPr="00D55ED4">
              <w:rPr>
                <w:rFonts w:ascii="Times New Roman" w:eastAsia="Times New Roman" w:hAnsi="Times New Roman" w:cs="Times New Roman"/>
                <w:b/>
                <w:color w:val="000000"/>
                <w:lang w:eastAsia="ru-RU"/>
              </w:rPr>
              <w:t>к декабрю 2021</w:t>
            </w:r>
          </w:p>
        </w:tc>
        <w:tc>
          <w:tcPr>
            <w:tcW w:w="1661" w:type="dxa"/>
            <w:shd w:val="clear" w:color="auto" w:fill="auto"/>
            <w:noWrap/>
            <w:vAlign w:val="center"/>
            <w:hideMark/>
          </w:tcPr>
          <w:p w:rsidR="00CD2C97" w:rsidRPr="00D55ED4" w:rsidRDefault="00CD2C97" w:rsidP="00CD2C97">
            <w:pPr>
              <w:spacing w:after="0" w:line="240" w:lineRule="auto"/>
              <w:jc w:val="center"/>
              <w:rPr>
                <w:rFonts w:ascii="Times New Roman" w:eastAsia="Times New Roman" w:hAnsi="Times New Roman" w:cs="Times New Roman"/>
                <w:b/>
                <w:color w:val="000000"/>
                <w:lang w:eastAsia="ru-RU"/>
              </w:rPr>
            </w:pPr>
            <w:r w:rsidRPr="00D55ED4">
              <w:rPr>
                <w:rFonts w:ascii="Times New Roman" w:eastAsia="Times New Roman" w:hAnsi="Times New Roman" w:cs="Times New Roman"/>
                <w:b/>
                <w:color w:val="000000"/>
                <w:lang w:eastAsia="ru-RU"/>
              </w:rPr>
              <w:t>к октябрю 2021</w:t>
            </w:r>
          </w:p>
        </w:tc>
      </w:tr>
      <w:tr w:rsidR="00CD2C97" w:rsidRPr="008A5536" w:rsidTr="008A5536">
        <w:trPr>
          <w:trHeight w:val="276"/>
        </w:trPr>
        <w:tc>
          <w:tcPr>
            <w:tcW w:w="426"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w:t>
            </w:r>
          </w:p>
        </w:tc>
        <w:tc>
          <w:tcPr>
            <w:tcW w:w="3300" w:type="dxa"/>
            <w:shd w:val="clear" w:color="auto" w:fill="auto"/>
            <w:vAlign w:val="center"/>
            <w:hideMark/>
          </w:tcPr>
          <w:p w:rsidR="00CD2C97" w:rsidRPr="008A5536" w:rsidRDefault="00CD2C97" w:rsidP="00CD2C97">
            <w:pPr>
              <w:spacing w:after="0" w:line="240" w:lineRule="auto"/>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Говядина (кроме бескостного мяса), кг</w:t>
            </w:r>
          </w:p>
        </w:tc>
        <w:tc>
          <w:tcPr>
            <w:tcW w:w="1802"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557,82</w:t>
            </w:r>
          </w:p>
        </w:tc>
        <w:tc>
          <w:tcPr>
            <w:tcW w:w="1447"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101,2</w:t>
            </w:r>
          </w:p>
        </w:tc>
        <w:tc>
          <w:tcPr>
            <w:tcW w:w="1429"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114,9</w:t>
            </w:r>
          </w:p>
        </w:tc>
        <w:tc>
          <w:tcPr>
            <w:tcW w:w="1661"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118,7</w:t>
            </w:r>
          </w:p>
        </w:tc>
      </w:tr>
      <w:tr w:rsidR="00CD2C97" w:rsidRPr="008A5536" w:rsidTr="008A5536">
        <w:trPr>
          <w:trHeight w:val="276"/>
        </w:trPr>
        <w:tc>
          <w:tcPr>
            <w:tcW w:w="426"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2</w:t>
            </w:r>
          </w:p>
        </w:tc>
        <w:tc>
          <w:tcPr>
            <w:tcW w:w="3300" w:type="dxa"/>
            <w:shd w:val="clear" w:color="auto" w:fill="auto"/>
            <w:vAlign w:val="center"/>
            <w:hideMark/>
          </w:tcPr>
          <w:p w:rsidR="00CD2C97" w:rsidRPr="008A5536" w:rsidRDefault="00CD2C97" w:rsidP="00CD2C97">
            <w:pPr>
              <w:spacing w:after="0" w:line="240" w:lineRule="auto"/>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Свинина (кроме бескостного мяса), кг</w:t>
            </w:r>
          </w:p>
        </w:tc>
        <w:tc>
          <w:tcPr>
            <w:tcW w:w="1802"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303,67</w:t>
            </w:r>
          </w:p>
        </w:tc>
        <w:tc>
          <w:tcPr>
            <w:tcW w:w="1447"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100,1</w:t>
            </w:r>
          </w:p>
        </w:tc>
        <w:tc>
          <w:tcPr>
            <w:tcW w:w="1429"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95,9</w:t>
            </w:r>
          </w:p>
        </w:tc>
        <w:tc>
          <w:tcPr>
            <w:tcW w:w="1661"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95,8</w:t>
            </w:r>
          </w:p>
        </w:tc>
      </w:tr>
      <w:tr w:rsidR="00CD2C97" w:rsidRPr="008A5536" w:rsidTr="008A5536">
        <w:trPr>
          <w:trHeight w:val="276"/>
        </w:trPr>
        <w:tc>
          <w:tcPr>
            <w:tcW w:w="426"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3</w:t>
            </w:r>
          </w:p>
        </w:tc>
        <w:tc>
          <w:tcPr>
            <w:tcW w:w="3300" w:type="dxa"/>
            <w:shd w:val="clear" w:color="auto" w:fill="auto"/>
            <w:vAlign w:val="center"/>
            <w:hideMark/>
          </w:tcPr>
          <w:p w:rsidR="00CD2C97" w:rsidRPr="008A5536" w:rsidRDefault="00CD2C97" w:rsidP="00CD2C97">
            <w:pPr>
              <w:spacing w:after="0" w:line="240" w:lineRule="auto"/>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Баранина (кроме бескостного мяса), кг</w:t>
            </w:r>
          </w:p>
        </w:tc>
        <w:tc>
          <w:tcPr>
            <w:tcW w:w="1802"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616,52</w:t>
            </w:r>
          </w:p>
        </w:tc>
        <w:tc>
          <w:tcPr>
            <w:tcW w:w="1447"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99,3</w:t>
            </w:r>
          </w:p>
        </w:tc>
        <w:tc>
          <w:tcPr>
            <w:tcW w:w="1429"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95,2</w:t>
            </w:r>
          </w:p>
        </w:tc>
        <w:tc>
          <w:tcPr>
            <w:tcW w:w="1661"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95,5</w:t>
            </w:r>
          </w:p>
        </w:tc>
      </w:tr>
      <w:tr w:rsidR="00CD2C97" w:rsidRPr="008A5536" w:rsidTr="008A5536">
        <w:trPr>
          <w:trHeight w:val="276"/>
        </w:trPr>
        <w:tc>
          <w:tcPr>
            <w:tcW w:w="426"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4</w:t>
            </w:r>
          </w:p>
        </w:tc>
        <w:tc>
          <w:tcPr>
            <w:tcW w:w="3300" w:type="dxa"/>
            <w:shd w:val="clear" w:color="auto" w:fill="auto"/>
            <w:vAlign w:val="center"/>
            <w:hideMark/>
          </w:tcPr>
          <w:p w:rsidR="00CD2C97" w:rsidRPr="008A5536" w:rsidRDefault="00CD2C97" w:rsidP="00CD2C97">
            <w:pPr>
              <w:spacing w:after="0" w:line="240" w:lineRule="auto"/>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Куры охлажденные и мороженые, кг</w:t>
            </w:r>
          </w:p>
        </w:tc>
        <w:tc>
          <w:tcPr>
            <w:tcW w:w="1802"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164,71</w:t>
            </w:r>
          </w:p>
        </w:tc>
        <w:tc>
          <w:tcPr>
            <w:tcW w:w="1447"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100,5</w:t>
            </w:r>
          </w:p>
        </w:tc>
        <w:tc>
          <w:tcPr>
            <w:tcW w:w="1429"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105,9</w:t>
            </w:r>
          </w:p>
        </w:tc>
        <w:tc>
          <w:tcPr>
            <w:tcW w:w="1661"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107,6</w:t>
            </w:r>
          </w:p>
        </w:tc>
      </w:tr>
      <w:tr w:rsidR="00CD2C97" w:rsidRPr="008A5536" w:rsidTr="008A5536">
        <w:trPr>
          <w:trHeight w:val="276"/>
        </w:trPr>
        <w:tc>
          <w:tcPr>
            <w:tcW w:w="426"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5</w:t>
            </w:r>
          </w:p>
        </w:tc>
        <w:tc>
          <w:tcPr>
            <w:tcW w:w="3300" w:type="dxa"/>
            <w:shd w:val="clear" w:color="auto" w:fill="auto"/>
            <w:vAlign w:val="center"/>
            <w:hideMark/>
          </w:tcPr>
          <w:p w:rsidR="00CD2C97" w:rsidRPr="008A5536" w:rsidRDefault="00CD2C97" w:rsidP="00CD2C97">
            <w:pPr>
              <w:spacing w:after="0" w:line="240" w:lineRule="auto"/>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Рыба мороженая неразделанная, кг</w:t>
            </w:r>
          </w:p>
        </w:tc>
        <w:tc>
          <w:tcPr>
            <w:tcW w:w="1802"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208,64</w:t>
            </w:r>
          </w:p>
        </w:tc>
        <w:tc>
          <w:tcPr>
            <w:tcW w:w="1447"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102,8</w:t>
            </w:r>
          </w:p>
        </w:tc>
        <w:tc>
          <w:tcPr>
            <w:tcW w:w="1429"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106,1</w:t>
            </w:r>
          </w:p>
        </w:tc>
        <w:tc>
          <w:tcPr>
            <w:tcW w:w="1661"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108,1</w:t>
            </w:r>
          </w:p>
        </w:tc>
      </w:tr>
      <w:tr w:rsidR="00CD2C97" w:rsidRPr="008A5536" w:rsidTr="008A5536">
        <w:trPr>
          <w:trHeight w:val="276"/>
        </w:trPr>
        <w:tc>
          <w:tcPr>
            <w:tcW w:w="426"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6</w:t>
            </w:r>
          </w:p>
        </w:tc>
        <w:tc>
          <w:tcPr>
            <w:tcW w:w="3300" w:type="dxa"/>
            <w:shd w:val="clear" w:color="auto" w:fill="auto"/>
            <w:vAlign w:val="center"/>
            <w:hideMark/>
          </w:tcPr>
          <w:p w:rsidR="00CD2C97" w:rsidRPr="008A5536" w:rsidRDefault="00CD2C97" w:rsidP="00CD2C97">
            <w:pPr>
              <w:spacing w:after="0" w:line="240" w:lineRule="auto"/>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Масло сливочное, кг</w:t>
            </w:r>
          </w:p>
        </w:tc>
        <w:tc>
          <w:tcPr>
            <w:tcW w:w="1802"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1 018,79</w:t>
            </w:r>
          </w:p>
        </w:tc>
        <w:tc>
          <w:tcPr>
            <w:tcW w:w="1447"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100,3</w:t>
            </w:r>
          </w:p>
        </w:tc>
        <w:tc>
          <w:tcPr>
            <w:tcW w:w="1429"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113,2</w:t>
            </w:r>
          </w:p>
        </w:tc>
        <w:tc>
          <w:tcPr>
            <w:tcW w:w="1661"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119,0</w:t>
            </w:r>
          </w:p>
        </w:tc>
      </w:tr>
      <w:tr w:rsidR="00CD2C97" w:rsidRPr="008A5536" w:rsidTr="008A5536">
        <w:trPr>
          <w:trHeight w:val="276"/>
        </w:trPr>
        <w:tc>
          <w:tcPr>
            <w:tcW w:w="426"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7</w:t>
            </w:r>
          </w:p>
        </w:tc>
        <w:tc>
          <w:tcPr>
            <w:tcW w:w="3300" w:type="dxa"/>
            <w:shd w:val="clear" w:color="auto" w:fill="auto"/>
            <w:vAlign w:val="center"/>
            <w:hideMark/>
          </w:tcPr>
          <w:p w:rsidR="00CD2C97" w:rsidRPr="008A5536" w:rsidRDefault="00CD2C97" w:rsidP="00CD2C97">
            <w:pPr>
              <w:spacing w:after="0" w:line="240" w:lineRule="auto"/>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Масло подсолнечное, л</w:t>
            </w:r>
          </w:p>
        </w:tc>
        <w:tc>
          <w:tcPr>
            <w:tcW w:w="1802"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138,91</w:t>
            </w:r>
          </w:p>
        </w:tc>
        <w:tc>
          <w:tcPr>
            <w:tcW w:w="1447"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100,8</w:t>
            </w:r>
          </w:p>
        </w:tc>
        <w:tc>
          <w:tcPr>
            <w:tcW w:w="1429"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112,5</w:t>
            </w:r>
          </w:p>
        </w:tc>
        <w:tc>
          <w:tcPr>
            <w:tcW w:w="1661"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115,7</w:t>
            </w:r>
          </w:p>
        </w:tc>
      </w:tr>
      <w:tr w:rsidR="00CD2C97" w:rsidRPr="008A5536" w:rsidTr="008A5536">
        <w:trPr>
          <w:trHeight w:val="552"/>
        </w:trPr>
        <w:tc>
          <w:tcPr>
            <w:tcW w:w="426"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8</w:t>
            </w:r>
          </w:p>
        </w:tc>
        <w:tc>
          <w:tcPr>
            <w:tcW w:w="3300" w:type="dxa"/>
            <w:shd w:val="clear" w:color="auto" w:fill="auto"/>
            <w:vAlign w:val="center"/>
            <w:hideMark/>
          </w:tcPr>
          <w:p w:rsidR="00CD2C97" w:rsidRPr="008A5536" w:rsidRDefault="00CD2C97" w:rsidP="00CD2C97">
            <w:pPr>
              <w:spacing w:after="0" w:line="240" w:lineRule="auto"/>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Молоко питьевое цельное пастеризованное 2,5-3,2% жирности, л</w:t>
            </w:r>
          </w:p>
        </w:tc>
        <w:tc>
          <w:tcPr>
            <w:tcW w:w="1802"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81,72</w:t>
            </w:r>
          </w:p>
        </w:tc>
        <w:tc>
          <w:tcPr>
            <w:tcW w:w="1447"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101,8</w:t>
            </w:r>
          </w:p>
        </w:tc>
        <w:tc>
          <w:tcPr>
            <w:tcW w:w="1429"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112,8</w:t>
            </w:r>
          </w:p>
        </w:tc>
        <w:tc>
          <w:tcPr>
            <w:tcW w:w="1661"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115,2</w:t>
            </w:r>
          </w:p>
        </w:tc>
      </w:tr>
      <w:tr w:rsidR="00CD2C97" w:rsidRPr="008A5536" w:rsidTr="008A5536">
        <w:trPr>
          <w:trHeight w:val="276"/>
        </w:trPr>
        <w:tc>
          <w:tcPr>
            <w:tcW w:w="426"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9</w:t>
            </w:r>
          </w:p>
        </w:tc>
        <w:tc>
          <w:tcPr>
            <w:tcW w:w="3300" w:type="dxa"/>
            <w:shd w:val="clear" w:color="auto" w:fill="auto"/>
            <w:vAlign w:val="center"/>
            <w:hideMark/>
          </w:tcPr>
          <w:p w:rsidR="00CD2C97" w:rsidRPr="008A5536" w:rsidRDefault="00CD2C97" w:rsidP="00CD2C97">
            <w:pPr>
              <w:spacing w:after="0" w:line="240" w:lineRule="auto"/>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Яйца куриные, 10 шт.</w:t>
            </w:r>
          </w:p>
        </w:tc>
        <w:tc>
          <w:tcPr>
            <w:tcW w:w="1802"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86,16</w:t>
            </w:r>
          </w:p>
        </w:tc>
        <w:tc>
          <w:tcPr>
            <w:tcW w:w="1447"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104,5</w:t>
            </w:r>
          </w:p>
        </w:tc>
        <w:tc>
          <w:tcPr>
            <w:tcW w:w="1429"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93,6</w:t>
            </w:r>
          </w:p>
        </w:tc>
        <w:tc>
          <w:tcPr>
            <w:tcW w:w="1661"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100,6</w:t>
            </w:r>
          </w:p>
        </w:tc>
      </w:tr>
      <w:tr w:rsidR="00CD2C97" w:rsidRPr="008A5536" w:rsidTr="008A5536">
        <w:trPr>
          <w:trHeight w:val="276"/>
        </w:trPr>
        <w:tc>
          <w:tcPr>
            <w:tcW w:w="426"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10</w:t>
            </w:r>
          </w:p>
        </w:tc>
        <w:tc>
          <w:tcPr>
            <w:tcW w:w="3300" w:type="dxa"/>
            <w:shd w:val="clear" w:color="auto" w:fill="auto"/>
            <w:vAlign w:val="center"/>
            <w:hideMark/>
          </w:tcPr>
          <w:p w:rsidR="00CD2C97" w:rsidRPr="008A5536" w:rsidRDefault="00CD2C97" w:rsidP="00CD2C97">
            <w:pPr>
              <w:spacing w:after="0" w:line="240" w:lineRule="auto"/>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Сахар-песок, кг</w:t>
            </w:r>
          </w:p>
        </w:tc>
        <w:tc>
          <w:tcPr>
            <w:tcW w:w="1802"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62,97</w:t>
            </w:r>
          </w:p>
        </w:tc>
        <w:tc>
          <w:tcPr>
            <w:tcW w:w="1447"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95,6</w:t>
            </w:r>
          </w:p>
        </w:tc>
        <w:tc>
          <w:tcPr>
            <w:tcW w:w="1429"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110,3</w:t>
            </w:r>
          </w:p>
        </w:tc>
        <w:tc>
          <w:tcPr>
            <w:tcW w:w="1661"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118,3</w:t>
            </w:r>
          </w:p>
        </w:tc>
      </w:tr>
      <w:tr w:rsidR="00CD2C97" w:rsidRPr="008A5536" w:rsidTr="008A5536">
        <w:trPr>
          <w:trHeight w:val="276"/>
        </w:trPr>
        <w:tc>
          <w:tcPr>
            <w:tcW w:w="426"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11</w:t>
            </w:r>
          </w:p>
        </w:tc>
        <w:tc>
          <w:tcPr>
            <w:tcW w:w="3300" w:type="dxa"/>
            <w:shd w:val="clear" w:color="auto" w:fill="auto"/>
            <w:vAlign w:val="center"/>
            <w:hideMark/>
          </w:tcPr>
          <w:p w:rsidR="00CD2C97" w:rsidRPr="008A5536" w:rsidRDefault="00CD2C97" w:rsidP="00CD2C97">
            <w:pPr>
              <w:spacing w:after="0" w:line="240" w:lineRule="auto"/>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Чай черный байховый, кг</w:t>
            </w:r>
          </w:p>
        </w:tc>
        <w:tc>
          <w:tcPr>
            <w:tcW w:w="1802"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1 400,22</w:t>
            </w:r>
          </w:p>
        </w:tc>
        <w:tc>
          <w:tcPr>
            <w:tcW w:w="1447"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99,6</w:t>
            </w:r>
          </w:p>
        </w:tc>
        <w:tc>
          <w:tcPr>
            <w:tcW w:w="1429"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122,3</w:t>
            </w:r>
          </w:p>
        </w:tc>
        <w:tc>
          <w:tcPr>
            <w:tcW w:w="1661"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120,9</w:t>
            </w:r>
          </w:p>
        </w:tc>
      </w:tr>
      <w:tr w:rsidR="00CD2C97" w:rsidRPr="008A5536" w:rsidTr="008A5536">
        <w:trPr>
          <w:trHeight w:val="276"/>
        </w:trPr>
        <w:tc>
          <w:tcPr>
            <w:tcW w:w="426"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12</w:t>
            </w:r>
          </w:p>
        </w:tc>
        <w:tc>
          <w:tcPr>
            <w:tcW w:w="3300" w:type="dxa"/>
            <w:shd w:val="clear" w:color="auto" w:fill="auto"/>
            <w:vAlign w:val="center"/>
            <w:hideMark/>
          </w:tcPr>
          <w:p w:rsidR="00CD2C97" w:rsidRPr="008A5536" w:rsidRDefault="00CD2C97" w:rsidP="00CD2C97">
            <w:pPr>
              <w:spacing w:after="0" w:line="240" w:lineRule="auto"/>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Соль поваренная пищевая, кг</w:t>
            </w:r>
          </w:p>
        </w:tc>
        <w:tc>
          <w:tcPr>
            <w:tcW w:w="1802"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21,10</w:t>
            </w:r>
          </w:p>
        </w:tc>
        <w:tc>
          <w:tcPr>
            <w:tcW w:w="1447"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100,0</w:t>
            </w:r>
          </w:p>
        </w:tc>
        <w:tc>
          <w:tcPr>
            <w:tcW w:w="1429"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127,5</w:t>
            </w:r>
          </w:p>
        </w:tc>
        <w:tc>
          <w:tcPr>
            <w:tcW w:w="1661"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135,8</w:t>
            </w:r>
          </w:p>
        </w:tc>
      </w:tr>
      <w:tr w:rsidR="00CD2C97" w:rsidRPr="008A5536" w:rsidTr="008A5536">
        <w:trPr>
          <w:trHeight w:val="276"/>
        </w:trPr>
        <w:tc>
          <w:tcPr>
            <w:tcW w:w="426"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13</w:t>
            </w:r>
          </w:p>
        </w:tc>
        <w:tc>
          <w:tcPr>
            <w:tcW w:w="3300" w:type="dxa"/>
            <w:shd w:val="clear" w:color="auto" w:fill="auto"/>
            <w:vAlign w:val="center"/>
            <w:hideMark/>
          </w:tcPr>
          <w:p w:rsidR="00CD2C97" w:rsidRPr="008A5536" w:rsidRDefault="00CD2C97" w:rsidP="00CD2C97">
            <w:pPr>
              <w:spacing w:after="0" w:line="240" w:lineRule="auto"/>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Мука пшеничная, кг</w:t>
            </w:r>
          </w:p>
        </w:tc>
        <w:tc>
          <w:tcPr>
            <w:tcW w:w="1802"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61,30</w:t>
            </w:r>
          </w:p>
        </w:tc>
        <w:tc>
          <w:tcPr>
            <w:tcW w:w="1447"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99,7</w:t>
            </w:r>
          </w:p>
        </w:tc>
        <w:tc>
          <w:tcPr>
            <w:tcW w:w="1429"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109,7</w:t>
            </w:r>
          </w:p>
        </w:tc>
        <w:tc>
          <w:tcPr>
            <w:tcW w:w="1661"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121,1</w:t>
            </w:r>
          </w:p>
        </w:tc>
      </w:tr>
      <w:tr w:rsidR="00CD2C97" w:rsidRPr="008A5536" w:rsidTr="008A5536">
        <w:trPr>
          <w:trHeight w:val="552"/>
        </w:trPr>
        <w:tc>
          <w:tcPr>
            <w:tcW w:w="426"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14</w:t>
            </w:r>
          </w:p>
        </w:tc>
        <w:tc>
          <w:tcPr>
            <w:tcW w:w="3300" w:type="dxa"/>
            <w:shd w:val="clear" w:color="auto" w:fill="auto"/>
            <w:vAlign w:val="center"/>
            <w:hideMark/>
          </w:tcPr>
          <w:p w:rsidR="00CD2C97" w:rsidRPr="008A5536" w:rsidRDefault="00CD2C97" w:rsidP="00CD2C97">
            <w:pPr>
              <w:spacing w:after="0" w:line="240" w:lineRule="auto"/>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Хлеб из ржаной муки и из смеси муки ржаной и пшеничной, кг</w:t>
            </w:r>
          </w:p>
        </w:tc>
        <w:tc>
          <w:tcPr>
            <w:tcW w:w="1802"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88,46</w:t>
            </w:r>
          </w:p>
        </w:tc>
        <w:tc>
          <w:tcPr>
            <w:tcW w:w="1447"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99,5</w:t>
            </w:r>
          </w:p>
        </w:tc>
        <w:tc>
          <w:tcPr>
            <w:tcW w:w="1429"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104,7</w:t>
            </w:r>
          </w:p>
        </w:tc>
        <w:tc>
          <w:tcPr>
            <w:tcW w:w="1661"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107,2</w:t>
            </w:r>
          </w:p>
        </w:tc>
      </w:tr>
      <w:tr w:rsidR="00CD2C97" w:rsidRPr="008A5536" w:rsidTr="008A5536">
        <w:trPr>
          <w:trHeight w:val="552"/>
        </w:trPr>
        <w:tc>
          <w:tcPr>
            <w:tcW w:w="426"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15</w:t>
            </w:r>
          </w:p>
        </w:tc>
        <w:tc>
          <w:tcPr>
            <w:tcW w:w="3300" w:type="dxa"/>
            <w:shd w:val="clear" w:color="auto" w:fill="auto"/>
            <w:vAlign w:val="center"/>
            <w:hideMark/>
          </w:tcPr>
          <w:p w:rsidR="00CD2C97" w:rsidRPr="008A5536" w:rsidRDefault="00CD2C97" w:rsidP="00CD2C97">
            <w:pPr>
              <w:spacing w:after="0" w:line="240" w:lineRule="auto"/>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Хлеб и булочные изделия из пшеничной муки различных сортов, кг</w:t>
            </w:r>
          </w:p>
        </w:tc>
        <w:tc>
          <w:tcPr>
            <w:tcW w:w="1802"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110,84</w:t>
            </w:r>
          </w:p>
        </w:tc>
        <w:tc>
          <w:tcPr>
            <w:tcW w:w="1447"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99,4</w:t>
            </w:r>
          </w:p>
        </w:tc>
        <w:tc>
          <w:tcPr>
            <w:tcW w:w="1429"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105,1</w:t>
            </w:r>
          </w:p>
        </w:tc>
        <w:tc>
          <w:tcPr>
            <w:tcW w:w="1661"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108,5</w:t>
            </w:r>
          </w:p>
        </w:tc>
      </w:tr>
      <w:tr w:rsidR="00CD2C97" w:rsidRPr="008A5536" w:rsidTr="008A5536">
        <w:trPr>
          <w:trHeight w:val="276"/>
        </w:trPr>
        <w:tc>
          <w:tcPr>
            <w:tcW w:w="426"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16</w:t>
            </w:r>
          </w:p>
        </w:tc>
        <w:tc>
          <w:tcPr>
            <w:tcW w:w="3300" w:type="dxa"/>
            <w:shd w:val="clear" w:color="auto" w:fill="auto"/>
            <w:vAlign w:val="center"/>
            <w:hideMark/>
          </w:tcPr>
          <w:p w:rsidR="00CD2C97" w:rsidRPr="008A5536" w:rsidRDefault="00CD2C97" w:rsidP="00CD2C97">
            <w:pPr>
              <w:spacing w:after="0" w:line="240" w:lineRule="auto"/>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Рис шлифованный, кг</w:t>
            </w:r>
          </w:p>
        </w:tc>
        <w:tc>
          <w:tcPr>
            <w:tcW w:w="1802"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140,78</w:t>
            </w:r>
          </w:p>
        </w:tc>
        <w:tc>
          <w:tcPr>
            <w:tcW w:w="1447"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101,3</w:t>
            </w:r>
          </w:p>
        </w:tc>
        <w:tc>
          <w:tcPr>
            <w:tcW w:w="1429"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124,8</w:t>
            </w:r>
          </w:p>
        </w:tc>
        <w:tc>
          <w:tcPr>
            <w:tcW w:w="1661"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127,7</w:t>
            </w:r>
          </w:p>
        </w:tc>
      </w:tr>
      <w:tr w:rsidR="00CD2C97" w:rsidRPr="008A5536" w:rsidTr="008A5536">
        <w:trPr>
          <w:trHeight w:val="276"/>
        </w:trPr>
        <w:tc>
          <w:tcPr>
            <w:tcW w:w="426"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17</w:t>
            </w:r>
          </w:p>
        </w:tc>
        <w:tc>
          <w:tcPr>
            <w:tcW w:w="3300" w:type="dxa"/>
            <w:shd w:val="clear" w:color="auto" w:fill="auto"/>
            <w:vAlign w:val="center"/>
            <w:hideMark/>
          </w:tcPr>
          <w:p w:rsidR="00CD2C97" w:rsidRPr="008A5536" w:rsidRDefault="00CD2C97" w:rsidP="00CD2C97">
            <w:pPr>
              <w:spacing w:after="0" w:line="240" w:lineRule="auto"/>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Пшено, кг</w:t>
            </w:r>
          </w:p>
        </w:tc>
        <w:tc>
          <w:tcPr>
            <w:tcW w:w="1802"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57,60</w:t>
            </w:r>
          </w:p>
        </w:tc>
        <w:tc>
          <w:tcPr>
            <w:tcW w:w="1447"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94,9</w:t>
            </w:r>
          </w:p>
        </w:tc>
        <w:tc>
          <w:tcPr>
            <w:tcW w:w="1429"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98,0</w:t>
            </w:r>
          </w:p>
        </w:tc>
        <w:tc>
          <w:tcPr>
            <w:tcW w:w="1661"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97,4</w:t>
            </w:r>
          </w:p>
        </w:tc>
      </w:tr>
      <w:tr w:rsidR="00CD2C97" w:rsidRPr="008A5536" w:rsidTr="008A5536">
        <w:trPr>
          <w:trHeight w:val="276"/>
        </w:trPr>
        <w:tc>
          <w:tcPr>
            <w:tcW w:w="426"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18</w:t>
            </w:r>
          </w:p>
        </w:tc>
        <w:tc>
          <w:tcPr>
            <w:tcW w:w="3300" w:type="dxa"/>
            <w:shd w:val="clear" w:color="auto" w:fill="auto"/>
            <w:vAlign w:val="center"/>
            <w:hideMark/>
          </w:tcPr>
          <w:p w:rsidR="00CD2C97" w:rsidRPr="008A5536" w:rsidRDefault="00CD2C97" w:rsidP="00CD2C97">
            <w:pPr>
              <w:spacing w:after="0" w:line="240" w:lineRule="auto"/>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Крупа гречневая-ядрица, кг</w:t>
            </w:r>
          </w:p>
        </w:tc>
        <w:tc>
          <w:tcPr>
            <w:tcW w:w="1802"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139,43</w:t>
            </w:r>
          </w:p>
        </w:tc>
        <w:tc>
          <w:tcPr>
            <w:tcW w:w="1447"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93,6</w:t>
            </w:r>
          </w:p>
        </w:tc>
        <w:tc>
          <w:tcPr>
            <w:tcW w:w="1429"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100,2</w:t>
            </w:r>
          </w:p>
        </w:tc>
        <w:tc>
          <w:tcPr>
            <w:tcW w:w="1661"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109,7</w:t>
            </w:r>
          </w:p>
        </w:tc>
      </w:tr>
      <w:tr w:rsidR="00CD2C97" w:rsidRPr="008A5536" w:rsidTr="008A5536">
        <w:trPr>
          <w:trHeight w:val="276"/>
        </w:trPr>
        <w:tc>
          <w:tcPr>
            <w:tcW w:w="426"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19</w:t>
            </w:r>
          </w:p>
        </w:tc>
        <w:tc>
          <w:tcPr>
            <w:tcW w:w="3300" w:type="dxa"/>
            <w:shd w:val="clear" w:color="auto" w:fill="auto"/>
            <w:vAlign w:val="center"/>
            <w:hideMark/>
          </w:tcPr>
          <w:p w:rsidR="00CD2C97" w:rsidRPr="008A5536" w:rsidRDefault="00CD2C97" w:rsidP="00CD2C97">
            <w:pPr>
              <w:spacing w:after="0" w:line="240" w:lineRule="auto"/>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Вермишель, кг</w:t>
            </w:r>
          </w:p>
        </w:tc>
        <w:tc>
          <w:tcPr>
            <w:tcW w:w="1802"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142,81</w:t>
            </w:r>
          </w:p>
        </w:tc>
        <w:tc>
          <w:tcPr>
            <w:tcW w:w="1447"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99,5</w:t>
            </w:r>
          </w:p>
        </w:tc>
        <w:tc>
          <w:tcPr>
            <w:tcW w:w="1429"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109,9</w:t>
            </w:r>
          </w:p>
        </w:tc>
        <w:tc>
          <w:tcPr>
            <w:tcW w:w="1661"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116,4</w:t>
            </w:r>
          </w:p>
        </w:tc>
      </w:tr>
      <w:tr w:rsidR="00CD2C97" w:rsidRPr="008A5536" w:rsidTr="008A5536">
        <w:trPr>
          <w:trHeight w:val="276"/>
        </w:trPr>
        <w:tc>
          <w:tcPr>
            <w:tcW w:w="426"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20</w:t>
            </w:r>
          </w:p>
        </w:tc>
        <w:tc>
          <w:tcPr>
            <w:tcW w:w="3300" w:type="dxa"/>
            <w:shd w:val="clear" w:color="auto" w:fill="auto"/>
            <w:vAlign w:val="center"/>
            <w:hideMark/>
          </w:tcPr>
          <w:p w:rsidR="00CD2C97" w:rsidRPr="008A5536" w:rsidRDefault="00CD2C97" w:rsidP="00CD2C97">
            <w:pPr>
              <w:spacing w:after="0" w:line="240" w:lineRule="auto"/>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Картофель, кг</w:t>
            </w:r>
          </w:p>
        </w:tc>
        <w:tc>
          <w:tcPr>
            <w:tcW w:w="1802"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29,71</w:t>
            </w:r>
          </w:p>
        </w:tc>
        <w:tc>
          <w:tcPr>
            <w:tcW w:w="1447"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111,9</w:t>
            </w:r>
          </w:p>
        </w:tc>
        <w:tc>
          <w:tcPr>
            <w:tcW w:w="1429"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63,2</w:t>
            </w:r>
          </w:p>
        </w:tc>
        <w:tc>
          <w:tcPr>
            <w:tcW w:w="1661"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66,7</w:t>
            </w:r>
          </w:p>
        </w:tc>
      </w:tr>
      <w:tr w:rsidR="00CD2C97" w:rsidRPr="008A5536" w:rsidTr="008A5536">
        <w:trPr>
          <w:trHeight w:val="276"/>
        </w:trPr>
        <w:tc>
          <w:tcPr>
            <w:tcW w:w="426"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21</w:t>
            </w:r>
          </w:p>
        </w:tc>
        <w:tc>
          <w:tcPr>
            <w:tcW w:w="3300" w:type="dxa"/>
            <w:shd w:val="clear" w:color="auto" w:fill="auto"/>
            <w:vAlign w:val="center"/>
            <w:hideMark/>
          </w:tcPr>
          <w:p w:rsidR="00CD2C97" w:rsidRPr="008A5536" w:rsidRDefault="00CD2C97" w:rsidP="00CD2C97">
            <w:pPr>
              <w:spacing w:after="0" w:line="240" w:lineRule="auto"/>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Капуста белокочанная свежая, кг</w:t>
            </w:r>
          </w:p>
        </w:tc>
        <w:tc>
          <w:tcPr>
            <w:tcW w:w="1802"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21,55</w:t>
            </w:r>
          </w:p>
        </w:tc>
        <w:tc>
          <w:tcPr>
            <w:tcW w:w="1447"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94,9</w:t>
            </w:r>
          </w:p>
        </w:tc>
        <w:tc>
          <w:tcPr>
            <w:tcW w:w="1429"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39,7</w:t>
            </w:r>
          </w:p>
        </w:tc>
        <w:tc>
          <w:tcPr>
            <w:tcW w:w="1661"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52,6</w:t>
            </w:r>
          </w:p>
        </w:tc>
      </w:tr>
      <w:tr w:rsidR="00CD2C97" w:rsidRPr="008A5536" w:rsidTr="008A5536">
        <w:trPr>
          <w:trHeight w:val="276"/>
        </w:trPr>
        <w:tc>
          <w:tcPr>
            <w:tcW w:w="426"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22</w:t>
            </w:r>
          </w:p>
        </w:tc>
        <w:tc>
          <w:tcPr>
            <w:tcW w:w="3300" w:type="dxa"/>
            <w:shd w:val="clear" w:color="auto" w:fill="auto"/>
            <w:vAlign w:val="center"/>
            <w:hideMark/>
          </w:tcPr>
          <w:p w:rsidR="00CD2C97" w:rsidRPr="008A5536" w:rsidRDefault="00CD2C97" w:rsidP="00CD2C97">
            <w:pPr>
              <w:spacing w:after="0" w:line="240" w:lineRule="auto"/>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Лук репчатый, кг</w:t>
            </w:r>
          </w:p>
        </w:tc>
        <w:tc>
          <w:tcPr>
            <w:tcW w:w="1802"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28,88</w:t>
            </w:r>
          </w:p>
        </w:tc>
        <w:tc>
          <w:tcPr>
            <w:tcW w:w="1447"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104,1</w:t>
            </w:r>
          </w:p>
        </w:tc>
        <w:tc>
          <w:tcPr>
            <w:tcW w:w="1429"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97,6</w:t>
            </w:r>
          </w:p>
        </w:tc>
        <w:tc>
          <w:tcPr>
            <w:tcW w:w="1661"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92,6</w:t>
            </w:r>
          </w:p>
        </w:tc>
      </w:tr>
      <w:tr w:rsidR="00CD2C97" w:rsidRPr="008A5536" w:rsidTr="008A5536">
        <w:trPr>
          <w:trHeight w:val="276"/>
        </w:trPr>
        <w:tc>
          <w:tcPr>
            <w:tcW w:w="426"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23</w:t>
            </w:r>
          </w:p>
        </w:tc>
        <w:tc>
          <w:tcPr>
            <w:tcW w:w="3300" w:type="dxa"/>
            <w:shd w:val="clear" w:color="auto" w:fill="auto"/>
            <w:vAlign w:val="center"/>
            <w:hideMark/>
          </w:tcPr>
          <w:p w:rsidR="00CD2C97" w:rsidRPr="008A5536" w:rsidRDefault="00CD2C97" w:rsidP="00CD2C97">
            <w:pPr>
              <w:spacing w:after="0" w:line="240" w:lineRule="auto"/>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Морковь, кг</w:t>
            </w:r>
          </w:p>
        </w:tc>
        <w:tc>
          <w:tcPr>
            <w:tcW w:w="1802"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35,14</w:t>
            </w:r>
          </w:p>
        </w:tc>
        <w:tc>
          <w:tcPr>
            <w:tcW w:w="1447"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92,9</w:t>
            </w:r>
          </w:p>
        </w:tc>
        <w:tc>
          <w:tcPr>
            <w:tcW w:w="1429"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71,2</w:t>
            </w:r>
          </w:p>
        </w:tc>
        <w:tc>
          <w:tcPr>
            <w:tcW w:w="1661"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75,0</w:t>
            </w:r>
          </w:p>
        </w:tc>
      </w:tr>
      <w:tr w:rsidR="00CD2C97" w:rsidRPr="008A5536" w:rsidTr="008A5536">
        <w:trPr>
          <w:trHeight w:val="276"/>
        </w:trPr>
        <w:tc>
          <w:tcPr>
            <w:tcW w:w="426"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24</w:t>
            </w:r>
          </w:p>
        </w:tc>
        <w:tc>
          <w:tcPr>
            <w:tcW w:w="3300" w:type="dxa"/>
            <w:shd w:val="clear" w:color="auto" w:fill="auto"/>
            <w:vAlign w:val="center"/>
            <w:hideMark/>
          </w:tcPr>
          <w:p w:rsidR="00CD2C97" w:rsidRPr="008A5536" w:rsidRDefault="00CD2C97" w:rsidP="00CD2C97">
            <w:pPr>
              <w:spacing w:after="0" w:line="240" w:lineRule="auto"/>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Яблоки, кг</w:t>
            </w:r>
          </w:p>
        </w:tc>
        <w:tc>
          <w:tcPr>
            <w:tcW w:w="1802"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117,16</w:t>
            </w:r>
          </w:p>
        </w:tc>
        <w:tc>
          <w:tcPr>
            <w:tcW w:w="1447"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90,9</w:t>
            </w:r>
          </w:p>
        </w:tc>
        <w:tc>
          <w:tcPr>
            <w:tcW w:w="1429"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102,9</w:t>
            </w:r>
          </w:p>
        </w:tc>
        <w:tc>
          <w:tcPr>
            <w:tcW w:w="1661" w:type="dxa"/>
            <w:shd w:val="clear" w:color="auto" w:fill="auto"/>
            <w:noWrap/>
            <w:vAlign w:val="center"/>
            <w:hideMark/>
          </w:tcPr>
          <w:p w:rsidR="00CD2C97" w:rsidRPr="008A5536" w:rsidRDefault="00CD2C97" w:rsidP="00CD2C97">
            <w:pPr>
              <w:spacing w:after="0" w:line="240" w:lineRule="auto"/>
              <w:jc w:val="center"/>
              <w:rPr>
                <w:rFonts w:ascii="Times New Roman" w:eastAsia="Times New Roman" w:hAnsi="Times New Roman" w:cs="Times New Roman"/>
                <w:color w:val="000000"/>
                <w:lang w:eastAsia="ru-RU"/>
              </w:rPr>
            </w:pPr>
            <w:r w:rsidRPr="008A5536">
              <w:rPr>
                <w:rFonts w:ascii="Times New Roman" w:eastAsia="Times New Roman" w:hAnsi="Times New Roman" w:cs="Times New Roman"/>
                <w:color w:val="000000"/>
                <w:lang w:eastAsia="ru-RU"/>
              </w:rPr>
              <w:t>106,2</w:t>
            </w:r>
          </w:p>
        </w:tc>
      </w:tr>
    </w:tbl>
    <w:p w:rsidR="008A5536" w:rsidRDefault="008A5536" w:rsidP="00CD2C97">
      <w:pPr>
        <w:spacing w:after="0" w:line="360" w:lineRule="auto"/>
        <w:ind w:firstLine="709"/>
        <w:jc w:val="both"/>
        <w:rPr>
          <w:rFonts w:ascii="Times New Roman" w:eastAsia="Times New Roman" w:hAnsi="Times New Roman" w:cs="Times New Roman"/>
          <w:color w:val="000000"/>
          <w:sz w:val="24"/>
          <w:szCs w:val="24"/>
          <w:lang w:eastAsia="ru-RU"/>
        </w:rPr>
      </w:pPr>
    </w:p>
    <w:p w:rsidR="00CD2C97" w:rsidRPr="008A5536" w:rsidRDefault="00CD2C97" w:rsidP="008A5536">
      <w:pPr>
        <w:spacing w:after="0" w:line="360" w:lineRule="auto"/>
        <w:ind w:firstLine="709"/>
        <w:jc w:val="both"/>
        <w:rPr>
          <w:rFonts w:ascii="Times New Roman" w:eastAsia="Times New Roman" w:hAnsi="Times New Roman" w:cs="Times New Roman"/>
          <w:color w:val="000000"/>
          <w:sz w:val="24"/>
          <w:szCs w:val="24"/>
          <w:lang w:eastAsia="ru-RU"/>
        </w:rPr>
      </w:pPr>
      <w:r w:rsidRPr="008A5536">
        <w:rPr>
          <w:rFonts w:ascii="Times New Roman" w:eastAsia="Times New Roman" w:hAnsi="Times New Roman" w:cs="Times New Roman"/>
          <w:color w:val="000000"/>
          <w:sz w:val="24"/>
          <w:szCs w:val="24"/>
          <w:lang w:eastAsia="ru-RU"/>
        </w:rPr>
        <w:t>Перечень отдельных видов социально значимых продовольственных товаров, за приобретение определенного количества которых хозяйствующему субъекту, осуществляющему торговую деятельность, не допускается выплата вознаграждения, утвержден постановлением Правительства Российской Федерации от 15 июля 2010 г. N 530 и включает:</w:t>
      </w:r>
    </w:p>
    <w:p w:rsidR="00CD2C97" w:rsidRPr="008A5536" w:rsidRDefault="00CD2C97" w:rsidP="008A5536">
      <w:pPr>
        <w:numPr>
          <w:ilvl w:val="0"/>
          <w:numId w:val="24"/>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sidRPr="008A5536">
        <w:rPr>
          <w:rFonts w:ascii="Times New Roman" w:eastAsia="Times New Roman" w:hAnsi="Times New Roman" w:cs="Times New Roman"/>
          <w:color w:val="000000"/>
          <w:sz w:val="24"/>
          <w:szCs w:val="24"/>
          <w:lang w:eastAsia="ru-RU"/>
        </w:rPr>
        <w:t>Мясо кур (тушки кур, цыплят, цыплят-бройлеров) по ГОСТ 31962-2013 со сроком годности менее 10 дней.</w:t>
      </w:r>
    </w:p>
    <w:p w:rsidR="00CD2C97" w:rsidRPr="008A5536" w:rsidRDefault="00CD2C97" w:rsidP="008A5536">
      <w:pPr>
        <w:numPr>
          <w:ilvl w:val="0"/>
          <w:numId w:val="24"/>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sidRPr="008A5536">
        <w:rPr>
          <w:rFonts w:ascii="Times New Roman" w:eastAsia="Times New Roman" w:hAnsi="Times New Roman" w:cs="Times New Roman"/>
          <w:color w:val="000000"/>
          <w:sz w:val="24"/>
          <w:szCs w:val="24"/>
          <w:lang w:eastAsia="ru-RU"/>
        </w:rPr>
        <w:t>Молоко питьевое пастеризованное 2,5-3,2% жирности по ГОСТ 31450-2013 со сроком годности менее 10 дней.</w:t>
      </w:r>
    </w:p>
    <w:p w:rsidR="00CD2C97" w:rsidRPr="008A5536" w:rsidRDefault="00CD2C97" w:rsidP="008A5536">
      <w:pPr>
        <w:numPr>
          <w:ilvl w:val="0"/>
          <w:numId w:val="24"/>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sidRPr="008A5536">
        <w:rPr>
          <w:rFonts w:ascii="Times New Roman" w:eastAsia="Times New Roman" w:hAnsi="Times New Roman" w:cs="Times New Roman"/>
          <w:color w:val="000000"/>
          <w:sz w:val="24"/>
          <w:szCs w:val="24"/>
          <w:lang w:eastAsia="ru-RU"/>
        </w:rPr>
        <w:t>Хлеб и хлебобулочные изделия из пшеничной муки, ржаной муки и смеси ржаной и пшеничной муки со сроком годности менее 10 дней.</w:t>
      </w:r>
    </w:p>
    <w:p w:rsidR="00CD2C97" w:rsidRPr="008A5536" w:rsidRDefault="00CD2C97" w:rsidP="008A5536">
      <w:pPr>
        <w:spacing w:after="0" w:line="360" w:lineRule="auto"/>
        <w:ind w:firstLine="709"/>
        <w:jc w:val="both"/>
        <w:rPr>
          <w:rFonts w:ascii="Times New Roman" w:eastAsia="Times New Roman" w:hAnsi="Times New Roman" w:cs="Times New Roman"/>
          <w:color w:val="000000"/>
          <w:sz w:val="24"/>
          <w:szCs w:val="24"/>
          <w:lang w:eastAsia="ru-RU"/>
        </w:rPr>
      </w:pPr>
      <w:r w:rsidRPr="008A5536">
        <w:rPr>
          <w:rFonts w:ascii="Times New Roman" w:eastAsia="Times New Roman" w:hAnsi="Times New Roman" w:cs="Times New Roman"/>
          <w:color w:val="000000"/>
          <w:sz w:val="24"/>
          <w:szCs w:val="24"/>
          <w:lang w:eastAsia="ru-RU"/>
        </w:rPr>
        <w:t>Вышеуказанные категории продовольственных товаров относятся к группам товаров, включенным в перечень социально значимых товаров. Таким образом, уровень цен (средние потребительские цены) на указанные товары и их динамика (индексы потребительских цен) в 2022 г. в Ленинградской области, а также в граничащих субъектах Российской Федерации и в Российской Федерации, соответствуют аналогичным показателям по перечню социально значимых товаров, которые рассматриваются далее.</w:t>
      </w:r>
    </w:p>
    <w:p w:rsidR="00CD2C97" w:rsidRPr="008A5536" w:rsidRDefault="00CD2C97" w:rsidP="008A5536">
      <w:pPr>
        <w:spacing w:after="0" w:line="360" w:lineRule="auto"/>
        <w:ind w:firstLine="709"/>
        <w:jc w:val="both"/>
        <w:rPr>
          <w:rFonts w:ascii="Times New Roman" w:eastAsia="Times New Roman" w:hAnsi="Times New Roman" w:cs="Times New Roman"/>
          <w:color w:val="000000"/>
          <w:sz w:val="24"/>
          <w:szCs w:val="24"/>
          <w:lang w:eastAsia="ru-RU"/>
        </w:rPr>
      </w:pPr>
      <w:r w:rsidRPr="008A5536">
        <w:rPr>
          <w:rFonts w:ascii="Times New Roman" w:eastAsia="Times New Roman" w:hAnsi="Times New Roman" w:cs="Times New Roman"/>
          <w:color w:val="000000"/>
          <w:sz w:val="24"/>
          <w:szCs w:val="24"/>
          <w:lang w:eastAsia="ru-RU"/>
        </w:rPr>
        <w:t>По данным Росстата, из 24 позиций перечня социально значимых товаров в Ленинградской области цены на 16 товаров повысились в октябре 2022 г. в сравнении с началом года (декабрем 2021 г.) Если рассматривать индексы потребительских цен в октябре 2022 г. к декабрю 2021 г., наибольшее увеличение цен зафиксировано на следующие товары: соль поваренная пищевая (на 27,5%), рис шлифованный (на 24,8%), чай черный байховый (на 22,3%). Десятипроцентный барьер роста преодолели цены на говядину (114,9%), масло сливочное (113,2%), молоко (112,8%), масло подсолнечное (112,5%), сахар-песок (110,3%). Наибольшее снижение цен наблюдается в категории овощей: капуста белокочанная свежая подешевела на 60,3%, картофель - на 36,8%, морковь - на 28,8%, также подешевел лук репчатый на 2,4%. Снижение цен произошло на два вида мяса – баранину и свинину (на 4,8% и 4,1% соответственно). Пшено подешевело на 2,0%. По остальным продуктам из перечня товаров прирост цен не превысил 10% по сравнению с началом 2022 г. (показателем на декабрь 2021 г.)</w:t>
      </w:r>
    </w:p>
    <w:p w:rsidR="00CD2C97" w:rsidRPr="008A5536" w:rsidRDefault="00CD2C97" w:rsidP="008A5536">
      <w:pPr>
        <w:spacing w:after="0" w:line="360" w:lineRule="auto"/>
        <w:ind w:firstLine="709"/>
        <w:jc w:val="both"/>
        <w:rPr>
          <w:rFonts w:ascii="Times New Roman" w:eastAsia="Times New Roman" w:hAnsi="Times New Roman" w:cs="Times New Roman"/>
          <w:color w:val="000000"/>
          <w:sz w:val="24"/>
          <w:szCs w:val="24"/>
          <w:lang w:eastAsia="ru-RU"/>
        </w:rPr>
      </w:pPr>
      <w:r w:rsidRPr="008A5536">
        <w:rPr>
          <w:rFonts w:ascii="Times New Roman" w:eastAsia="Times New Roman" w:hAnsi="Times New Roman" w:cs="Times New Roman"/>
          <w:color w:val="000000"/>
          <w:sz w:val="24"/>
          <w:szCs w:val="24"/>
          <w:lang w:eastAsia="ru-RU"/>
        </w:rPr>
        <w:t xml:space="preserve">Динамика цен (индекс потребительских цен) на продовольственные товары, включенные в перечень социально значимых товаров, в Ленинградской области в 2022 г. (октябрь 2022 г. в % к декабрю 2021 г.) показана в рисунке </w:t>
      </w:r>
      <w:r w:rsidR="008A5536">
        <w:rPr>
          <w:rFonts w:ascii="Times New Roman" w:eastAsia="Times New Roman" w:hAnsi="Times New Roman" w:cs="Times New Roman"/>
          <w:color w:val="000000"/>
          <w:sz w:val="24"/>
          <w:szCs w:val="24"/>
          <w:lang w:eastAsia="ru-RU"/>
        </w:rPr>
        <w:t>65</w:t>
      </w:r>
      <w:r w:rsidRPr="008A5536">
        <w:rPr>
          <w:rFonts w:ascii="Times New Roman" w:eastAsia="Times New Roman" w:hAnsi="Times New Roman" w:cs="Times New Roman"/>
          <w:color w:val="000000"/>
          <w:sz w:val="24"/>
          <w:szCs w:val="24"/>
          <w:lang w:eastAsia="ru-RU"/>
        </w:rPr>
        <w:t>.</w:t>
      </w:r>
    </w:p>
    <w:p w:rsidR="00CD2C97" w:rsidRPr="00CD2C97" w:rsidRDefault="00CD2C97" w:rsidP="008A5536">
      <w:pPr>
        <w:keepNext/>
        <w:keepLines/>
        <w:spacing w:before="120" w:after="120" w:line="240" w:lineRule="auto"/>
        <w:jc w:val="center"/>
        <w:rPr>
          <w:rFonts w:ascii="Times New Roman" w:eastAsia="Calibri" w:hAnsi="Times New Roman" w:cs="Times New Roman"/>
          <w:color w:val="000000"/>
          <w:sz w:val="24"/>
          <w:szCs w:val="24"/>
        </w:rPr>
      </w:pPr>
      <w:r w:rsidRPr="00CD2C97">
        <w:rPr>
          <w:rFonts w:ascii="Times New Roman" w:eastAsia="Calibri" w:hAnsi="Times New Roman" w:cs="Times New Roman"/>
          <w:color w:val="000000"/>
          <w:sz w:val="24"/>
          <w:szCs w:val="24"/>
        </w:rPr>
        <w:t xml:space="preserve">Рисунок </w:t>
      </w:r>
      <w:r w:rsidR="008A5536">
        <w:rPr>
          <w:rFonts w:ascii="Times New Roman" w:eastAsia="Calibri" w:hAnsi="Times New Roman" w:cs="Times New Roman"/>
          <w:color w:val="000000"/>
          <w:sz w:val="24"/>
          <w:szCs w:val="24"/>
        </w:rPr>
        <w:t>65</w:t>
      </w:r>
      <w:r w:rsidRPr="00CD2C97">
        <w:rPr>
          <w:rFonts w:ascii="Times New Roman" w:eastAsia="Calibri" w:hAnsi="Times New Roman" w:cs="Times New Roman"/>
          <w:color w:val="000000"/>
          <w:sz w:val="24"/>
          <w:szCs w:val="24"/>
        </w:rPr>
        <w:t>. Индексы потребительских цен на продовольственные товары, включенные в перечень социально значимых товаров, в Ленинградской области в октябре 2022 г. в % к декабрю 2021г.</w:t>
      </w:r>
    </w:p>
    <w:p w:rsidR="00CD2C97" w:rsidRPr="00CD2C97" w:rsidRDefault="00CD2C97" w:rsidP="00CD2C97">
      <w:pPr>
        <w:spacing w:before="120" w:after="120" w:line="240" w:lineRule="auto"/>
        <w:jc w:val="both"/>
        <w:rPr>
          <w:rFonts w:ascii="Times New Roman" w:eastAsia="Calibri" w:hAnsi="Times New Roman" w:cs="Times New Roman"/>
          <w:color w:val="000000"/>
          <w:sz w:val="24"/>
          <w:szCs w:val="24"/>
        </w:rPr>
      </w:pPr>
      <w:r w:rsidRPr="00CD2C97">
        <w:rPr>
          <w:rFonts w:ascii="Times New Roman" w:eastAsia="Calibri" w:hAnsi="Times New Roman" w:cs="Times New Roman"/>
          <w:noProof/>
          <w:color w:val="000000"/>
          <w:sz w:val="24"/>
          <w:szCs w:val="24"/>
          <w:lang w:eastAsia="ru-RU"/>
        </w:rPr>
        <w:drawing>
          <wp:inline distT="0" distB="0" distL="0" distR="0" wp14:anchorId="0D08DFCC" wp14:editId="287E589F">
            <wp:extent cx="6172835" cy="5753100"/>
            <wp:effectExtent l="0" t="0" r="0" b="0"/>
            <wp:docPr id="1081" name="Диаграмма 10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051D4C" w:rsidRPr="00051D4C" w:rsidRDefault="00CD2C97" w:rsidP="00BA4BCB">
      <w:pPr>
        <w:autoSpaceDE w:val="0"/>
        <w:autoSpaceDN w:val="0"/>
        <w:adjustRightInd w:val="0"/>
        <w:spacing w:after="0" w:line="360" w:lineRule="auto"/>
        <w:ind w:firstLine="709"/>
        <w:jc w:val="both"/>
        <w:rPr>
          <w:rFonts w:ascii="Times New Roman" w:eastAsia="Times New Roman" w:hAnsi="Times New Roman" w:cs="Times New Roman"/>
          <w:b/>
          <w:color w:val="000000"/>
          <w:sz w:val="24"/>
          <w:szCs w:val="24"/>
          <w:lang w:eastAsia="ru-RU" w:bidi="ru-RU"/>
        </w:rPr>
      </w:pPr>
      <w:r>
        <w:rPr>
          <w:rFonts w:ascii="Times New Roman" w:eastAsia="Times New Roman" w:hAnsi="Times New Roman" w:cs="Times New Roman"/>
          <w:b/>
          <w:color w:val="000000"/>
          <w:sz w:val="24"/>
          <w:szCs w:val="24"/>
          <w:lang w:eastAsia="ru-RU" w:bidi="ru-RU"/>
        </w:rPr>
        <w:t xml:space="preserve">3.9. </w:t>
      </w:r>
      <w:r w:rsidR="00051D4C" w:rsidRPr="00051D4C">
        <w:rPr>
          <w:rFonts w:ascii="Times New Roman" w:eastAsia="Times New Roman" w:hAnsi="Times New Roman" w:cs="Times New Roman"/>
          <w:b/>
          <w:color w:val="000000"/>
          <w:sz w:val="24"/>
          <w:szCs w:val="24"/>
          <w:lang w:eastAsia="ru-RU" w:bidi="ru-RU"/>
        </w:rPr>
        <w:t>Результаты мониторинга логистических возможностей субъекта Российской Федерации.</w:t>
      </w:r>
    </w:p>
    <w:p w:rsidR="003609FA" w:rsidRPr="003609FA" w:rsidRDefault="003609FA" w:rsidP="003609FA">
      <w:pPr>
        <w:widowControl w:val="0"/>
        <w:spacing w:after="0" w:line="360" w:lineRule="auto"/>
        <w:ind w:firstLine="709"/>
        <w:jc w:val="center"/>
        <w:rPr>
          <w:rFonts w:ascii="Times New Roman" w:eastAsia="Courier New" w:hAnsi="Times New Roman" w:cs="Times New Roman"/>
          <w:b/>
          <w:color w:val="000000"/>
          <w:spacing w:val="2"/>
          <w:sz w:val="24"/>
          <w:szCs w:val="24"/>
          <w:shd w:val="clear" w:color="auto" w:fill="FFFFFF"/>
          <w:lang w:eastAsia="ru-RU" w:bidi="ru-RU"/>
        </w:rPr>
      </w:pPr>
      <w:r w:rsidRPr="003609FA">
        <w:rPr>
          <w:rFonts w:ascii="Times New Roman" w:eastAsia="Courier New" w:hAnsi="Times New Roman" w:cs="Times New Roman"/>
          <w:b/>
          <w:color w:val="000000"/>
          <w:spacing w:val="2"/>
          <w:sz w:val="24"/>
          <w:szCs w:val="24"/>
          <w:shd w:val="clear" w:color="auto" w:fill="FFFFFF"/>
          <w:lang w:eastAsia="ru-RU" w:bidi="ru-RU"/>
        </w:rPr>
        <w:t>3.9.1. О наличии транспортной инфраструктуры в Ленинградской области</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Благодаря выгодному географическому расположению на направлении международных транспортных коридоров и соседству с Санкт-Петербургом, транспортная система Ленинградской области играет важную роль для всей Российской Федерации. </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В состав транспортной системы Ленинградской области входит железнодорожный, автомобильный, морской, внутренний водный и трубопроводный транспорт.</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По территории области проходит 3000 км железнодорожных путей и 1843 км внутренних водных путей.</w:t>
      </w:r>
    </w:p>
    <w:p w:rsidR="003609FA" w:rsidRPr="003609FA" w:rsidRDefault="003609FA" w:rsidP="003609FA">
      <w:pPr>
        <w:widowControl w:val="0"/>
        <w:spacing w:after="0" w:line="360" w:lineRule="auto"/>
        <w:ind w:firstLine="709"/>
        <w:jc w:val="both"/>
        <w:rPr>
          <w:rFonts w:ascii="Times New Roman" w:eastAsia="Courier New" w:hAnsi="Times New Roman" w:cs="Times New Roman"/>
          <w:bCs/>
          <w:color w:val="000000"/>
          <w:spacing w:val="2"/>
          <w:sz w:val="24"/>
          <w:szCs w:val="24"/>
          <w:shd w:val="clear" w:color="auto" w:fill="FFFFFF"/>
          <w:lang w:eastAsia="ru-RU" w:bidi="ru-RU"/>
        </w:rPr>
      </w:pPr>
      <w:r w:rsidRPr="003609FA">
        <w:rPr>
          <w:rFonts w:ascii="Times New Roman" w:eastAsia="Courier New" w:hAnsi="Times New Roman" w:cs="Times New Roman"/>
          <w:bCs/>
          <w:color w:val="000000"/>
          <w:spacing w:val="2"/>
          <w:sz w:val="24"/>
          <w:szCs w:val="24"/>
          <w:shd w:val="clear" w:color="auto" w:fill="FFFFFF"/>
          <w:lang w:eastAsia="ru-RU" w:bidi="ru-RU"/>
        </w:rPr>
        <w:t>Перечень автомобильных дорог регионального значения определен постановлением Правительства Ленинградской области от 27.11.2007 № 294 «Об утверждении перечня автомобильных дорог общего пользования регионального значения».</w:t>
      </w:r>
    </w:p>
    <w:p w:rsidR="003609FA" w:rsidRPr="003609FA" w:rsidRDefault="003609FA" w:rsidP="003609FA">
      <w:pPr>
        <w:widowControl w:val="0"/>
        <w:spacing w:after="0" w:line="360" w:lineRule="auto"/>
        <w:ind w:firstLine="709"/>
        <w:jc w:val="both"/>
        <w:rPr>
          <w:rFonts w:ascii="Times New Roman" w:eastAsia="Courier New" w:hAnsi="Times New Roman" w:cs="Times New Roman"/>
          <w:bCs/>
          <w:color w:val="000000"/>
          <w:spacing w:val="2"/>
          <w:sz w:val="24"/>
          <w:szCs w:val="24"/>
          <w:shd w:val="clear" w:color="auto" w:fill="FFFFFF"/>
          <w:lang w:eastAsia="ru-RU" w:bidi="ru-RU"/>
        </w:rPr>
      </w:pPr>
      <w:r w:rsidRPr="003609FA">
        <w:rPr>
          <w:rFonts w:ascii="Times New Roman" w:eastAsia="Courier New" w:hAnsi="Times New Roman" w:cs="Times New Roman"/>
          <w:bCs/>
          <w:color w:val="000000"/>
          <w:spacing w:val="2"/>
          <w:sz w:val="24"/>
          <w:szCs w:val="24"/>
          <w:shd w:val="clear" w:color="auto" w:fill="FFFFFF"/>
          <w:lang w:eastAsia="ru-RU" w:bidi="ru-RU"/>
        </w:rPr>
        <w:t>Протяженность автомобильных дорог регионального значения на 2022 год составляет 9,2 тыс. км, в том числе с усовершенствованным покрытием – 5,6 км (более 61 %). Преимущественно автомобильные дороги имеют IV техническую категорию (5,6 тыс. км или 61 %), протяженность автомо</w:t>
      </w:r>
      <w:r>
        <w:rPr>
          <w:rFonts w:ascii="Times New Roman" w:eastAsia="Courier New" w:hAnsi="Times New Roman" w:cs="Times New Roman"/>
          <w:bCs/>
          <w:color w:val="000000"/>
          <w:spacing w:val="2"/>
          <w:sz w:val="24"/>
          <w:szCs w:val="24"/>
          <w:shd w:val="clear" w:color="auto" w:fill="FFFFFF"/>
          <w:lang w:eastAsia="ru-RU" w:bidi="ru-RU"/>
        </w:rPr>
        <w:t>бильных дорог</w:t>
      </w:r>
      <w:r w:rsidRPr="003609FA">
        <w:rPr>
          <w:rFonts w:ascii="Times New Roman" w:eastAsia="Courier New" w:hAnsi="Times New Roman" w:cs="Times New Roman"/>
          <w:bCs/>
          <w:color w:val="000000"/>
          <w:spacing w:val="2"/>
          <w:sz w:val="24"/>
          <w:szCs w:val="24"/>
          <w:shd w:val="clear" w:color="auto" w:fill="FFFFFF"/>
          <w:lang w:eastAsia="ru-RU" w:bidi="ru-RU"/>
        </w:rPr>
        <w:t xml:space="preserve"> III технической категории – 2,2 тыс. км (24 %), V технической категории – 1 тыс. км (11 %), II технической категории – 0,4 тыс. км (4 %),  I технической категории составляет менее 9 км  (1 %). </w:t>
      </w:r>
    </w:p>
    <w:p w:rsidR="003609FA" w:rsidRPr="003609FA" w:rsidRDefault="003609FA" w:rsidP="003609FA">
      <w:pPr>
        <w:widowControl w:val="0"/>
        <w:spacing w:after="0" w:line="360" w:lineRule="auto"/>
        <w:ind w:firstLine="709"/>
        <w:jc w:val="both"/>
        <w:rPr>
          <w:rFonts w:ascii="Times New Roman" w:eastAsia="Courier New" w:hAnsi="Times New Roman" w:cs="Times New Roman"/>
          <w:bCs/>
          <w:color w:val="000000"/>
          <w:spacing w:val="2"/>
          <w:sz w:val="24"/>
          <w:szCs w:val="24"/>
          <w:shd w:val="clear" w:color="auto" w:fill="FFFFFF"/>
          <w:lang w:eastAsia="ru-RU" w:bidi="ru-RU"/>
        </w:rPr>
      </w:pPr>
      <w:r w:rsidRPr="003609FA">
        <w:rPr>
          <w:rFonts w:ascii="Times New Roman" w:eastAsia="Courier New" w:hAnsi="Times New Roman" w:cs="Times New Roman"/>
          <w:bCs/>
          <w:color w:val="000000"/>
          <w:spacing w:val="2"/>
          <w:sz w:val="24"/>
          <w:szCs w:val="24"/>
          <w:shd w:val="clear" w:color="auto" w:fill="FFFFFF"/>
          <w:lang w:eastAsia="ru-RU" w:bidi="ru-RU"/>
        </w:rPr>
        <w:t>На пересечении автомобильны</w:t>
      </w:r>
      <w:r>
        <w:rPr>
          <w:rFonts w:ascii="Times New Roman" w:eastAsia="Courier New" w:hAnsi="Times New Roman" w:cs="Times New Roman"/>
          <w:bCs/>
          <w:color w:val="000000"/>
          <w:spacing w:val="2"/>
          <w:sz w:val="24"/>
          <w:szCs w:val="24"/>
          <w:shd w:val="clear" w:color="auto" w:fill="FFFFFF"/>
          <w:lang w:eastAsia="ru-RU" w:bidi="ru-RU"/>
        </w:rPr>
        <w:t xml:space="preserve">х дорог регионального значения </w:t>
      </w:r>
      <w:r w:rsidRPr="003609FA">
        <w:rPr>
          <w:rFonts w:ascii="Times New Roman" w:eastAsia="Courier New" w:hAnsi="Times New Roman" w:cs="Times New Roman"/>
          <w:bCs/>
          <w:color w:val="000000"/>
          <w:spacing w:val="2"/>
          <w:sz w:val="24"/>
          <w:szCs w:val="24"/>
          <w:shd w:val="clear" w:color="auto" w:fill="FFFFFF"/>
          <w:lang w:eastAsia="ru-RU" w:bidi="ru-RU"/>
        </w:rPr>
        <w:t>с искусственными и естественными преградами имеется порядка 560 дорожных искусственных сооружений (мостов и путепроводов),</w:t>
      </w:r>
      <w:r>
        <w:rPr>
          <w:rFonts w:ascii="Times New Roman" w:eastAsia="Courier New" w:hAnsi="Times New Roman" w:cs="Times New Roman"/>
          <w:bCs/>
          <w:color w:val="000000"/>
          <w:spacing w:val="2"/>
          <w:sz w:val="24"/>
          <w:szCs w:val="24"/>
          <w:shd w:val="clear" w:color="auto" w:fill="FFFFFF"/>
          <w:lang w:eastAsia="ru-RU" w:bidi="ru-RU"/>
        </w:rPr>
        <w:t xml:space="preserve"> протяженностью более </w:t>
      </w:r>
      <w:r w:rsidRPr="003609FA">
        <w:rPr>
          <w:rFonts w:ascii="Times New Roman" w:eastAsia="Courier New" w:hAnsi="Times New Roman" w:cs="Times New Roman"/>
          <w:bCs/>
          <w:color w:val="000000"/>
          <w:spacing w:val="2"/>
          <w:sz w:val="24"/>
          <w:szCs w:val="24"/>
          <w:shd w:val="clear" w:color="auto" w:fill="FFFFFF"/>
          <w:lang w:eastAsia="ru-RU" w:bidi="ru-RU"/>
        </w:rPr>
        <w:t xml:space="preserve">22 тыс. пог. м. Свыше 180 из них находятся в неудовлетворительном техническом состоянии и нуждаются в реконструкции и капитальном ремонте. </w:t>
      </w:r>
    </w:p>
    <w:p w:rsidR="00CD2C97" w:rsidRDefault="003609FA" w:rsidP="003609FA">
      <w:pPr>
        <w:widowControl w:val="0"/>
        <w:spacing w:after="0" w:line="360" w:lineRule="auto"/>
        <w:ind w:firstLine="709"/>
        <w:jc w:val="both"/>
        <w:rPr>
          <w:rFonts w:ascii="Times New Roman" w:eastAsia="Courier New" w:hAnsi="Times New Roman" w:cs="Times New Roman"/>
          <w:bCs/>
          <w:color w:val="000000"/>
          <w:spacing w:val="2"/>
          <w:sz w:val="24"/>
          <w:szCs w:val="24"/>
          <w:shd w:val="clear" w:color="auto" w:fill="FFFFFF"/>
          <w:lang w:eastAsia="ru-RU" w:bidi="ru-RU"/>
        </w:rPr>
      </w:pPr>
      <w:r w:rsidRPr="003609FA">
        <w:rPr>
          <w:rFonts w:ascii="Times New Roman" w:eastAsia="Courier New" w:hAnsi="Times New Roman" w:cs="Times New Roman"/>
          <w:bCs/>
          <w:color w:val="000000"/>
          <w:spacing w:val="2"/>
          <w:sz w:val="24"/>
          <w:szCs w:val="24"/>
          <w:shd w:val="clear" w:color="auto" w:fill="FFFFFF"/>
          <w:lang w:eastAsia="ru-RU" w:bidi="ru-RU"/>
        </w:rPr>
        <w:t>На пересечении автомобильных дорог с железнодорожными путями на территории Ленинградской области имеется более 270 железнодорожных переездов в одном уровне.</w:t>
      </w:r>
    </w:p>
    <w:p w:rsidR="003609FA" w:rsidRDefault="003609FA" w:rsidP="00CD2C97">
      <w:pPr>
        <w:widowControl w:val="0"/>
        <w:spacing w:after="0" w:line="360" w:lineRule="auto"/>
        <w:ind w:firstLine="709"/>
        <w:jc w:val="both"/>
        <w:rPr>
          <w:rFonts w:ascii="Times New Roman" w:eastAsia="Courier New" w:hAnsi="Times New Roman" w:cs="Times New Roman"/>
          <w:color w:val="000000"/>
          <w:spacing w:val="2"/>
          <w:sz w:val="24"/>
          <w:szCs w:val="24"/>
          <w:u w:val="single"/>
          <w:shd w:val="clear" w:color="auto" w:fill="FFFFFF"/>
          <w:lang w:eastAsia="ru-RU" w:bidi="ru-RU"/>
        </w:rPr>
      </w:pPr>
    </w:p>
    <w:p w:rsidR="00CD2C97" w:rsidRPr="003609FA" w:rsidRDefault="003609FA" w:rsidP="003609FA">
      <w:pPr>
        <w:widowControl w:val="0"/>
        <w:spacing w:after="0" w:line="360" w:lineRule="auto"/>
        <w:ind w:firstLine="709"/>
        <w:jc w:val="center"/>
        <w:rPr>
          <w:rFonts w:ascii="Times New Roman" w:eastAsia="Courier New" w:hAnsi="Times New Roman" w:cs="Times New Roman"/>
          <w:b/>
          <w:color w:val="000000"/>
          <w:spacing w:val="2"/>
          <w:sz w:val="24"/>
          <w:szCs w:val="24"/>
          <w:shd w:val="clear" w:color="auto" w:fill="FFFFFF"/>
          <w:lang w:eastAsia="ru-RU" w:bidi="ru-RU"/>
        </w:rPr>
      </w:pPr>
      <w:r w:rsidRPr="003609FA">
        <w:rPr>
          <w:rFonts w:ascii="Times New Roman" w:eastAsia="Courier New" w:hAnsi="Times New Roman" w:cs="Times New Roman"/>
          <w:b/>
          <w:color w:val="000000"/>
          <w:spacing w:val="2"/>
          <w:sz w:val="24"/>
          <w:szCs w:val="24"/>
          <w:shd w:val="clear" w:color="auto" w:fill="FFFFFF"/>
          <w:lang w:eastAsia="ru-RU" w:bidi="ru-RU"/>
        </w:rPr>
        <w:t>3.9.2</w:t>
      </w:r>
      <w:r>
        <w:rPr>
          <w:rFonts w:ascii="Times New Roman" w:eastAsia="Courier New" w:hAnsi="Times New Roman" w:cs="Times New Roman"/>
          <w:b/>
          <w:color w:val="000000"/>
          <w:spacing w:val="2"/>
          <w:sz w:val="24"/>
          <w:szCs w:val="24"/>
          <w:shd w:val="clear" w:color="auto" w:fill="FFFFFF"/>
          <w:lang w:eastAsia="ru-RU" w:bidi="ru-RU"/>
        </w:rPr>
        <w:t>.</w:t>
      </w:r>
      <w:r w:rsidRPr="003609FA">
        <w:rPr>
          <w:rFonts w:ascii="Times New Roman" w:eastAsia="Courier New" w:hAnsi="Times New Roman" w:cs="Times New Roman"/>
          <w:b/>
          <w:color w:val="000000"/>
          <w:spacing w:val="2"/>
          <w:sz w:val="24"/>
          <w:szCs w:val="24"/>
          <w:shd w:val="clear" w:color="auto" w:fill="FFFFFF"/>
          <w:lang w:eastAsia="ru-RU" w:bidi="ru-RU"/>
        </w:rPr>
        <w:t xml:space="preserve"> </w:t>
      </w:r>
      <w:r w:rsidR="00CD2C97" w:rsidRPr="003609FA">
        <w:rPr>
          <w:rFonts w:ascii="Times New Roman" w:eastAsia="Courier New" w:hAnsi="Times New Roman" w:cs="Times New Roman"/>
          <w:b/>
          <w:color w:val="000000"/>
          <w:spacing w:val="2"/>
          <w:sz w:val="24"/>
          <w:szCs w:val="24"/>
          <w:shd w:val="clear" w:color="auto" w:fill="FFFFFF"/>
          <w:lang w:eastAsia="ru-RU" w:bidi="ru-RU"/>
        </w:rPr>
        <w:t>Об обеспеченности Ленинградской области транспортной инфраструктурой местного, регионального и межрегионального значения</w:t>
      </w:r>
    </w:p>
    <w:p w:rsidR="003609FA" w:rsidRPr="003609FA" w:rsidRDefault="003609FA"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3609FA">
        <w:rPr>
          <w:rFonts w:ascii="Times New Roman" w:eastAsia="Courier New" w:hAnsi="Times New Roman" w:cs="Times New Roman"/>
          <w:color w:val="000000"/>
          <w:spacing w:val="2"/>
          <w:sz w:val="24"/>
          <w:szCs w:val="24"/>
          <w:shd w:val="clear" w:color="auto" w:fill="FFFFFF"/>
          <w:lang w:eastAsia="ru-RU" w:bidi="ru-RU"/>
        </w:rPr>
        <w:t>Работу по перевозке пассажиров и багажа на смежных межрегиональных, межмуниципальных и муниципальных автобусных маршрутах Ленинградской области осуществляет 51 перевозчик.</w:t>
      </w:r>
    </w:p>
    <w:p w:rsidR="00CD2C97" w:rsidRPr="003609FA"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3609FA">
        <w:rPr>
          <w:rFonts w:ascii="Times New Roman" w:eastAsia="Courier New" w:hAnsi="Times New Roman" w:cs="Times New Roman"/>
          <w:bCs/>
          <w:color w:val="000000"/>
          <w:spacing w:val="2"/>
          <w:sz w:val="24"/>
          <w:szCs w:val="24"/>
          <w:shd w:val="clear" w:color="auto" w:fill="FFFFFF"/>
          <w:lang w:eastAsia="ru-RU" w:bidi="ru-RU"/>
        </w:rPr>
        <w:t>Перевозка пассажиров по Ленинградской области:</w:t>
      </w:r>
    </w:p>
    <w:p w:rsidR="00CD2C97" w:rsidRPr="003609FA" w:rsidRDefault="00CD2C97" w:rsidP="003609FA">
      <w:pPr>
        <w:pStyle w:val="a4"/>
        <w:widowControl w:val="0"/>
        <w:numPr>
          <w:ilvl w:val="0"/>
          <w:numId w:val="36"/>
        </w:numPr>
        <w:spacing w:after="0" w:line="360" w:lineRule="auto"/>
        <w:jc w:val="both"/>
        <w:rPr>
          <w:rFonts w:ascii="Times New Roman" w:eastAsia="Courier New" w:hAnsi="Times New Roman" w:cs="Times New Roman"/>
          <w:color w:val="000000"/>
          <w:spacing w:val="2"/>
          <w:sz w:val="24"/>
          <w:szCs w:val="24"/>
          <w:shd w:val="clear" w:color="auto" w:fill="FFFFFF"/>
          <w:lang w:eastAsia="ru-RU" w:bidi="ru-RU"/>
        </w:rPr>
      </w:pPr>
      <w:r w:rsidRPr="003609FA">
        <w:rPr>
          <w:rFonts w:ascii="Times New Roman" w:eastAsia="Courier New" w:hAnsi="Times New Roman" w:cs="Times New Roman"/>
          <w:color w:val="000000"/>
          <w:spacing w:val="2"/>
          <w:sz w:val="24"/>
          <w:szCs w:val="24"/>
          <w:shd w:val="clear" w:color="auto" w:fill="FFFFFF"/>
          <w:lang w:eastAsia="ru-RU" w:bidi="ru-RU"/>
        </w:rPr>
        <w:t>автобусами</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В 2022 году проведены мероприятия по оптимизации параметров работы следующих маршрутов Ленинградской области с учётом потребности населения региона:</w:t>
      </w:r>
    </w:p>
    <w:p w:rsidR="00CD2C97" w:rsidRPr="00CD2C97" w:rsidRDefault="00CD2C97" w:rsidP="00080A73">
      <w:pPr>
        <w:widowControl w:val="0"/>
        <w:numPr>
          <w:ilvl w:val="0"/>
          <w:numId w:val="32"/>
        </w:numPr>
        <w:spacing w:after="0" w:line="360" w:lineRule="auto"/>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448 «Юкки-2 – г. Санкт-Петербург,ст. метро «Проспект Просвещения», организован заезд в Юкки-2;</w:t>
      </w:r>
    </w:p>
    <w:p w:rsidR="00CD2C97" w:rsidRPr="00CD2C97" w:rsidRDefault="00CD2C97" w:rsidP="00080A73">
      <w:pPr>
        <w:widowControl w:val="0"/>
        <w:numPr>
          <w:ilvl w:val="0"/>
          <w:numId w:val="32"/>
        </w:numPr>
        <w:spacing w:after="0" w:line="360" w:lineRule="auto"/>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521 «д. Поги – г. Санкт-Петербург,ст. метро «Купчино», продлён до д. Поги;</w:t>
      </w:r>
    </w:p>
    <w:p w:rsidR="00CD2C97" w:rsidRPr="00CD2C97" w:rsidRDefault="00CD2C97" w:rsidP="00080A73">
      <w:pPr>
        <w:widowControl w:val="0"/>
        <w:numPr>
          <w:ilvl w:val="0"/>
          <w:numId w:val="32"/>
        </w:numPr>
        <w:spacing w:after="0" w:line="360" w:lineRule="auto"/>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809 «п. Приветнинское – г. Мурино, ст. метро «Девяткино», организован заезд в д. Приветнинское;</w:t>
      </w:r>
    </w:p>
    <w:p w:rsidR="00CD2C97" w:rsidRPr="00CD2C97" w:rsidRDefault="00CD2C97" w:rsidP="00080A73">
      <w:pPr>
        <w:widowControl w:val="0"/>
        <w:numPr>
          <w:ilvl w:val="0"/>
          <w:numId w:val="32"/>
        </w:numPr>
        <w:spacing w:after="0" w:line="360" w:lineRule="auto"/>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205А «г. Мурино – г. Санкт-Петербург, станция метро «Проспект Просвещения», организован заезд в западную часть г. Мурино;</w:t>
      </w:r>
    </w:p>
    <w:p w:rsidR="00CD2C97" w:rsidRPr="00CD2C97" w:rsidRDefault="00CD2C97" w:rsidP="00080A73">
      <w:pPr>
        <w:widowControl w:val="0"/>
        <w:numPr>
          <w:ilvl w:val="0"/>
          <w:numId w:val="32"/>
        </w:numPr>
        <w:spacing w:after="0" w:line="360" w:lineRule="auto"/>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678 «ЖК «Цвета радуги» - г. Санкт-Петербург, станция метро «Озерки», организован заезд в западную часть г. Мурино;</w:t>
      </w:r>
    </w:p>
    <w:p w:rsidR="00CD2C97" w:rsidRPr="00CD2C97" w:rsidRDefault="00CD2C97" w:rsidP="00080A73">
      <w:pPr>
        <w:widowControl w:val="0"/>
        <w:numPr>
          <w:ilvl w:val="0"/>
          <w:numId w:val="32"/>
        </w:numPr>
        <w:spacing w:after="0" w:line="360" w:lineRule="auto"/>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533 «г.п. Янино-1 -  г. Санкт-Петербург, станция метро «Ладожская», организован заезд в г.п. Янино-1.</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В целях улучшения транспортного обслуживания населения всего было осуществлено более 50 корректировок установленных маршрутных заданий (изменен класс транспортных средств, увеличено количество машин, скорректированы трассы в соответствии с пожеланиями жителей).</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По итогам проведенных мероприятий улучшена транспортная доступность д. Юкки-2, г. Мурино и г.п. Янино</w:t>
      </w:r>
      <w:r w:rsidRPr="00CD2C97">
        <w:rPr>
          <w:rFonts w:ascii="Times New Roman" w:eastAsia="Courier New" w:hAnsi="Times New Roman" w:cs="Times New Roman"/>
          <w:color w:val="000000"/>
          <w:spacing w:val="2"/>
          <w:sz w:val="24"/>
          <w:szCs w:val="24"/>
          <w:shd w:val="clear" w:color="auto" w:fill="FFFFFF"/>
          <w:lang w:eastAsia="ru-RU" w:bidi="ru-RU"/>
        </w:rPr>
        <w:noBreakHyphen/>
        <w:t>1, установлены новые маршруты в сообщении Санкт-Петербурга с поселками Ёксолово и Приветнинское.</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В 2022 году обновлен парк транспортных средств на следующих маршрутах:</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 569А, 596Б, 650Б, 692 автобусы марки ПАЗ в количестве 45 единиц заменены на автобусы марки LOTOS;</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 885, автобусы марки ПАЗ в количестве 10 единиц заменены на автобусы МАЗ;</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№181, автобусы марки ПАЗ 2012 г.в. заменены на ПАЗ Next 2019 г.в.;</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 680, автобусы марки Ford заменены на автобусы марки ПАЗ 2019 г.в.;</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 486, автобусы марки ПАЗ в количестве 4 единиц заменены на автобусы марки ЛИАЗ 2019 г.в.;</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 673, автобусы марки ПАЗ 2012 г.в. в количестве 18 единиц заменены на ПАЗ Next 2021 г.в.;</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 555, автобусы марки ПАЗ 2012 г.в. в количестве 8 единиц заменены на ПАЗ Next 2021 г.в.</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В рамках работы по созданию единой системы оплаты проезда на пассажирском транспорте общего пользования Санкт-Петербурга и Ленинградской области, расширяется перечень областных маршрутов, на которых оплата проезда осуществляется картой «Подорожник». Карта «Подорожник» принимается на 28 маршрутах №№ 105А, 205, 205А, 401, 401А, 402, 403, 431, 486, 476, 524, 526, 529, 530, 533, 546, 565, 579, 596А, 596Б, 635, 650Б, 650В, 676, 681, 682, 692 и 885.</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В 2022 году в рамках государственных программ «Социальная поддержка отдельных категорий граждан в Ленинградской области» и «Развитие транспортной системы Ленинградской области» предоставлены субсидии автотранспортным пассажирским предприятиям, обслуживающим регулярные маршруты пассажирских перевозок Ленинградской области на возмещение части затрат по лизинговым договорам.</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В 2022 году перевозчиками ООО «АТП Барс 2», ООО «Комфорт», ООО «Авто», ООО «Виплайн», ИП Алексеев благодаря государственной поддержке приобретено 40 низкопольных автобусов в лизинг для осуществления транспортной работы на маршрутах регулярных перевозок во Всеволожском, Выборгском, Лужском районах Ленинградской области. Размер субсидии составил 36 597,85 тыс. руб.</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Кроме того, компаниями ООО «Автоалдис» и ООО «ЛАЭС-авто», осуществляющими деятельность на территории Всеволожского муниципального района и Сосновоборгского городского округа Ленинградской области приобретено в лизинг 11 газомоторных автобусов, также отвечающих требованиям законодательства в сфере обеспечения доступной среды для инвалидов и маломобильных групп населения. Размер субсидии составил 41 258,93 тыс. руб.</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Подведомственным учреждением ГКУ ЛО «Леноблтранс» в 2022 г. обеспечено выполнение всех плановых и внеплановых задач, в том числе:</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принято участие в проведении совместно с Фондом безопасности дорожного движения обследований трасс автобусных маршрутов Ленинградской области на предмет их соответствия требования безопасности пассажирских перевозок;</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принято участие в проведении совместно с АНО «Дирекция по развитию транспортной инфраструктуры Санкт-Петербурга и Ленинградской области» обследования пассажиропотоков на маршрутах общественного транспорта Ленинградской области;</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обеспечена бесперебойная работа «горячей телефонной линии» по вопросам транспортного обслуживания населения Ленинградской области, размещение и поддержание в актуальном состоянии информации по вопросам транспортного обслуживания населения на Интернет-порталах </w:t>
      </w:r>
      <w:hyperlink r:id="rId130" w:tgtFrame="_blank" w:history="1">
        <w:r w:rsidRPr="00CD2C97">
          <w:rPr>
            <w:rStyle w:val="a6"/>
            <w:rFonts w:ascii="Times New Roman" w:eastAsia="Courier New" w:hAnsi="Times New Roman" w:cs="Times New Roman"/>
            <w:spacing w:val="2"/>
            <w:sz w:val="24"/>
            <w:szCs w:val="24"/>
            <w:shd w:val="clear" w:color="auto" w:fill="FFFFFF"/>
            <w:lang w:eastAsia="ru-RU" w:bidi="ru-RU"/>
          </w:rPr>
          <w:t>www.at47.ru</w:t>
        </w:r>
      </w:hyperlink>
      <w:r w:rsidRPr="00CD2C97">
        <w:rPr>
          <w:rFonts w:ascii="Times New Roman" w:eastAsia="Courier New" w:hAnsi="Times New Roman" w:cs="Times New Roman"/>
          <w:color w:val="000000"/>
          <w:spacing w:val="2"/>
          <w:sz w:val="24"/>
          <w:szCs w:val="24"/>
          <w:shd w:val="clear" w:color="auto" w:fill="FFFFFF"/>
          <w:lang w:eastAsia="ru-RU" w:bidi="ru-RU"/>
        </w:rPr>
        <w:t> и </w:t>
      </w:r>
      <w:hyperlink r:id="rId131" w:tgtFrame="_blank" w:history="1">
        <w:r w:rsidRPr="00CD2C97">
          <w:rPr>
            <w:rStyle w:val="a6"/>
            <w:rFonts w:ascii="Times New Roman" w:eastAsia="Courier New" w:hAnsi="Times New Roman" w:cs="Times New Roman"/>
            <w:spacing w:val="2"/>
            <w:sz w:val="24"/>
            <w:szCs w:val="24"/>
            <w:shd w:val="clear" w:color="auto" w:fill="FFFFFF"/>
            <w:lang w:eastAsia="ru-RU" w:bidi="ru-RU"/>
          </w:rPr>
          <w:t>www.gkulot.ru</w:t>
        </w:r>
      </w:hyperlink>
      <w:r w:rsidRPr="00CD2C97">
        <w:rPr>
          <w:rFonts w:ascii="Times New Roman" w:eastAsia="Courier New" w:hAnsi="Times New Roman" w:cs="Times New Roman"/>
          <w:color w:val="000000"/>
          <w:spacing w:val="2"/>
          <w:sz w:val="24"/>
          <w:szCs w:val="24"/>
          <w:shd w:val="clear" w:color="auto" w:fill="FFFFFF"/>
          <w:lang w:eastAsia="ru-RU" w:bidi="ru-RU"/>
        </w:rPr>
        <w:t>, в социальной сети Инстаграмм, своевременное рассмотрение письменных обращений граждан;</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обеспечено бесперебойное функционирование АСОП ЛО, своевременно и качественно подготовлены и представлены 12 ежемесячных отчётов о перевезённых пассажирах льготных категорий на маршрутах регулярных перевозок Ленинградской области, на основании которых перевозчикам перечислены субсидии на компенсацию выпадающих доходов из бюджета Ленинградской области;</w:t>
      </w:r>
    </w:p>
    <w:p w:rsidR="00CD2C97" w:rsidRPr="003609FA" w:rsidRDefault="00CD2C97" w:rsidP="003609FA">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были организованы и проведены 234 проверочных мероприятия, в том числе 23 плановых проверки перевозчиков, 100 внеплановых проверок перевозчиков, 13 проверок специализированных с</w:t>
      </w:r>
      <w:r w:rsidR="003609FA">
        <w:rPr>
          <w:rFonts w:ascii="Times New Roman" w:eastAsia="Courier New" w:hAnsi="Times New Roman" w:cs="Times New Roman"/>
          <w:color w:val="000000"/>
          <w:spacing w:val="2"/>
          <w:sz w:val="24"/>
          <w:szCs w:val="24"/>
          <w:shd w:val="clear" w:color="auto" w:fill="FFFFFF"/>
          <w:lang w:eastAsia="ru-RU" w:bidi="ru-RU"/>
        </w:rPr>
        <w:t xml:space="preserve">тоянок и 98 рейдовых проверок. </w:t>
      </w:r>
    </w:p>
    <w:p w:rsidR="00CD2C97" w:rsidRPr="003609FA" w:rsidRDefault="003609FA"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Pr>
          <w:rFonts w:ascii="Times New Roman" w:eastAsia="Courier New" w:hAnsi="Times New Roman" w:cs="Times New Roman"/>
          <w:color w:val="000000"/>
          <w:spacing w:val="2"/>
          <w:sz w:val="24"/>
          <w:szCs w:val="24"/>
          <w:shd w:val="clear" w:color="auto" w:fill="FFFFFF"/>
          <w:lang w:eastAsia="ru-RU" w:bidi="ru-RU"/>
        </w:rPr>
        <w:t xml:space="preserve">2. </w:t>
      </w:r>
      <w:r w:rsidR="00CD2C97" w:rsidRPr="003609FA">
        <w:rPr>
          <w:rFonts w:ascii="Times New Roman" w:eastAsia="Courier New" w:hAnsi="Times New Roman" w:cs="Times New Roman"/>
          <w:color w:val="000000"/>
          <w:spacing w:val="2"/>
          <w:sz w:val="24"/>
          <w:szCs w:val="24"/>
          <w:shd w:val="clear" w:color="auto" w:fill="FFFFFF"/>
          <w:lang w:eastAsia="ru-RU" w:bidi="ru-RU"/>
        </w:rPr>
        <w:t xml:space="preserve"> железнодорожным транспортом</w:t>
      </w:r>
      <w:r>
        <w:rPr>
          <w:rFonts w:ascii="Times New Roman" w:eastAsia="Courier New" w:hAnsi="Times New Roman" w:cs="Times New Roman"/>
          <w:color w:val="000000"/>
          <w:spacing w:val="2"/>
          <w:sz w:val="24"/>
          <w:szCs w:val="24"/>
          <w:shd w:val="clear" w:color="auto" w:fill="FFFFFF"/>
          <w:lang w:eastAsia="ru-RU" w:bidi="ru-RU"/>
        </w:rPr>
        <w:t>.</w:t>
      </w:r>
      <w:r w:rsidR="00CD2C97" w:rsidRPr="003609FA">
        <w:rPr>
          <w:rFonts w:ascii="Times New Roman" w:eastAsia="Courier New" w:hAnsi="Times New Roman" w:cs="Times New Roman"/>
          <w:color w:val="000000"/>
          <w:spacing w:val="2"/>
          <w:sz w:val="24"/>
          <w:szCs w:val="24"/>
          <w:shd w:val="clear" w:color="auto" w:fill="FFFFFF"/>
          <w:lang w:eastAsia="ru-RU" w:bidi="ru-RU"/>
        </w:rPr>
        <w:t xml:space="preserve"> </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На протяжении нескольких лет, объём государственного заказа на пригородные железнодорожные перевозки стабильно сохраняется на уровне, который удовлетворяет потребностям населения и возможностям перевозчика. </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В рамках долгосрочного Договора на 2018-2030 годы, заключённого в декабре 2017 года между Комитетом Ленинградской области по транспорту и АО «Северо-Западная пригородная пассажирская компания», транспортное обслуживание населения железнодорожным транспортом в пригородном сообщении в 2022 году осуществлялось по 103 маршрутам (из них межсубъектных 23 маршрута), в том числе 11 маршрутов (из них 1 межсубъектный) обслуживались скоростными электропоездами повышенной комфортности «Ласточка», 6 маршрутов поездами категории «Комфорт». </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На 2022 год приказом ЛенРТК от 29.10.2021 № 147-п установлены предельные тарифы на перевозку пассажиров поездами категории «Стандарт» в размере </w:t>
      </w:r>
      <w:r w:rsidRPr="00CD2C97">
        <w:rPr>
          <w:rFonts w:ascii="Times New Roman" w:eastAsia="Courier New" w:hAnsi="Times New Roman" w:cs="Times New Roman"/>
          <w:color w:val="000000"/>
          <w:spacing w:val="2"/>
          <w:sz w:val="24"/>
          <w:szCs w:val="24"/>
          <w:shd w:val="clear" w:color="auto" w:fill="FFFFFF"/>
          <w:lang w:eastAsia="ru-RU" w:bidi="ru-RU"/>
        </w:rPr>
        <w:br/>
        <w:t xml:space="preserve">2,78 руб./пасс-км (рост относительно уровня 2021 года составляет 4,1%), поездами категории «Ласточка» в размере 3,16 руб./пасс-км (с ростом 4,3% к уровню 2021 года), поездами категории «Комфорт» в размере 2,9 руб./пасс-км (с ростом 3,9% к уровню </w:t>
      </w:r>
      <w:r w:rsidRPr="00CD2C97">
        <w:rPr>
          <w:rFonts w:ascii="Times New Roman" w:eastAsia="Courier New" w:hAnsi="Times New Roman" w:cs="Times New Roman"/>
          <w:color w:val="000000"/>
          <w:spacing w:val="2"/>
          <w:sz w:val="24"/>
          <w:szCs w:val="24"/>
          <w:shd w:val="clear" w:color="auto" w:fill="FFFFFF"/>
          <w:lang w:eastAsia="ru-RU" w:bidi="ru-RU"/>
        </w:rPr>
        <w:br/>
        <w:t xml:space="preserve">2021 года). </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Тарифы на 2022 год были установлены с ростом 4,2 % на экономически обоснованном уровне, не требующем возмещения убытка 2021 года и с сохранением необходимого уровня, удовлетворяющего потребности населения в пригородных железнодорожных перевозках.</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В связи с восстановлением ситуации, вызванной пандемией коронавирусной инфекции, в 2022 году размеры движения были окончательно восстановлены.</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В 2022 году пригородным железнодорожным транспортом по территории Ленинградской области отправлено 27,1 млн.человек (рост 8,4% к 2021 году), в том числе 5,6 млн. пенсионеров и региональных льготников (рост 12% к 2021 году) и 2,1 млн. человек студентов и школьников (рост 10,5% к 2021 году). </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Основной причиной роста пассажиропотока является отмена ограничительных мероприятий по предупреждению распространения коронавирусной инфекции.</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Предварительный финансовый результат АО «СЗППК» по пригородным перевозкам по территории Ленинградской области за 2022 год составил – 50,7 млн. руб. (убыток). </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Относительно 2021 года (убыток 144,7 млн.руб.) снижение убытка составило </w:t>
      </w:r>
      <w:r w:rsidRPr="00CD2C97">
        <w:rPr>
          <w:rFonts w:ascii="Times New Roman" w:eastAsia="Courier New" w:hAnsi="Times New Roman" w:cs="Times New Roman"/>
          <w:color w:val="000000"/>
          <w:spacing w:val="2"/>
          <w:sz w:val="24"/>
          <w:szCs w:val="24"/>
          <w:shd w:val="clear" w:color="auto" w:fill="FFFFFF"/>
          <w:lang w:eastAsia="ru-RU" w:bidi="ru-RU"/>
        </w:rPr>
        <w:br/>
        <w:t>94 млн.руб (окончательный финансовый результат 2022 года АО «СЗППК» предоставит в конце марта 2023 года, по итогам фактической бухгалтерской отчётности).</w:t>
      </w:r>
    </w:p>
    <w:p w:rsidR="00CD2C97" w:rsidRPr="003609FA"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p>
    <w:p w:rsidR="00CD2C97" w:rsidRPr="003609FA" w:rsidRDefault="003609FA" w:rsidP="003609FA">
      <w:pPr>
        <w:widowControl w:val="0"/>
        <w:spacing w:after="0" w:line="360" w:lineRule="auto"/>
        <w:ind w:firstLine="709"/>
        <w:jc w:val="center"/>
        <w:rPr>
          <w:rFonts w:ascii="Times New Roman" w:eastAsia="Courier New" w:hAnsi="Times New Roman" w:cs="Times New Roman"/>
          <w:b/>
          <w:color w:val="000000"/>
          <w:spacing w:val="2"/>
          <w:sz w:val="24"/>
          <w:szCs w:val="24"/>
          <w:shd w:val="clear" w:color="auto" w:fill="FFFFFF"/>
          <w:lang w:eastAsia="ru-RU" w:bidi="ru-RU"/>
        </w:rPr>
      </w:pPr>
      <w:r w:rsidRPr="003609FA">
        <w:rPr>
          <w:rFonts w:ascii="Times New Roman" w:eastAsia="Courier New" w:hAnsi="Times New Roman" w:cs="Times New Roman"/>
          <w:b/>
          <w:bCs/>
          <w:color w:val="000000"/>
          <w:spacing w:val="2"/>
          <w:sz w:val="24"/>
          <w:szCs w:val="24"/>
          <w:shd w:val="clear" w:color="auto" w:fill="FFFFFF"/>
          <w:lang w:eastAsia="ru-RU" w:bidi="ru-RU"/>
        </w:rPr>
        <w:t xml:space="preserve">3.9.3. </w:t>
      </w:r>
      <w:r w:rsidR="00CD2C97" w:rsidRPr="003609FA">
        <w:rPr>
          <w:rFonts w:ascii="Times New Roman" w:eastAsia="Courier New" w:hAnsi="Times New Roman" w:cs="Times New Roman"/>
          <w:b/>
          <w:bCs/>
          <w:color w:val="000000"/>
          <w:spacing w:val="2"/>
          <w:sz w:val="24"/>
          <w:szCs w:val="24"/>
          <w:shd w:val="clear" w:color="auto" w:fill="FFFFFF"/>
          <w:lang w:eastAsia="ru-RU" w:bidi="ru-RU"/>
        </w:rPr>
        <w:t>О динамике изменения объ</w:t>
      </w:r>
      <w:r w:rsidRPr="003609FA">
        <w:rPr>
          <w:rFonts w:ascii="Times New Roman" w:eastAsia="Courier New" w:hAnsi="Times New Roman" w:cs="Times New Roman"/>
          <w:b/>
          <w:bCs/>
          <w:color w:val="000000"/>
          <w:spacing w:val="2"/>
          <w:sz w:val="24"/>
          <w:szCs w:val="24"/>
          <w:shd w:val="clear" w:color="auto" w:fill="FFFFFF"/>
          <w:lang w:eastAsia="ru-RU" w:bidi="ru-RU"/>
        </w:rPr>
        <w:t>ема транспортной инфраструктуры</w:t>
      </w:r>
    </w:p>
    <w:p w:rsidR="00CD2C97" w:rsidRPr="003609FA"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u w:val="single"/>
          <w:shd w:val="clear" w:color="auto" w:fill="FFFFFF"/>
          <w:lang w:eastAsia="ru-RU" w:bidi="ru-RU"/>
        </w:rPr>
      </w:pPr>
      <w:r w:rsidRPr="003609FA">
        <w:rPr>
          <w:rFonts w:ascii="Times New Roman" w:eastAsia="Courier New" w:hAnsi="Times New Roman" w:cs="Times New Roman"/>
          <w:bCs/>
          <w:color w:val="000000"/>
          <w:spacing w:val="2"/>
          <w:sz w:val="24"/>
          <w:szCs w:val="24"/>
          <w:u w:val="single"/>
          <w:shd w:val="clear" w:color="auto" w:fill="FFFFFF"/>
          <w:lang w:eastAsia="ru-RU" w:bidi="ru-RU"/>
        </w:rPr>
        <w:t>Транспортная инфраструктура: железные дороги.</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Помимо автомобильных дорог, Ленинградская область располагает транспортной инфраструктурой в виде железных дорог, эксплуатацию которых в Ленинградской области осуществляет Октябрьская железная дорога – филиал ОАО «Российские железные дороги». Компания предоставляет две основные услуги: перевозку пассажиров и перевозку грузов железнодорожным транспортом. Железнодорожные магистрали обеспечивают транспортную связь населенных пунктов, как внутри региона и с остальными федеральными округами Российской Федерации, так и выход на железнодорожные сети Эстонии и Финляндии.</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Почти все основные железнодорожные линии расходятся из одного центра - Санкт-Петербурга. По разветвленности в границах Северо-Западного района Октябрьская железная дорога занимает в сети железных дорог России второе место (после Московской дороги), что обеспечивает широкие возможности по доставке грузов и пассажиров в различные населенные пункты.</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Основной особенностью транспортного комплекса Северо-Запада России является его экспортно-импортная направленность. В зоне обслуживания Октябрьской дороги расположены 8 пограничных переходов, из них четыре — на границе с Финляндией, по два — с Эстонией и Латвией.</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Непосредственно железнодорожная инфраструктура в Ленинградской области представлена железными дорогами, протяженность которых составляет более 3 тыс. км, из них 30%  электрифицировано. Плотность железнодорожной сети - 32 км на 1000 кв. км. Грузооборот - более 100 млн. т./год.</w:t>
      </w:r>
    </w:p>
    <w:p w:rsidR="00CD2C97" w:rsidRPr="00CD2C97" w:rsidRDefault="00CD2C97" w:rsidP="003609FA">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Через Ленинградскую область проходят 10 магистральных железнодорожных линий, которые берут свое начало в Санкт-Петербурге:</w:t>
      </w:r>
    </w:p>
    <w:p w:rsidR="00CD2C97" w:rsidRPr="00CD2C97" w:rsidRDefault="00CD2C97" w:rsidP="003609FA">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Санкт-Петербург — Тосно — Любань — Москва (главный ход ОЖД, Московское направление);</w:t>
      </w:r>
    </w:p>
    <w:p w:rsidR="00CD2C97" w:rsidRPr="00CD2C97" w:rsidRDefault="00CD2C97" w:rsidP="003609FA">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Санкт-Петербург — Выборг — граница с Финляндией (Финляндское направление), имеющая в своем составе не только 7 различных ответвлений, охватывающая несколько территориальных зон, но и пограничные переходы с Финляндией;</w:t>
      </w:r>
    </w:p>
    <w:p w:rsidR="00CD2C97" w:rsidRPr="00CD2C97" w:rsidRDefault="00CD2C97" w:rsidP="003609FA">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Санкт-Петербург — Мга - Волховстрой I — Петрозаводск (Ладожское направление), имеющее ответвление в сторону Вологды;</w:t>
      </w:r>
    </w:p>
    <w:p w:rsidR="00CD2C97" w:rsidRPr="00CD2C97" w:rsidRDefault="00CD2C97" w:rsidP="003609FA">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Санкт-Петербург – Новолисино – Спасская Полисть;</w:t>
      </w:r>
    </w:p>
    <w:p w:rsidR="00CD2C97" w:rsidRPr="00CD2C97" w:rsidRDefault="00CD2C97" w:rsidP="003609FA">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Санкт-Петербург - Мга — Будогощь;</w:t>
      </w:r>
    </w:p>
    <w:p w:rsidR="00CD2C97" w:rsidRPr="00CD2C97" w:rsidRDefault="00CD2C97" w:rsidP="003609FA">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Санкт-Петербург — Луга — Псков (Варшавское направление);</w:t>
      </w:r>
    </w:p>
    <w:p w:rsidR="00CD2C97" w:rsidRPr="00CD2C97" w:rsidRDefault="00CD2C97" w:rsidP="003609FA">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Санкт-Петербург — Гатчина — Ивангород — граница с Эстонией, имеющая ответвление в сторону Гдова и соединяющаяся с Усть-Лугой;</w:t>
      </w:r>
    </w:p>
    <w:p w:rsidR="00CD2C97" w:rsidRPr="00CD2C97" w:rsidRDefault="00CD2C97" w:rsidP="003609FA">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Санкт-Петербург — Оредеж — Дно (Витебское направление);</w:t>
      </w:r>
    </w:p>
    <w:p w:rsidR="00CD2C97" w:rsidRPr="00CD2C97" w:rsidRDefault="00CD2C97" w:rsidP="003609FA">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Санкт-Петербург — Приозерск — Сортавала. (Приозерское направление);</w:t>
      </w:r>
    </w:p>
    <w:p w:rsidR="00CD2C97" w:rsidRPr="00CD2C97" w:rsidRDefault="00CD2C97" w:rsidP="003609FA">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Санкт-Петербург – Большая Ижора - Усть-Луга.</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Указанные выше магистральные железнодорожные линии охватывают все важнейшие пути сообщения не только с расположенными внутри Ленинградской области муниципальными образованиями, но и соседними регионами, такими, как Республика Карелия, Псковской областью, Новгородской областью, Вологодской областью, а также обеспечивают возможность доставки грузов до крупнейших производственных агломераций и морских портов, что свидетельствует об обеспеченности Ленинградской области железнодорожной транспортной инфраструктурой, как местного, так и регионального и межрегионального значения.</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Железнодорожная инфраструктура в Ленинградской области, в части осуществления перевозок пассажиров на дальние расстояния, выполняет транзитную роль, в части осуществления пассажирских перевозок в пригородном сообщении, а также в части доставки грузов в морские порты и перегрузочные хабы – конечное средство сообщения.</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На сегодняшний день структура ОАО «РЖД» включает в себя целый комплекс различных предприятий, филиалов и представительств, предоставляющих потребителям огромный комплекс услуг, начиная от простой перевозки грузов, их таможенного оформления и предоставления информации о доставке, до разработки оптимальных логистических решений, способствующих быстрой доставке грузов даже в удаленные населенные пункты.</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В сфере железнодорожных перевозок по территории Ленинградской области потребителям могут предоставляться следующие основные услуги: базовые услуги по перевозке пассажиров/грузов; комплексное логистическое обслуживание; предоставление подвижного состава; терминально-складские услуги; морские перевозки и стивидорные услуги; доставка сборных грузов; таможенное оформление грузов. </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p>
    <w:p w:rsidR="00CD2C97" w:rsidRPr="00CD2C97" w:rsidRDefault="003609FA" w:rsidP="003609FA">
      <w:pPr>
        <w:widowControl w:val="0"/>
        <w:spacing w:after="0" w:line="360" w:lineRule="auto"/>
        <w:ind w:firstLine="709"/>
        <w:jc w:val="center"/>
        <w:rPr>
          <w:rFonts w:ascii="Times New Roman" w:eastAsia="Courier New" w:hAnsi="Times New Roman" w:cs="Times New Roman"/>
          <w:b/>
          <w:color w:val="000000"/>
          <w:spacing w:val="2"/>
          <w:sz w:val="24"/>
          <w:szCs w:val="24"/>
          <w:shd w:val="clear" w:color="auto" w:fill="FFFFFF"/>
          <w:lang w:eastAsia="ru-RU" w:bidi="ru-RU"/>
        </w:rPr>
      </w:pPr>
      <w:r>
        <w:rPr>
          <w:rFonts w:ascii="Times New Roman" w:eastAsia="Courier New" w:hAnsi="Times New Roman" w:cs="Times New Roman"/>
          <w:b/>
          <w:color w:val="000000"/>
          <w:spacing w:val="2"/>
          <w:sz w:val="24"/>
          <w:szCs w:val="24"/>
          <w:shd w:val="clear" w:color="auto" w:fill="FFFFFF"/>
          <w:lang w:eastAsia="ru-RU" w:bidi="ru-RU"/>
        </w:rPr>
        <w:t xml:space="preserve">3.9.4. </w:t>
      </w:r>
      <w:r w:rsidR="00CD2C97" w:rsidRPr="00CD2C97">
        <w:rPr>
          <w:rFonts w:ascii="Times New Roman" w:eastAsia="Courier New" w:hAnsi="Times New Roman" w:cs="Times New Roman"/>
          <w:b/>
          <w:color w:val="000000"/>
          <w:spacing w:val="2"/>
          <w:sz w:val="24"/>
          <w:szCs w:val="24"/>
          <w:shd w:val="clear" w:color="auto" w:fill="FFFFFF"/>
          <w:lang w:eastAsia="ru-RU" w:bidi="ru-RU"/>
        </w:rPr>
        <w:t>О потенциале развития транспортной инфраструктуры в совокупности с приграничными субъектами Российской Федерации</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Комплексные логистические услуг</w:t>
      </w:r>
      <w:r w:rsidRPr="00CD2C97">
        <w:rPr>
          <w:rFonts w:ascii="Times New Roman" w:eastAsia="Courier New" w:hAnsi="Times New Roman" w:cs="Times New Roman"/>
          <w:bCs/>
          <w:color w:val="000000"/>
          <w:spacing w:val="2"/>
          <w:sz w:val="24"/>
          <w:szCs w:val="24"/>
          <w:shd w:val="clear" w:color="auto" w:fill="FFFFFF"/>
          <w:lang w:eastAsia="ru-RU" w:bidi="ru-RU"/>
        </w:rPr>
        <w:t>и</w:t>
      </w:r>
      <w:r w:rsidRPr="00CD2C97">
        <w:rPr>
          <w:rFonts w:ascii="Times New Roman" w:eastAsia="Courier New" w:hAnsi="Times New Roman" w:cs="Times New Roman"/>
          <w:color w:val="000000"/>
          <w:spacing w:val="2"/>
          <w:sz w:val="24"/>
          <w:szCs w:val="24"/>
          <w:shd w:val="clear" w:color="auto" w:fill="FFFFFF"/>
          <w:lang w:eastAsia="ru-RU" w:bidi="ru-RU"/>
        </w:rPr>
        <w:t> в холдинге ОАО «РЖД» оказывают 3 профильные компании:</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Центральная дирекция по управлению терминально-складским комплексом – филиал ОАО «РЖД», специализирующийся на оказании терминально-складских услуг;</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Группа GEFCO, ведущий поставщик логистических решений и услуг для промышленных предприятий, располагает интегрированной инфраструктурой в нескольких ключевых направлениях;</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АО «РЖД Логистика» – дочерняя компания «Российских железных дорог». Компания предоставляет комплексные транспортно-логистические услуги путем интеграции всех услуг Холдинга «РЖД» и сторонних поставщиков в единую цепочку поставок на рынке мультимодальных перевозок.</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Каждая из представленных компаний, оказывает свой комплекс. Однако, в общем, они решают вопросы, связанные с:</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хранением грузов в местах общего пользования станций;</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организацией погрузочно-разгрузочных работ, в том числе завоз/вывоз автомобильным транспортом;</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предоставление погрузочно-выгрузочных устройств для погрузочно-разгрузочных операций;</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очисткой/промывкой вагонов/контейнеров;</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перевозке различных грузов (готовых автомобилей; спецтехники; запчастей и автокомпонентов; оборудования; товаров народного потребления и т.д.).</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Данные компании имеют свои представительства в Ленинградской области, в том числе, работают посредством заключения агентского договора.</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Услуги по предоставлению подвижного состава реализуются тремя крупнейшими операторами практически всех видов железнодорожного подвижного состава, входящие в холдинг ПАО «РЖД»:</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АО «Федеральная грузовая компания» (ФГК) - общесетевой оператор грузового подвижного состава, один из крупнейших грузовых железнодорожных операторов в России. По состоянию на 01.06.2020 г. общий вагонный парк АО «ФГК» насчитывает 129,1 тыс. ед. подвижного состава.</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ПАО «ТрансКонтейнер» – ведущая российская компания в области контейнерных перевозок, предоставляющая полный спектр услуг, связанных с контейнерными перевозками и терминальной обработкой. Компания перевозит навалочные и тарно-штучные грузы.</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АО «РейлТрансАвто» – крупнейший российский перевозчик автомобилей железнодорожным транспортом. Компания оперирует парком около 3000 специализированных крытых вагонов-автомобилевозов и контролирует около 70% российского рынка перевозок автомобилей по железной дороге. Компания осуществляет перевозки от станции отправления до станции назначения по всей территории с шириной железнодорожной колеи 1520 мм, включающей в себя Российскую Федерацию, страны СНГ, Финляндию и Монголию.</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Терминально-складские услуги предоставляются следующими основными организациями:</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Центральной дирекцией по управлению терминально-складским комплексом - филиал ОАО «РЖД», оказывает полный комплекс услуг на всей сети железных дорог Российской федерации и на местах общего и необщего пользования мобильными бригадами;</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Росжелдорснаб – филиал ОАО «РЖД», специализирующийся на оказании складских услуг (2PL);</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GEFCO предлагает промышленным клиентам несколько вариантов логистики, рассчитанных на постоянную оптимизацию их цепочек снабжения.</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АО «РЖД Логистика» обеспечивает складское хранение и предлагает полный спектр складских услуг.</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Данные организации в комплексе решают следующие важные задачи, связанные с перевозкой грузов:</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организация погрузочно-разгрузочных работ;</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хранение грузов в местах общего пользования станций и крытых складах;</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услуги «первой» и «последней мили» собственным и привлеченным автотранспортом;</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разработка и согласование схем и чертежей на размещение груза в подвижном составе, услуга «мастер погрузки»;</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аренда недвижимого имущества ОАО «РЖД»;</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временное хранение товаров под таможенным контролем;</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организация распределительных складов для предприятий металлургической, угольной промышленности и строительного комплекса;</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организация отправки контейнерных поездов, в том числе с рефрижераторными контейнерами;</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организация специализированных терминалов для зерновых грузов.</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раскредитация вагонов/контейнеров;</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комплектация партий;</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складская отчетность;</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IT-инфраструктура.</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В плане портовых мощностей ОАО «РЖД» имеет доли участия и активно работает в многопрофильном перегрузочном комплексе «Юг-2» на территории морского торгового порта Усть-Луга.</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Сегодня на базе АО «РЖД Логистика» динамично развивается услуга доставки сборных грузов «РЖД Экспресс» для отправки грузов весом от 20 кг в любую точку России и СНГ.</w:t>
      </w:r>
    </w:p>
    <w:p w:rsidR="00CD2C97" w:rsidRPr="003609FA" w:rsidRDefault="00CD2C97" w:rsidP="00CD2C97">
      <w:pPr>
        <w:widowControl w:val="0"/>
        <w:spacing w:after="0" w:line="360" w:lineRule="auto"/>
        <w:ind w:firstLine="709"/>
        <w:jc w:val="both"/>
        <w:rPr>
          <w:rFonts w:ascii="Times New Roman" w:eastAsia="Courier New" w:hAnsi="Times New Roman" w:cs="Times New Roman"/>
          <w:bCs/>
          <w:color w:val="000000"/>
          <w:spacing w:val="2"/>
          <w:sz w:val="24"/>
          <w:szCs w:val="24"/>
          <w:u w:val="single"/>
          <w:shd w:val="clear" w:color="auto" w:fill="FFFFFF"/>
          <w:lang w:eastAsia="ru-RU" w:bidi="ru-RU"/>
        </w:rPr>
      </w:pPr>
      <w:r w:rsidRPr="003609FA">
        <w:rPr>
          <w:rFonts w:ascii="Times New Roman" w:eastAsia="Courier New" w:hAnsi="Times New Roman" w:cs="Times New Roman"/>
          <w:bCs/>
          <w:color w:val="000000"/>
          <w:spacing w:val="2"/>
          <w:sz w:val="24"/>
          <w:szCs w:val="24"/>
          <w:u w:val="single"/>
          <w:shd w:val="clear" w:color="auto" w:fill="FFFFFF"/>
          <w:lang w:eastAsia="ru-RU" w:bidi="ru-RU"/>
        </w:rPr>
        <w:t>Таможенное оформление грузов. </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Услуги единого таможенного брокера предлагает ОАО «РЖД». Компания готова организовать временную зону таможенного контроля практически на любой железнодорожной станции, что позволит существенно снизить организационные затраты при экспортно-импортных перевозках железнодорожным транспортом. Услуги:</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консультирование отправителей/получателей по вопросам перевозки грузов, находящихся под таможенным контролем на железнодорожных станциях отправления, назначения, припортовых станциях и в пограничных железнодорожных пунктах пропуска;</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содействие отправителям/получателям в создании зон таможенного контроля на железнодорожных станциях назначения для целей временного хранения импортных грузов в соответствии с требованиями таможенного законодательства;</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таможенное оформление экспортных, импортных и транзитных грузов.</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Кроме ОАО «РЖД», таможенное оформление грузов предлагает компания GEFCO,</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АО «РЖД Логистика», Центральная дирекция по управлению терминально-складским комплексом ОАО «РЖД».</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С учетом того, что пути сообщения по перевозке грузов на территории Ленинградской области проложены таким образом, что захватывают основные места обработки грузов (морские порты, границы с зарубежными странами, крупные транспортные узлы) вкупе со сложившимися возможностями по обработке грузов, можно сделать вывод о том, что Ленинградская область обеспечена железнодорожной транспортной инфраструктурой, необходимой для перевозки грузов.</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Сервисная и сопутствующая инфраструктура в железнодорожной сфере на территории Ленинградской области представлена следующими объектами.</w:t>
      </w:r>
    </w:p>
    <w:p w:rsidR="00CD2C97" w:rsidRPr="003609FA" w:rsidRDefault="00CD2C97" w:rsidP="003609FA">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На территории региона расположены 472 железнодорожные станции. На 63 из них осуществляетс</w:t>
      </w:r>
      <w:r w:rsidR="003609FA">
        <w:rPr>
          <w:rFonts w:ascii="Times New Roman" w:eastAsia="Courier New" w:hAnsi="Times New Roman" w:cs="Times New Roman"/>
          <w:color w:val="000000"/>
          <w:spacing w:val="2"/>
          <w:sz w:val="24"/>
          <w:szCs w:val="24"/>
          <w:shd w:val="clear" w:color="auto" w:fill="FFFFFF"/>
          <w:lang w:eastAsia="ru-RU" w:bidi="ru-RU"/>
        </w:rPr>
        <w:t>я продажа пассажирских билетов.</w:t>
      </w:r>
    </w:p>
    <w:p w:rsidR="00CD2C97" w:rsidRPr="003609FA"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u w:val="single"/>
          <w:shd w:val="clear" w:color="auto" w:fill="FFFFFF"/>
          <w:lang w:eastAsia="ru-RU" w:bidi="ru-RU"/>
        </w:rPr>
      </w:pPr>
      <w:r w:rsidRPr="003609FA">
        <w:rPr>
          <w:rFonts w:ascii="Times New Roman" w:eastAsia="Courier New" w:hAnsi="Times New Roman" w:cs="Times New Roman"/>
          <w:color w:val="000000"/>
          <w:spacing w:val="2"/>
          <w:sz w:val="24"/>
          <w:szCs w:val="24"/>
          <w:u w:val="single"/>
          <w:shd w:val="clear" w:color="auto" w:fill="FFFFFF"/>
          <w:lang w:eastAsia="ru-RU" w:bidi="ru-RU"/>
        </w:rPr>
        <w:t>Транспортные пересадочные узлы</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В схему территориального планирования Ленинградской области включены мероприятия по созданию транспортно-пересадочных узлов:</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 «Девяткино». Вид: метрополитен-железная дорога-автобус-трамвай. Состав: междугородний и международный автобусный вокзал, железнодорожная станция, станция метро, парковочное пространство, объекты торговли и развлечения. Статус: планируемый к размещению. Срок реализации: до 2025 года;</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 «Кудрово». Вид: метрополитен – автобус. Состав: автобусный вокзал, станция метро, остановки пассажирского транспорта, перехватывающая парковка, коммерческие помещения. Статус: планируемый к размещению. Срок реализации: до 2025 года;</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 «Всеволожская». Вид: железная дорога-автобус. Состав: автостанция, посадочные платформы, павильоны, перехватывающая парковка на 150 машино-мест. Статус: планируемый к размещению. Срок реализации: до 2030 года;</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 «Мельничный ручей». Вид: железная дорога-автобус. Состав: перехватывающая парковка на 100 машино-мест. Статус: планируемый к размещению. Срок реализации: до 2030 г.;</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 «Янино». Вид: автобус-метрополитен. Состав: остановки пригородных автобусных маршрутов, планируемая к размещению станция метро. Статус: планируемый к размещению. Срок реализации: до 2035 г.;</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 «Токсово». Вид: железная дорога-автобус. Статус: планируемый к размещению. Срок реализации: до 2035 г.;</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w:t>
      </w:r>
      <w:r w:rsidR="003609FA">
        <w:rPr>
          <w:rFonts w:ascii="Times New Roman" w:eastAsia="Courier New" w:hAnsi="Times New Roman" w:cs="Times New Roman"/>
          <w:color w:val="000000"/>
          <w:spacing w:val="2"/>
          <w:sz w:val="24"/>
          <w:szCs w:val="24"/>
          <w:shd w:val="clear" w:color="auto" w:fill="FFFFFF"/>
          <w:lang w:eastAsia="ru-RU" w:bidi="ru-RU"/>
        </w:rPr>
        <w:t> </w:t>
      </w:r>
      <w:r w:rsidRPr="00CD2C97">
        <w:rPr>
          <w:rFonts w:ascii="Times New Roman" w:eastAsia="Courier New" w:hAnsi="Times New Roman" w:cs="Times New Roman"/>
          <w:color w:val="000000"/>
          <w:spacing w:val="2"/>
          <w:sz w:val="24"/>
          <w:szCs w:val="24"/>
          <w:shd w:val="clear" w:color="auto" w:fill="FFFFFF"/>
          <w:lang w:eastAsia="ru-RU" w:bidi="ru-RU"/>
        </w:rPr>
        <w:t>- «Заневский Пост-2». Вид: железная дорога-автобус. Статус: планируемый к размещению. Срок реализации: до 2030 г;</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 «Бугры». Вид: автобус-трамвай-метро. Статус: планируемый к размещению. Срок реализации: до 2035 г.;</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 «Сертолово». Вид: железная дорога-автобус. Состав: планируемая к размещению пассажирская железнодорожная платформа. Статус: планируемый к размещению. Срок реализации: до 2024 г.;</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 «Новогорелово». Вид: железная дорога-автобус. Состав: планируемая к размещению пассажирская железнодорожная платформа. Статус: планируемый к размещению. Срок реализации: до 2025 г.</w:t>
      </w:r>
    </w:p>
    <w:p w:rsidR="00CD2C97" w:rsidRPr="003609FA" w:rsidRDefault="00CD2C97" w:rsidP="003609FA">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В настоящее время Правительством Санкт-Петербурга и Правительством Ленинградской области проводится совместная работа по реализации проекта «Строительство участка Лахтинско-Правобережной линии метрополитена от станции «Улица Дыбенко» до станции «Кудрово» с электродепо «Правобережное» в части раз</w:t>
      </w:r>
      <w:r w:rsidR="003609FA">
        <w:rPr>
          <w:rFonts w:ascii="Times New Roman" w:eastAsia="Courier New" w:hAnsi="Times New Roman" w:cs="Times New Roman"/>
          <w:color w:val="000000"/>
          <w:spacing w:val="2"/>
          <w:sz w:val="24"/>
          <w:szCs w:val="24"/>
          <w:shd w:val="clear" w:color="auto" w:fill="FFFFFF"/>
          <w:lang w:eastAsia="ru-RU" w:bidi="ru-RU"/>
        </w:rPr>
        <w:t>работки проектной документации.</w:t>
      </w:r>
    </w:p>
    <w:p w:rsidR="00CD2C97" w:rsidRPr="003609FA"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u w:val="single"/>
          <w:shd w:val="clear" w:color="auto" w:fill="FFFFFF"/>
          <w:lang w:eastAsia="ru-RU" w:bidi="ru-RU"/>
        </w:rPr>
      </w:pPr>
      <w:r w:rsidRPr="003609FA">
        <w:rPr>
          <w:rFonts w:ascii="Times New Roman" w:eastAsia="Courier New" w:hAnsi="Times New Roman" w:cs="Times New Roman"/>
          <w:bCs/>
          <w:color w:val="000000"/>
          <w:spacing w:val="2"/>
          <w:sz w:val="24"/>
          <w:szCs w:val="24"/>
          <w:u w:val="single"/>
          <w:shd w:val="clear" w:color="auto" w:fill="FFFFFF"/>
          <w:lang w:eastAsia="ru-RU" w:bidi="ru-RU"/>
        </w:rPr>
        <w:t>Транспортная инфраструктура: морские порты</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На территории Ленинградской области расположены морские порты Усть-Луга, Приморск, Выборг и Высоцк, играющие важную роль в развитии транспортной системы  Российской Федерации и Ленинградской области. Все морские порты региона работают круглогодично, в межнавигационный период, как правило, с ледокольной проводкой.</w:t>
      </w:r>
    </w:p>
    <w:p w:rsidR="00CD2C97" w:rsidRPr="003609FA" w:rsidRDefault="00CD2C97" w:rsidP="003609FA">
      <w:pPr>
        <w:pStyle w:val="a4"/>
        <w:widowControl w:val="0"/>
        <w:numPr>
          <w:ilvl w:val="0"/>
          <w:numId w:val="37"/>
        </w:numPr>
        <w:spacing w:after="0" w:line="360" w:lineRule="auto"/>
        <w:jc w:val="both"/>
        <w:rPr>
          <w:rFonts w:ascii="Times New Roman" w:eastAsia="Courier New" w:hAnsi="Times New Roman" w:cs="Times New Roman"/>
          <w:color w:val="000000"/>
          <w:spacing w:val="2"/>
          <w:sz w:val="24"/>
          <w:szCs w:val="24"/>
          <w:shd w:val="clear" w:color="auto" w:fill="FFFFFF"/>
          <w:lang w:eastAsia="ru-RU" w:bidi="ru-RU"/>
        </w:rPr>
      </w:pPr>
      <w:r w:rsidRPr="003609FA">
        <w:rPr>
          <w:rFonts w:ascii="Times New Roman" w:eastAsia="Courier New" w:hAnsi="Times New Roman" w:cs="Times New Roman"/>
          <w:bCs/>
          <w:color w:val="000000"/>
          <w:spacing w:val="2"/>
          <w:sz w:val="24"/>
          <w:szCs w:val="24"/>
          <w:shd w:val="clear" w:color="auto" w:fill="FFFFFF"/>
          <w:lang w:eastAsia="ru-RU" w:bidi="ru-RU"/>
        </w:rPr>
        <w:t>Морской порт Усть-Луга</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Местонахождение морского порта: Россия, Ленинградская область, Кингисеппский район, Финский залив, устье реки Луга (59°42'43'' с. ш. 28°23'49'' в.д.)</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Площадь территории морского порта 1 181,9297 га, площадь акватории 67,56 км</w:t>
      </w:r>
      <w:r w:rsidRPr="00CD2C97">
        <w:rPr>
          <w:rFonts w:ascii="Times New Roman" w:eastAsia="Courier New" w:hAnsi="Times New Roman" w:cs="Times New Roman"/>
          <w:color w:val="000000"/>
          <w:spacing w:val="2"/>
          <w:sz w:val="24"/>
          <w:szCs w:val="24"/>
          <w:shd w:val="clear" w:color="auto" w:fill="FFFFFF"/>
          <w:vertAlign w:val="superscript"/>
          <w:lang w:eastAsia="ru-RU" w:bidi="ru-RU"/>
        </w:rPr>
        <w:t>2</w:t>
      </w:r>
      <w:r w:rsidRPr="00CD2C97">
        <w:rPr>
          <w:rFonts w:ascii="Times New Roman" w:eastAsia="Courier New" w:hAnsi="Times New Roman" w:cs="Times New Roman"/>
          <w:color w:val="000000"/>
          <w:spacing w:val="2"/>
          <w:sz w:val="24"/>
          <w:szCs w:val="24"/>
          <w:shd w:val="clear" w:color="auto" w:fill="FFFFFF"/>
          <w:lang w:eastAsia="ru-RU" w:bidi="ru-RU"/>
        </w:rPr>
        <w:t>. В порту имеется 41 причал, общая длина причального фронта составляет 8 188,38 м.</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Пропускная способность грузовых терминалов составляет 156 000,25 тыс. тонн в год, из них наливные грузы 80 037 тыс. тонн в год, сухие грузы 70 683,25 тыс. тонн в год, контейнеры - 440 тыс. единиц в двадцатифутовом эквиваленте в год. </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Большие глубины акватории порта (17,5 метров) в сочетании с коротким подходным Лужским морским каналом длиной 3,2 морские мили делают морской порт Усть-Луга единственным российским портом на Балтике, способным принимать суда дедвейтом до 160 тысяч тонн. Круглогодичная эксплуатация с коротким периодом ледокольной проводки является преимуществом морского порта. Помощь линейных ледоколов может понадобиться лишь в самые сильные морозы, а в умеренные зимы для обеспечения проводок судов в каналах достаточно помощи портового ледокола, а иногда буксира ледового класса.</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Преимуществом морского порта является наличие свободных площадей для дальнейшего развития. За счёт резервных территорий порт Усть-Луга может развиваться как в северном (Сойкинский полуостров), так и в южном направлении.</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В границах морского порта Усть-Луга расположены морские терминалы:</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ООО «Новые Коммунальные Технологии». Компания использует универсальный терминал и оказывает услуги: швартовочные;  услуги по обслуживанию судов; буксирное обслуживание; агентское обслуживание;  полный комплекс по осуществлению операций с грузами; погрузо-разгрузочные работы; внутрипортовое экспедирование. Пропускная способность грузового терминала составляет 15 000 тыс. тонн в год сухих грузов. Площадь открытых складов составляет 213 тыс. м</w:t>
      </w:r>
      <w:r w:rsidRPr="00CD2C97">
        <w:rPr>
          <w:rFonts w:ascii="Times New Roman" w:eastAsia="Courier New" w:hAnsi="Times New Roman" w:cs="Times New Roman"/>
          <w:color w:val="000000"/>
          <w:spacing w:val="2"/>
          <w:sz w:val="24"/>
          <w:szCs w:val="24"/>
          <w:shd w:val="clear" w:color="auto" w:fill="FFFFFF"/>
          <w:vertAlign w:val="superscript"/>
          <w:lang w:eastAsia="ru-RU" w:bidi="ru-RU"/>
        </w:rPr>
        <w:t>2</w:t>
      </w:r>
      <w:r w:rsidRPr="00CD2C97">
        <w:rPr>
          <w:rFonts w:ascii="Times New Roman" w:eastAsia="Courier New" w:hAnsi="Times New Roman" w:cs="Times New Roman"/>
          <w:color w:val="000000"/>
          <w:spacing w:val="2"/>
          <w:sz w:val="24"/>
          <w:szCs w:val="24"/>
          <w:shd w:val="clear" w:color="auto" w:fill="FFFFFF"/>
          <w:lang w:eastAsia="ru-RU" w:bidi="ru-RU"/>
        </w:rPr>
        <w:t>.</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ОАО «Лесной терминал «Фактор» использует терминалом по перевалке лесных грузов, генеральных, навалочных и наливных грузов. Оказывает услуги: погрузо-разгрузочные операции; складские операции. Пропускная способность наливных грузов 500 тыс. тонн, сухих - 800 тыс. тонн. Площадь крытых складов 2,75 тыс. м</w:t>
      </w:r>
      <w:r w:rsidRPr="00CD2C97">
        <w:rPr>
          <w:rFonts w:ascii="Times New Roman" w:eastAsia="Courier New" w:hAnsi="Times New Roman" w:cs="Times New Roman"/>
          <w:color w:val="000000"/>
          <w:spacing w:val="2"/>
          <w:sz w:val="24"/>
          <w:szCs w:val="24"/>
          <w:shd w:val="clear" w:color="auto" w:fill="FFFFFF"/>
          <w:vertAlign w:val="superscript"/>
          <w:lang w:eastAsia="ru-RU" w:bidi="ru-RU"/>
        </w:rPr>
        <w:t>2</w:t>
      </w:r>
      <w:r w:rsidRPr="00CD2C97">
        <w:rPr>
          <w:rFonts w:ascii="Times New Roman" w:eastAsia="Courier New" w:hAnsi="Times New Roman" w:cs="Times New Roman"/>
          <w:color w:val="000000"/>
          <w:spacing w:val="2"/>
          <w:sz w:val="24"/>
          <w:szCs w:val="24"/>
          <w:shd w:val="clear" w:color="auto" w:fill="FFFFFF"/>
          <w:lang w:eastAsia="ru-RU" w:bidi="ru-RU"/>
        </w:rPr>
        <w:t>, открытых- 65 тыс. м</w:t>
      </w:r>
      <w:r w:rsidRPr="00CD2C97">
        <w:rPr>
          <w:rFonts w:ascii="Times New Roman" w:eastAsia="Courier New" w:hAnsi="Times New Roman" w:cs="Times New Roman"/>
          <w:color w:val="000000"/>
          <w:spacing w:val="2"/>
          <w:sz w:val="24"/>
          <w:szCs w:val="24"/>
          <w:shd w:val="clear" w:color="auto" w:fill="FFFFFF"/>
          <w:vertAlign w:val="superscript"/>
          <w:lang w:eastAsia="ru-RU" w:bidi="ru-RU"/>
        </w:rPr>
        <w:t>2</w:t>
      </w:r>
      <w:r w:rsidRPr="00CD2C97">
        <w:rPr>
          <w:rFonts w:ascii="Times New Roman" w:eastAsia="Courier New" w:hAnsi="Times New Roman" w:cs="Times New Roman"/>
          <w:color w:val="000000"/>
          <w:spacing w:val="2"/>
          <w:sz w:val="24"/>
          <w:szCs w:val="24"/>
          <w:shd w:val="clear" w:color="auto" w:fill="FFFFFF"/>
          <w:lang w:eastAsia="ru-RU" w:bidi="ru-RU"/>
        </w:rPr>
        <w:t>.</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ООО «Универсальный перегрузочный комплекс» использует универсальный терминал. Оказывает услуги по перевалке экспортно-импортных, генеральных и навалочных грузов; хранению грузов; внутрипортовом экспедированию; оказанию швартовных операций. Пропускная способность грузового терминала составляет 3 000 тыс. тонн в год сухих грузов. Площадь открытых складов составляет 67,7 тыс. м</w:t>
      </w:r>
      <w:r w:rsidRPr="00CD2C97">
        <w:rPr>
          <w:rFonts w:ascii="Times New Roman" w:eastAsia="Courier New" w:hAnsi="Times New Roman" w:cs="Times New Roman"/>
          <w:color w:val="000000"/>
          <w:spacing w:val="2"/>
          <w:sz w:val="24"/>
          <w:szCs w:val="24"/>
          <w:shd w:val="clear" w:color="auto" w:fill="FFFFFF"/>
          <w:vertAlign w:val="superscript"/>
          <w:lang w:eastAsia="ru-RU" w:bidi="ru-RU"/>
        </w:rPr>
        <w:t>2</w:t>
      </w:r>
      <w:r w:rsidRPr="00CD2C97">
        <w:rPr>
          <w:rFonts w:ascii="Times New Roman" w:eastAsia="Courier New" w:hAnsi="Times New Roman" w:cs="Times New Roman"/>
          <w:color w:val="000000"/>
          <w:spacing w:val="2"/>
          <w:sz w:val="24"/>
          <w:szCs w:val="24"/>
          <w:shd w:val="clear" w:color="auto" w:fill="FFFFFF"/>
          <w:lang w:eastAsia="ru-RU" w:bidi="ru-RU"/>
        </w:rPr>
        <w:t>.</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Усть-Лужское управление Северо-Западного Бассейнового филиала ФГУП «Росморпорт» является собственником Автомобильно-железнодорожного паромного комплекса (АЖПК), являющегося составной частью паромного комплекса, осуществляющего перевозки на линии «Усть-Луга – Балтийск».</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АО «Ростерминалуголь» использует угольный терминал и оказывает услуги по перевалке грузов; складским операциям; взвешиванию грузов на железнодорожных весах; оказанию швартовных операций. Пропускная способность грузового терминала составляет 12 000 тыс. тонн в год сухих грузов. Площадь открытых складов составляет 104,4 тыс. м</w:t>
      </w:r>
      <w:r w:rsidRPr="00CD2C97">
        <w:rPr>
          <w:rFonts w:ascii="Times New Roman" w:eastAsia="Courier New" w:hAnsi="Times New Roman" w:cs="Times New Roman"/>
          <w:color w:val="000000"/>
          <w:spacing w:val="2"/>
          <w:sz w:val="24"/>
          <w:szCs w:val="24"/>
          <w:shd w:val="clear" w:color="auto" w:fill="FFFFFF"/>
          <w:vertAlign w:val="superscript"/>
          <w:lang w:eastAsia="ru-RU" w:bidi="ru-RU"/>
        </w:rPr>
        <w:t>2</w:t>
      </w:r>
      <w:r w:rsidRPr="00CD2C97">
        <w:rPr>
          <w:rFonts w:ascii="Times New Roman" w:eastAsia="Courier New" w:hAnsi="Times New Roman" w:cs="Times New Roman"/>
          <w:color w:val="000000"/>
          <w:spacing w:val="2"/>
          <w:sz w:val="24"/>
          <w:szCs w:val="24"/>
          <w:shd w:val="clear" w:color="auto" w:fill="FFFFFF"/>
          <w:lang w:eastAsia="ru-RU" w:bidi="ru-RU"/>
        </w:rPr>
        <w:t>.</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ОАО «Европейский серный терминал» использует специализированный терминал по переработке серы и оказывает услуги по перевалке грузов; складским операциям; экспедированию. Пропускная способность грузового терминала составляет 9 500 тыс. тонн в год сухих грузов. Площадь открытых складов составляет 4,3 тыс. м</w:t>
      </w:r>
      <w:r w:rsidRPr="00CD2C97">
        <w:rPr>
          <w:rFonts w:ascii="Times New Roman" w:eastAsia="Courier New" w:hAnsi="Times New Roman" w:cs="Times New Roman"/>
          <w:color w:val="000000"/>
          <w:spacing w:val="2"/>
          <w:sz w:val="24"/>
          <w:szCs w:val="24"/>
          <w:shd w:val="clear" w:color="auto" w:fill="FFFFFF"/>
          <w:vertAlign w:val="superscript"/>
          <w:lang w:eastAsia="ru-RU" w:bidi="ru-RU"/>
        </w:rPr>
        <w:t>2</w:t>
      </w:r>
      <w:r w:rsidRPr="00CD2C97">
        <w:rPr>
          <w:rFonts w:ascii="Times New Roman" w:eastAsia="Courier New" w:hAnsi="Times New Roman" w:cs="Times New Roman"/>
          <w:color w:val="000000"/>
          <w:spacing w:val="2"/>
          <w:sz w:val="24"/>
          <w:szCs w:val="24"/>
          <w:shd w:val="clear" w:color="auto" w:fill="FFFFFF"/>
          <w:lang w:eastAsia="ru-RU" w:bidi="ru-RU"/>
        </w:rPr>
        <w:t>, крытых - 34,3 м</w:t>
      </w:r>
      <w:r w:rsidRPr="00CD2C97">
        <w:rPr>
          <w:rFonts w:ascii="Times New Roman" w:eastAsia="Courier New" w:hAnsi="Times New Roman" w:cs="Times New Roman"/>
          <w:color w:val="000000"/>
          <w:spacing w:val="2"/>
          <w:sz w:val="24"/>
          <w:szCs w:val="24"/>
          <w:shd w:val="clear" w:color="auto" w:fill="FFFFFF"/>
          <w:vertAlign w:val="superscript"/>
          <w:lang w:eastAsia="ru-RU" w:bidi="ru-RU"/>
        </w:rPr>
        <w:t>2</w:t>
      </w:r>
      <w:r w:rsidRPr="00CD2C97">
        <w:rPr>
          <w:rFonts w:ascii="Times New Roman" w:eastAsia="Courier New" w:hAnsi="Times New Roman" w:cs="Times New Roman"/>
          <w:color w:val="000000"/>
          <w:spacing w:val="2"/>
          <w:sz w:val="24"/>
          <w:szCs w:val="24"/>
          <w:shd w:val="clear" w:color="auto" w:fill="FFFFFF"/>
          <w:lang w:eastAsia="ru-RU" w:bidi="ru-RU"/>
        </w:rPr>
        <w:t>.</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ЗАО «Усть-Лужский рыбокомбинат» оказывает услуги по перевалке грузов и обслуживанию судов технического и вспомогательного флота Пропускная способность грузового терминала составляет 138 тыс. тонн в год сухих грузов. Площадь открытых складов составляет 12,1 тыс. м</w:t>
      </w:r>
      <w:r w:rsidRPr="00CD2C97">
        <w:rPr>
          <w:rFonts w:ascii="Times New Roman" w:eastAsia="Courier New" w:hAnsi="Times New Roman" w:cs="Times New Roman"/>
          <w:color w:val="000000"/>
          <w:spacing w:val="2"/>
          <w:sz w:val="24"/>
          <w:szCs w:val="24"/>
          <w:shd w:val="clear" w:color="auto" w:fill="FFFFFF"/>
          <w:vertAlign w:val="superscript"/>
          <w:lang w:eastAsia="ru-RU" w:bidi="ru-RU"/>
        </w:rPr>
        <w:t>2</w:t>
      </w:r>
      <w:r w:rsidRPr="00CD2C97">
        <w:rPr>
          <w:rFonts w:ascii="Times New Roman" w:eastAsia="Courier New" w:hAnsi="Times New Roman" w:cs="Times New Roman"/>
          <w:color w:val="000000"/>
          <w:spacing w:val="2"/>
          <w:sz w:val="24"/>
          <w:szCs w:val="24"/>
          <w:shd w:val="clear" w:color="auto" w:fill="FFFFFF"/>
          <w:lang w:eastAsia="ru-RU" w:bidi="ru-RU"/>
        </w:rPr>
        <w:t>, крытых - 12,5 тыс. м</w:t>
      </w:r>
      <w:r w:rsidRPr="00CD2C97">
        <w:rPr>
          <w:rFonts w:ascii="Times New Roman" w:eastAsia="Courier New" w:hAnsi="Times New Roman" w:cs="Times New Roman"/>
          <w:color w:val="000000"/>
          <w:spacing w:val="2"/>
          <w:sz w:val="24"/>
          <w:szCs w:val="24"/>
          <w:shd w:val="clear" w:color="auto" w:fill="FFFFFF"/>
          <w:vertAlign w:val="superscript"/>
          <w:lang w:eastAsia="ru-RU" w:bidi="ru-RU"/>
        </w:rPr>
        <w:t>2</w:t>
      </w:r>
      <w:r w:rsidRPr="00CD2C97">
        <w:rPr>
          <w:rFonts w:ascii="Times New Roman" w:eastAsia="Courier New" w:hAnsi="Times New Roman" w:cs="Times New Roman"/>
          <w:color w:val="000000"/>
          <w:spacing w:val="2"/>
          <w:sz w:val="24"/>
          <w:szCs w:val="24"/>
          <w:shd w:val="clear" w:color="auto" w:fill="FFFFFF"/>
          <w:lang w:eastAsia="ru-RU" w:bidi="ru-RU"/>
        </w:rPr>
        <w:t>.</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ООО «Усть-Лужская производственно-торговая компания», ООО «Перевалочно-баржинговая компания» используют универсальный терминал по обслуживанию и бункеровке судов. Оказывает услуги по техническому обслуживанию судов и судоремонту, погрузо-разгрузочной деятельности применительно к нефтеналивным грузам.</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АО «Усть-Луга Ойл» использует специализированный нефтеналивной терминал. Оказывает услуги: швартовочные; полный комплекс по осуществлению операций с грузами; погрузочно-разгрузочные работы; внутрипортовое экспедирование; услуги по обслуживанию судов; агентирование судов. Пропускная способность терминала по наливным грузам составляет 30 000 тыс. тонн. Емкости резервуаров для хранения нефти, нефтепродуктов, пищевых наливных и химических грузов 850 тыс. тонн.</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ОАО «Усть-Лужский контейнерный терминал». Компания оказывает услуги по транспортной обработке грузов в контейнерах, в том числе рефконтейнеров; услуги по хранению и складированию; транспортно-экспедиторские услуги. Пропускная способность грузового терминала составляет 440 тыс. единиц в год. Площадь открытых складов 135 тыс. м</w:t>
      </w:r>
      <w:r w:rsidRPr="00CD2C97">
        <w:rPr>
          <w:rFonts w:ascii="Times New Roman" w:eastAsia="Courier New" w:hAnsi="Times New Roman" w:cs="Times New Roman"/>
          <w:color w:val="000000"/>
          <w:spacing w:val="2"/>
          <w:sz w:val="24"/>
          <w:szCs w:val="24"/>
          <w:shd w:val="clear" w:color="auto" w:fill="FFFFFF"/>
          <w:vertAlign w:val="superscript"/>
          <w:lang w:eastAsia="ru-RU" w:bidi="ru-RU"/>
        </w:rPr>
        <w:t>2</w:t>
      </w:r>
      <w:r w:rsidRPr="00CD2C97">
        <w:rPr>
          <w:rFonts w:ascii="Times New Roman" w:eastAsia="Courier New" w:hAnsi="Times New Roman" w:cs="Times New Roman"/>
          <w:color w:val="000000"/>
          <w:spacing w:val="2"/>
          <w:sz w:val="24"/>
          <w:szCs w:val="24"/>
          <w:shd w:val="clear" w:color="auto" w:fill="FFFFFF"/>
          <w:lang w:eastAsia="ru-RU" w:bidi="ru-RU"/>
        </w:rPr>
        <w:t>.</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ООО «Терминал Новая Гавань» использует терминал по перегрузке накатных грузов и оказывает услуги по строительству портовых сооружений; хранению и складированию; организации перевозок грузов; транспортной обработке грузов; деятельность морского и внутреннего водного транспорта; деятельность прочего сухопутного пассажирского транспорта; прочая вспомогательная деятельность водного и сухопутного транспорта. Пропускная способность грузового терминала 245 тыс. тонн в год сухих грузов. Площадь открытых складов составляет 300,5 тыс. м</w:t>
      </w:r>
      <w:r w:rsidRPr="00CD2C97">
        <w:rPr>
          <w:rFonts w:ascii="Times New Roman" w:eastAsia="Courier New" w:hAnsi="Times New Roman" w:cs="Times New Roman"/>
          <w:color w:val="000000"/>
          <w:spacing w:val="2"/>
          <w:sz w:val="24"/>
          <w:szCs w:val="24"/>
          <w:shd w:val="clear" w:color="auto" w:fill="FFFFFF"/>
          <w:vertAlign w:val="superscript"/>
          <w:lang w:eastAsia="ru-RU" w:bidi="ru-RU"/>
        </w:rPr>
        <w:t>2</w:t>
      </w:r>
      <w:r w:rsidRPr="00CD2C97">
        <w:rPr>
          <w:rFonts w:ascii="Times New Roman" w:eastAsia="Courier New" w:hAnsi="Times New Roman" w:cs="Times New Roman"/>
          <w:color w:val="000000"/>
          <w:spacing w:val="2"/>
          <w:sz w:val="24"/>
          <w:szCs w:val="24"/>
          <w:shd w:val="clear" w:color="auto" w:fill="FFFFFF"/>
          <w:lang w:eastAsia="ru-RU" w:bidi="ru-RU"/>
        </w:rPr>
        <w:t>.</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ООО «НОВАТЭК Усть-Луга». Оказывает услуги: швартовочные; полный комплекс по осуществлению операций с грузами; погрузочно-разгрузочные работы; внутрипортовое экспедирование. Пропускная способность наливных грузов составляет 6 000 тыс. тонн. Емкости резервуаров для хранения нефти, нефтепродуктов, пищевых наливных грузов, химических - 345 тыс. тонн.</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ООО «Невская трубопроводная компания». Оказывает услуги: швартовочные; полный комплекс по осуществлению операций с грузами; погрузо-разгрузочные работы;  внутрипортовое экспедирование; агентирование судов. Пропускная способность наливных грузов составляет 38 000 тыс. тонн.</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ООО «Портэнерго» использует терминал по перегрузке сжиженных углеводородных газов. Оказывает услуги: прием по железной дороге, хранение и налив в морские суда сжиженных под давлением и изотермически пропана и бутана, светлых нефтепродуктов; погрузочно-разгрузочные работы. Пропускная способность наливных грузов 4 000 тыс. тонн.</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ООО «Стивидорная судоходная компания» обладает комплексом по перегрузке нефтепродуктов. Оказывает услуги: погрузо-разгрузочная деятельность применительно к опасным грузам; хранение и складирование; отстой судов у причала предприятия;  оказание услуг в качестве морского агента и/или морского посредника; прочая вспомогательная деятельность водного транспорта. Пропускная способность наливных грузов 240 тыс. тонн.</w:t>
      </w:r>
    </w:p>
    <w:p w:rsidR="00CD2C97" w:rsidRPr="003609FA" w:rsidRDefault="003609FA"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Pr>
          <w:rFonts w:ascii="Times New Roman" w:eastAsia="Courier New" w:hAnsi="Times New Roman" w:cs="Times New Roman"/>
          <w:bCs/>
          <w:color w:val="000000"/>
          <w:spacing w:val="2"/>
          <w:sz w:val="24"/>
          <w:szCs w:val="24"/>
          <w:shd w:val="clear" w:color="auto" w:fill="FFFFFF"/>
          <w:lang w:eastAsia="ru-RU" w:bidi="ru-RU"/>
        </w:rPr>
        <w:t xml:space="preserve">2. </w:t>
      </w:r>
      <w:r w:rsidR="00CD2C97" w:rsidRPr="003609FA">
        <w:rPr>
          <w:rFonts w:ascii="Times New Roman" w:eastAsia="Courier New" w:hAnsi="Times New Roman" w:cs="Times New Roman"/>
          <w:bCs/>
          <w:color w:val="000000"/>
          <w:spacing w:val="2"/>
          <w:sz w:val="24"/>
          <w:szCs w:val="24"/>
          <w:shd w:val="clear" w:color="auto" w:fill="FFFFFF"/>
          <w:lang w:eastAsia="ru-RU" w:bidi="ru-RU"/>
        </w:rPr>
        <w:t>Морской порт Выборг</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Местонахождение морского порта: Россия, Ленинградская область, г. Выборг, Северная часть Выборгского залива Балтийского моря (60°42' с.ш. 28°44' в.д.)</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Морской порт Выборг является одним из старейших портов России (ещё в 1527 году Выборг признан «стапельным городом» с правом принимать иностранные суда). Площадь территории морского порта составляет 16,658 га, в порту имеется 13 причалов.</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Единственным оператором морского порта является ООО «Порт Логистик».</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Порт универсален и оказывает услуги по перевалке широкой номенклатуры генеральных, насыпных и навалочных грузов (минеральные удобрения, пеллеты, уголь, руда, лес, металлолом, гидроксид алюминия), химических наливных грузов.</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Порт располагает пассажирским терминалом (причалы №№ 1 и 2) с пропускной способностью 23 тыс. пассажиров в год.  </w:t>
      </w:r>
    </w:p>
    <w:p w:rsidR="00CD2C97" w:rsidRPr="003609FA" w:rsidRDefault="00CD2C97" w:rsidP="003609FA">
      <w:pPr>
        <w:pStyle w:val="a4"/>
        <w:widowControl w:val="0"/>
        <w:numPr>
          <w:ilvl w:val="0"/>
          <w:numId w:val="37"/>
        </w:numPr>
        <w:spacing w:after="0" w:line="360" w:lineRule="auto"/>
        <w:jc w:val="both"/>
        <w:rPr>
          <w:rFonts w:ascii="Times New Roman" w:eastAsia="Courier New" w:hAnsi="Times New Roman" w:cs="Times New Roman"/>
          <w:color w:val="000000"/>
          <w:spacing w:val="2"/>
          <w:sz w:val="24"/>
          <w:szCs w:val="24"/>
          <w:shd w:val="clear" w:color="auto" w:fill="FFFFFF"/>
          <w:lang w:eastAsia="ru-RU" w:bidi="ru-RU"/>
        </w:rPr>
      </w:pPr>
      <w:r w:rsidRPr="003609FA">
        <w:rPr>
          <w:rFonts w:ascii="Times New Roman" w:eastAsia="Courier New" w:hAnsi="Times New Roman" w:cs="Times New Roman"/>
          <w:bCs/>
          <w:color w:val="000000"/>
          <w:spacing w:val="2"/>
          <w:sz w:val="24"/>
          <w:szCs w:val="24"/>
          <w:shd w:val="clear" w:color="auto" w:fill="FFFFFF"/>
          <w:lang w:eastAsia="ru-RU" w:bidi="ru-RU"/>
        </w:rPr>
        <w:t>Морской порт Высоцк</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Местонахождение порта: Россия, Ленинградская область, Выборгский залив Балтийского моря, северная часть о. Высоцкий (60°37' с.ш. 28°34' в.д.)</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Площадь территории морского порта составляет 143,6 га, в морском порту имеется 8 причалов, длина причального фронта морского порта 1 703,6 метров.</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Пропускная способность грузовых терминалов 21,2 млн. тонн в год, из них наливные грузы 12,5 млн. тонн, сухие грузы 8,7 млн. тонн.</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В границах морского порта расположены угольный терминал, нефтеналивной терминал распределительно-перевалочного комплекса нефтепродуктов, удаленный морской терминал, терминалы по производству и перегрузке сжиженного природного газа.  Особенностью порта является отсутствие общих границ терминалов. </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Операторы морских терминалов:</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ООО «Порт Высоцкий». Оказывает услуги: погрузочно-разгрузочные работы, организация транспортно-экспедиторских и складских операций с грузами, перевозки грузов морским транспортом, комплексное обслуживание и снабжение судов, находящихся в порту. Площадь территории морского терминала 33,6 га, 4 причала. Длина причального фронта 781,6 п.м. пропускная способность грузового морского терминала 8 700 тыс. тонн в год. К угольному терминалу  проложены железнодорожная и автомобильная дороги. Длина причальной стенки для обработки судов 783 метра, 4 причала.</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ООО «РПК-Высоцк «Лукойл»-</w:t>
      </w:r>
      <w:r w:rsidRPr="00CD2C97">
        <w:rPr>
          <w:rFonts w:ascii="Times New Roman" w:eastAsia="Courier New" w:hAnsi="Times New Roman" w:cs="Times New Roman"/>
          <w:color w:val="000000"/>
          <w:spacing w:val="2"/>
          <w:sz w:val="24"/>
          <w:szCs w:val="24"/>
          <w:shd w:val="clear" w:color="auto" w:fill="FFFFFF"/>
          <w:lang w:val="en-US" w:eastAsia="ru-RU" w:bidi="ru-RU"/>
        </w:rPr>
        <w:t>II</w:t>
      </w:r>
      <w:r w:rsidRPr="00CD2C97">
        <w:rPr>
          <w:rFonts w:ascii="Times New Roman" w:eastAsia="Courier New" w:hAnsi="Times New Roman" w:cs="Times New Roman"/>
          <w:color w:val="000000"/>
          <w:spacing w:val="2"/>
          <w:sz w:val="24"/>
          <w:szCs w:val="24"/>
          <w:shd w:val="clear" w:color="auto" w:fill="FFFFFF"/>
          <w:lang w:eastAsia="ru-RU" w:bidi="ru-RU"/>
        </w:rPr>
        <w:t xml:space="preserve">. Оказывает услуги по эксплуатации промышленных объектов, представляющих повышенную опасность для окружающих, агентские, посреднические, представительские услуги. Оснащен нефтяным терминалом с 4 причалами. Площадь территории морского терминала 110 га. Длина причального фронта 922 п.м. Пропускная способность грузового морского терминала 12 500 тыс. тонн в год. В состав комплекса входит собственная железнодорожную станция «Нефтяная». </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АО «Криогаз» и ООО «Газпром СПГ «Портовая» реализованы проекты терминалов по производству и перегрузке сжиженного природного газа.</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В городском поселении Советский на территории предприятия расположен удалённый морской терминал  ОАО  «Выборгская Целлюлоза».</w:t>
      </w:r>
    </w:p>
    <w:p w:rsidR="00CD2C97" w:rsidRPr="003609FA" w:rsidRDefault="00CD2C97" w:rsidP="003609FA">
      <w:pPr>
        <w:pStyle w:val="a4"/>
        <w:widowControl w:val="0"/>
        <w:numPr>
          <w:ilvl w:val="0"/>
          <w:numId w:val="37"/>
        </w:numPr>
        <w:spacing w:after="0" w:line="360" w:lineRule="auto"/>
        <w:jc w:val="both"/>
        <w:rPr>
          <w:rFonts w:ascii="Times New Roman" w:eastAsia="Courier New" w:hAnsi="Times New Roman" w:cs="Times New Roman"/>
          <w:color w:val="000000"/>
          <w:spacing w:val="2"/>
          <w:sz w:val="24"/>
          <w:szCs w:val="24"/>
          <w:shd w:val="clear" w:color="auto" w:fill="FFFFFF"/>
          <w:lang w:eastAsia="ru-RU" w:bidi="ru-RU"/>
        </w:rPr>
      </w:pPr>
      <w:r w:rsidRPr="003609FA">
        <w:rPr>
          <w:rFonts w:ascii="Times New Roman" w:eastAsia="Courier New" w:hAnsi="Times New Roman" w:cs="Times New Roman"/>
          <w:bCs/>
          <w:color w:val="000000"/>
          <w:spacing w:val="2"/>
          <w:sz w:val="24"/>
          <w:szCs w:val="24"/>
          <w:shd w:val="clear" w:color="auto" w:fill="FFFFFF"/>
          <w:lang w:eastAsia="ru-RU" w:bidi="ru-RU"/>
        </w:rPr>
        <w:t>Морской порт Приморск</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Месторасположение порта: Россия, Ленинградская область, Выборгский район, Балтийское море, Финский залив, пролив Бъеркезунд (60°20′ С.Ш. 28°43′ В.Д.)</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Площадь территории морского порта составляет 252,26 га, площадь акватории морского порта – 32,26 га, в порту имеется 8 причалов, длина причального фронта морского порта 1703,6 метров, пропускная способность грузовых терминалов 21,2 млн тонн, из них наливные 12,5 млн тонн и сухие грузы 8,7 млн тонн.</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В границах территории морского порта Приморск расположены нефтеналивной терминал, предназначенный для перевалки сырой нефти и дизельного топлива, нефтеналивной перегрузочный терминал (база).</w:t>
      </w:r>
    </w:p>
    <w:p w:rsidR="00CD2C97" w:rsidRPr="00CD2C97" w:rsidRDefault="00CD2C97" w:rsidP="003609FA">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ООО «Транснефть - порт Приморск» оказывает услуги по технологическому накоплению грузов (нефти и нефтепродуктов), ООО «Приморский торговый порт» оказывает услуги по перевалке сырой нефти и светлых нефтепродуктов с трубопроводного транспорта на морской транспорт и бункеровке судов, ООО «Петротрал 1» оказывает услуги по ремонту, обслуживанию судов, технологическому на</w:t>
      </w:r>
      <w:r w:rsidR="003609FA">
        <w:rPr>
          <w:rFonts w:ascii="Times New Roman" w:eastAsia="Courier New" w:hAnsi="Times New Roman" w:cs="Times New Roman"/>
          <w:color w:val="000000"/>
          <w:spacing w:val="2"/>
          <w:sz w:val="24"/>
          <w:szCs w:val="24"/>
          <w:shd w:val="clear" w:color="auto" w:fill="FFFFFF"/>
          <w:lang w:eastAsia="ru-RU" w:bidi="ru-RU"/>
        </w:rPr>
        <w:t>коплению грузов и их перевалке.</w:t>
      </w:r>
    </w:p>
    <w:p w:rsid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Общий объем перегрузки грузов в морских портах региона в 2022 году составил </w:t>
      </w:r>
      <w:r w:rsidRPr="00CD2C97">
        <w:rPr>
          <w:rFonts w:ascii="Times New Roman" w:eastAsia="Courier New" w:hAnsi="Times New Roman" w:cs="Times New Roman"/>
          <w:bCs/>
          <w:color w:val="000000"/>
          <w:spacing w:val="2"/>
          <w:sz w:val="24"/>
          <w:szCs w:val="24"/>
          <w:shd w:val="clear" w:color="auto" w:fill="FFFFFF"/>
          <w:lang w:eastAsia="ru-RU" w:bidi="ru-RU"/>
        </w:rPr>
        <w:t xml:space="preserve">198 509,7 </w:t>
      </w:r>
      <w:r w:rsidRPr="00CD2C97">
        <w:rPr>
          <w:rFonts w:ascii="Times New Roman" w:eastAsia="Courier New" w:hAnsi="Times New Roman" w:cs="Times New Roman"/>
          <w:color w:val="000000"/>
          <w:spacing w:val="2"/>
          <w:sz w:val="24"/>
          <w:szCs w:val="24"/>
          <w:shd w:val="clear" w:color="auto" w:fill="FFFFFF"/>
          <w:lang w:eastAsia="ru-RU" w:bidi="ru-RU"/>
        </w:rPr>
        <w:t>тыс. тонн, или 110,0 % к 2021 году.</w:t>
      </w:r>
    </w:p>
    <w:p w:rsidR="00D853DE" w:rsidRPr="00CD2C97" w:rsidRDefault="00D853DE"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p>
    <w:p w:rsidR="00CD2C97" w:rsidRPr="00CD2C97" w:rsidRDefault="00D853DE" w:rsidP="00D853DE">
      <w:pPr>
        <w:widowControl w:val="0"/>
        <w:spacing w:after="0" w:line="360" w:lineRule="auto"/>
        <w:ind w:firstLine="709"/>
        <w:jc w:val="center"/>
        <w:rPr>
          <w:rFonts w:ascii="Times New Roman" w:eastAsia="Courier New" w:hAnsi="Times New Roman" w:cs="Times New Roman"/>
          <w:color w:val="000000"/>
          <w:spacing w:val="2"/>
          <w:sz w:val="24"/>
          <w:szCs w:val="24"/>
          <w:shd w:val="clear" w:color="auto" w:fill="FFFFFF"/>
          <w:lang w:eastAsia="ru-RU" w:bidi="ru-RU"/>
        </w:rPr>
      </w:pPr>
      <w:r>
        <w:rPr>
          <w:rFonts w:ascii="Times New Roman" w:eastAsia="Courier New" w:hAnsi="Times New Roman" w:cs="Times New Roman"/>
          <w:color w:val="000000"/>
          <w:spacing w:val="2"/>
          <w:sz w:val="24"/>
          <w:szCs w:val="24"/>
          <w:shd w:val="clear" w:color="auto" w:fill="FFFFFF"/>
          <w:lang w:eastAsia="ru-RU" w:bidi="ru-RU"/>
        </w:rPr>
        <w:t>Таблица 64. Объем переработки грузов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898"/>
        <w:gridCol w:w="3511"/>
        <w:gridCol w:w="3714"/>
      </w:tblGrid>
      <w:tr w:rsidR="00CD2C97" w:rsidRPr="00CD2C97" w:rsidTr="00CD2C97">
        <w:trPr>
          <w:trHeight w:val="919"/>
          <w:tblHeader/>
        </w:trPr>
        <w:tc>
          <w:tcPr>
            <w:tcW w:w="0" w:type="auto"/>
            <w:shd w:val="solid" w:color="FFFFFF" w:fill="auto"/>
            <w:vAlign w:val="center"/>
            <w:hideMark/>
          </w:tcPr>
          <w:p w:rsidR="00CD2C97" w:rsidRPr="00D55ED4" w:rsidRDefault="00CD2C97" w:rsidP="00D55ED4">
            <w:pPr>
              <w:widowControl w:val="0"/>
              <w:spacing w:after="0" w:line="240" w:lineRule="auto"/>
              <w:jc w:val="center"/>
              <w:rPr>
                <w:rFonts w:ascii="Times New Roman" w:eastAsia="Courier New" w:hAnsi="Times New Roman" w:cs="Times New Roman"/>
                <w:b/>
                <w:bCs/>
                <w:color w:val="000000"/>
                <w:spacing w:val="2"/>
                <w:sz w:val="24"/>
                <w:szCs w:val="24"/>
                <w:shd w:val="clear" w:color="auto" w:fill="FFFFFF"/>
                <w:lang w:eastAsia="ru-RU" w:bidi="ru-RU"/>
              </w:rPr>
            </w:pPr>
            <w:r w:rsidRPr="00D55ED4">
              <w:rPr>
                <w:rFonts w:ascii="Times New Roman" w:eastAsia="Courier New" w:hAnsi="Times New Roman" w:cs="Times New Roman"/>
                <w:b/>
                <w:bCs/>
                <w:color w:val="000000"/>
                <w:spacing w:val="2"/>
                <w:sz w:val="24"/>
                <w:szCs w:val="24"/>
                <w:shd w:val="clear" w:color="auto" w:fill="FFFFFF"/>
                <w:lang w:eastAsia="ru-RU" w:bidi="ru-RU"/>
              </w:rPr>
              <w:t>Наименование</w:t>
            </w:r>
          </w:p>
          <w:p w:rsidR="00CD2C97" w:rsidRPr="00D55ED4" w:rsidRDefault="00CD2C97" w:rsidP="00D55ED4">
            <w:pPr>
              <w:widowControl w:val="0"/>
              <w:spacing w:after="0" w:line="240" w:lineRule="auto"/>
              <w:jc w:val="center"/>
              <w:rPr>
                <w:rFonts w:ascii="Times New Roman" w:eastAsia="Courier New" w:hAnsi="Times New Roman" w:cs="Times New Roman"/>
                <w:b/>
                <w:bCs/>
                <w:color w:val="000000"/>
                <w:spacing w:val="2"/>
                <w:sz w:val="24"/>
                <w:szCs w:val="24"/>
                <w:shd w:val="clear" w:color="auto" w:fill="FFFFFF"/>
                <w:lang w:eastAsia="ru-RU" w:bidi="ru-RU"/>
              </w:rPr>
            </w:pPr>
            <w:r w:rsidRPr="00D55ED4">
              <w:rPr>
                <w:rFonts w:ascii="Times New Roman" w:eastAsia="Courier New" w:hAnsi="Times New Roman" w:cs="Times New Roman"/>
                <w:b/>
                <w:bCs/>
                <w:color w:val="000000"/>
                <w:spacing w:val="2"/>
                <w:sz w:val="24"/>
                <w:szCs w:val="24"/>
                <w:shd w:val="clear" w:color="auto" w:fill="FFFFFF"/>
                <w:lang w:eastAsia="ru-RU" w:bidi="ru-RU"/>
              </w:rPr>
              <w:t>морского порта</w:t>
            </w:r>
          </w:p>
        </w:tc>
        <w:tc>
          <w:tcPr>
            <w:tcW w:w="3511" w:type="dxa"/>
            <w:shd w:val="solid" w:color="FFFFFF" w:fill="auto"/>
            <w:vAlign w:val="center"/>
            <w:hideMark/>
          </w:tcPr>
          <w:p w:rsidR="003C5F0B" w:rsidRPr="00D55ED4" w:rsidRDefault="003609FA" w:rsidP="00D55ED4">
            <w:pPr>
              <w:widowControl w:val="0"/>
              <w:spacing w:after="0" w:line="240" w:lineRule="auto"/>
              <w:jc w:val="center"/>
              <w:rPr>
                <w:rFonts w:ascii="Times New Roman" w:eastAsia="Courier New" w:hAnsi="Times New Roman" w:cs="Times New Roman"/>
                <w:b/>
                <w:color w:val="000000"/>
                <w:spacing w:val="2"/>
                <w:sz w:val="24"/>
                <w:szCs w:val="24"/>
                <w:shd w:val="clear" w:color="auto" w:fill="FFFFFF"/>
                <w:lang w:eastAsia="ru-RU" w:bidi="ru-RU"/>
              </w:rPr>
            </w:pPr>
            <w:r w:rsidRPr="00D55ED4">
              <w:rPr>
                <w:rFonts w:ascii="Times New Roman" w:eastAsia="Courier New" w:hAnsi="Times New Roman" w:cs="Times New Roman"/>
                <w:b/>
                <w:bCs/>
                <w:color w:val="000000"/>
                <w:spacing w:val="2"/>
                <w:sz w:val="24"/>
                <w:szCs w:val="24"/>
                <w:shd w:val="clear" w:color="auto" w:fill="FFFFFF"/>
                <w:lang w:eastAsia="ru-RU" w:bidi="ru-RU"/>
              </w:rPr>
              <w:t>Объём переработки грузо</w:t>
            </w:r>
            <w:r w:rsidR="00CD2C97" w:rsidRPr="00D55ED4">
              <w:rPr>
                <w:rFonts w:ascii="Times New Roman" w:eastAsia="Courier New" w:hAnsi="Times New Roman" w:cs="Times New Roman"/>
                <w:b/>
                <w:color w:val="000000"/>
                <w:spacing w:val="2"/>
                <w:sz w:val="24"/>
                <w:szCs w:val="24"/>
                <w:shd w:val="clear" w:color="auto" w:fill="FFFFFF"/>
                <w:lang w:eastAsia="ru-RU" w:bidi="ru-RU"/>
              </w:rPr>
              <w:t>в</w:t>
            </w:r>
          </w:p>
          <w:p w:rsidR="00CD2C97" w:rsidRPr="00D55ED4" w:rsidRDefault="003C5F0B" w:rsidP="00D55ED4">
            <w:pPr>
              <w:widowControl w:val="0"/>
              <w:spacing w:after="0" w:line="240" w:lineRule="auto"/>
              <w:jc w:val="center"/>
              <w:rPr>
                <w:rFonts w:ascii="Times New Roman" w:eastAsia="Courier New" w:hAnsi="Times New Roman" w:cs="Times New Roman"/>
                <w:b/>
                <w:bCs/>
                <w:color w:val="000000"/>
                <w:spacing w:val="2"/>
                <w:sz w:val="24"/>
                <w:szCs w:val="24"/>
                <w:shd w:val="clear" w:color="auto" w:fill="FFFFFF"/>
                <w:lang w:eastAsia="ru-RU" w:bidi="ru-RU"/>
              </w:rPr>
            </w:pPr>
            <w:r w:rsidRPr="00D55ED4">
              <w:rPr>
                <w:rFonts w:ascii="Times New Roman" w:eastAsia="Courier New" w:hAnsi="Times New Roman" w:cs="Times New Roman"/>
                <w:b/>
                <w:color w:val="000000"/>
                <w:spacing w:val="2"/>
                <w:sz w:val="24"/>
                <w:szCs w:val="24"/>
                <w:shd w:val="clear" w:color="auto" w:fill="FFFFFF"/>
                <w:lang w:eastAsia="ru-RU" w:bidi="ru-RU"/>
              </w:rPr>
              <w:t xml:space="preserve">в </w:t>
            </w:r>
            <w:r w:rsidR="00CD2C97" w:rsidRPr="00D55ED4">
              <w:rPr>
                <w:rFonts w:ascii="Times New Roman" w:eastAsia="Courier New" w:hAnsi="Times New Roman" w:cs="Times New Roman"/>
                <w:b/>
                <w:color w:val="000000"/>
                <w:spacing w:val="2"/>
                <w:sz w:val="24"/>
                <w:szCs w:val="24"/>
                <w:shd w:val="clear" w:color="auto" w:fill="FFFFFF"/>
                <w:lang w:eastAsia="ru-RU" w:bidi="ru-RU"/>
              </w:rPr>
              <w:t>2022</w:t>
            </w:r>
            <w:r w:rsidR="00CD2C97" w:rsidRPr="00D55ED4">
              <w:rPr>
                <w:rFonts w:ascii="Times New Roman" w:eastAsia="Courier New" w:hAnsi="Times New Roman" w:cs="Times New Roman"/>
                <w:b/>
                <w:bCs/>
                <w:color w:val="000000"/>
                <w:spacing w:val="2"/>
                <w:sz w:val="24"/>
                <w:szCs w:val="24"/>
                <w:shd w:val="clear" w:color="auto" w:fill="FFFFFF"/>
                <w:lang w:eastAsia="ru-RU" w:bidi="ru-RU"/>
              </w:rPr>
              <w:t xml:space="preserve"> году</w:t>
            </w:r>
          </w:p>
          <w:p w:rsidR="00CD2C97" w:rsidRPr="00D55ED4" w:rsidRDefault="00CD2C97" w:rsidP="00D55ED4">
            <w:pPr>
              <w:widowControl w:val="0"/>
              <w:spacing w:after="0" w:line="240" w:lineRule="auto"/>
              <w:jc w:val="center"/>
              <w:rPr>
                <w:rFonts w:ascii="Times New Roman" w:eastAsia="Courier New" w:hAnsi="Times New Roman" w:cs="Times New Roman"/>
                <w:b/>
                <w:color w:val="000000"/>
                <w:spacing w:val="2"/>
                <w:sz w:val="24"/>
                <w:szCs w:val="24"/>
                <w:shd w:val="clear" w:color="auto" w:fill="FFFFFF"/>
                <w:lang w:eastAsia="ru-RU" w:bidi="ru-RU"/>
              </w:rPr>
            </w:pPr>
            <w:r w:rsidRPr="00D55ED4">
              <w:rPr>
                <w:rFonts w:ascii="Times New Roman" w:eastAsia="Courier New" w:hAnsi="Times New Roman" w:cs="Times New Roman"/>
                <w:b/>
                <w:bCs/>
                <w:color w:val="000000"/>
                <w:spacing w:val="2"/>
                <w:sz w:val="24"/>
                <w:szCs w:val="24"/>
                <w:shd w:val="clear" w:color="auto" w:fill="FFFFFF"/>
                <w:lang w:eastAsia="ru-RU" w:bidi="ru-RU"/>
              </w:rPr>
              <w:t>(</w:t>
            </w:r>
            <w:r w:rsidRPr="00D55ED4">
              <w:rPr>
                <w:rFonts w:ascii="Times New Roman" w:eastAsia="Courier New" w:hAnsi="Times New Roman" w:cs="Times New Roman"/>
                <w:b/>
                <w:color w:val="000000"/>
                <w:spacing w:val="2"/>
                <w:sz w:val="24"/>
                <w:szCs w:val="24"/>
                <w:shd w:val="clear" w:color="auto" w:fill="FFFFFF"/>
                <w:lang w:eastAsia="ru-RU" w:bidi="ru-RU"/>
              </w:rPr>
              <w:t>тыс. тонн)</w:t>
            </w:r>
          </w:p>
        </w:tc>
        <w:tc>
          <w:tcPr>
            <w:tcW w:w="3714" w:type="dxa"/>
            <w:shd w:val="solid" w:color="FFFFFF" w:fill="auto"/>
            <w:vAlign w:val="center"/>
            <w:hideMark/>
          </w:tcPr>
          <w:p w:rsidR="00CD2C97" w:rsidRPr="00D55ED4" w:rsidRDefault="003609FA" w:rsidP="00D55ED4">
            <w:pPr>
              <w:widowControl w:val="0"/>
              <w:spacing w:after="0" w:line="240" w:lineRule="auto"/>
              <w:jc w:val="center"/>
              <w:rPr>
                <w:rFonts w:ascii="Times New Roman" w:eastAsia="Courier New" w:hAnsi="Times New Roman" w:cs="Times New Roman"/>
                <w:b/>
                <w:bCs/>
                <w:color w:val="000000"/>
                <w:spacing w:val="2"/>
                <w:sz w:val="24"/>
                <w:szCs w:val="24"/>
                <w:shd w:val="clear" w:color="auto" w:fill="FFFFFF"/>
                <w:lang w:eastAsia="ru-RU" w:bidi="ru-RU"/>
              </w:rPr>
            </w:pPr>
            <w:r w:rsidRPr="00D55ED4">
              <w:rPr>
                <w:rFonts w:ascii="Times New Roman" w:eastAsia="Courier New" w:hAnsi="Times New Roman" w:cs="Times New Roman"/>
                <w:b/>
                <w:bCs/>
                <w:color w:val="000000"/>
                <w:spacing w:val="2"/>
                <w:sz w:val="24"/>
                <w:szCs w:val="24"/>
                <w:shd w:val="clear" w:color="auto" w:fill="FFFFFF"/>
                <w:lang w:eastAsia="ru-RU" w:bidi="ru-RU"/>
              </w:rPr>
              <w:t>Изменение объёма,</w:t>
            </w:r>
            <w:r w:rsidR="00CD2C97" w:rsidRPr="00D55ED4">
              <w:rPr>
                <w:rFonts w:ascii="Times New Roman" w:eastAsia="Courier New" w:hAnsi="Times New Roman" w:cs="Times New Roman"/>
                <w:b/>
                <w:bCs/>
                <w:color w:val="000000"/>
                <w:spacing w:val="2"/>
                <w:sz w:val="24"/>
                <w:szCs w:val="24"/>
                <w:shd w:val="clear" w:color="auto" w:fill="FFFFFF"/>
                <w:lang w:eastAsia="ru-RU" w:bidi="ru-RU"/>
              </w:rPr>
              <w:t>к 2021 году</w:t>
            </w:r>
          </w:p>
          <w:p w:rsidR="00CD2C97" w:rsidRPr="00D55ED4" w:rsidRDefault="00CD2C97" w:rsidP="00D55ED4">
            <w:pPr>
              <w:widowControl w:val="0"/>
              <w:spacing w:after="0" w:line="240" w:lineRule="auto"/>
              <w:ind w:firstLine="709"/>
              <w:jc w:val="center"/>
              <w:rPr>
                <w:rFonts w:ascii="Times New Roman" w:eastAsia="Courier New" w:hAnsi="Times New Roman" w:cs="Times New Roman"/>
                <w:b/>
                <w:bCs/>
                <w:color w:val="000000"/>
                <w:spacing w:val="2"/>
                <w:sz w:val="24"/>
                <w:szCs w:val="24"/>
                <w:shd w:val="clear" w:color="auto" w:fill="FFFFFF"/>
                <w:lang w:eastAsia="ru-RU" w:bidi="ru-RU"/>
              </w:rPr>
            </w:pPr>
            <w:r w:rsidRPr="00D55ED4">
              <w:rPr>
                <w:rFonts w:ascii="Times New Roman" w:eastAsia="Courier New" w:hAnsi="Times New Roman" w:cs="Times New Roman"/>
                <w:b/>
                <w:bCs/>
                <w:color w:val="000000"/>
                <w:spacing w:val="2"/>
                <w:sz w:val="24"/>
                <w:szCs w:val="24"/>
                <w:shd w:val="clear" w:color="auto" w:fill="FFFFFF"/>
                <w:lang w:eastAsia="ru-RU" w:bidi="ru-RU"/>
              </w:rPr>
              <w:t>(%)</w:t>
            </w:r>
          </w:p>
        </w:tc>
      </w:tr>
      <w:tr w:rsidR="00CD2C97" w:rsidRPr="00CD2C97" w:rsidTr="00CD2C97">
        <w:trPr>
          <w:trHeight w:val="283"/>
        </w:trPr>
        <w:tc>
          <w:tcPr>
            <w:tcW w:w="0" w:type="auto"/>
            <w:shd w:val="solid" w:color="FFFFFF" w:fill="auto"/>
            <w:vAlign w:val="center"/>
            <w:hideMark/>
          </w:tcPr>
          <w:p w:rsidR="00CD2C97" w:rsidRPr="003609FA" w:rsidRDefault="00CD2C97" w:rsidP="00D55ED4">
            <w:pPr>
              <w:widowControl w:val="0"/>
              <w:spacing w:after="0" w:line="240" w:lineRule="auto"/>
              <w:ind w:firstLine="709"/>
              <w:jc w:val="both"/>
              <w:rPr>
                <w:rFonts w:ascii="Times New Roman" w:eastAsia="Courier New" w:hAnsi="Times New Roman" w:cs="Times New Roman"/>
                <w:bCs/>
                <w:color w:val="000000"/>
                <w:spacing w:val="2"/>
                <w:sz w:val="24"/>
                <w:szCs w:val="24"/>
                <w:shd w:val="clear" w:color="auto" w:fill="FFFFFF"/>
                <w:lang w:eastAsia="ru-RU" w:bidi="ru-RU"/>
              </w:rPr>
            </w:pPr>
            <w:r w:rsidRPr="003609FA">
              <w:rPr>
                <w:rFonts w:ascii="Times New Roman" w:eastAsia="Courier New" w:hAnsi="Times New Roman" w:cs="Times New Roman"/>
                <w:bCs/>
                <w:color w:val="000000"/>
                <w:spacing w:val="2"/>
                <w:sz w:val="24"/>
                <w:szCs w:val="24"/>
                <w:shd w:val="clear" w:color="auto" w:fill="FFFFFF"/>
                <w:lang w:eastAsia="ru-RU" w:bidi="ru-RU"/>
              </w:rPr>
              <w:t>Объем переработки грузов - всего:</w:t>
            </w:r>
          </w:p>
        </w:tc>
        <w:tc>
          <w:tcPr>
            <w:tcW w:w="3511" w:type="dxa"/>
            <w:shd w:val="solid" w:color="FFFFFF" w:fill="auto"/>
            <w:vAlign w:val="center"/>
            <w:hideMark/>
          </w:tcPr>
          <w:p w:rsidR="00CD2C97" w:rsidRPr="003609FA" w:rsidRDefault="00CD2C97" w:rsidP="00D55ED4">
            <w:pPr>
              <w:widowControl w:val="0"/>
              <w:spacing w:after="0" w:line="240" w:lineRule="auto"/>
              <w:ind w:firstLine="709"/>
              <w:jc w:val="both"/>
              <w:rPr>
                <w:rFonts w:ascii="Times New Roman" w:eastAsia="Courier New" w:hAnsi="Times New Roman" w:cs="Times New Roman"/>
                <w:bCs/>
                <w:color w:val="000000"/>
                <w:spacing w:val="2"/>
                <w:sz w:val="24"/>
                <w:szCs w:val="24"/>
                <w:shd w:val="clear" w:color="auto" w:fill="FFFFFF"/>
                <w:lang w:eastAsia="ru-RU" w:bidi="ru-RU"/>
              </w:rPr>
            </w:pPr>
            <w:r w:rsidRPr="003609FA">
              <w:rPr>
                <w:rFonts w:ascii="Times New Roman" w:eastAsia="Courier New" w:hAnsi="Times New Roman" w:cs="Times New Roman"/>
                <w:bCs/>
                <w:color w:val="000000"/>
                <w:spacing w:val="2"/>
                <w:sz w:val="24"/>
                <w:szCs w:val="24"/>
                <w:shd w:val="clear" w:color="auto" w:fill="FFFFFF"/>
                <w:lang w:eastAsia="ru-RU" w:bidi="ru-RU"/>
              </w:rPr>
              <w:t>198509,7</w:t>
            </w:r>
          </w:p>
        </w:tc>
        <w:tc>
          <w:tcPr>
            <w:tcW w:w="3714" w:type="dxa"/>
            <w:shd w:val="solid" w:color="FFFFFF" w:fill="auto"/>
            <w:vAlign w:val="center"/>
            <w:hideMark/>
          </w:tcPr>
          <w:p w:rsidR="00CD2C97" w:rsidRPr="003609FA" w:rsidRDefault="00CD2C97" w:rsidP="00D55ED4">
            <w:pPr>
              <w:widowControl w:val="0"/>
              <w:spacing w:after="0" w:line="240" w:lineRule="auto"/>
              <w:ind w:firstLine="709"/>
              <w:jc w:val="both"/>
              <w:rPr>
                <w:rFonts w:ascii="Times New Roman" w:eastAsia="Courier New" w:hAnsi="Times New Roman" w:cs="Times New Roman"/>
                <w:bCs/>
                <w:color w:val="000000"/>
                <w:spacing w:val="2"/>
                <w:sz w:val="24"/>
                <w:szCs w:val="24"/>
                <w:shd w:val="clear" w:color="auto" w:fill="FFFFFF"/>
                <w:lang w:eastAsia="ru-RU" w:bidi="ru-RU"/>
              </w:rPr>
            </w:pPr>
            <w:r w:rsidRPr="003609FA">
              <w:rPr>
                <w:rFonts w:ascii="Times New Roman" w:eastAsia="Courier New" w:hAnsi="Times New Roman" w:cs="Times New Roman"/>
                <w:bCs/>
                <w:color w:val="000000"/>
                <w:spacing w:val="2"/>
                <w:sz w:val="24"/>
                <w:szCs w:val="24"/>
                <w:shd w:val="clear" w:color="auto" w:fill="FFFFFF"/>
                <w:lang w:eastAsia="ru-RU" w:bidi="ru-RU"/>
              </w:rPr>
              <w:t>110,0</w:t>
            </w:r>
          </w:p>
        </w:tc>
      </w:tr>
      <w:tr w:rsidR="00CD2C97" w:rsidRPr="00CD2C97" w:rsidTr="00CD2C97">
        <w:trPr>
          <w:trHeight w:val="457"/>
        </w:trPr>
        <w:tc>
          <w:tcPr>
            <w:tcW w:w="0" w:type="auto"/>
            <w:shd w:val="solid" w:color="FFFFFF" w:fill="auto"/>
            <w:vAlign w:val="center"/>
            <w:hideMark/>
          </w:tcPr>
          <w:p w:rsidR="00CD2C97" w:rsidRPr="003609FA" w:rsidRDefault="00CD2C97" w:rsidP="00D55ED4">
            <w:pPr>
              <w:widowControl w:val="0"/>
              <w:spacing w:after="0" w:line="240" w:lineRule="auto"/>
              <w:ind w:firstLine="709"/>
              <w:jc w:val="both"/>
              <w:rPr>
                <w:rFonts w:ascii="Times New Roman" w:eastAsia="Courier New" w:hAnsi="Times New Roman" w:cs="Times New Roman"/>
                <w:bCs/>
                <w:color w:val="000000"/>
                <w:spacing w:val="2"/>
                <w:sz w:val="24"/>
                <w:szCs w:val="24"/>
                <w:shd w:val="clear" w:color="auto" w:fill="FFFFFF"/>
                <w:lang w:eastAsia="ru-RU" w:bidi="ru-RU"/>
              </w:rPr>
            </w:pPr>
            <w:r w:rsidRPr="003609FA">
              <w:rPr>
                <w:rFonts w:ascii="Times New Roman" w:eastAsia="Courier New" w:hAnsi="Times New Roman" w:cs="Times New Roman"/>
                <w:bCs/>
                <w:color w:val="000000"/>
                <w:spacing w:val="2"/>
                <w:sz w:val="24"/>
                <w:szCs w:val="24"/>
                <w:shd w:val="clear" w:color="auto" w:fill="FFFFFF"/>
                <w:lang w:eastAsia="ru-RU" w:bidi="ru-RU"/>
              </w:rPr>
              <w:t>Выборг</w:t>
            </w:r>
          </w:p>
        </w:tc>
        <w:tc>
          <w:tcPr>
            <w:tcW w:w="3511" w:type="dxa"/>
            <w:shd w:val="solid" w:color="FFFFFF" w:fill="auto"/>
            <w:vAlign w:val="center"/>
            <w:hideMark/>
          </w:tcPr>
          <w:p w:rsidR="00CD2C97" w:rsidRPr="003609FA" w:rsidRDefault="00CD2C97" w:rsidP="00D55ED4">
            <w:pPr>
              <w:widowControl w:val="0"/>
              <w:spacing w:after="0" w:line="240" w:lineRule="auto"/>
              <w:ind w:firstLine="709"/>
              <w:jc w:val="both"/>
              <w:rPr>
                <w:rFonts w:ascii="Times New Roman" w:eastAsia="Courier New" w:hAnsi="Times New Roman" w:cs="Times New Roman"/>
                <w:bCs/>
                <w:color w:val="000000"/>
                <w:spacing w:val="2"/>
                <w:sz w:val="24"/>
                <w:szCs w:val="24"/>
                <w:shd w:val="clear" w:color="auto" w:fill="FFFFFF"/>
                <w:lang w:eastAsia="ru-RU" w:bidi="ru-RU"/>
              </w:rPr>
            </w:pPr>
            <w:r w:rsidRPr="003609FA">
              <w:rPr>
                <w:rFonts w:ascii="Times New Roman" w:eastAsia="Courier New" w:hAnsi="Times New Roman" w:cs="Times New Roman"/>
                <w:bCs/>
                <w:color w:val="000000"/>
                <w:spacing w:val="2"/>
                <w:sz w:val="24"/>
                <w:szCs w:val="24"/>
                <w:shd w:val="clear" w:color="auto" w:fill="FFFFFF"/>
                <w:lang w:eastAsia="ru-RU" w:bidi="ru-RU"/>
              </w:rPr>
              <w:t>1 310,1</w:t>
            </w:r>
          </w:p>
        </w:tc>
        <w:tc>
          <w:tcPr>
            <w:tcW w:w="3714" w:type="dxa"/>
            <w:shd w:val="solid" w:color="FFFFFF" w:fill="auto"/>
            <w:vAlign w:val="center"/>
            <w:hideMark/>
          </w:tcPr>
          <w:p w:rsidR="00CD2C97" w:rsidRPr="003609FA" w:rsidRDefault="00CD2C97" w:rsidP="00D55ED4">
            <w:pPr>
              <w:widowControl w:val="0"/>
              <w:spacing w:after="0" w:line="240" w:lineRule="auto"/>
              <w:ind w:firstLine="709"/>
              <w:jc w:val="both"/>
              <w:rPr>
                <w:rFonts w:ascii="Times New Roman" w:eastAsia="Courier New" w:hAnsi="Times New Roman" w:cs="Times New Roman"/>
                <w:bCs/>
                <w:color w:val="000000"/>
                <w:spacing w:val="2"/>
                <w:sz w:val="24"/>
                <w:szCs w:val="24"/>
                <w:shd w:val="clear" w:color="auto" w:fill="FFFFFF"/>
                <w:lang w:eastAsia="ru-RU" w:bidi="ru-RU"/>
              </w:rPr>
            </w:pPr>
            <w:r w:rsidRPr="003609FA">
              <w:rPr>
                <w:rFonts w:ascii="Times New Roman" w:eastAsia="Courier New" w:hAnsi="Times New Roman" w:cs="Times New Roman"/>
                <w:bCs/>
                <w:color w:val="000000"/>
                <w:spacing w:val="2"/>
                <w:sz w:val="24"/>
                <w:szCs w:val="24"/>
                <w:shd w:val="clear" w:color="auto" w:fill="FFFFFF"/>
                <w:lang w:eastAsia="ru-RU" w:bidi="ru-RU"/>
              </w:rPr>
              <w:t>121,0</w:t>
            </w:r>
          </w:p>
        </w:tc>
      </w:tr>
      <w:tr w:rsidR="00CD2C97" w:rsidRPr="00CD2C97" w:rsidTr="00CD2C97">
        <w:trPr>
          <w:trHeight w:val="409"/>
        </w:trPr>
        <w:tc>
          <w:tcPr>
            <w:tcW w:w="0" w:type="auto"/>
            <w:shd w:val="solid" w:color="FFFFFF" w:fill="auto"/>
            <w:vAlign w:val="center"/>
            <w:hideMark/>
          </w:tcPr>
          <w:p w:rsidR="00CD2C97" w:rsidRPr="003609FA" w:rsidRDefault="00CD2C97" w:rsidP="00D55ED4">
            <w:pPr>
              <w:widowControl w:val="0"/>
              <w:spacing w:after="0" w:line="240" w:lineRule="auto"/>
              <w:ind w:firstLine="709"/>
              <w:jc w:val="both"/>
              <w:rPr>
                <w:rFonts w:ascii="Times New Roman" w:eastAsia="Courier New" w:hAnsi="Times New Roman" w:cs="Times New Roman"/>
                <w:bCs/>
                <w:color w:val="000000"/>
                <w:spacing w:val="2"/>
                <w:sz w:val="24"/>
                <w:szCs w:val="24"/>
                <w:shd w:val="clear" w:color="auto" w:fill="FFFFFF"/>
                <w:lang w:eastAsia="ru-RU" w:bidi="ru-RU"/>
              </w:rPr>
            </w:pPr>
            <w:r w:rsidRPr="003609FA">
              <w:rPr>
                <w:rFonts w:ascii="Times New Roman" w:eastAsia="Courier New" w:hAnsi="Times New Roman" w:cs="Times New Roman"/>
                <w:bCs/>
                <w:color w:val="000000"/>
                <w:spacing w:val="2"/>
                <w:sz w:val="24"/>
                <w:szCs w:val="24"/>
                <w:shd w:val="clear" w:color="auto" w:fill="FFFFFF"/>
                <w:lang w:eastAsia="ru-RU" w:bidi="ru-RU"/>
              </w:rPr>
              <w:t>Высоцк</w:t>
            </w:r>
          </w:p>
        </w:tc>
        <w:tc>
          <w:tcPr>
            <w:tcW w:w="3511" w:type="dxa"/>
            <w:shd w:val="solid" w:color="FFFFFF" w:fill="auto"/>
            <w:vAlign w:val="center"/>
            <w:hideMark/>
          </w:tcPr>
          <w:p w:rsidR="00CD2C97" w:rsidRPr="003609FA" w:rsidRDefault="00CD2C97" w:rsidP="00D55ED4">
            <w:pPr>
              <w:widowControl w:val="0"/>
              <w:spacing w:after="0" w:line="240" w:lineRule="auto"/>
              <w:ind w:firstLine="709"/>
              <w:jc w:val="both"/>
              <w:rPr>
                <w:rFonts w:ascii="Times New Roman" w:eastAsia="Courier New" w:hAnsi="Times New Roman" w:cs="Times New Roman"/>
                <w:bCs/>
                <w:color w:val="000000"/>
                <w:spacing w:val="2"/>
                <w:sz w:val="24"/>
                <w:szCs w:val="24"/>
                <w:shd w:val="clear" w:color="auto" w:fill="FFFFFF"/>
                <w:lang w:eastAsia="ru-RU" w:bidi="ru-RU"/>
              </w:rPr>
            </w:pPr>
            <w:r w:rsidRPr="003609FA">
              <w:rPr>
                <w:rFonts w:ascii="Times New Roman" w:eastAsia="Courier New" w:hAnsi="Times New Roman" w:cs="Times New Roman"/>
                <w:bCs/>
                <w:color w:val="000000"/>
                <w:spacing w:val="2"/>
                <w:sz w:val="24"/>
                <w:szCs w:val="24"/>
                <w:shd w:val="clear" w:color="auto" w:fill="FFFFFF"/>
                <w:lang w:eastAsia="ru-RU" w:bidi="ru-RU"/>
              </w:rPr>
              <w:t>15 981,5</w:t>
            </w:r>
          </w:p>
        </w:tc>
        <w:tc>
          <w:tcPr>
            <w:tcW w:w="3714" w:type="dxa"/>
            <w:shd w:val="solid" w:color="FFFFFF" w:fill="auto"/>
            <w:vAlign w:val="center"/>
            <w:hideMark/>
          </w:tcPr>
          <w:p w:rsidR="00CD2C97" w:rsidRPr="003609FA" w:rsidRDefault="00CD2C97" w:rsidP="00D55ED4">
            <w:pPr>
              <w:widowControl w:val="0"/>
              <w:spacing w:after="0" w:line="240" w:lineRule="auto"/>
              <w:ind w:firstLine="709"/>
              <w:jc w:val="both"/>
              <w:rPr>
                <w:rFonts w:ascii="Times New Roman" w:eastAsia="Courier New" w:hAnsi="Times New Roman" w:cs="Times New Roman"/>
                <w:bCs/>
                <w:color w:val="000000"/>
                <w:spacing w:val="2"/>
                <w:sz w:val="24"/>
                <w:szCs w:val="24"/>
                <w:shd w:val="clear" w:color="auto" w:fill="FFFFFF"/>
                <w:lang w:eastAsia="ru-RU" w:bidi="ru-RU"/>
              </w:rPr>
            </w:pPr>
            <w:r w:rsidRPr="003609FA">
              <w:rPr>
                <w:rFonts w:ascii="Times New Roman" w:eastAsia="Courier New" w:hAnsi="Times New Roman" w:cs="Times New Roman"/>
                <w:bCs/>
                <w:color w:val="000000"/>
                <w:spacing w:val="2"/>
                <w:sz w:val="24"/>
                <w:szCs w:val="24"/>
                <w:shd w:val="clear" w:color="auto" w:fill="FFFFFF"/>
                <w:lang w:eastAsia="ru-RU" w:bidi="ru-RU"/>
              </w:rPr>
              <w:t>94,8</w:t>
            </w:r>
          </w:p>
        </w:tc>
      </w:tr>
      <w:tr w:rsidR="00CD2C97" w:rsidRPr="00CD2C97" w:rsidTr="00CD2C97">
        <w:trPr>
          <w:trHeight w:val="414"/>
        </w:trPr>
        <w:tc>
          <w:tcPr>
            <w:tcW w:w="0" w:type="auto"/>
            <w:shd w:val="solid" w:color="FFFFFF" w:fill="auto"/>
            <w:vAlign w:val="center"/>
            <w:hideMark/>
          </w:tcPr>
          <w:p w:rsidR="00CD2C97" w:rsidRPr="003609FA" w:rsidRDefault="00CD2C97" w:rsidP="00D55ED4">
            <w:pPr>
              <w:widowControl w:val="0"/>
              <w:spacing w:after="0" w:line="240" w:lineRule="auto"/>
              <w:ind w:firstLine="709"/>
              <w:jc w:val="both"/>
              <w:rPr>
                <w:rFonts w:ascii="Times New Roman" w:eastAsia="Courier New" w:hAnsi="Times New Roman" w:cs="Times New Roman"/>
                <w:bCs/>
                <w:color w:val="000000"/>
                <w:spacing w:val="2"/>
                <w:sz w:val="24"/>
                <w:szCs w:val="24"/>
                <w:shd w:val="clear" w:color="auto" w:fill="FFFFFF"/>
                <w:lang w:eastAsia="ru-RU" w:bidi="ru-RU"/>
              </w:rPr>
            </w:pPr>
            <w:r w:rsidRPr="003609FA">
              <w:rPr>
                <w:rFonts w:ascii="Times New Roman" w:eastAsia="Courier New" w:hAnsi="Times New Roman" w:cs="Times New Roman"/>
                <w:bCs/>
                <w:color w:val="000000"/>
                <w:spacing w:val="2"/>
                <w:sz w:val="24"/>
                <w:szCs w:val="24"/>
                <w:shd w:val="clear" w:color="auto" w:fill="FFFFFF"/>
                <w:lang w:eastAsia="ru-RU" w:bidi="ru-RU"/>
              </w:rPr>
              <w:t>Приморск</w:t>
            </w:r>
          </w:p>
        </w:tc>
        <w:tc>
          <w:tcPr>
            <w:tcW w:w="3511" w:type="dxa"/>
            <w:shd w:val="solid" w:color="FFFFFF" w:fill="auto"/>
            <w:vAlign w:val="center"/>
            <w:hideMark/>
          </w:tcPr>
          <w:p w:rsidR="00CD2C97" w:rsidRPr="003609FA" w:rsidRDefault="00CD2C97" w:rsidP="00D55ED4">
            <w:pPr>
              <w:widowControl w:val="0"/>
              <w:spacing w:after="0" w:line="240" w:lineRule="auto"/>
              <w:ind w:firstLine="709"/>
              <w:jc w:val="both"/>
              <w:rPr>
                <w:rFonts w:ascii="Times New Roman" w:eastAsia="Courier New" w:hAnsi="Times New Roman" w:cs="Times New Roman"/>
                <w:bCs/>
                <w:color w:val="000000"/>
                <w:spacing w:val="2"/>
                <w:sz w:val="24"/>
                <w:szCs w:val="24"/>
                <w:shd w:val="clear" w:color="auto" w:fill="FFFFFF"/>
                <w:lang w:eastAsia="ru-RU" w:bidi="ru-RU"/>
              </w:rPr>
            </w:pPr>
            <w:r w:rsidRPr="003609FA">
              <w:rPr>
                <w:rFonts w:ascii="Times New Roman" w:eastAsia="Courier New" w:hAnsi="Times New Roman" w:cs="Times New Roman"/>
                <w:bCs/>
                <w:color w:val="000000"/>
                <w:spacing w:val="2"/>
                <w:sz w:val="24"/>
                <w:szCs w:val="24"/>
                <w:shd w:val="clear" w:color="auto" w:fill="FFFFFF"/>
                <w:lang w:eastAsia="ru-RU" w:bidi="ru-RU"/>
              </w:rPr>
              <w:t>57 118,1</w:t>
            </w:r>
          </w:p>
        </w:tc>
        <w:tc>
          <w:tcPr>
            <w:tcW w:w="3714" w:type="dxa"/>
            <w:shd w:val="solid" w:color="FFFFFF" w:fill="auto"/>
            <w:vAlign w:val="center"/>
            <w:hideMark/>
          </w:tcPr>
          <w:p w:rsidR="00CD2C97" w:rsidRPr="003609FA" w:rsidRDefault="00CD2C97" w:rsidP="00D55ED4">
            <w:pPr>
              <w:widowControl w:val="0"/>
              <w:spacing w:after="0" w:line="240" w:lineRule="auto"/>
              <w:ind w:firstLine="709"/>
              <w:jc w:val="both"/>
              <w:rPr>
                <w:rFonts w:ascii="Times New Roman" w:eastAsia="Courier New" w:hAnsi="Times New Roman" w:cs="Times New Roman"/>
                <w:bCs/>
                <w:color w:val="000000"/>
                <w:spacing w:val="2"/>
                <w:sz w:val="24"/>
                <w:szCs w:val="24"/>
                <w:shd w:val="clear" w:color="auto" w:fill="FFFFFF"/>
                <w:lang w:eastAsia="ru-RU" w:bidi="ru-RU"/>
              </w:rPr>
            </w:pPr>
            <w:r w:rsidRPr="003609FA">
              <w:rPr>
                <w:rFonts w:ascii="Times New Roman" w:eastAsia="Courier New" w:hAnsi="Times New Roman" w:cs="Times New Roman"/>
                <w:bCs/>
                <w:color w:val="000000"/>
                <w:spacing w:val="2"/>
                <w:sz w:val="24"/>
                <w:szCs w:val="24"/>
                <w:shd w:val="clear" w:color="auto" w:fill="FFFFFF"/>
                <w:lang w:eastAsia="ru-RU" w:bidi="ru-RU"/>
              </w:rPr>
              <w:t>107,8</w:t>
            </w:r>
          </w:p>
        </w:tc>
      </w:tr>
      <w:tr w:rsidR="00CD2C97" w:rsidRPr="00CD2C97" w:rsidTr="00CD2C97">
        <w:trPr>
          <w:trHeight w:val="406"/>
        </w:trPr>
        <w:tc>
          <w:tcPr>
            <w:tcW w:w="0" w:type="auto"/>
            <w:shd w:val="solid" w:color="FFFFFF" w:fill="auto"/>
            <w:vAlign w:val="center"/>
            <w:hideMark/>
          </w:tcPr>
          <w:p w:rsidR="00CD2C97" w:rsidRPr="003609FA" w:rsidRDefault="00CD2C97" w:rsidP="00D55ED4">
            <w:pPr>
              <w:widowControl w:val="0"/>
              <w:spacing w:after="0" w:line="240" w:lineRule="auto"/>
              <w:ind w:firstLine="709"/>
              <w:jc w:val="both"/>
              <w:rPr>
                <w:rFonts w:ascii="Times New Roman" w:eastAsia="Courier New" w:hAnsi="Times New Roman" w:cs="Times New Roman"/>
                <w:bCs/>
                <w:color w:val="000000"/>
                <w:spacing w:val="2"/>
                <w:sz w:val="24"/>
                <w:szCs w:val="24"/>
                <w:shd w:val="clear" w:color="auto" w:fill="FFFFFF"/>
                <w:lang w:eastAsia="ru-RU" w:bidi="ru-RU"/>
              </w:rPr>
            </w:pPr>
            <w:r w:rsidRPr="003609FA">
              <w:rPr>
                <w:rFonts w:ascii="Times New Roman" w:eastAsia="Courier New" w:hAnsi="Times New Roman" w:cs="Times New Roman"/>
                <w:bCs/>
                <w:color w:val="000000"/>
                <w:spacing w:val="2"/>
                <w:sz w:val="24"/>
                <w:szCs w:val="24"/>
                <w:shd w:val="clear" w:color="auto" w:fill="FFFFFF"/>
                <w:lang w:eastAsia="ru-RU" w:bidi="ru-RU"/>
              </w:rPr>
              <w:t>Усть-Луга</w:t>
            </w:r>
          </w:p>
        </w:tc>
        <w:tc>
          <w:tcPr>
            <w:tcW w:w="3511" w:type="dxa"/>
            <w:shd w:val="solid" w:color="FFFFFF" w:fill="auto"/>
            <w:vAlign w:val="center"/>
            <w:hideMark/>
          </w:tcPr>
          <w:p w:rsidR="00CD2C97" w:rsidRPr="003609FA" w:rsidRDefault="00CD2C97" w:rsidP="00D55ED4">
            <w:pPr>
              <w:widowControl w:val="0"/>
              <w:spacing w:after="0" w:line="240" w:lineRule="auto"/>
              <w:ind w:firstLine="709"/>
              <w:jc w:val="both"/>
              <w:rPr>
                <w:rFonts w:ascii="Times New Roman" w:eastAsia="Courier New" w:hAnsi="Times New Roman" w:cs="Times New Roman"/>
                <w:bCs/>
                <w:color w:val="000000"/>
                <w:spacing w:val="2"/>
                <w:sz w:val="24"/>
                <w:szCs w:val="24"/>
                <w:shd w:val="clear" w:color="auto" w:fill="FFFFFF"/>
                <w:lang w:eastAsia="ru-RU" w:bidi="ru-RU"/>
              </w:rPr>
            </w:pPr>
            <w:r w:rsidRPr="003609FA">
              <w:rPr>
                <w:rFonts w:ascii="Times New Roman" w:eastAsia="Courier New" w:hAnsi="Times New Roman" w:cs="Times New Roman"/>
                <w:bCs/>
                <w:color w:val="000000"/>
                <w:spacing w:val="2"/>
                <w:sz w:val="24"/>
                <w:szCs w:val="24"/>
                <w:shd w:val="clear" w:color="auto" w:fill="FFFFFF"/>
                <w:lang w:eastAsia="ru-RU" w:bidi="ru-RU"/>
              </w:rPr>
              <w:t>124 100,0</w:t>
            </w:r>
          </w:p>
        </w:tc>
        <w:tc>
          <w:tcPr>
            <w:tcW w:w="3714" w:type="dxa"/>
            <w:shd w:val="solid" w:color="FFFFFF" w:fill="auto"/>
            <w:vAlign w:val="center"/>
            <w:hideMark/>
          </w:tcPr>
          <w:p w:rsidR="00CD2C97" w:rsidRPr="003609FA" w:rsidRDefault="00CD2C97" w:rsidP="00D55ED4">
            <w:pPr>
              <w:widowControl w:val="0"/>
              <w:spacing w:after="0" w:line="240" w:lineRule="auto"/>
              <w:ind w:firstLine="709"/>
              <w:jc w:val="both"/>
              <w:rPr>
                <w:rFonts w:ascii="Times New Roman" w:eastAsia="Courier New" w:hAnsi="Times New Roman" w:cs="Times New Roman"/>
                <w:bCs/>
                <w:color w:val="000000"/>
                <w:spacing w:val="2"/>
                <w:sz w:val="24"/>
                <w:szCs w:val="24"/>
                <w:shd w:val="clear" w:color="auto" w:fill="FFFFFF"/>
                <w:lang w:eastAsia="ru-RU" w:bidi="ru-RU"/>
              </w:rPr>
            </w:pPr>
            <w:r w:rsidRPr="003609FA">
              <w:rPr>
                <w:rFonts w:ascii="Times New Roman" w:eastAsia="Courier New" w:hAnsi="Times New Roman" w:cs="Times New Roman"/>
                <w:bCs/>
                <w:color w:val="000000"/>
                <w:spacing w:val="2"/>
                <w:sz w:val="24"/>
                <w:szCs w:val="24"/>
                <w:shd w:val="clear" w:color="auto" w:fill="FFFFFF"/>
                <w:lang w:eastAsia="ru-RU" w:bidi="ru-RU"/>
              </w:rPr>
              <w:t>113,5</w:t>
            </w:r>
          </w:p>
        </w:tc>
      </w:tr>
    </w:tbl>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p>
    <w:p w:rsidR="00CD2C97" w:rsidRPr="003C5F0B"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u w:val="single"/>
          <w:shd w:val="clear" w:color="auto" w:fill="FFFFFF"/>
          <w:lang w:eastAsia="ru-RU" w:bidi="ru-RU"/>
        </w:rPr>
      </w:pPr>
      <w:r w:rsidRPr="003C5F0B">
        <w:rPr>
          <w:rFonts w:ascii="Times New Roman" w:eastAsia="Courier New" w:hAnsi="Times New Roman" w:cs="Times New Roman"/>
          <w:bCs/>
          <w:color w:val="000000"/>
          <w:spacing w:val="2"/>
          <w:sz w:val="24"/>
          <w:szCs w:val="24"/>
          <w:u w:val="single"/>
          <w:shd w:val="clear" w:color="auto" w:fill="FFFFFF"/>
          <w:lang w:eastAsia="ru-RU" w:bidi="ru-RU"/>
        </w:rPr>
        <w:t>Внутренний водный транспорт</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Внутренний водный транспорт и водные пути в Ленинградской области имеют большое значение для экономики региона, обеспечивая возможность транспортных связей с предприятиями, расположенными в северной, центральной и южной частях Российской Федерации. Волго-Балтийский водный путь и Сайменский канал обеспечивают возможность перевозки внешнеторговых грузов в системе транспортного коридора «Север-Юг». Важной для развития региона является возможность использования внутренних водных путей для пассажирского сообщения для доставки пассажиров через естественные водные преграды и на изолированные острова, а также в целях рекреации и туризма.</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На территории области осуществляет деятельность несколько переправ.</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Средствами частных владельцев средств водного транспорта осуществляется доставка туристов и паломников:</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1. На реке Нева - на остров Ореховый от города Шлиссельбурга и Морозовского городского поселения;</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2. На Ладожском озере на остров Коневец (средствами Коневского Рождество-Богородицкого мужского монастыря) от бухты Владимировская и на остров Валаам (как правило, средствами Спасо-Преображенского Валаамского ставропигиального мужского монастыря, Республика Карелия) от города Приозерск.</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В городе Вознесенье, в составе автомобильной дороги регионального значения «Петрозаводск – Ошта», организована паромная переправа через реку Свирь. </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Новые современные пассажирские причалы построены на реках Нева (о.Ореховый, Дубровка, музей-заповедник «Прорыв блокады Ленинграда»), Волхов (Старая Ладога, Кириши), Свирь (Свирьстрой) и на Ладожском озере (о.Коневец, бухта Владимировская).</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В настоящее время прорабатываются вопросы её дальнейшего развития и размещения новых объектов инфраструктуры, в том числе на территории соседних субъектов Российской Федерации – в Новгородской области и Республике Карелия.</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Все пассажирские причалы сети являются объектами регионального значения.</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Необходимо отметить, что мероприятия по развитию пассажирского сообщения водным транспортом в Ленинградской области реализованы успешно - объёмы пассажирских перевозок по рекам показывают устойчивый рост.</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К примеру, в навигацию 2022 года, впервые в новейшей истории, начаты ежедневные рейсы судов скоростного флота по всему протяжению реки Нева от Санкт-Петербурга (Петропавловская крепость) до Шлиссельбурга (остров Ореховый, музей «Крепость Орешек»). </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По реке Волхов, по данным ФБУ «Администрация «Волго-Балт», за навигацию 2022 года совершено 44 рейса и перевезено 2823 пассажира (за аналогический период 2021 года – 21 рейс, перевезено 860 пассажиров), а количество судозаходов в Старую Ладогу впервые превысило сотню – выполнено 104 судозахода (в 2021 г</w:t>
      </w:r>
      <w:r w:rsidR="003C5F0B">
        <w:rPr>
          <w:rFonts w:ascii="Times New Roman" w:eastAsia="Courier New" w:hAnsi="Times New Roman" w:cs="Times New Roman"/>
          <w:color w:val="000000"/>
          <w:spacing w:val="2"/>
          <w:sz w:val="24"/>
          <w:szCs w:val="24"/>
          <w:shd w:val="clear" w:color="auto" w:fill="FFFFFF"/>
          <w:lang w:eastAsia="ru-RU" w:bidi="ru-RU"/>
        </w:rPr>
        <w:t>оду был выполнен 81 судозаход).</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Всего по итогам 2022 года общий судопоток по Волго-Балтийскому водному пути в Ленинградской области (в створе Шлиссельбурга) составил 3976 судов. В створе прошли 1425 пассажирских судов с 171849 пассажиров, а также грузовые суда с 2 908 778,55 тонн грузов.</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Основной объём грузовых перевозок составили нефть и нефтепродукты наливом, металлы и строительные грузы.</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p>
    <w:p w:rsidR="00CD2C97" w:rsidRPr="003C5F0B" w:rsidRDefault="00CD2C97" w:rsidP="003C5F0B">
      <w:pPr>
        <w:pStyle w:val="a4"/>
        <w:widowControl w:val="0"/>
        <w:numPr>
          <w:ilvl w:val="2"/>
          <w:numId w:val="37"/>
        </w:numPr>
        <w:spacing w:after="0" w:line="360" w:lineRule="auto"/>
        <w:jc w:val="center"/>
        <w:rPr>
          <w:rFonts w:ascii="Times New Roman" w:eastAsia="Courier New" w:hAnsi="Times New Roman" w:cs="Times New Roman"/>
          <w:b/>
          <w:color w:val="000000"/>
          <w:spacing w:val="2"/>
          <w:sz w:val="24"/>
          <w:szCs w:val="24"/>
          <w:u w:val="single"/>
          <w:shd w:val="clear" w:color="auto" w:fill="FFFFFF"/>
          <w:lang w:eastAsia="ru-RU" w:bidi="ru-RU"/>
        </w:rPr>
      </w:pPr>
      <w:r w:rsidRPr="003C5F0B">
        <w:rPr>
          <w:rFonts w:ascii="Times New Roman" w:eastAsia="Courier New" w:hAnsi="Times New Roman" w:cs="Times New Roman"/>
          <w:b/>
          <w:color w:val="000000"/>
          <w:spacing w:val="2"/>
          <w:sz w:val="24"/>
          <w:szCs w:val="24"/>
          <w:u w:val="single"/>
          <w:shd w:val="clear" w:color="auto" w:fill="FFFFFF"/>
          <w:lang w:eastAsia="ru-RU" w:bidi="ru-RU"/>
        </w:rPr>
        <w:t>О динамике изменения объёма транспортной инфраструктуры в Лениградской области.</w:t>
      </w:r>
    </w:p>
    <w:p w:rsidR="00CD2C97" w:rsidRPr="003C5F0B"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u w:val="single"/>
          <w:shd w:val="clear" w:color="auto" w:fill="FFFFFF"/>
          <w:lang w:eastAsia="ru-RU" w:bidi="ru-RU"/>
        </w:rPr>
      </w:pPr>
      <w:r w:rsidRPr="003C5F0B">
        <w:rPr>
          <w:rFonts w:ascii="Times New Roman" w:eastAsia="Courier New" w:hAnsi="Times New Roman" w:cs="Times New Roman"/>
          <w:color w:val="000000"/>
          <w:spacing w:val="2"/>
          <w:sz w:val="24"/>
          <w:szCs w:val="24"/>
          <w:u w:val="single"/>
          <w:shd w:val="clear" w:color="auto" w:fill="FFFFFF"/>
          <w:lang w:eastAsia="ru-RU" w:bidi="ru-RU"/>
        </w:rPr>
        <w:t>Морской транспорт</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bCs/>
          <w:color w:val="000000"/>
          <w:spacing w:val="2"/>
          <w:sz w:val="24"/>
          <w:szCs w:val="24"/>
          <w:shd w:val="clear" w:color="auto" w:fill="FFFFFF"/>
          <w:lang w:eastAsia="ru-RU" w:bidi="ru-RU"/>
        </w:rPr>
        <w:t xml:space="preserve">В настоящее время в морских портах </w:t>
      </w:r>
      <w:r w:rsidRPr="00CD2C97">
        <w:rPr>
          <w:rFonts w:ascii="Times New Roman" w:eastAsia="Courier New" w:hAnsi="Times New Roman" w:cs="Times New Roman"/>
          <w:color w:val="000000"/>
          <w:spacing w:val="2"/>
          <w:sz w:val="24"/>
          <w:szCs w:val="24"/>
          <w:shd w:val="clear" w:color="auto" w:fill="FFFFFF"/>
          <w:lang w:eastAsia="ru-RU" w:bidi="ru-RU"/>
        </w:rPr>
        <w:t>реализуется ряд проектов развития морских терминалов и обеспечивающей инфраструктуры:</w:t>
      </w:r>
    </w:p>
    <w:p w:rsidR="00CD2C97" w:rsidRPr="003C5F0B" w:rsidRDefault="00CD2C97" w:rsidP="00D853DE">
      <w:pPr>
        <w:pStyle w:val="a4"/>
        <w:widowControl w:val="0"/>
        <w:numPr>
          <w:ilvl w:val="0"/>
          <w:numId w:val="38"/>
        </w:numPr>
        <w:spacing w:after="0" w:line="360" w:lineRule="auto"/>
        <w:ind w:left="0" w:firstLine="709"/>
        <w:jc w:val="both"/>
        <w:rPr>
          <w:rFonts w:ascii="Times New Roman" w:eastAsia="Courier New" w:hAnsi="Times New Roman" w:cs="Times New Roman"/>
          <w:color w:val="000000"/>
          <w:spacing w:val="2"/>
          <w:sz w:val="24"/>
          <w:szCs w:val="24"/>
          <w:shd w:val="clear" w:color="auto" w:fill="FFFFFF"/>
          <w:lang w:eastAsia="ru-RU" w:bidi="ru-RU"/>
        </w:rPr>
      </w:pPr>
      <w:r w:rsidRPr="003C5F0B">
        <w:rPr>
          <w:rFonts w:ascii="Times New Roman" w:eastAsia="Courier New" w:hAnsi="Times New Roman" w:cs="Times New Roman"/>
          <w:bCs/>
          <w:color w:val="000000"/>
          <w:spacing w:val="2"/>
          <w:sz w:val="24"/>
          <w:szCs w:val="24"/>
          <w:shd w:val="clear" w:color="auto" w:fill="FFFFFF"/>
          <w:lang w:eastAsia="ru-RU" w:bidi="ru-RU"/>
        </w:rPr>
        <w:t xml:space="preserve">Морской порт Усть-Луга. </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u w:val="single"/>
          <w:shd w:val="clear" w:color="auto" w:fill="FFFFFF"/>
          <w:lang w:eastAsia="ru-RU" w:bidi="ru-RU"/>
        </w:rPr>
      </w:pPr>
      <w:r w:rsidRPr="00CD2C97">
        <w:rPr>
          <w:rFonts w:ascii="Times New Roman" w:eastAsia="Courier New" w:hAnsi="Times New Roman" w:cs="Times New Roman"/>
          <w:i/>
          <w:iCs/>
          <w:color w:val="000000"/>
          <w:spacing w:val="2"/>
          <w:sz w:val="24"/>
          <w:szCs w:val="24"/>
          <w:u w:val="single"/>
          <w:shd w:val="clear" w:color="auto" w:fill="FFFFFF"/>
          <w:lang w:eastAsia="ru-RU" w:bidi="ru-RU"/>
        </w:rPr>
        <w:t xml:space="preserve">ООО Ультрамар» </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ООО «Ультрамар» осуществляется строительство терминала по перевалке минеральных удобрений проектной мощностью 12,0 млн. тонн в год. </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Общий объем инвестиций в проект 40,3 млрд рублей, планируемый срок реализации 2024 год. В настоящее время завершается строительство основных объектов 4 этапа (купольные склады, здания, комплекс очистных сооружений). </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Реализованы этапы развития железнодорожной инфраструктуры, разрабатывается проектная документация по следующим этапам строительства. </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Проектно-сметная документация по причалам 1А-1Б, 4,5, искусственному земельному участку, акватории, береговым сооружениям находится в Главгосэкспертизе.</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Также ООО «Ультрамар» осуществляет дноуглубительные работы в целях увеличения площади примыкающей к терминалу акватории (построена в 2021 году). Общая площадь участка дноуглубительных работ по результатам реконструкции – 38,69 га, отметка дна – 17,2 м. Планируемый срок окончания реконструкции акватории – 31.10.2023</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u w:val="single"/>
          <w:shd w:val="clear" w:color="auto" w:fill="FFFFFF"/>
          <w:lang w:eastAsia="ru-RU" w:bidi="ru-RU"/>
        </w:rPr>
      </w:pPr>
      <w:r w:rsidRPr="00CD2C97">
        <w:rPr>
          <w:rFonts w:ascii="Times New Roman" w:eastAsia="Courier New" w:hAnsi="Times New Roman" w:cs="Times New Roman"/>
          <w:i/>
          <w:iCs/>
          <w:color w:val="000000"/>
          <w:spacing w:val="2"/>
          <w:sz w:val="24"/>
          <w:szCs w:val="24"/>
          <w:u w:val="single"/>
          <w:shd w:val="clear" w:color="auto" w:fill="FFFFFF"/>
          <w:lang w:eastAsia="ru-RU" w:bidi="ru-RU"/>
        </w:rPr>
        <w:t xml:space="preserve">ООО «Новотранс Актив» </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ООО «Новотранс Актив» реализует проект «Универсальный торговый терминал «Усть-Луга» проектной мощностью 24,26 млн. тонн в год. </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Номенклатура груза: зерно, рудные материалы, уголь, кокс, прочие грузы. Общий объем инвестиций 80 млрд. рублей, планируемый срок реализации 2025 год. </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Также ООО «Новотранс Актив» осуществляет строительство судоходной акватории, примыкающей к существующему Северному подходному каналу морского порта Усть-Луга. Общая площадь дноуглубления – 1 148,2 тыс. м2, отметка дна – 17,5 м. Строительство средств навигационного оборудования в морском порту Усть-Луга осуществляется в целях обеспечения безопасного подхода к строящимся причалам расчетных судов для перевозки навалочных грузов типа CH-120 длиной 260 м, шириной 43 м, осадкой в грузе 15 м и дедвейтом 120 тыс. тонн. </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Планируемый срок окончания строительства акватории – 30.06.2024</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u w:val="single"/>
          <w:shd w:val="clear" w:color="auto" w:fill="FFFFFF"/>
          <w:lang w:eastAsia="ru-RU" w:bidi="ru-RU"/>
        </w:rPr>
      </w:pPr>
      <w:r w:rsidRPr="00CD2C97">
        <w:rPr>
          <w:rFonts w:ascii="Times New Roman" w:eastAsia="Courier New" w:hAnsi="Times New Roman" w:cs="Times New Roman"/>
          <w:i/>
          <w:iCs/>
          <w:color w:val="000000"/>
          <w:spacing w:val="2"/>
          <w:sz w:val="24"/>
          <w:szCs w:val="24"/>
          <w:u w:val="single"/>
          <w:shd w:val="clear" w:color="auto" w:fill="FFFFFF"/>
          <w:lang w:eastAsia="ru-RU" w:bidi="ru-RU"/>
        </w:rPr>
        <w:t xml:space="preserve">ООО «Еврохим терминал Усть-Луга» </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Компания </w:t>
      </w:r>
      <w:r w:rsidRPr="00CD2C97">
        <w:rPr>
          <w:rFonts w:ascii="Times New Roman" w:eastAsia="Courier New" w:hAnsi="Times New Roman" w:cs="Times New Roman"/>
          <w:i/>
          <w:iCs/>
          <w:color w:val="000000"/>
          <w:spacing w:val="2"/>
          <w:sz w:val="24"/>
          <w:szCs w:val="24"/>
          <w:shd w:val="clear" w:color="auto" w:fill="FFFFFF"/>
          <w:lang w:eastAsia="ru-RU" w:bidi="ru-RU"/>
        </w:rPr>
        <w:t xml:space="preserve">ООО «Еврохим терминал Усть-Луга» (ООО «ЕТУ») </w:t>
      </w:r>
      <w:r w:rsidRPr="00CD2C97">
        <w:rPr>
          <w:rFonts w:ascii="Times New Roman" w:eastAsia="Courier New" w:hAnsi="Times New Roman" w:cs="Times New Roman"/>
          <w:color w:val="000000"/>
          <w:spacing w:val="2"/>
          <w:sz w:val="24"/>
          <w:szCs w:val="24"/>
          <w:shd w:val="clear" w:color="auto" w:fill="FFFFFF"/>
          <w:lang w:eastAsia="ru-RU" w:bidi="ru-RU"/>
        </w:rPr>
        <w:t xml:space="preserve">является застройщиком терминала для организации перевалки азотно-фосфорных удобрений (карбамид, аммофос), хлористого калия и импорта фосфатов в Морском торговом порту Усть-Луга через Балтийское море. Годовой грузооборот будущего терминала составит 8 млн. тонн. Общий объем инвестиций – 20 млрд рублей. </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Планируемый срок реализации – 2024 год. </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u w:val="single"/>
          <w:shd w:val="clear" w:color="auto" w:fill="FFFFFF"/>
          <w:lang w:eastAsia="ru-RU" w:bidi="ru-RU"/>
        </w:rPr>
      </w:pPr>
      <w:r w:rsidRPr="00CD2C97">
        <w:rPr>
          <w:rFonts w:ascii="Times New Roman" w:eastAsia="Courier New" w:hAnsi="Times New Roman" w:cs="Times New Roman"/>
          <w:i/>
          <w:iCs/>
          <w:color w:val="000000"/>
          <w:spacing w:val="2"/>
          <w:sz w:val="24"/>
          <w:szCs w:val="24"/>
          <w:u w:val="single"/>
          <w:shd w:val="clear" w:color="auto" w:fill="FFFFFF"/>
          <w:lang w:eastAsia="ru-RU" w:bidi="ru-RU"/>
        </w:rPr>
        <w:t xml:space="preserve">ООО УК«Содружество» </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ООО «Балтийский Зерновой Терминал» осуществляет строительство производственно-логистического комплекса, ориентированного на экспорт и импорт зерновых, пищевых и иных насыпных грузов с объемом перевалки – 10 млн тонн в год. Общий объем инвестиций – 37 млрд рублей. </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Планируемый срок реализации – 2030 год. </w:t>
      </w:r>
    </w:p>
    <w:p w:rsidR="00CD2C97" w:rsidRPr="003C5F0B" w:rsidRDefault="00CD2C97" w:rsidP="00D853DE">
      <w:pPr>
        <w:pStyle w:val="a4"/>
        <w:widowControl w:val="0"/>
        <w:numPr>
          <w:ilvl w:val="0"/>
          <w:numId w:val="38"/>
        </w:numPr>
        <w:spacing w:after="0" w:line="360" w:lineRule="auto"/>
        <w:ind w:left="0" w:firstLine="709"/>
        <w:jc w:val="both"/>
        <w:rPr>
          <w:rFonts w:ascii="Times New Roman" w:eastAsia="Courier New" w:hAnsi="Times New Roman" w:cs="Times New Roman"/>
          <w:color w:val="000000"/>
          <w:spacing w:val="2"/>
          <w:sz w:val="24"/>
          <w:szCs w:val="24"/>
          <w:shd w:val="clear" w:color="auto" w:fill="FFFFFF"/>
          <w:lang w:eastAsia="ru-RU" w:bidi="ru-RU"/>
        </w:rPr>
      </w:pPr>
      <w:r w:rsidRPr="003C5F0B">
        <w:rPr>
          <w:rFonts w:ascii="Times New Roman" w:eastAsia="Courier New" w:hAnsi="Times New Roman" w:cs="Times New Roman"/>
          <w:bCs/>
          <w:color w:val="000000"/>
          <w:spacing w:val="2"/>
          <w:sz w:val="24"/>
          <w:szCs w:val="24"/>
          <w:shd w:val="clear" w:color="auto" w:fill="FFFFFF"/>
          <w:lang w:eastAsia="ru-RU" w:bidi="ru-RU"/>
        </w:rPr>
        <w:t>Морской порт Приморск</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u w:val="single"/>
          <w:shd w:val="clear" w:color="auto" w:fill="FFFFFF"/>
          <w:lang w:eastAsia="ru-RU" w:bidi="ru-RU"/>
        </w:rPr>
      </w:pPr>
      <w:r w:rsidRPr="00CD2C97">
        <w:rPr>
          <w:rFonts w:ascii="Times New Roman" w:eastAsia="Courier New" w:hAnsi="Times New Roman" w:cs="Times New Roman"/>
          <w:i/>
          <w:iCs/>
          <w:color w:val="000000"/>
          <w:spacing w:val="2"/>
          <w:sz w:val="24"/>
          <w:szCs w:val="24"/>
          <w:u w:val="single"/>
          <w:shd w:val="clear" w:color="auto" w:fill="FFFFFF"/>
          <w:lang w:eastAsia="ru-RU" w:bidi="ru-RU"/>
        </w:rPr>
        <w:t xml:space="preserve">ООО «Приморский УПК» </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В морском порту реализуется проект строительства глубоководного универсального морского портового комплекса ООО «Приморский универсально-перегрузочный комплекс». </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Основной задачей проекта является создание современного, высокотехнологичного и экологически чистого универсального портового комплекса, сопоставимого по грузообороту с крупнейшими портами Балтийского бассейна. Планируемый грузооборот порта – до 96,6 млн. тонн в год. Общий объем инвестиций – 348 млрд. рублей, планируемый срок реализации – 2024 год. Проект строительства универсального морского портового комплекса прошёл государственную экспертизу ФАУ «Главгосэкспертиза России». </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В настоящее время ведутся подготовительные работы по расчистке территории. </w:t>
      </w:r>
    </w:p>
    <w:p w:rsidR="00CD2C97" w:rsidRPr="003C5F0B" w:rsidRDefault="00CD2C97" w:rsidP="00D853DE">
      <w:pPr>
        <w:pStyle w:val="a4"/>
        <w:widowControl w:val="0"/>
        <w:numPr>
          <w:ilvl w:val="0"/>
          <w:numId w:val="38"/>
        </w:numPr>
        <w:spacing w:after="0" w:line="360" w:lineRule="auto"/>
        <w:ind w:left="0" w:firstLine="709"/>
        <w:jc w:val="both"/>
        <w:rPr>
          <w:rFonts w:ascii="Times New Roman" w:eastAsia="Courier New" w:hAnsi="Times New Roman" w:cs="Times New Roman"/>
          <w:color w:val="000000"/>
          <w:spacing w:val="2"/>
          <w:sz w:val="24"/>
          <w:szCs w:val="24"/>
          <w:shd w:val="clear" w:color="auto" w:fill="FFFFFF"/>
          <w:lang w:eastAsia="ru-RU" w:bidi="ru-RU"/>
        </w:rPr>
      </w:pPr>
      <w:r w:rsidRPr="003C5F0B">
        <w:rPr>
          <w:rFonts w:ascii="Times New Roman" w:eastAsia="Courier New" w:hAnsi="Times New Roman" w:cs="Times New Roman"/>
          <w:bCs/>
          <w:color w:val="000000"/>
          <w:spacing w:val="2"/>
          <w:sz w:val="24"/>
          <w:szCs w:val="24"/>
          <w:shd w:val="clear" w:color="auto" w:fill="FFFFFF"/>
          <w:lang w:eastAsia="ru-RU" w:bidi="ru-RU"/>
        </w:rPr>
        <w:t xml:space="preserve">Порт Высоцк. </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u w:val="single"/>
          <w:shd w:val="clear" w:color="auto" w:fill="FFFFFF"/>
          <w:lang w:eastAsia="ru-RU" w:bidi="ru-RU"/>
        </w:rPr>
      </w:pPr>
      <w:r w:rsidRPr="00CD2C97">
        <w:rPr>
          <w:rFonts w:ascii="Times New Roman" w:eastAsia="Courier New" w:hAnsi="Times New Roman" w:cs="Times New Roman"/>
          <w:i/>
          <w:iCs/>
          <w:color w:val="000000"/>
          <w:spacing w:val="2"/>
          <w:sz w:val="24"/>
          <w:szCs w:val="24"/>
          <w:u w:val="single"/>
          <w:shd w:val="clear" w:color="auto" w:fill="FFFFFF"/>
          <w:lang w:eastAsia="ru-RU" w:bidi="ru-RU"/>
        </w:rPr>
        <w:t xml:space="preserve">ООО «Технотранс» </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Железнодорожный оператор ГК «Технотранс» осуществляет строительство на территории морского порта Высоцк специализированного зернового терминала пропускной способностью 4 млн. тонн в год с производственным комплексом переработки пшеницы с годовой мощностью 180 тыс. тонн. Общий объем инвестиций – 13,0 млрд руб. Планируемый срок реализации – 2024 год. В настоящее время выполнены инженерные изыскания на территории и акватории терминала, выполняются проектные работы, ведется строительство объектов инфраструктуры. </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u w:val="single"/>
          <w:shd w:val="clear" w:color="auto" w:fill="FFFFFF"/>
          <w:lang w:eastAsia="ru-RU" w:bidi="ru-RU"/>
        </w:rPr>
      </w:pPr>
      <w:r w:rsidRPr="00CD2C97">
        <w:rPr>
          <w:rFonts w:ascii="Times New Roman" w:eastAsia="Courier New" w:hAnsi="Times New Roman" w:cs="Times New Roman"/>
          <w:i/>
          <w:iCs/>
          <w:color w:val="000000"/>
          <w:spacing w:val="2"/>
          <w:sz w:val="24"/>
          <w:szCs w:val="24"/>
          <w:u w:val="single"/>
          <w:shd w:val="clear" w:color="auto" w:fill="FFFFFF"/>
          <w:lang w:eastAsia="ru-RU" w:bidi="ru-RU"/>
        </w:rPr>
        <w:t xml:space="preserve">ООО «Порт Высоцкий» </w:t>
      </w:r>
    </w:p>
    <w:p w:rsidR="00CD2C97" w:rsidRPr="003C5F0B"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Реализует проект по строительству зернового терминала мощностью перевалки 4 млн. тонн в год. Объем инвестиций в проект составит порядка 5,5 млрд рублей, планируется создание 50 новых рабочих мест. Планируемый срок ввода в эксплуатацию первого этапа проекта – 4 квартал 2023. Терминал будет включать в себя два причала, хранилища вместимостью 240 тыс. тонн и оборудование для приема 68 желе</w:t>
      </w:r>
      <w:r w:rsidR="003C5F0B">
        <w:rPr>
          <w:rFonts w:ascii="Times New Roman" w:eastAsia="Courier New" w:hAnsi="Times New Roman" w:cs="Times New Roman"/>
          <w:color w:val="000000"/>
          <w:spacing w:val="2"/>
          <w:sz w:val="24"/>
          <w:szCs w:val="24"/>
          <w:shd w:val="clear" w:color="auto" w:fill="FFFFFF"/>
          <w:lang w:eastAsia="ru-RU" w:bidi="ru-RU"/>
        </w:rPr>
        <w:t>знодорожных вагонов в сутки.</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Для обеспечения пропускной способности железнодорожных подходов к морским портам и выноса движения поездов с транзитными опасными грузами за пределы Санкт-Петербурга прорабатываются вопросы, связанные со </w:t>
      </w:r>
      <w:r w:rsidRPr="003C5F0B">
        <w:rPr>
          <w:rFonts w:ascii="Times New Roman" w:eastAsia="Courier New" w:hAnsi="Times New Roman" w:cs="Times New Roman"/>
          <w:color w:val="000000"/>
          <w:spacing w:val="2"/>
          <w:sz w:val="24"/>
          <w:szCs w:val="24"/>
          <w:shd w:val="clear" w:color="auto" w:fill="FFFFFF"/>
          <w:lang w:eastAsia="ru-RU" w:bidi="ru-RU"/>
        </w:rPr>
        <w:t>строительством Северо-Восточного и Юго-Западного железнодорожных обходов Санкт</w:t>
      </w:r>
      <w:r w:rsidRPr="003C5F0B">
        <w:rPr>
          <w:rFonts w:ascii="Times New Roman" w:eastAsia="Courier New" w:hAnsi="Times New Roman" w:cs="Times New Roman"/>
          <w:color w:val="000000"/>
          <w:spacing w:val="2"/>
          <w:sz w:val="24"/>
          <w:szCs w:val="24"/>
          <w:shd w:val="clear" w:color="auto" w:fill="FFFFFF"/>
          <w:lang w:eastAsia="ru-RU" w:bidi="ru-RU"/>
        </w:rPr>
        <w:noBreakHyphen/>
        <w:t>Петербурга.</w:t>
      </w:r>
      <w:r w:rsidRPr="00CD2C97">
        <w:rPr>
          <w:rFonts w:ascii="Times New Roman" w:eastAsia="Courier New" w:hAnsi="Times New Roman" w:cs="Times New Roman"/>
          <w:color w:val="000000"/>
          <w:spacing w:val="2"/>
          <w:sz w:val="24"/>
          <w:szCs w:val="24"/>
          <w:shd w:val="clear" w:color="auto" w:fill="FFFFFF"/>
          <w:lang w:eastAsia="ru-RU" w:bidi="ru-RU"/>
        </w:rPr>
        <w:t xml:space="preserve"> </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Мероприятия учтены в Плане мероприятий по развитию Санкт</w:t>
      </w:r>
      <w:r w:rsidRPr="00CD2C97">
        <w:rPr>
          <w:rFonts w:ascii="Times New Roman" w:eastAsia="Courier New" w:hAnsi="Times New Roman" w:cs="Times New Roman"/>
          <w:color w:val="000000"/>
          <w:spacing w:val="2"/>
          <w:sz w:val="24"/>
          <w:szCs w:val="24"/>
          <w:shd w:val="clear" w:color="auto" w:fill="FFFFFF"/>
          <w:lang w:eastAsia="ru-RU" w:bidi="ru-RU"/>
        </w:rPr>
        <w:noBreakHyphen/>
        <w:t>Петербургского железнодорожного узла Генеральной схемы развития железнодорожного узла транспортной системы Санкт</w:t>
      </w:r>
      <w:r w:rsidRPr="00CD2C97">
        <w:rPr>
          <w:rFonts w:ascii="Times New Roman" w:eastAsia="Courier New" w:hAnsi="Times New Roman" w:cs="Times New Roman"/>
          <w:color w:val="000000"/>
          <w:spacing w:val="2"/>
          <w:sz w:val="24"/>
          <w:szCs w:val="24"/>
          <w:shd w:val="clear" w:color="auto" w:fill="FFFFFF"/>
          <w:lang w:eastAsia="ru-RU" w:bidi="ru-RU"/>
        </w:rPr>
        <w:noBreakHyphen/>
        <w:t>Петербурга и Ленинградской области (утверждена Координационным советом по развитию транспортной системы Санкт</w:t>
      </w:r>
      <w:r w:rsidRPr="00CD2C97">
        <w:rPr>
          <w:rFonts w:ascii="Times New Roman" w:eastAsia="Courier New" w:hAnsi="Times New Roman" w:cs="Times New Roman"/>
          <w:color w:val="000000"/>
          <w:spacing w:val="2"/>
          <w:sz w:val="24"/>
          <w:szCs w:val="24"/>
          <w:shd w:val="clear" w:color="auto" w:fill="FFFFFF"/>
          <w:lang w:eastAsia="ru-RU" w:bidi="ru-RU"/>
        </w:rPr>
        <w:noBreakHyphen/>
        <w:t>Петербурга и Ленинградской области в 2015 году, Протокол заседания Координационного Совета по развитию Санкт</w:t>
      </w:r>
      <w:r w:rsidRPr="00CD2C97">
        <w:rPr>
          <w:rFonts w:ascii="Times New Roman" w:eastAsia="Courier New" w:hAnsi="Times New Roman" w:cs="Times New Roman"/>
          <w:color w:val="000000"/>
          <w:spacing w:val="2"/>
          <w:sz w:val="24"/>
          <w:szCs w:val="24"/>
          <w:shd w:val="clear" w:color="auto" w:fill="FFFFFF"/>
          <w:lang w:eastAsia="ru-RU" w:bidi="ru-RU"/>
        </w:rPr>
        <w:noBreakHyphen/>
        <w:t>Петербурга и Ленинградской области от 27 ноября 2015 года № 80).</w:t>
      </w:r>
    </w:p>
    <w:p w:rsidR="00CD2C97" w:rsidRPr="003C5F0B"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Трассировка обходов согласована Губернаторами Санкт-Петербурга и Ленинградской области, в настоящее время ПАО «Ленгипротранс» проводится работа по включению мероприятий по строительству обходов в Схему территориального планирования Российской Ф</w:t>
      </w:r>
      <w:r w:rsidR="003C5F0B">
        <w:rPr>
          <w:rFonts w:ascii="Times New Roman" w:eastAsia="Courier New" w:hAnsi="Times New Roman" w:cs="Times New Roman"/>
          <w:color w:val="000000"/>
          <w:spacing w:val="2"/>
          <w:sz w:val="24"/>
          <w:szCs w:val="24"/>
          <w:shd w:val="clear" w:color="auto" w:fill="FFFFFF"/>
          <w:lang w:eastAsia="ru-RU" w:bidi="ru-RU"/>
        </w:rPr>
        <w:t>едерации.</w:t>
      </w:r>
    </w:p>
    <w:p w:rsidR="00CD2C97" w:rsidRPr="003C5F0B"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u w:val="single"/>
          <w:shd w:val="clear" w:color="auto" w:fill="FFFFFF"/>
          <w:lang w:eastAsia="ru-RU" w:bidi="ru-RU"/>
        </w:rPr>
      </w:pPr>
      <w:r w:rsidRPr="003C5F0B">
        <w:rPr>
          <w:rFonts w:ascii="Times New Roman" w:eastAsia="Courier New" w:hAnsi="Times New Roman" w:cs="Times New Roman"/>
          <w:color w:val="000000"/>
          <w:spacing w:val="2"/>
          <w:sz w:val="24"/>
          <w:szCs w:val="24"/>
          <w:u w:val="single"/>
          <w:shd w:val="clear" w:color="auto" w:fill="FFFFFF"/>
          <w:lang w:eastAsia="ru-RU" w:bidi="ru-RU"/>
        </w:rPr>
        <w:t>Внутренний водный транспорт</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За последние годы в Ленинградской области проведена большая работа по развитию пассажирского сообщения внутренним водным транспортом. </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Первым положительным опытом по созданию объекта пассажирской инфраструктуры внутреннего водного транспорта является строительство в 2017 году пассажирского причала в с.Старая Ладога (проект был реализован в рамках работы по созданию культурно-исторического центра, посвящённого первой столице Древней Руси).</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Эксплуатация причала была начата в навигацию 2018 года, в течение которой было принято более 50 круизных судов с общим количеством туристов свыше 13,5 тыс.человек</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Учитывая положительные результаты работы, Ленинградской областью были разработаны предложения о комплексном развитии пассажирской инфраструктуры и формировании единой сети пассажирских причалов. При проработке этих вопросов было определено, что наибольший эффект будет достигнут при создании единой инфраструктуры во всём Северо-Западном регионе.</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В этих целях Ленинградской областью были разработаны соглашения:</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1. Между Ленинградской областью и ООО «КОНТ» «О сотрудничестве в сфере развития инфраструктуры морского и внутреннего водного транспорта на территории Ленинградской области»</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2. Между Ленинградской областью, Новгородской областью, Республикой Карелия, ООО «КОНТ» и ООО «СК «ИНФОФЛОТ» «О сотрудничестве в сфере развития инфраструктуры морского и внутреннего водного транспорта для пассажирского сообщения в Ленинградской области, Новгородской области и в Республике Карелия».</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Второе Соглашение было подписано Губернаторами Ленинградской области, Республики Карелия и Новгородской области на Петербургском международном экономическом форуме в 2018 году (ПМЭФ – 2018)</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В итоге проведённой работы на территории Ленинградской области построены и введены в эксплуатацию новые пассажирские причалы на реках Волхов (с.Старая Ладога, г.Кириши), Свирь (г.Свирьстрой) и Нева (о.Ореховый - музей «Крепость Орешек», г.Дубровка) и на Ладожском озере - на острове Коневец и в бухте Владимировской.</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В мае 2022 года введён в эксплуатацию новый пассажирский причал у музея-заповедника «Прорыв блокады Ленинграда» на реке Нева. </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В результате проведённой работы создана единая сеть объектов пассажирской инфраструктуры внутреннего водного транспорта в Ленинградской области и соседних субъектах Российской Федерации (построены пассажирские причалы в Санкт-Петербурге и Новгородской области, определены перспективные места размещения пассажирских причалов в Новгородской области и в Республике Карелия). В настоящее время прорабатываются вопросы её дальнейшего развития, в том числе в части размещения новых объектов пассажирской инфраструктуры, создания новых маршрутов и развития путей сообщения.</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Выполненная работа позволила значительно улучшить условия работы внутреннего водного транспорта в Ленинградской области, способствовала развитию прибрежных территорий, улучшению социально-экономического положения населённых пунктов.</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В рамках мероприятий по организации транзитного сообщения водным транспортом с Великим Новгородом, ФБУ «Администрация «Волго-Балт» осуществляются мероприятия по расчистке судового хода реки Волхов, в ходе которых планируется увеличение гарантированных глубин и устройство освещаемой навигационной обстановки, прорабатываются вопросы восстановления транспортного значения Новоладожского канала.</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В 2020-2021 годах выполнялась расчистка дна на участке до Волховского шлюза, в результате извлечено 390 тонн подводных препятствий, уже обеспечены заявленные ранее гарантированные глубины 240 см.</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В 2023 году планируется обеспечить эти показатели на всём протяжении реки - от Старой Ладоги до Великого Новгорода.</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Необходимо отметить, что развитие водного пути, начатое в рамках деятельности по развитию пассажирского сообщения в Ленинградской области, приносит хорошие результаты, а объёмы пассажирских перевозок по реке показывают устойчивый рост.</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К примеру, за навигацию 2022 года по реке Волхов было совершено 44 рейса и перевезено 2823 пассажира (за аналогический период 2021 года – 21 рейс и перевезено 860 пассажиров).</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Рост объёмов перевозок способствует развитию прибрежных населённых пунктов и улучшению их социально-экономического состояния.</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В настоящее время прорабатываются проекты её дальнейшего развития, в том числе за пределами региона – в Новгородской области и Республике Карелия.</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3C5F0B">
        <w:rPr>
          <w:rFonts w:ascii="Times New Roman" w:eastAsia="Courier New" w:hAnsi="Times New Roman" w:cs="Times New Roman"/>
          <w:color w:val="000000"/>
          <w:spacing w:val="2"/>
          <w:sz w:val="24"/>
          <w:szCs w:val="24"/>
          <w:shd w:val="clear" w:color="auto" w:fill="FFFFFF"/>
          <w:lang w:eastAsia="ru-RU" w:bidi="ru-RU"/>
        </w:rPr>
        <w:t>По результатам мониторинга можно сделать вывод о том, что Ленинградская область обеспечена необходимой инфраструктурой морского и внутреннего водного транспорта, в регионе осуществляется исключительно активное развитие пассажирского сегмента внутренне</w:t>
      </w:r>
      <w:r w:rsidR="003C5F0B">
        <w:rPr>
          <w:rFonts w:ascii="Times New Roman" w:eastAsia="Courier New" w:hAnsi="Times New Roman" w:cs="Times New Roman"/>
          <w:color w:val="000000"/>
          <w:spacing w:val="2"/>
          <w:sz w:val="24"/>
          <w:szCs w:val="24"/>
          <w:shd w:val="clear" w:color="auto" w:fill="FFFFFF"/>
          <w:lang w:eastAsia="ru-RU" w:bidi="ru-RU"/>
        </w:rPr>
        <w:t>го водного транспорта.</w:t>
      </w:r>
    </w:p>
    <w:p w:rsidR="00CD2C97" w:rsidRPr="003C5F0B"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u w:val="single"/>
          <w:shd w:val="clear" w:color="auto" w:fill="FFFFFF"/>
          <w:lang w:eastAsia="ru-RU" w:bidi="ru-RU"/>
        </w:rPr>
      </w:pPr>
      <w:r w:rsidRPr="003C5F0B">
        <w:rPr>
          <w:rFonts w:ascii="Times New Roman" w:eastAsia="Courier New" w:hAnsi="Times New Roman" w:cs="Times New Roman"/>
          <w:color w:val="000000"/>
          <w:spacing w:val="2"/>
          <w:sz w:val="24"/>
          <w:szCs w:val="24"/>
          <w:u w:val="single"/>
          <w:shd w:val="clear" w:color="auto" w:fill="FFFFFF"/>
          <w:lang w:eastAsia="ru-RU" w:bidi="ru-RU"/>
        </w:rPr>
        <w:t>Автомобильный транспорт. Развитие рынка газомоторного топлива.</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С 2019 года Ленинградская область участвует в реализации подпрограммы «Развитие рынка газомоторного топлива» (с 2022 года – Федеральный проект) государственной программы Российской Федерации «Развитие энергетики».</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Развитие рынка газомоторного топлива в Ленинградской области осуществляется по трём направлениям:</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 создание сети газозаправочной инфраструктуры; </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перевод техники на метан;</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закупка газовых автобусов.</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Правительством Ленинградской области заключены Соглашения с Министерством энергетики РФ до 2025 года  о предоставлении субсидии из федерального бюджета в целях софинансирования расходных обязательств субъекта РФ, возникающих при развитии заправочной инфраструктуры компримированного природного газа и расходных обязательств субъекта РФ, возникающих при поддержке переоборудования существующей автомобильной техники, включая общественный транспорт и коммунальную технику, для использования природного газа в качестве моторного топлива (далее – Соглашения). </w:t>
      </w:r>
    </w:p>
    <w:p w:rsidR="00CD2C97" w:rsidRPr="003C5F0B"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1</w:t>
      </w:r>
      <w:r w:rsidRPr="003C5F0B">
        <w:rPr>
          <w:rFonts w:ascii="Times New Roman" w:eastAsia="Courier New" w:hAnsi="Times New Roman" w:cs="Times New Roman"/>
          <w:color w:val="000000"/>
          <w:spacing w:val="2"/>
          <w:sz w:val="24"/>
          <w:szCs w:val="24"/>
          <w:shd w:val="clear" w:color="auto" w:fill="FFFFFF"/>
          <w:lang w:eastAsia="ru-RU" w:bidi="ru-RU"/>
        </w:rPr>
        <w:t>. Развитие сети стационарных объектов газозаправочной инфраструктуры компримированного природного газа</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В рамках реализации мероприятия соисполнителем - ООО «Газпром газомоторное топливо» осуществляется строительство объектов газозаправочной инфраструктуры.</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В Ленинградской области эксплуатируются следующие объекты газозаправочной инфраструктуры общего пользования:</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- 2 модуля компримированного природного газа (МКПГ) на АЗС  ЗАО «Газпром нефть Северо-Запад» в г. Тихвин и г. Тосно;</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- 2 автомобильные газонаполнительные компрессорные станции (АГНКС) в г. Кингисепп (ЗАО «Криогаз» и ООО «Газпром газомоторное топливо»);</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АГНКС на 43-ем км трассы «Санкт-Петербург – Псков» в Новосветском сельском поселении Гатчинского района;</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АГНКС в г. Всеволожск;</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АГНКС в г. Подпорожье,</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АГНКС в г. Волхов.</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В 2022 года завершено строительство АГНКС в г.Тосно.</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Инвестору предоставлена субсидия на компенсацию части затрат на строительство объекта заправочной инфраструктуры компримированного природного газа в размере 36 000,0 тыс. руб. – за счет средств федерального бюджета и областного бюджета Ленинградской области.</w:t>
      </w:r>
    </w:p>
    <w:p w:rsidR="00CD2C97" w:rsidRPr="003C5F0B"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3C5F0B">
        <w:rPr>
          <w:rFonts w:ascii="Times New Roman" w:eastAsia="Courier New" w:hAnsi="Times New Roman" w:cs="Times New Roman"/>
          <w:color w:val="000000"/>
          <w:spacing w:val="2"/>
          <w:sz w:val="24"/>
          <w:szCs w:val="24"/>
          <w:shd w:val="clear" w:color="auto" w:fill="FFFFFF"/>
          <w:lang w:eastAsia="ru-RU" w:bidi="ru-RU"/>
        </w:rPr>
        <w:t>2. Поддержка переоборудования существующей автомобильной техники, включая общественный транспорт и коммунальную технику, для использования природного газа в качестве топлива.</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При софинансировании  федерального бюджета, Ленинградская область участвует в программе льготного переоборудования транспорта на использование природного газа в качестве топлива.</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Поддержка переоборудования существующей автомобильной техники, включая общественный транспорт и коммунальную технику, для использования природного газа в качестве топлива осуществляется в форме субсидий юридическим лицам и индивидуальным предпринимателям, выполняющим работы по переоборудованию транспортных средств на использование природного газа в качестве моторного топлива, на возмещение недополученных доходов в связи с предоставлением скидки владельцам транспортных средств на указанные работы.</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С использованием мер государственной поддержки в 2022 году переоборудовано на использование природного газа в качестве моторного топлива 15 магистральных тягачей и 120 легковых автомобилей</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xml:space="preserve">3.  Возмещение части затрат организациям, осуществляющим деятельность на территории Ленинградской области, на закупку автобусов на газомоторном топливе - в целях стимулирования приобретения газомоторных автобусов автотранспортными пассажирскими предприятиями. </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Исключительно за счет средств областного бюджета Ленинградской области  предоставляется субсидия на возмещение части затрат на закупку газомоторных автобусов в лизинг. В 2022 году, компаниями ООО «Автоалдис» и  ООО «ЛАЭС-авто» приобретено в лизинг 11 газомоторных автобусов. Размер субсидии составил 41 258,93 тыс. руб.</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Доля автотранспортных средств на газомоторном топливе отвечающих требованиям энергетической эффективности, приобретенных при государственной поддержке, в парке подвижного состава межмуниципальных и межрегиональных маршрутах автотранспортных пассажирских предприятий составила 11,8%.</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Начиная с 2019 года с привлечением средств федерального бюджета и средств частных инвесторов реализуется проект «Развитие рынка газомоторного топлива», который включает мероприятия по строительству объектов газозаправочной инфраструктуры и переводу автомобильной техники на использование природного газа в качестве моторного топлива.</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Правительством Ленинградской области заключены Соглашения с Министерством энергетики РФ до 2025 гг. о предоставлении субсидии из федерального бюджета в целях софинансирования расходных обязательств субъекта РФ, возникающих при развитии заправочной инфраструктуры компримированного природного газа и расходных обязательств субъекта РФ, возникающих при поддержке переоборудования существующей автомобильной техники, включая общественный транспорт и коммунальную технику, для использования природного газа в качестве моторного топлива.</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Размер средств федерального бюджета, направленных на реализацию мероприятий по развитию рынка газомоторного топлива в 2022 году составил 22 563,9 тыс. руб., в том числе:</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- 4203,9 тыс. руб. – на поддержку переоборудования существующей автомобильной техники, включая общественный транспорт и коммунальную технику, для использования природного газа в качестве моторного топлива;</w:t>
      </w:r>
    </w:p>
    <w:p w:rsidR="00CD2C97" w:rsidRP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- 18360,0 тыс. руб. - на развитие заправочной инфраструктуры компримированного природного газа.</w:t>
      </w:r>
    </w:p>
    <w:p w:rsidR="00CD2C97" w:rsidRDefault="00CD2C97"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Размер внебюджетных средств, направленных инвестором (ООО «Газпром газомоторное топливо») на мероприятия по развитию газозаправочной инфраструктуры в 2022 году составил 173721,8 тыс. руб.</w:t>
      </w:r>
    </w:p>
    <w:p w:rsidR="00D853DE" w:rsidRDefault="00D853DE"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p>
    <w:p w:rsidR="00166301" w:rsidRPr="00166301" w:rsidRDefault="00166301" w:rsidP="00166301">
      <w:pPr>
        <w:pStyle w:val="a4"/>
        <w:widowControl w:val="0"/>
        <w:numPr>
          <w:ilvl w:val="2"/>
          <w:numId w:val="38"/>
        </w:numPr>
        <w:spacing w:after="0" w:line="360" w:lineRule="auto"/>
        <w:jc w:val="center"/>
        <w:rPr>
          <w:rFonts w:ascii="Times New Roman" w:eastAsia="Courier New" w:hAnsi="Times New Roman" w:cs="Times New Roman"/>
          <w:b/>
          <w:color w:val="000000"/>
          <w:spacing w:val="2"/>
          <w:sz w:val="24"/>
          <w:szCs w:val="24"/>
          <w:shd w:val="clear" w:color="auto" w:fill="FFFFFF"/>
          <w:lang w:eastAsia="ru-RU" w:bidi="ru-RU"/>
        </w:rPr>
      </w:pPr>
      <w:r w:rsidRPr="00166301">
        <w:rPr>
          <w:rFonts w:ascii="Times New Roman" w:eastAsia="Courier New" w:hAnsi="Times New Roman" w:cs="Times New Roman"/>
          <w:b/>
          <w:color w:val="000000"/>
          <w:spacing w:val="2"/>
          <w:sz w:val="24"/>
          <w:szCs w:val="24"/>
          <w:shd w:val="clear" w:color="auto" w:fill="FFFFFF"/>
          <w:lang w:eastAsia="ru-RU" w:bidi="ru-RU"/>
        </w:rPr>
        <w:t>Обеспеченность транспортными хабами и потенциал их развития</w:t>
      </w:r>
    </w:p>
    <w:p w:rsidR="00166301" w:rsidRPr="00166301" w:rsidRDefault="00166301" w:rsidP="00166301">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166301">
        <w:rPr>
          <w:rFonts w:ascii="Times New Roman" w:eastAsia="Courier New" w:hAnsi="Times New Roman" w:cs="Times New Roman"/>
          <w:color w:val="000000"/>
          <w:spacing w:val="2"/>
          <w:sz w:val="24"/>
          <w:szCs w:val="24"/>
          <w:shd w:val="clear" w:color="auto" w:fill="FFFFFF"/>
          <w:lang w:eastAsia="ru-RU" w:bidi="ru-RU"/>
        </w:rPr>
        <w:t>В рамках развития транспортной системы Ленинградской области в настоящее время на территории Ленинградской области реализуются проекты строительства крупных транспортных логистических узлов (хабов):</w:t>
      </w:r>
    </w:p>
    <w:p w:rsidR="00166301" w:rsidRPr="00166301" w:rsidRDefault="00166301" w:rsidP="00166301">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166301">
        <w:rPr>
          <w:rFonts w:ascii="Times New Roman" w:eastAsia="Courier New" w:hAnsi="Times New Roman" w:cs="Times New Roman"/>
          <w:color w:val="000000"/>
          <w:spacing w:val="2"/>
          <w:sz w:val="24"/>
          <w:szCs w:val="24"/>
          <w:shd w:val="clear" w:color="auto" w:fill="FFFFFF"/>
          <w:lang w:eastAsia="ru-RU" w:bidi="ru-RU"/>
        </w:rPr>
        <w:t>-Универсально-перегру</w:t>
      </w:r>
      <w:r w:rsidR="00D55ED4">
        <w:rPr>
          <w:rFonts w:ascii="Times New Roman" w:eastAsia="Courier New" w:hAnsi="Times New Roman" w:cs="Times New Roman"/>
          <w:color w:val="000000"/>
          <w:spacing w:val="2"/>
          <w:sz w:val="24"/>
          <w:szCs w:val="24"/>
          <w:shd w:val="clear" w:color="auto" w:fill="FFFFFF"/>
          <w:lang w:eastAsia="ru-RU" w:bidi="ru-RU"/>
        </w:rPr>
        <w:t xml:space="preserve">зочного комплекса «Приморский» </w:t>
      </w:r>
      <w:r w:rsidRPr="00166301">
        <w:rPr>
          <w:rFonts w:ascii="Times New Roman" w:eastAsia="Courier New" w:hAnsi="Times New Roman" w:cs="Times New Roman"/>
          <w:color w:val="000000"/>
          <w:spacing w:val="2"/>
          <w:sz w:val="24"/>
          <w:szCs w:val="24"/>
          <w:shd w:val="clear" w:color="auto" w:fill="FFFFFF"/>
          <w:lang w:eastAsia="ru-RU" w:bidi="ru-RU"/>
        </w:rPr>
        <w:t>(УПК «Приморский»);</w:t>
      </w:r>
    </w:p>
    <w:p w:rsidR="00166301" w:rsidRPr="00166301" w:rsidRDefault="00166301" w:rsidP="00166301">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166301">
        <w:rPr>
          <w:rFonts w:ascii="Times New Roman" w:eastAsia="Courier New" w:hAnsi="Times New Roman" w:cs="Times New Roman"/>
          <w:color w:val="000000"/>
          <w:spacing w:val="2"/>
          <w:sz w:val="24"/>
          <w:szCs w:val="24"/>
          <w:shd w:val="clear" w:color="auto" w:fill="FFFFFF"/>
          <w:lang w:eastAsia="ru-RU" w:bidi="ru-RU"/>
        </w:rPr>
        <w:t xml:space="preserve">- Международного торгового порта «Усть-Луга» (МТП «Усть-Луга»); </w:t>
      </w:r>
    </w:p>
    <w:p w:rsidR="00166301" w:rsidRDefault="00166301" w:rsidP="00166301">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166301">
        <w:rPr>
          <w:rFonts w:ascii="Times New Roman" w:eastAsia="Courier New" w:hAnsi="Times New Roman" w:cs="Times New Roman"/>
          <w:color w:val="000000"/>
          <w:spacing w:val="2"/>
          <w:sz w:val="24"/>
          <w:szCs w:val="24"/>
          <w:shd w:val="clear" w:color="auto" w:fill="FFFFFF"/>
          <w:lang w:eastAsia="ru-RU" w:bidi="ru-RU"/>
        </w:rPr>
        <w:t>Данные проекты предусматривают строительство, автомобильных дорог и транспортных развязок для осуществления движения грузовых потоков.</w:t>
      </w:r>
    </w:p>
    <w:p w:rsidR="00D853DE" w:rsidRPr="00166301" w:rsidRDefault="00D853DE" w:rsidP="00166301">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p>
    <w:p w:rsidR="003C5F0B" w:rsidRPr="003C5F0B" w:rsidRDefault="00CD2C97" w:rsidP="003C5F0B">
      <w:pPr>
        <w:pStyle w:val="a4"/>
        <w:widowControl w:val="0"/>
        <w:numPr>
          <w:ilvl w:val="2"/>
          <w:numId w:val="38"/>
        </w:numPr>
        <w:spacing w:after="0" w:line="360" w:lineRule="auto"/>
        <w:jc w:val="center"/>
        <w:rPr>
          <w:rFonts w:ascii="Times New Roman" w:eastAsia="Courier New" w:hAnsi="Times New Roman" w:cs="Times New Roman"/>
          <w:b/>
          <w:bCs/>
          <w:color w:val="000000"/>
          <w:spacing w:val="2"/>
          <w:sz w:val="24"/>
          <w:szCs w:val="24"/>
          <w:shd w:val="clear" w:color="auto" w:fill="FFFFFF"/>
          <w:lang w:eastAsia="ru-RU" w:bidi="ru-RU"/>
        </w:rPr>
      </w:pPr>
      <w:r w:rsidRPr="003C5F0B">
        <w:rPr>
          <w:rFonts w:ascii="Times New Roman" w:eastAsia="Courier New" w:hAnsi="Times New Roman" w:cs="Times New Roman"/>
          <w:b/>
          <w:bCs/>
          <w:color w:val="000000"/>
          <w:spacing w:val="2"/>
          <w:sz w:val="24"/>
          <w:szCs w:val="24"/>
          <w:shd w:val="clear" w:color="auto" w:fill="FFFFFF"/>
          <w:lang w:eastAsia="ru-RU" w:bidi="ru-RU"/>
        </w:rPr>
        <w:t>Сервисная и сопутствующая инфраструктура</w:t>
      </w:r>
    </w:p>
    <w:p w:rsidR="00CD2C97" w:rsidRPr="003C5F0B" w:rsidRDefault="003C5F0B" w:rsidP="003C5F0B">
      <w:pPr>
        <w:widowControl w:val="0"/>
        <w:spacing w:after="0" w:line="360" w:lineRule="auto"/>
        <w:ind w:left="709"/>
        <w:jc w:val="both"/>
        <w:rPr>
          <w:rFonts w:ascii="Times New Roman" w:eastAsia="Courier New" w:hAnsi="Times New Roman" w:cs="Times New Roman"/>
          <w:color w:val="000000"/>
          <w:spacing w:val="2"/>
          <w:sz w:val="24"/>
          <w:szCs w:val="24"/>
          <w:u w:val="single"/>
          <w:shd w:val="clear" w:color="auto" w:fill="FFFFFF"/>
          <w:lang w:eastAsia="ru-RU" w:bidi="ru-RU"/>
        </w:rPr>
      </w:pPr>
      <w:r w:rsidRPr="003C5F0B">
        <w:rPr>
          <w:rFonts w:ascii="Times New Roman" w:eastAsia="Courier New" w:hAnsi="Times New Roman" w:cs="Times New Roman"/>
          <w:color w:val="000000"/>
          <w:spacing w:val="2"/>
          <w:sz w:val="24"/>
          <w:szCs w:val="24"/>
          <w:u w:val="single"/>
          <w:shd w:val="clear" w:color="auto" w:fill="FFFFFF"/>
          <w:lang w:eastAsia="ru-RU" w:bidi="ru-RU"/>
        </w:rPr>
        <w:t>Железнодорожный транспорт.</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На территории региона расположены 472 железнодорожные станции. На 63 из них осуществляется продажа пассажирских билетов.</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Количество открытых площадок, предназначенных для повагонных отправок грузов, составляет 90 единиц, которые расположены во всех городских округах и других, менее населенных муниципальных образованиях  (Каменногорск, Светогорск, Приозерск, Тосно, Лодейное Поле и т.д.). Количество крытых складов, предназначенных для повагонных отправок грузов, составляет 25 единиц.</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Количество открытых площадок, предназначенных для мелких отправок грузов, составляет 36 единиц. Количество крытых складов, предназначенных для мелких отправок грузов, составляет 35 единиц и, в основном, сосредоточены в городских округах (Тихвин, Паша, Выборг, Приморск, Подпорожье и т.д.).</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Подъездными путями для отправки грузов снабжены 125 станций.</w:t>
      </w:r>
    </w:p>
    <w:p w:rsidR="00CD2C97" w:rsidRPr="00CD2C97" w:rsidRDefault="00CD2C97" w:rsidP="00500720">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Крупные железнодорожные узлы: Волховстроевский, Киришский, Усть-Лужский, Гатчинский, Выборгский. Сортировочная станция – 1 (Волховстрой), приграничных станций – 3 (Ивангород-Нарвский, Бусловская, Светогорск), узловых - 4 (Выбор</w:t>
      </w:r>
      <w:r w:rsidR="00500720">
        <w:rPr>
          <w:rFonts w:ascii="Times New Roman" w:eastAsia="Courier New" w:hAnsi="Times New Roman" w:cs="Times New Roman"/>
          <w:color w:val="000000"/>
          <w:spacing w:val="2"/>
          <w:sz w:val="24"/>
          <w:szCs w:val="24"/>
          <w:shd w:val="clear" w:color="auto" w:fill="FFFFFF"/>
          <w:lang w:eastAsia="ru-RU" w:bidi="ru-RU"/>
        </w:rPr>
        <w:t>г, Высоцк, Приморск и Лужская).</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По результатам анализа логистических возможностей Ленинградской области можно сделать вывод о наличии развитой транспортной инфраструктуры, позволяющей качественно использовать транзитный потенциал региона, осуществлять приём и отправку значительного количества пассажиров и грузов.</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Это создаёт благоприятные условия для хозяйственной деятельности и комплексного развития всех отраслей экономики региона.</w:t>
      </w:r>
    </w:p>
    <w:p w:rsidR="00CD2C97" w:rsidRPr="00CD2C97" w:rsidRDefault="00CD2C97" w:rsidP="00CD2C97">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CD2C97">
        <w:rPr>
          <w:rFonts w:ascii="Times New Roman" w:eastAsia="Courier New" w:hAnsi="Times New Roman" w:cs="Times New Roman"/>
          <w:color w:val="000000"/>
          <w:spacing w:val="2"/>
          <w:sz w:val="24"/>
          <w:szCs w:val="24"/>
          <w:shd w:val="clear" w:color="auto" w:fill="FFFFFF"/>
          <w:lang w:eastAsia="ru-RU" w:bidi="ru-RU"/>
        </w:rPr>
        <w:t>Инфраструктура транспорта соответствует социально-экономическим потребностям региона и Российской Федерации, в настоящее время осуществляется активное развитие грузовых терминалов морских портов и пассажирского сообщения на внутреннем водном транспорте.</w:t>
      </w:r>
    </w:p>
    <w:p w:rsidR="00CD2C97" w:rsidRPr="00D853DE" w:rsidRDefault="00D853DE" w:rsidP="00CD2C97">
      <w:pPr>
        <w:widowControl w:val="0"/>
        <w:spacing w:after="0" w:line="360" w:lineRule="auto"/>
        <w:ind w:firstLine="709"/>
        <w:jc w:val="both"/>
        <w:rPr>
          <w:rFonts w:ascii="Times New Roman" w:eastAsia="Courier New" w:hAnsi="Times New Roman" w:cs="Times New Roman"/>
          <w:color w:val="000000"/>
          <w:spacing w:val="2"/>
          <w:sz w:val="24"/>
          <w:szCs w:val="24"/>
          <w:u w:val="single"/>
          <w:shd w:val="clear" w:color="auto" w:fill="FFFFFF"/>
          <w:lang w:eastAsia="ru-RU" w:bidi="ru-RU"/>
        </w:rPr>
      </w:pPr>
      <w:r w:rsidRPr="00D853DE">
        <w:rPr>
          <w:rFonts w:ascii="Times New Roman" w:eastAsia="Courier New" w:hAnsi="Times New Roman" w:cs="Times New Roman"/>
          <w:color w:val="000000"/>
          <w:spacing w:val="2"/>
          <w:sz w:val="24"/>
          <w:szCs w:val="24"/>
          <w:u w:val="single"/>
          <w:shd w:val="clear" w:color="auto" w:fill="FFFFFF"/>
          <w:lang w:eastAsia="ru-RU" w:bidi="ru-RU"/>
        </w:rPr>
        <w:t>Автомобильный транспорт.</w:t>
      </w:r>
    </w:p>
    <w:p w:rsidR="00D853DE" w:rsidRPr="00D853DE" w:rsidRDefault="00D853DE"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D853DE">
        <w:rPr>
          <w:rFonts w:ascii="Times New Roman" w:eastAsia="Courier New" w:hAnsi="Times New Roman" w:cs="Times New Roman"/>
          <w:color w:val="000000"/>
          <w:spacing w:val="2"/>
          <w:sz w:val="24"/>
          <w:szCs w:val="24"/>
          <w:shd w:val="clear" w:color="auto" w:fill="FFFFFF"/>
          <w:lang w:eastAsia="ru-RU" w:bidi="ru-RU"/>
        </w:rPr>
        <w:t>В настоящее время в границах полос отвода автомобильных дорог регионального значения, находящихся в оперативном упр</w:t>
      </w:r>
      <w:r>
        <w:rPr>
          <w:rFonts w:ascii="Times New Roman" w:eastAsia="Courier New" w:hAnsi="Times New Roman" w:cs="Times New Roman"/>
          <w:color w:val="000000"/>
          <w:spacing w:val="2"/>
          <w:sz w:val="24"/>
          <w:szCs w:val="24"/>
          <w:shd w:val="clear" w:color="auto" w:fill="FFFFFF"/>
          <w:lang w:eastAsia="ru-RU" w:bidi="ru-RU"/>
        </w:rPr>
        <w:t>авлении</w:t>
      </w:r>
      <w:r w:rsidRPr="00D853DE">
        <w:rPr>
          <w:rFonts w:ascii="Times New Roman" w:eastAsia="Courier New" w:hAnsi="Times New Roman" w:cs="Times New Roman"/>
          <w:color w:val="000000"/>
          <w:spacing w:val="2"/>
          <w:sz w:val="24"/>
          <w:szCs w:val="24"/>
          <w:shd w:val="clear" w:color="auto" w:fill="FFFFFF"/>
          <w:lang w:eastAsia="ru-RU" w:bidi="ru-RU"/>
        </w:rPr>
        <w:t xml:space="preserve"> ГКУ «</w:t>
      </w:r>
      <w:r>
        <w:rPr>
          <w:rFonts w:ascii="Times New Roman" w:eastAsia="Courier New" w:hAnsi="Times New Roman" w:cs="Times New Roman"/>
          <w:color w:val="000000"/>
          <w:spacing w:val="2"/>
          <w:sz w:val="24"/>
          <w:szCs w:val="24"/>
          <w:shd w:val="clear" w:color="auto" w:fill="FFFFFF"/>
          <w:lang w:eastAsia="ru-RU" w:bidi="ru-RU"/>
        </w:rPr>
        <w:t>Ленавтодор» (подведомственному к</w:t>
      </w:r>
      <w:r w:rsidRPr="00D853DE">
        <w:rPr>
          <w:rFonts w:ascii="Times New Roman" w:eastAsia="Courier New" w:hAnsi="Times New Roman" w:cs="Times New Roman"/>
          <w:color w:val="000000"/>
          <w:spacing w:val="2"/>
          <w:sz w:val="24"/>
          <w:szCs w:val="24"/>
          <w:shd w:val="clear" w:color="auto" w:fill="FFFFFF"/>
          <w:lang w:eastAsia="ru-RU" w:bidi="ru-RU"/>
        </w:rPr>
        <w:t>омитету</w:t>
      </w:r>
      <w:r>
        <w:rPr>
          <w:rFonts w:ascii="Times New Roman" w:eastAsia="Courier New" w:hAnsi="Times New Roman" w:cs="Times New Roman"/>
          <w:color w:val="000000"/>
          <w:spacing w:val="2"/>
          <w:sz w:val="24"/>
          <w:szCs w:val="24"/>
          <w:shd w:val="clear" w:color="auto" w:fill="FFFFFF"/>
          <w:lang w:eastAsia="ru-RU" w:bidi="ru-RU"/>
        </w:rPr>
        <w:t xml:space="preserve"> по дорожному хозяйству Ленинградской области)</w:t>
      </w:r>
      <w:r w:rsidRPr="00D853DE">
        <w:rPr>
          <w:rFonts w:ascii="Times New Roman" w:eastAsia="Courier New" w:hAnsi="Times New Roman" w:cs="Times New Roman"/>
          <w:color w:val="000000"/>
          <w:spacing w:val="2"/>
          <w:sz w:val="24"/>
          <w:szCs w:val="24"/>
          <w:shd w:val="clear" w:color="auto" w:fill="FFFFFF"/>
          <w:lang w:eastAsia="ru-RU" w:bidi="ru-RU"/>
        </w:rPr>
        <w:t>), осуществляются работы по проектированию и строительству объектов дорожного сервиса:</w:t>
      </w:r>
    </w:p>
    <w:p w:rsidR="00D853DE" w:rsidRPr="00D853DE" w:rsidRDefault="00D853DE"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D853DE">
        <w:rPr>
          <w:rFonts w:ascii="Times New Roman" w:eastAsia="Courier New" w:hAnsi="Times New Roman" w:cs="Times New Roman"/>
          <w:color w:val="000000"/>
          <w:spacing w:val="2"/>
          <w:sz w:val="24"/>
          <w:szCs w:val="24"/>
          <w:shd w:val="clear" w:color="auto" w:fill="FFFFFF"/>
          <w:lang w:eastAsia="ru-RU" w:bidi="ru-RU"/>
        </w:rPr>
        <w:t>1.</w:t>
      </w:r>
      <w:r w:rsidRPr="00D853DE">
        <w:rPr>
          <w:rFonts w:ascii="Times New Roman" w:eastAsia="Courier New" w:hAnsi="Times New Roman" w:cs="Times New Roman"/>
          <w:color w:val="000000"/>
          <w:spacing w:val="2"/>
          <w:sz w:val="24"/>
          <w:szCs w:val="24"/>
          <w:shd w:val="clear" w:color="auto" w:fill="FFFFFF"/>
          <w:lang w:eastAsia="ru-RU" w:bidi="ru-RU"/>
        </w:rPr>
        <w:tab/>
        <w:t>Построена стоянка транспортных средств на автомобильной дороге общего пользования «Подъезд к Кокорево» возле мемориала «Разорванное кольцо».</w:t>
      </w:r>
    </w:p>
    <w:p w:rsidR="00D853DE" w:rsidRPr="00D853DE" w:rsidRDefault="00D853DE"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D853DE">
        <w:rPr>
          <w:rFonts w:ascii="Times New Roman" w:eastAsia="Courier New" w:hAnsi="Times New Roman" w:cs="Times New Roman"/>
          <w:color w:val="000000"/>
          <w:spacing w:val="2"/>
          <w:sz w:val="24"/>
          <w:szCs w:val="24"/>
          <w:shd w:val="clear" w:color="auto" w:fill="FFFFFF"/>
          <w:lang w:eastAsia="ru-RU" w:bidi="ru-RU"/>
        </w:rPr>
        <w:t>2.</w:t>
      </w:r>
      <w:r w:rsidRPr="00D853DE">
        <w:rPr>
          <w:rFonts w:ascii="Times New Roman" w:eastAsia="Courier New" w:hAnsi="Times New Roman" w:cs="Times New Roman"/>
          <w:color w:val="000000"/>
          <w:spacing w:val="2"/>
          <w:sz w:val="24"/>
          <w:szCs w:val="24"/>
          <w:shd w:val="clear" w:color="auto" w:fill="FFFFFF"/>
          <w:lang w:eastAsia="ru-RU" w:bidi="ru-RU"/>
        </w:rPr>
        <w:tab/>
        <w:t>По объекту: «Стоянка транспортных средств на автомобильной дороге общего пользования регионального значения «Ульяновка – Отрадное» у природно-рекреационного комплекса на месте молитвы князя Александра перед Невской битвой» получено положительное заключение экспертизы по проектной документации.</w:t>
      </w:r>
    </w:p>
    <w:p w:rsidR="00CD2C97" w:rsidRDefault="00D853DE" w:rsidP="00D853DE">
      <w:pPr>
        <w:widowControl w:val="0"/>
        <w:spacing w:after="0" w:line="360" w:lineRule="auto"/>
        <w:ind w:firstLine="709"/>
        <w:jc w:val="both"/>
        <w:rPr>
          <w:rFonts w:ascii="Times New Roman" w:eastAsia="Courier New" w:hAnsi="Times New Roman" w:cs="Times New Roman"/>
          <w:color w:val="000000"/>
          <w:spacing w:val="2"/>
          <w:sz w:val="24"/>
          <w:szCs w:val="24"/>
          <w:shd w:val="clear" w:color="auto" w:fill="FFFFFF"/>
          <w:lang w:eastAsia="ru-RU" w:bidi="ru-RU"/>
        </w:rPr>
      </w:pPr>
      <w:r w:rsidRPr="00D853DE">
        <w:rPr>
          <w:rFonts w:ascii="Times New Roman" w:eastAsia="Courier New" w:hAnsi="Times New Roman" w:cs="Times New Roman"/>
          <w:color w:val="000000"/>
          <w:spacing w:val="2"/>
          <w:sz w:val="24"/>
          <w:szCs w:val="24"/>
          <w:shd w:val="clear" w:color="auto" w:fill="FFFFFF"/>
          <w:lang w:eastAsia="ru-RU" w:bidi="ru-RU"/>
        </w:rPr>
        <w:t>3.</w:t>
      </w:r>
      <w:r w:rsidRPr="00D853DE">
        <w:rPr>
          <w:rFonts w:ascii="Times New Roman" w:eastAsia="Courier New" w:hAnsi="Times New Roman" w:cs="Times New Roman"/>
          <w:color w:val="000000"/>
          <w:spacing w:val="2"/>
          <w:sz w:val="24"/>
          <w:szCs w:val="24"/>
          <w:shd w:val="clear" w:color="auto" w:fill="FFFFFF"/>
          <w:lang w:eastAsia="ru-RU" w:bidi="ru-RU"/>
        </w:rPr>
        <w:tab/>
        <w:t>По объекту: «Перехватывающие парковки на автомобильной дороге общего пользования регионального значения «Зуево – Новая Ладога» у территории заповедника «Старая Ладога» проектная документация находится в экспертизе.</w:t>
      </w:r>
    </w:p>
    <w:p w:rsidR="008B5B98" w:rsidRPr="00051D4C" w:rsidRDefault="008B5B98" w:rsidP="00D853DE">
      <w:pPr>
        <w:spacing w:after="0" w:line="360" w:lineRule="auto"/>
        <w:jc w:val="both"/>
        <w:textAlignment w:val="baseline"/>
        <w:rPr>
          <w:rFonts w:ascii="Times New Roman" w:eastAsia="Times New Roman" w:hAnsi="Times New Roman" w:cs="Times New Roman"/>
          <w:sz w:val="24"/>
          <w:szCs w:val="24"/>
          <w:lang w:eastAsia="ru-RU"/>
        </w:rPr>
      </w:pPr>
    </w:p>
    <w:p w:rsidR="00051D4C" w:rsidRPr="00CD2C97" w:rsidRDefault="003C5F0B" w:rsidP="003C5F0B">
      <w:pPr>
        <w:pStyle w:val="a4"/>
        <w:widowControl w:val="0"/>
        <w:numPr>
          <w:ilvl w:val="1"/>
          <w:numId w:val="33"/>
        </w:numPr>
        <w:spacing w:after="0" w:line="360" w:lineRule="auto"/>
        <w:jc w:val="center"/>
        <w:rPr>
          <w:rFonts w:ascii="Times New Roman" w:eastAsia="Times New Roman" w:hAnsi="Times New Roman" w:cs="Times New Roman"/>
          <w:b/>
          <w:color w:val="000000"/>
          <w:sz w:val="24"/>
          <w:szCs w:val="24"/>
          <w:lang w:eastAsia="ru-RU" w:bidi="ru-RU"/>
        </w:rPr>
      </w:pPr>
      <w:r>
        <w:rPr>
          <w:rFonts w:ascii="Times New Roman" w:eastAsia="Times New Roman" w:hAnsi="Times New Roman" w:cs="Times New Roman"/>
          <w:b/>
          <w:color w:val="000000"/>
          <w:sz w:val="24"/>
          <w:szCs w:val="24"/>
          <w:lang w:eastAsia="ru-RU" w:bidi="ru-RU"/>
        </w:rPr>
        <w:t xml:space="preserve"> </w:t>
      </w:r>
      <w:r w:rsidR="00051D4C" w:rsidRPr="00CD2C97">
        <w:rPr>
          <w:rFonts w:ascii="Times New Roman" w:eastAsia="Times New Roman" w:hAnsi="Times New Roman" w:cs="Times New Roman"/>
          <w:b/>
          <w:color w:val="000000"/>
          <w:sz w:val="24"/>
          <w:szCs w:val="24"/>
          <w:lang w:eastAsia="ru-RU" w:bidi="ru-RU"/>
        </w:rPr>
        <w:t>Результаты мониторинга развития передовых производственных технологий и их внедрения, а также процесса цифровизации экономики и формирования ее новых рынков и секторов.</w:t>
      </w:r>
    </w:p>
    <w:p w:rsidR="00500720" w:rsidRDefault="00500720" w:rsidP="00500720">
      <w:pPr>
        <w:widowControl w:val="0"/>
        <w:tabs>
          <w:tab w:val="left" w:pos="1134"/>
        </w:tabs>
        <w:spacing w:after="0" w:line="360" w:lineRule="auto"/>
        <w:jc w:val="both"/>
        <w:rPr>
          <w:rFonts w:ascii="Times New Roman" w:hAnsi="Times New Roman" w:cs="Times New Roman"/>
          <w:sz w:val="24"/>
          <w:szCs w:val="24"/>
        </w:rPr>
      </w:pPr>
    </w:p>
    <w:p w:rsidR="00500720" w:rsidRPr="00D853DE" w:rsidRDefault="00500720" w:rsidP="00500720">
      <w:pPr>
        <w:spacing w:after="0" w:line="360" w:lineRule="auto"/>
        <w:ind w:firstLine="709"/>
        <w:jc w:val="both"/>
        <w:rPr>
          <w:rFonts w:ascii="Times New Roman" w:eastAsia="Times New Roman" w:hAnsi="Times New Roman" w:cs="Times New Roman"/>
          <w:color w:val="000000"/>
          <w:sz w:val="24"/>
          <w:szCs w:val="24"/>
          <w:lang w:eastAsia="ru-RU"/>
        </w:rPr>
      </w:pPr>
      <w:r w:rsidRPr="00D853DE">
        <w:rPr>
          <w:rFonts w:ascii="Times New Roman" w:eastAsia="Times New Roman" w:hAnsi="Times New Roman" w:cs="Times New Roman"/>
          <w:color w:val="000000"/>
          <w:sz w:val="24"/>
          <w:szCs w:val="24"/>
          <w:lang w:eastAsia="ru-RU"/>
        </w:rPr>
        <w:t>Информация о количестве разработанных и используемых передовых производственных технологий в Ленинградской области в разрезе сфер деятельности приведена в таблицах ниже.</w:t>
      </w:r>
    </w:p>
    <w:p w:rsidR="00500720" w:rsidRPr="00D853DE" w:rsidRDefault="00500720" w:rsidP="00500720">
      <w:pPr>
        <w:spacing w:after="0" w:line="360" w:lineRule="auto"/>
        <w:ind w:firstLine="709"/>
        <w:jc w:val="both"/>
        <w:rPr>
          <w:rFonts w:ascii="Times New Roman" w:eastAsia="Times New Roman" w:hAnsi="Times New Roman" w:cs="Times New Roman"/>
          <w:color w:val="000000"/>
          <w:sz w:val="24"/>
          <w:szCs w:val="24"/>
          <w:lang w:eastAsia="ru-RU"/>
        </w:rPr>
      </w:pPr>
      <w:r w:rsidRPr="00D853DE">
        <w:rPr>
          <w:rFonts w:ascii="Times New Roman" w:eastAsia="Times New Roman" w:hAnsi="Times New Roman" w:cs="Times New Roman"/>
          <w:color w:val="000000"/>
          <w:sz w:val="24"/>
          <w:szCs w:val="24"/>
          <w:lang w:eastAsia="ru-RU"/>
        </w:rPr>
        <w:t xml:space="preserve">Таблица </w:t>
      </w:r>
      <w:r w:rsidR="00D853DE">
        <w:rPr>
          <w:rFonts w:ascii="Times New Roman" w:eastAsia="Times New Roman" w:hAnsi="Times New Roman" w:cs="Times New Roman"/>
          <w:color w:val="000000"/>
          <w:sz w:val="24"/>
          <w:szCs w:val="24"/>
          <w:lang w:eastAsia="ru-RU"/>
        </w:rPr>
        <w:t>65</w:t>
      </w:r>
      <w:r w:rsidRPr="00D853DE">
        <w:rPr>
          <w:rFonts w:ascii="Times New Roman" w:eastAsia="Times New Roman" w:hAnsi="Times New Roman" w:cs="Times New Roman"/>
          <w:color w:val="000000"/>
          <w:sz w:val="24"/>
          <w:szCs w:val="24"/>
          <w:lang w:eastAsia="ru-RU"/>
        </w:rPr>
        <w:t xml:space="preserve">. иллюстрирует позитивную динамику разработки передовых производственных технологий – увеличение количества предприятий, участвующих в разработке (с 13 в 2020 г. до 15 в 2021 г.), а также количества разработанных технологий (с 31 в 2020 г. до 36 в 2021 г.). Наибольший прогресс наблюдается в сфере обрабатывающих производств (2020 г. – 22 разработанные технологии, 2021 г. – 30 технологий; увеличение количества предприятий с 6 до 9). </w:t>
      </w:r>
    </w:p>
    <w:p w:rsidR="00500720" w:rsidRPr="00500720" w:rsidRDefault="00500720" w:rsidP="00D853DE">
      <w:pPr>
        <w:keepNext/>
        <w:keepLines/>
        <w:pageBreakBefore/>
        <w:spacing w:before="120" w:after="120" w:line="240" w:lineRule="auto"/>
        <w:jc w:val="center"/>
        <w:rPr>
          <w:rFonts w:ascii="Times New Roman" w:eastAsia="Calibri" w:hAnsi="Times New Roman" w:cs="Times New Roman"/>
          <w:color w:val="000000"/>
          <w:sz w:val="24"/>
          <w:szCs w:val="24"/>
        </w:rPr>
      </w:pPr>
      <w:r w:rsidRPr="00500720">
        <w:rPr>
          <w:rFonts w:ascii="Times New Roman" w:eastAsia="Times New Roman" w:hAnsi="Times New Roman" w:cs="Times New Roman"/>
          <w:color w:val="000000"/>
          <w:sz w:val="24"/>
          <w:szCs w:val="24"/>
          <w:lang w:eastAsia="ru-RU"/>
        </w:rPr>
        <w:t xml:space="preserve">Таблица </w:t>
      </w:r>
      <w:r w:rsidR="00D853DE">
        <w:rPr>
          <w:rFonts w:ascii="Times New Roman" w:eastAsia="Times New Roman" w:hAnsi="Times New Roman" w:cs="Times New Roman"/>
          <w:color w:val="000000"/>
          <w:sz w:val="24"/>
          <w:szCs w:val="24"/>
          <w:lang w:eastAsia="ru-RU"/>
        </w:rPr>
        <w:t>65</w:t>
      </w:r>
      <w:r w:rsidRPr="00500720">
        <w:rPr>
          <w:rFonts w:ascii="Times New Roman" w:eastAsia="Times New Roman" w:hAnsi="Times New Roman" w:cs="Times New Roman"/>
          <w:color w:val="000000"/>
          <w:sz w:val="24"/>
          <w:szCs w:val="24"/>
          <w:lang w:eastAsia="ru-RU"/>
        </w:rPr>
        <w:t xml:space="preserve">. </w:t>
      </w:r>
      <w:r w:rsidRPr="00500720">
        <w:rPr>
          <w:rFonts w:ascii="Times New Roman" w:eastAsia="Times New Roman" w:hAnsi="Times New Roman" w:cs="Times New Roman"/>
          <w:bCs/>
          <w:color w:val="000000"/>
          <w:sz w:val="24"/>
          <w:szCs w:val="24"/>
          <w:lang w:eastAsia="ru-RU"/>
        </w:rPr>
        <w:t>Разработка передовых производственных технологий по видам экономической деят</w:t>
      </w:r>
      <w:r w:rsidR="00D853DE">
        <w:rPr>
          <w:rFonts w:ascii="Times New Roman" w:eastAsia="Times New Roman" w:hAnsi="Times New Roman" w:cs="Times New Roman"/>
          <w:bCs/>
          <w:color w:val="000000"/>
          <w:sz w:val="24"/>
          <w:szCs w:val="24"/>
          <w:lang w:eastAsia="ru-RU"/>
        </w:rPr>
        <w:t>ельности в Ленинградской област</w:t>
      </w:r>
    </w:p>
    <w:tbl>
      <w:tblPr>
        <w:tblStyle w:val="300"/>
        <w:tblW w:w="0" w:type="auto"/>
        <w:tblLook w:val="04A0" w:firstRow="1" w:lastRow="0" w:firstColumn="1" w:lastColumn="0" w:noHBand="0" w:noVBand="1"/>
      </w:tblPr>
      <w:tblGrid>
        <w:gridCol w:w="3503"/>
        <w:gridCol w:w="1757"/>
        <w:gridCol w:w="1757"/>
        <w:gridCol w:w="1631"/>
        <w:gridCol w:w="1631"/>
      </w:tblGrid>
      <w:tr w:rsidR="00500720" w:rsidRPr="00500720" w:rsidTr="00500720">
        <w:trPr>
          <w:tblHeader/>
        </w:trPr>
        <w:tc>
          <w:tcPr>
            <w:tcW w:w="0" w:type="auto"/>
            <w:vMerge w:val="restart"/>
            <w:vAlign w:val="center"/>
          </w:tcPr>
          <w:p w:rsidR="00500720" w:rsidRPr="00D55ED4" w:rsidRDefault="00500720" w:rsidP="00500720">
            <w:pPr>
              <w:spacing w:before="120" w:after="120" w:line="269" w:lineRule="auto"/>
              <w:rPr>
                <w:rFonts w:ascii="Times New Roman" w:eastAsia="Calibri" w:hAnsi="Times New Roman" w:cs="Times New Roman"/>
                <w:b/>
                <w:color w:val="000000"/>
              </w:rPr>
            </w:pPr>
          </w:p>
        </w:tc>
        <w:tc>
          <w:tcPr>
            <w:tcW w:w="0" w:type="auto"/>
            <w:gridSpan w:val="2"/>
            <w:vAlign w:val="center"/>
          </w:tcPr>
          <w:p w:rsidR="00500720" w:rsidRPr="00D55ED4" w:rsidRDefault="00500720" w:rsidP="00500720">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Число предприятий, разрабатывавших передовые производственные технологии</w:t>
            </w:r>
          </w:p>
        </w:tc>
        <w:tc>
          <w:tcPr>
            <w:tcW w:w="0" w:type="auto"/>
            <w:gridSpan w:val="2"/>
            <w:vAlign w:val="center"/>
          </w:tcPr>
          <w:p w:rsidR="00500720" w:rsidRPr="00D55ED4" w:rsidRDefault="00500720" w:rsidP="00500720">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Количество разработанных передовых производственных технологий</w:t>
            </w:r>
          </w:p>
        </w:tc>
      </w:tr>
      <w:tr w:rsidR="00500720" w:rsidRPr="00500720" w:rsidTr="00500720">
        <w:tc>
          <w:tcPr>
            <w:tcW w:w="0" w:type="auto"/>
            <w:vMerge/>
            <w:vAlign w:val="center"/>
          </w:tcPr>
          <w:p w:rsidR="00500720" w:rsidRPr="00D55ED4" w:rsidRDefault="00500720" w:rsidP="00500720">
            <w:pPr>
              <w:spacing w:before="120" w:after="120" w:line="269" w:lineRule="auto"/>
              <w:rPr>
                <w:rFonts w:ascii="Times New Roman" w:eastAsia="Calibri" w:hAnsi="Times New Roman" w:cs="Times New Roman"/>
                <w:b/>
                <w:color w:val="000000"/>
              </w:rPr>
            </w:pPr>
          </w:p>
        </w:tc>
        <w:tc>
          <w:tcPr>
            <w:tcW w:w="0" w:type="auto"/>
            <w:vAlign w:val="center"/>
          </w:tcPr>
          <w:p w:rsidR="00500720" w:rsidRPr="00D55ED4" w:rsidRDefault="00500720" w:rsidP="00500720">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2020 г.</w:t>
            </w:r>
          </w:p>
        </w:tc>
        <w:tc>
          <w:tcPr>
            <w:tcW w:w="0" w:type="auto"/>
            <w:vAlign w:val="center"/>
          </w:tcPr>
          <w:p w:rsidR="00500720" w:rsidRPr="00D55ED4" w:rsidRDefault="00500720" w:rsidP="00500720">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2021 г.</w:t>
            </w:r>
          </w:p>
        </w:tc>
        <w:tc>
          <w:tcPr>
            <w:tcW w:w="0" w:type="auto"/>
            <w:vAlign w:val="center"/>
          </w:tcPr>
          <w:p w:rsidR="00500720" w:rsidRPr="00D55ED4" w:rsidRDefault="00500720" w:rsidP="00500720">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2020 г.</w:t>
            </w:r>
          </w:p>
        </w:tc>
        <w:tc>
          <w:tcPr>
            <w:tcW w:w="0" w:type="auto"/>
            <w:vAlign w:val="center"/>
          </w:tcPr>
          <w:p w:rsidR="00500720" w:rsidRPr="00D55ED4" w:rsidRDefault="00500720" w:rsidP="00500720">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2021 г.</w:t>
            </w:r>
          </w:p>
        </w:tc>
      </w:tr>
      <w:tr w:rsidR="00500720" w:rsidRPr="00500720" w:rsidTr="00500720">
        <w:tc>
          <w:tcPr>
            <w:tcW w:w="0" w:type="auto"/>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Всего</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13</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15</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31</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36</w:t>
            </w:r>
          </w:p>
        </w:tc>
      </w:tr>
      <w:tr w:rsidR="00500720" w:rsidRPr="00500720" w:rsidTr="00500720">
        <w:tc>
          <w:tcPr>
            <w:tcW w:w="0" w:type="auto"/>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Обрабатывающие производства</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6</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9</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22</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30</w:t>
            </w:r>
          </w:p>
        </w:tc>
      </w:tr>
      <w:tr w:rsidR="00500720" w:rsidRPr="00500720" w:rsidTr="00500720">
        <w:tc>
          <w:tcPr>
            <w:tcW w:w="0" w:type="auto"/>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Обеспечение электричеством, энергией, газом и паром, кондиционирование воздуха</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2</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w:t>
            </w:r>
          </w:p>
        </w:tc>
      </w:tr>
      <w:tr w:rsidR="00500720" w:rsidRPr="00500720" w:rsidTr="00500720">
        <w:tc>
          <w:tcPr>
            <w:tcW w:w="0" w:type="auto"/>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Деятельность в области информатизации и связи</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3</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3</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w:t>
            </w:r>
          </w:p>
        </w:tc>
      </w:tr>
      <w:tr w:rsidR="00500720" w:rsidRPr="00500720" w:rsidTr="00500720">
        <w:tc>
          <w:tcPr>
            <w:tcW w:w="0" w:type="auto"/>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Научные исследования и разработки</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2</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2</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w:t>
            </w:r>
          </w:p>
        </w:tc>
      </w:tr>
    </w:tbl>
    <w:p w:rsidR="00500720" w:rsidRPr="00500720" w:rsidRDefault="00500720" w:rsidP="00500720">
      <w:pPr>
        <w:spacing w:after="0" w:line="240" w:lineRule="auto"/>
        <w:jc w:val="both"/>
        <w:rPr>
          <w:rFonts w:ascii="Times New Roman" w:eastAsia="Times New Roman" w:hAnsi="Times New Roman" w:cs="Times New Roman"/>
          <w:color w:val="000000"/>
          <w:lang w:eastAsia="ru-RU"/>
        </w:rPr>
      </w:pPr>
      <w:r w:rsidRPr="00500720">
        <w:rPr>
          <w:rFonts w:ascii="Times New Roman" w:eastAsia="Times New Roman" w:hAnsi="Times New Roman" w:cs="Times New Roman"/>
          <w:color w:val="000000"/>
          <w:lang w:eastAsia="ru-RU"/>
        </w:rPr>
        <w:t>*Данные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 29.11.2007 №282-ФЗ.</w:t>
      </w:r>
    </w:p>
    <w:p w:rsidR="00500720" w:rsidRPr="00500720" w:rsidRDefault="00500720" w:rsidP="00500720">
      <w:pPr>
        <w:spacing w:after="0" w:line="360" w:lineRule="auto"/>
        <w:ind w:firstLine="709"/>
        <w:jc w:val="both"/>
        <w:rPr>
          <w:rFonts w:ascii="Times New Roman" w:eastAsia="Times New Roman" w:hAnsi="Times New Roman" w:cs="Times New Roman"/>
          <w:color w:val="000000"/>
          <w:sz w:val="28"/>
          <w:szCs w:val="28"/>
          <w:lang w:eastAsia="ru-RU"/>
        </w:rPr>
      </w:pPr>
    </w:p>
    <w:p w:rsidR="00500720" w:rsidRPr="00D853DE" w:rsidRDefault="00500720" w:rsidP="00500720">
      <w:pPr>
        <w:spacing w:after="0" w:line="360" w:lineRule="auto"/>
        <w:ind w:firstLine="709"/>
        <w:jc w:val="both"/>
        <w:rPr>
          <w:rFonts w:ascii="Times New Roman" w:eastAsia="Times New Roman" w:hAnsi="Times New Roman" w:cs="Times New Roman"/>
          <w:color w:val="000000"/>
          <w:sz w:val="24"/>
          <w:szCs w:val="24"/>
          <w:lang w:eastAsia="ru-RU"/>
        </w:rPr>
      </w:pPr>
      <w:r w:rsidRPr="00D853DE">
        <w:rPr>
          <w:rFonts w:ascii="Times New Roman" w:eastAsia="Times New Roman" w:hAnsi="Times New Roman" w:cs="Times New Roman"/>
          <w:color w:val="000000"/>
          <w:sz w:val="24"/>
          <w:szCs w:val="24"/>
          <w:lang w:eastAsia="ru-RU"/>
        </w:rPr>
        <w:t xml:space="preserve">Как показывает </w:t>
      </w:r>
      <w:r w:rsidR="00D853DE">
        <w:rPr>
          <w:rFonts w:ascii="Times New Roman" w:eastAsia="Times New Roman" w:hAnsi="Times New Roman" w:cs="Times New Roman"/>
          <w:color w:val="000000"/>
          <w:sz w:val="24"/>
          <w:szCs w:val="24"/>
          <w:lang w:eastAsia="ru-RU"/>
        </w:rPr>
        <w:t xml:space="preserve">Таблица </w:t>
      </w:r>
      <w:r w:rsidR="00D853DE" w:rsidRPr="00D853DE">
        <w:rPr>
          <w:rFonts w:ascii="Times New Roman" w:eastAsia="Times New Roman" w:hAnsi="Times New Roman" w:cs="Times New Roman"/>
          <w:color w:val="000000"/>
          <w:sz w:val="24"/>
          <w:szCs w:val="24"/>
          <w:lang w:eastAsia="ru-RU"/>
        </w:rPr>
        <w:t>66</w:t>
      </w:r>
      <w:r w:rsidRPr="00D853DE">
        <w:rPr>
          <w:rFonts w:ascii="Times New Roman" w:eastAsia="Times New Roman" w:hAnsi="Times New Roman" w:cs="Times New Roman"/>
          <w:color w:val="000000"/>
          <w:sz w:val="24"/>
          <w:szCs w:val="24"/>
          <w:lang w:eastAsia="ru-RU"/>
        </w:rPr>
        <w:t xml:space="preserve">, отмечается положительная динамика количества предприятий, использующих передовые производственные технологии (2020 г. – 153, 2021 г. – 159), а также количества самих технологий (2020 г. – 2714, 2021 г. – 2830). </w:t>
      </w:r>
    </w:p>
    <w:p w:rsidR="00500720" w:rsidRPr="00D853DE" w:rsidRDefault="00500720" w:rsidP="00500720">
      <w:pPr>
        <w:spacing w:after="0" w:line="360" w:lineRule="auto"/>
        <w:ind w:firstLine="709"/>
        <w:jc w:val="both"/>
        <w:rPr>
          <w:rFonts w:ascii="Times New Roman" w:eastAsia="Times New Roman" w:hAnsi="Times New Roman" w:cs="Times New Roman"/>
          <w:color w:val="000000"/>
          <w:sz w:val="24"/>
          <w:szCs w:val="24"/>
          <w:lang w:eastAsia="ru-RU"/>
        </w:rPr>
      </w:pPr>
      <w:r w:rsidRPr="00D853DE">
        <w:rPr>
          <w:rFonts w:ascii="Times New Roman" w:eastAsia="Times New Roman" w:hAnsi="Times New Roman" w:cs="Times New Roman"/>
          <w:color w:val="000000"/>
          <w:sz w:val="24"/>
          <w:szCs w:val="24"/>
          <w:lang w:eastAsia="ru-RU"/>
        </w:rPr>
        <w:t>Наибольшее количество разрабатываемых технологий приходится на российские предприятия (2020 г. – 24 разработанных технологии), в том числе с частной формой собственности (2020 г. – 17 разработанных технологий, 2021 г. – 22).</w:t>
      </w:r>
    </w:p>
    <w:p w:rsidR="00500720" w:rsidRPr="00500720" w:rsidRDefault="00500720" w:rsidP="00D853DE">
      <w:pPr>
        <w:keepNext/>
        <w:keepLines/>
        <w:pageBreakBefore/>
        <w:spacing w:before="120" w:after="120" w:line="240" w:lineRule="auto"/>
        <w:jc w:val="center"/>
        <w:rPr>
          <w:rFonts w:ascii="Times New Roman" w:eastAsia="Calibri" w:hAnsi="Times New Roman" w:cs="Times New Roman"/>
          <w:color w:val="000000"/>
          <w:sz w:val="24"/>
          <w:szCs w:val="24"/>
        </w:rPr>
      </w:pPr>
      <w:r w:rsidRPr="00500720">
        <w:rPr>
          <w:rFonts w:ascii="Times New Roman" w:eastAsia="Calibri" w:hAnsi="Times New Roman" w:cs="Times New Roman"/>
          <w:color w:val="000000"/>
          <w:sz w:val="24"/>
          <w:szCs w:val="24"/>
        </w:rPr>
        <w:t xml:space="preserve">Таблица </w:t>
      </w:r>
      <w:r w:rsidR="00D853DE">
        <w:rPr>
          <w:rFonts w:ascii="Times New Roman" w:eastAsia="Calibri" w:hAnsi="Times New Roman" w:cs="Times New Roman"/>
          <w:color w:val="000000"/>
          <w:sz w:val="24"/>
          <w:szCs w:val="24"/>
        </w:rPr>
        <w:t>66</w:t>
      </w:r>
      <w:r w:rsidRPr="00500720">
        <w:rPr>
          <w:rFonts w:ascii="Times New Roman" w:eastAsia="Calibri" w:hAnsi="Times New Roman" w:cs="Times New Roman"/>
          <w:color w:val="000000"/>
          <w:sz w:val="24"/>
          <w:szCs w:val="24"/>
        </w:rPr>
        <w:t xml:space="preserve">. </w:t>
      </w:r>
      <w:r w:rsidRPr="00500720">
        <w:rPr>
          <w:rFonts w:ascii="Times New Roman" w:eastAsia="Calibri" w:hAnsi="Times New Roman" w:cs="Times New Roman"/>
          <w:bCs/>
          <w:color w:val="000000"/>
          <w:sz w:val="24"/>
          <w:szCs w:val="24"/>
        </w:rPr>
        <w:t>Разработка передовых производственных технологий по формам собственности</w:t>
      </w:r>
    </w:p>
    <w:tbl>
      <w:tblPr>
        <w:tblStyle w:val="300"/>
        <w:tblW w:w="0" w:type="auto"/>
        <w:tblLook w:val="04A0" w:firstRow="1" w:lastRow="0" w:firstColumn="1" w:lastColumn="0" w:noHBand="0" w:noVBand="1"/>
      </w:tblPr>
      <w:tblGrid>
        <w:gridCol w:w="2787"/>
        <w:gridCol w:w="1954"/>
        <w:gridCol w:w="1954"/>
        <w:gridCol w:w="1792"/>
        <w:gridCol w:w="1792"/>
      </w:tblGrid>
      <w:tr w:rsidR="00500720" w:rsidRPr="00500720" w:rsidTr="00500720">
        <w:trPr>
          <w:tblHeader/>
        </w:trPr>
        <w:tc>
          <w:tcPr>
            <w:tcW w:w="0" w:type="auto"/>
            <w:vMerge w:val="restart"/>
            <w:vAlign w:val="center"/>
          </w:tcPr>
          <w:p w:rsidR="00500720" w:rsidRPr="00D55ED4" w:rsidRDefault="00500720" w:rsidP="00500720">
            <w:pPr>
              <w:spacing w:before="120" w:after="120" w:line="245" w:lineRule="auto"/>
              <w:rPr>
                <w:rFonts w:ascii="Times New Roman" w:eastAsia="Calibri" w:hAnsi="Times New Roman" w:cs="Times New Roman"/>
                <w:b/>
                <w:color w:val="000000"/>
              </w:rPr>
            </w:pPr>
          </w:p>
        </w:tc>
        <w:tc>
          <w:tcPr>
            <w:tcW w:w="0" w:type="auto"/>
            <w:gridSpan w:val="2"/>
            <w:vAlign w:val="center"/>
          </w:tcPr>
          <w:p w:rsidR="00500720" w:rsidRPr="00D55ED4" w:rsidRDefault="00500720" w:rsidP="00500720">
            <w:pPr>
              <w:spacing w:before="120" w:after="120" w:line="245"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Число предприятий, разрабатывавших передовые производственные технологии</w:t>
            </w:r>
          </w:p>
        </w:tc>
        <w:tc>
          <w:tcPr>
            <w:tcW w:w="0" w:type="auto"/>
            <w:gridSpan w:val="2"/>
            <w:vAlign w:val="center"/>
          </w:tcPr>
          <w:p w:rsidR="00500720" w:rsidRPr="00D55ED4" w:rsidRDefault="00500720" w:rsidP="00500720">
            <w:pPr>
              <w:spacing w:before="120" w:after="120" w:line="245"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Количество разработанных передовых производственных технологий</w:t>
            </w:r>
          </w:p>
        </w:tc>
      </w:tr>
      <w:tr w:rsidR="00500720" w:rsidRPr="00500720" w:rsidTr="00500720">
        <w:tc>
          <w:tcPr>
            <w:tcW w:w="0" w:type="auto"/>
            <w:vMerge/>
            <w:vAlign w:val="center"/>
          </w:tcPr>
          <w:p w:rsidR="00500720" w:rsidRPr="00D55ED4" w:rsidRDefault="00500720" w:rsidP="00500720">
            <w:pPr>
              <w:spacing w:before="120" w:after="120" w:line="245" w:lineRule="auto"/>
              <w:rPr>
                <w:rFonts w:ascii="Times New Roman" w:eastAsia="Calibri" w:hAnsi="Times New Roman" w:cs="Times New Roman"/>
                <w:b/>
                <w:color w:val="000000"/>
              </w:rPr>
            </w:pPr>
          </w:p>
        </w:tc>
        <w:tc>
          <w:tcPr>
            <w:tcW w:w="0" w:type="auto"/>
            <w:vAlign w:val="center"/>
          </w:tcPr>
          <w:p w:rsidR="00500720" w:rsidRPr="00D55ED4" w:rsidRDefault="00500720" w:rsidP="00500720">
            <w:pPr>
              <w:spacing w:before="120" w:after="120" w:line="245"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2020 г.</w:t>
            </w:r>
          </w:p>
        </w:tc>
        <w:tc>
          <w:tcPr>
            <w:tcW w:w="0" w:type="auto"/>
            <w:vAlign w:val="center"/>
          </w:tcPr>
          <w:p w:rsidR="00500720" w:rsidRPr="00D55ED4" w:rsidRDefault="00500720" w:rsidP="00500720">
            <w:pPr>
              <w:spacing w:before="120" w:after="120" w:line="245"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2021 г.</w:t>
            </w:r>
          </w:p>
        </w:tc>
        <w:tc>
          <w:tcPr>
            <w:tcW w:w="0" w:type="auto"/>
            <w:vAlign w:val="center"/>
          </w:tcPr>
          <w:p w:rsidR="00500720" w:rsidRPr="00D55ED4" w:rsidRDefault="00500720" w:rsidP="00500720">
            <w:pPr>
              <w:spacing w:before="120" w:after="120" w:line="245"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2020 г.</w:t>
            </w:r>
          </w:p>
        </w:tc>
        <w:tc>
          <w:tcPr>
            <w:tcW w:w="0" w:type="auto"/>
            <w:vAlign w:val="center"/>
          </w:tcPr>
          <w:p w:rsidR="00500720" w:rsidRPr="00D55ED4" w:rsidRDefault="00500720" w:rsidP="00500720">
            <w:pPr>
              <w:spacing w:before="120" w:after="120" w:line="245"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2021 г.</w:t>
            </w:r>
          </w:p>
        </w:tc>
      </w:tr>
      <w:tr w:rsidR="00500720" w:rsidRPr="00500720" w:rsidTr="00500720">
        <w:tc>
          <w:tcPr>
            <w:tcW w:w="0" w:type="auto"/>
            <w:vAlign w:val="center"/>
          </w:tcPr>
          <w:p w:rsidR="00500720" w:rsidRPr="00500720" w:rsidRDefault="00500720" w:rsidP="00500720">
            <w:pPr>
              <w:spacing w:before="120" w:after="120" w:line="245" w:lineRule="auto"/>
              <w:rPr>
                <w:rFonts w:ascii="Times New Roman" w:eastAsia="Calibri" w:hAnsi="Times New Roman" w:cs="Times New Roman"/>
                <w:color w:val="000000"/>
              </w:rPr>
            </w:pPr>
            <w:r w:rsidRPr="00500720">
              <w:rPr>
                <w:rFonts w:ascii="Times New Roman" w:eastAsia="Calibri" w:hAnsi="Times New Roman" w:cs="Times New Roman"/>
                <w:color w:val="000000"/>
              </w:rPr>
              <w:t>Всего</w:t>
            </w:r>
          </w:p>
        </w:tc>
        <w:tc>
          <w:tcPr>
            <w:tcW w:w="0" w:type="auto"/>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13</w:t>
            </w:r>
          </w:p>
        </w:tc>
        <w:tc>
          <w:tcPr>
            <w:tcW w:w="0" w:type="auto"/>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15</w:t>
            </w:r>
          </w:p>
        </w:tc>
        <w:tc>
          <w:tcPr>
            <w:tcW w:w="0" w:type="auto"/>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31</w:t>
            </w:r>
          </w:p>
        </w:tc>
        <w:tc>
          <w:tcPr>
            <w:tcW w:w="0" w:type="auto"/>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36</w:t>
            </w:r>
          </w:p>
        </w:tc>
      </w:tr>
      <w:tr w:rsidR="00500720" w:rsidRPr="00500720" w:rsidTr="00500720">
        <w:tc>
          <w:tcPr>
            <w:tcW w:w="0" w:type="auto"/>
            <w:vAlign w:val="center"/>
          </w:tcPr>
          <w:p w:rsidR="00500720" w:rsidRPr="00500720" w:rsidRDefault="00500720" w:rsidP="00500720">
            <w:pPr>
              <w:spacing w:before="120" w:after="120" w:line="245" w:lineRule="auto"/>
              <w:rPr>
                <w:rFonts w:ascii="Times New Roman" w:eastAsia="Calibri" w:hAnsi="Times New Roman" w:cs="Times New Roman"/>
                <w:color w:val="000000"/>
              </w:rPr>
            </w:pPr>
            <w:r w:rsidRPr="00500720">
              <w:rPr>
                <w:rFonts w:ascii="Times New Roman" w:eastAsia="Calibri" w:hAnsi="Times New Roman" w:cs="Times New Roman"/>
                <w:color w:val="000000"/>
              </w:rPr>
              <w:t>Российская</w:t>
            </w:r>
          </w:p>
        </w:tc>
        <w:tc>
          <w:tcPr>
            <w:tcW w:w="0" w:type="auto"/>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11</w:t>
            </w:r>
          </w:p>
        </w:tc>
        <w:tc>
          <w:tcPr>
            <w:tcW w:w="0" w:type="auto"/>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13</w:t>
            </w:r>
          </w:p>
        </w:tc>
        <w:tc>
          <w:tcPr>
            <w:tcW w:w="0" w:type="auto"/>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24</w:t>
            </w:r>
          </w:p>
        </w:tc>
        <w:tc>
          <w:tcPr>
            <w:tcW w:w="0" w:type="auto"/>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w:t>
            </w:r>
          </w:p>
        </w:tc>
      </w:tr>
      <w:tr w:rsidR="00500720" w:rsidRPr="00500720" w:rsidTr="00500720">
        <w:tc>
          <w:tcPr>
            <w:tcW w:w="0" w:type="auto"/>
            <w:vAlign w:val="center"/>
          </w:tcPr>
          <w:p w:rsidR="00500720" w:rsidRPr="00500720" w:rsidRDefault="00500720" w:rsidP="00500720">
            <w:pPr>
              <w:spacing w:before="120" w:after="120" w:line="245" w:lineRule="auto"/>
              <w:rPr>
                <w:rFonts w:ascii="Times New Roman" w:eastAsia="Calibri" w:hAnsi="Times New Roman" w:cs="Times New Roman"/>
                <w:color w:val="000000"/>
              </w:rPr>
            </w:pPr>
            <w:r w:rsidRPr="00500720">
              <w:rPr>
                <w:rFonts w:ascii="Times New Roman" w:eastAsia="Calibri" w:hAnsi="Times New Roman" w:cs="Times New Roman"/>
                <w:color w:val="000000"/>
              </w:rPr>
              <w:t>из них:</w:t>
            </w:r>
            <w:r w:rsidRPr="00500720">
              <w:rPr>
                <w:rFonts w:ascii="Times New Roman" w:eastAsia="Calibri" w:hAnsi="Times New Roman" w:cs="Times New Roman"/>
                <w:color w:val="000000"/>
              </w:rPr>
              <w:br/>
              <w:t>государственная</w:t>
            </w:r>
          </w:p>
        </w:tc>
        <w:tc>
          <w:tcPr>
            <w:tcW w:w="0" w:type="auto"/>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p>
        </w:tc>
        <w:tc>
          <w:tcPr>
            <w:tcW w:w="0" w:type="auto"/>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4</w:t>
            </w:r>
          </w:p>
        </w:tc>
        <w:tc>
          <w:tcPr>
            <w:tcW w:w="0" w:type="auto"/>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p>
        </w:tc>
        <w:tc>
          <w:tcPr>
            <w:tcW w:w="0" w:type="auto"/>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4</w:t>
            </w:r>
          </w:p>
        </w:tc>
      </w:tr>
      <w:tr w:rsidR="00500720" w:rsidRPr="00500720" w:rsidTr="00500720">
        <w:tc>
          <w:tcPr>
            <w:tcW w:w="0" w:type="auto"/>
            <w:vAlign w:val="center"/>
          </w:tcPr>
          <w:p w:rsidR="00500720" w:rsidRPr="00500720" w:rsidRDefault="00500720" w:rsidP="00500720">
            <w:pPr>
              <w:spacing w:before="120" w:after="120" w:line="245" w:lineRule="auto"/>
              <w:rPr>
                <w:rFonts w:ascii="Times New Roman" w:eastAsia="Calibri" w:hAnsi="Times New Roman" w:cs="Times New Roman"/>
                <w:color w:val="000000"/>
              </w:rPr>
            </w:pPr>
            <w:r w:rsidRPr="00500720">
              <w:rPr>
                <w:rFonts w:ascii="Times New Roman" w:eastAsia="Calibri" w:hAnsi="Times New Roman" w:cs="Times New Roman"/>
                <w:color w:val="000000"/>
              </w:rPr>
              <w:t>смешанная российская</w:t>
            </w:r>
          </w:p>
        </w:tc>
        <w:tc>
          <w:tcPr>
            <w:tcW w:w="0" w:type="auto"/>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3</w:t>
            </w:r>
          </w:p>
        </w:tc>
        <w:tc>
          <w:tcPr>
            <w:tcW w:w="0" w:type="auto"/>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2</w:t>
            </w:r>
          </w:p>
        </w:tc>
        <w:tc>
          <w:tcPr>
            <w:tcW w:w="0" w:type="auto"/>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3</w:t>
            </w:r>
          </w:p>
        </w:tc>
        <w:tc>
          <w:tcPr>
            <w:tcW w:w="0" w:type="auto"/>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w:t>
            </w:r>
          </w:p>
        </w:tc>
      </w:tr>
      <w:tr w:rsidR="00500720" w:rsidRPr="00500720" w:rsidTr="00500720">
        <w:tc>
          <w:tcPr>
            <w:tcW w:w="0" w:type="auto"/>
            <w:vAlign w:val="center"/>
          </w:tcPr>
          <w:p w:rsidR="00500720" w:rsidRPr="00500720" w:rsidRDefault="00500720" w:rsidP="00500720">
            <w:pPr>
              <w:spacing w:before="120" w:after="120" w:line="245" w:lineRule="auto"/>
              <w:rPr>
                <w:rFonts w:ascii="Times New Roman" w:eastAsia="Calibri" w:hAnsi="Times New Roman" w:cs="Times New Roman"/>
                <w:color w:val="000000"/>
              </w:rPr>
            </w:pPr>
            <w:r w:rsidRPr="00500720">
              <w:rPr>
                <w:rFonts w:ascii="Times New Roman" w:eastAsia="Calibri" w:hAnsi="Times New Roman" w:cs="Times New Roman"/>
                <w:color w:val="000000"/>
              </w:rPr>
              <w:t>частная</w:t>
            </w:r>
          </w:p>
        </w:tc>
        <w:tc>
          <w:tcPr>
            <w:tcW w:w="0" w:type="auto"/>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6</w:t>
            </w:r>
          </w:p>
        </w:tc>
        <w:tc>
          <w:tcPr>
            <w:tcW w:w="0" w:type="auto"/>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6</w:t>
            </w:r>
          </w:p>
        </w:tc>
        <w:tc>
          <w:tcPr>
            <w:tcW w:w="0" w:type="auto"/>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17</w:t>
            </w:r>
          </w:p>
        </w:tc>
        <w:tc>
          <w:tcPr>
            <w:tcW w:w="0" w:type="auto"/>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22</w:t>
            </w:r>
          </w:p>
        </w:tc>
      </w:tr>
      <w:tr w:rsidR="00500720" w:rsidRPr="00500720" w:rsidTr="00500720">
        <w:tc>
          <w:tcPr>
            <w:tcW w:w="0" w:type="auto"/>
            <w:vAlign w:val="center"/>
          </w:tcPr>
          <w:p w:rsidR="00500720" w:rsidRPr="00500720" w:rsidRDefault="00500720" w:rsidP="00500720">
            <w:pPr>
              <w:spacing w:before="120" w:after="120" w:line="245" w:lineRule="auto"/>
              <w:rPr>
                <w:rFonts w:ascii="Times New Roman" w:eastAsia="Calibri" w:hAnsi="Times New Roman" w:cs="Times New Roman"/>
                <w:color w:val="000000"/>
              </w:rPr>
            </w:pPr>
            <w:r w:rsidRPr="00500720">
              <w:rPr>
                <w:rFonts w:ascii="Times New Roman" w:eastAsia="Calibri" w:hAnsi="Times New Roman" w:cs="Times New Roman"/>
                <w:color w:val="000000"/>
              </w:rPr>
              <w:t>Иностранная и совместная российская и иностранная</w:t>
            </w:r>
          </w:p>
        </w:tc>
        <w:tc>
          <w:tcPr>
            <w:tcW w:w="0" w:type="auto"/>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2</w:t>
            </w:r>
          </w:p>
        </w:tc>
        <w:tc>
          <w:tcPr>
            <w:tcW w:w="0" w:type="auto"/>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4</w:t>
            </w:r>
          </w:p>
        </w:tc>
        <w:tc>
          <w:tcPr>
            <w:tcW w:w="0" w:type="auto"/>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w:t>
            </w:r>
          </w:p>
        </w:tc>
        <w:tc>
          <w:tcPr>
            <w:tcW w:w="0" w:type="auto"/>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w:t>
            </w:r>
          </w:p>
        </w:tc>
      </w:tr>
    </w:tbl>
    <w:p w:rsidR="00500720" w:rsidRPr="00500720" w:rsidRDefault="00500720" w:rsidP="00500720">
      <w:pPr>
        <w:rPr>
          <w:rFonts w:ascii="Times New Roman" w:eastAsia="Calibri" w:hAnsi="Times New Roman" w:cs="Times New Roman"/>
          <w:color w:val="000000"/>
        </w:rPr>
      </w:pPr>
      <w:r w:rsidRPr="00500720">
        <w:rPr>
          <w:rFonts w:ascii="Times New Roman" w:eastAsia="Calibri" w:hAnsi="Times New Roman" w:cs="Times New Roman"/>
          <w:color w:val="000000"/>
        </w:rPr>
        <w:t>*Данные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 29.11.2007 №282-ФЗ.</w:t>
      </w:r>
    </w:p>
    <w:p w:rsidR="00500720" w:rsidRPr="00D853DE" w:rsidRDefault="00500720" w:rsidP="00500720">
      <w:pPr>
        <w:spacing w:after="0" w:line="240" w:lineRule="auto"/>
        <w:ind w:firstLine="709"/>
        <w:jc w:val="both"/>
        <w:rPr>
          <w:rFonts w:ascii="Times New Roman" w:eastAsia="Times New Roman" w:hAnsi="Times New Roman" w:cs="Times New Roman"/>
          <w:color w:val="000000"/>
          <w:sz w:val="24"/>
          <w:szCs w:val="24"/>
          <w:lang w:eastAsia="ru-RU"/>
        </w:rPr>
      </w:pPr>
      <w:r w:rsidRPr="00D853DE">
        <w:rPr>
          <w:rFonts w:ascii="Times New Roman" w:eastAsia="Times New Roman" w:hAnsi="Times New Roman" w:cs="Times New Roman"/>
          <w:color w:val="000000"/>
          <w:sz w:val="24"/>
          <w:szCs w:val="24"/>
          <w:lang w:eastAsia="ru-RU"/>
        </w:rPr>
        <w:t>Наиболее интенсивная разработка технологий приходится на группу производства, обработки, транспортировки и сборки (новых для России передовых производственных технологий в 2020 г. – 12, в 2021 г. – 10).</w:t>
      </w:r>
    </w:p>
    <w:p w:rsidR="00500720" w:rsidRPr="00500720" w:rsidRDefault="00500720" w:rsidP="00D853DE">
      <w:pPr>
        <w:keepNext/>
        <w:keepLines/>
        <w:spacing w:before="120" w:after="120" w:line="240" w:lineRule="auto"/>
        <w:jc w:val="center"/>
        <w:rPr>
          <w:rFonts w:ascii="Times New Roman" w:eastAsia="Calibri" w:hAnsi="Times New Roman" w:cs="Times New Roman"/>
          <w:color w:val="000000"/>
          <w:sz w:val="24"/>
          <w:szCs w:val="24"/>
        </w:rPr>
      </w:pPr>
      <w:r w:rsidRPr="00500720">
        <w:rPr>
          <w:rFonts w:ascii="Times New Roman" w:eastAsia="Calibri" w:hAnsi="Times New Roman" w:cs="Times New Roman"/>
          <w:color w:val="000000"/>
          <w:sz w:val="24"/>
          <w:szCs w:val="24"/>
        </w:rPr>
        <w:t xml:space="preserve">Таблица </w:t>
      </w:r>
      <w:r w:rsidR="00D853DE">
        <w:rPr>
          <w:rFonts w:ascii="Times New Roman" w:eastAsia="Calibri" w:hAnsi="Times New Roman" w:cs="Times New Roman"/>
          <w:color w:val="000000"/>
          <w:sz w:val="24"/>
          <w:szCs w:val="24"/>
        </w:rPr>
        <w:t>67</w:t>
      </w:r>
      <w:r w:rsidRPr="00500720">
        <w:rPr>
          <w:rFonts w:ascii="Times New Roman" w:eastAsia="Calibri" w:hAnsi="Times New Roman" w:cs="Times New Roman"/>
          <w:color w:val="000000"/>
          <w:sz w:val="24"/>
          <w:szCs w:val="24"/>
        </w:rPr>
        <w:t xml:space="preserve">. </w:t>
      </w:r>
      <w:r w:rsidRPr="00500720">
        <w:rPr>
          <w:rFonts w:ascii="Times New Roman" w:eastAsia="Calibri" w:hAnsi="Times New Roman" w:cs="Times New Roman"/>
          <w:bCs/>
          <w:color w:val="000000"/>
          <w:sz w:val="24"/>
          <w:szCs w:val="24"/>
        </w:rPr>
        <w:t>Число разработанных передовых производственных технологий по группам технологий</w:t>
      </w:r>
    </w:p>
    <w:tbl>
      <w:tblPr>
        <w:tblStyle w:val="300"/>
        <w:tblW w:w="0" w:type="auto"/>
        <w:tblLook w:val="04A0" w:firstRow="1" w:lastRow="0" w:firstColumn="1" w:lastColumn="0" w:noHBand="0" w:noVBand="1"/>
      </w:tblPr>
      <w:tblGrid>
        <w:gridCol w:w="6435"/>
        <w:gridCol w:w="961"/>
        <w:gridCol w:w="961"/>
        <w:gridCol w:w="961"/>
        <w:gridCol w:w="961"/>
      </w:tblGrid>
      <w:tr w:rsidR="00500720" w:rsidRPr="00500720" w:rsidTr="00D55ED4">
        <w:trPr>
          <w:tblHeader/>
        </w:trPr>
        <w:tc>
          <w:tcPr>
            <w:tcW w:w="0" w:type="auto"/>
            <w:vMerge w:val="restart"/>
            <w:vAlign w:val="center"/>
          </w:tcPr>
          <w:p w:rsidR="00500720" w:rsidRPr="00D55ED4" w:rsidRDefault="00500720" w:rsidP="00500720">
            <w:pPr>
              <w:spacing w:before="120" w:after="120" w:line="245" w:lineRule="auto"/>
              <w:rPr>
                <w:rFonts w:ascii="Times New Roman" w:eastAsia="Calibri" w:hAnsi="Times New Roman" w:cs="Times New Roman"/>
                <w:b/>
                <w:color w:val="000000"/>
              </w:rPr>
            </w:pPr>
          </w:p>
        </w:tc>
        <w:tc>
          <w:tcPr>
            <w:tcW w:w="1922" w:type="dxa"/>
            <w:gridSpan w:val="2"/>
            <w:vAlign w:val="center"/>
          </w:tcPr>
          <w:p w:rsidR="00500720" w:rsidRPr="00D55ED4" w:rsidRDefault="00500720" w:rsidP="00500720">
            <w:pPr>
              <w:spacing w:before="120" w:after="120" w:line="245" w:lineRule="auto"/>
              <w:rPr>
                <w:rFonts w:ascii="Times New Roman" w:eastAsia="Calibri" w:hAnsi="Times New Roman" w:cs="Times New Roman"/>
                <w:b/>
                <w:color w:val="000000"/>
              </w:rPr>
            </w:pPr>
            <w:r w:rsidRPr="00D55ED4">
              <w:rPr>
                <w:rFonts w:ascii="Times New Roman" w:eastAsia="Calibri" w:hAnsi="Times New Roman" w:cs="Times New Roman"/>
                <w:b/>
                <w:color w:val="000000"/>
              </w:rPr>
              <w:t>Всего</w:t>
            </w:r>
          </w:p>
        </w:tc>
        <w:tc>
          <w:tcPr>
            <w:tcW w:w="1922" w:type="dxa"/>
            <w:gridSpan w:val="2"/>
            <w:vAlign w:val="center"/>
          </w:tcPr>
          <w:p w:rsidR="00500720" w:rsidRPr="00D55ED4" w:rsidRDefault="00500720" w:rsidP="00500720">
            <w:pPr>
              <w:spacing w:before="120" w:after="120" w:line="245" w:lineRule="auto"/>
              <w:rPr>
                <w:rFonts w:ascii="Times New Roman" w:eastAsia="Calibri" w:hAnsi="Times New Roman" w:cs="Times New Roman"/>
                <w:b/>
                <w:color w:val="000000"/>
              </w:rPr>
            </w:pPr>
            <w:r w:rsidRPr="00D55ED4">
              <w:rPr>
                <w:rFonts w:ascii="Times New Roman" w:eastAsia="Calibri" w:hAnsi="Times New Roman" w:cs="Times New Roman"/>
                <w:b/>
                <w:color w:val="000000"/>
              </w:rPr>
              <w:t>Из них новые для России</w:t>
            </w:r>
          </w:p>
        </w:tc>
      </w:tr>
      <w:tr w:rsidR="00500720" w:rsidRPr="00500720" w:rsidTr="00D55ED4">
        <w:tc>
          <w:tcPr>
            <w:tcW w:w="0" w:type="auto"/>
            <w:vMerge/>
            <w:vAlign w:val="center"/>
          </w:tcPr>
          <w:p w:rsidR="00500720" w:rsidRPr="00D55ED4" w:rsidRDefault="00500720" w:rsidP="00500720">
            <w:pPr>
              <w:spacing w:before="120" w:after="120" w:line="245" w:lineRule="auto"/>
              <w:rPr>
                <w:rFonts w:ascii="Times New Roman" w:eastAsia="Calibri" w:hAnsi="Times New Roman" w:cs="Times New Roman"/>
                <w:b/>
                <w:color w:val="000000"/>
              </w:rPr>
            </w:pPr>
          </w:p>
        </w:tc>
        <w:tc>
          <w:tcPr>
            <w:tcW w:w="961" w:type="dxa"/>
            <w:vAlign w:val="center"/>
          </w:tcPr>
          <w:p w:rsidR="00500720" w:rsidRPr="00D55ED4" w:rsidRDefault="00500720" w:rsidP="00500720">
            <w:pPr>
              <w:spacing w:before="120" w:after="120" w:line="245"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2020 г.</w:t>
            </w:r>
          </w:p>
        </w:tc>
        <w:tc>
          <w:tcPr>
            <w:tcW w:w="961" w:type="dxa"/>
            <w:vAlign w:val="center"/>
          </w:tcPr>
          <w:p w:rsidR="00500720" w:rsidRPr="00D55ED4" w:rsidRDefault="00500720" w:rsidP="00500720">
            <w:pPr>
              <w:spacing w:before="120" w:after="120" w:line="245"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2021 г.</w:t>
            </w:r>
          </w:p>
        </w:tc>
        <w:tc>
          <w:tcPr>
            <w:tcW w:w="961" w:type="dxa"/>
            <w:vAlign w:val="center"/>
          </w:tcPr>
          <w:p w:rsidR="00500720" w:rsidRPr="00D55ED4" w:rsidRDefault="00500720" w:rsidP="00500720">
            <w:pPr>
              <w:spacing w:before="120" w:after="120" w:line="245"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2020 г.</w:t>
            </w:r>
          </w:p>
        </w:tc>
        <w:tc>
          <w:tcPr>
            <w:tcW w:w="961" w:type="dxa"/>
            <w:vAlign w:val="center"/>
          </w:tcPr>
          <w:p w:rsidR="00500720" w:rsidRPr="00D55ED4" w:rsidRDefault="00500720" w:rsidP="00500720">
            <w:pPr>
              <w:spacing w:before="120" w:after="120" w:line="245"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2021 г.</w:t>
            </w:r>
          </w:p>
        </w:tc>
      </w:tr>
      <w:tr w:rsidR="00500720" w:rsidRPr="00500720" w:rsidTr="00D55ED4">
        <w:tc>
          <w:tcPr>
            <w:tcW w:w="0" w:type="auto"/>
            <w:vAlign w:val="center"/>
          </w:tcPr>
          <w:p w:rsidR="00500720" w:rsidRPr="00500720" w:rsidRDefault="00500720" w:rsidP="00500720">
            <w:pPr>
              <w:spacing w:before="120" w:after="120" w:line="245" w:lineRule="auto"/>
              <w:rPr>
                <w:rFonts w:ascii="Times New Roman" w:eastAsia="Calibri" w:hAnsi="Times New Roman" w:cs="Times New Roman"/>
                <w:color w:val="000000"/>
              </w:rPr>
            </w:pPr>
            <w:r w:rsidRPr="00500720">
              <w:rPr>
                <w:rFonts w:ascii="Times New Roman" w:eastAsia="Calibri" w:hAnsi="Times New Roman" w:cs="Times New Roman"/>
                <w:color w:val="000000"/>
              </w:rPr>
              <w:t>Всего</w:t>
            </w:r>
          </w:p>
        </w:tc>
        <w:tc>
          <w:tcPr>
            <w:tcW w:w="961" w:type="dxa"/>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31</w:t>
            </w:r>
          </w:p>
        </w:tc>
        <w:tc>
          <w:tcPr>
            <w:tcW w:w="961" w:type="dxa"/>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36</w:t>
            </w:r>
          </w:p>
        </w:tc>
        <w:tc>
          <w:tcPr>
            <w:tcW w:w="961" w:type="dxa"/>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31</w:t>
            </w:r>
          </w:p>
        </w:tc>
        <w:tc>
          <w:tcPr>
            <w:tcW w:w="961" w:type="dxa"/>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36</w:t>
            </w:r>
          </w:p>
        </w:tc>
      </w:tr>
      <w:tr w:rsidR="00500720" w:rsidRPr="00500720" w:rsidTr="00D55ED4">
        <w:tc>
          <w:tcPr>
            <w:tcW w:w="0" w:type="auto"/>
            <w:vAlign w:val="center"/>
          </w:tcPr>
          <w:p w:rsidR="00500720" w:rsidRPr="00500720" w:rsidRDefault="00500720" w:rsidP="00500720">
            <w:pPr>
              <w:spacing w:before="120" w:after="120" w:line="245" w:lineRule="auto"/>
              <w:rPr>
                <w:rFonts w:ascii="Times New Roman" w:eastAsia="Calibri" w:hAnsi="Times New Roman" w:cs="Times New Roman"/>
                <w:color w:val="000000"/>
              </w:rPr>
            </w:pPr>
            <w:r w:rsidRPr="00500720">
              <w:rPr>
                <w:rFonts w:ascii="Times New Roman" w:eastAsia="Calibri" w:hAnsi="Times New Roman" w:cs="Times New Roman"/>
                <w:color w:val="000000"/>
              </w:rPr>
              <w:t>проектирование и инжиниринг</w:t>
            </w:r>
          </w:p>
        </w:tc>
        <w:tc>
          <w:tcPr>
            <w:tcW w:w="961" w:type="dxa"/>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3</w:t>
            </w:r>
          </w:p>
        </w:tc>
        <w:tc>
          <w:tcPr>
            <w:tcW w:w="961" w:type="dxa"/>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w:t>
            </w:r>
          </w:p>
        </w:tc>
        <w:tc>
          <w:tcPr>
            <w:tcW w:w="961" w:type="dxa"/>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3</w:t>
            </w:r>
          </w:p>
        </w:tc>
        <w:tc>
          <w:tcPr>
            <w:tcW w:w="961" w:type="dxa"/>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w:t>
            </w:r>
          </w:p>
        </w:tc>
      </w:tr>
      <w:tr w:rsidR="00500720" w:rsidRPr="00500720" w:rsidTr="00D55ED4">
        <w:tc>
          <w:tcPr>
            <w:tcW w:w="0" w:type="auto"/>
            <w:vAlign w:val="center"/>
          </w:tcPr>
          <w:p w:rsidR="00500720" w:rsidRPr="00500720" w:rsidRDefault="00500720" w:rsidP="00500720">
            <w:pPr>
              <w:spacing w:before="120" w:after="120" w:line="245" w:lineRule="auto"/>
              <w:rPr>
                <w:rFonts w:ascii="Times New Roman" w:eastAsia="Calibri" w:hAnsi="Times New Roman" w:cs="Times New Roman"/>
                <w:color w:val="000000"/>
              </w:rPr>
            </w:pPr>
            <w:r w:rsidRPr="00500720">
              <w:rPr>
                <w:rFonts w:ascii="Times New Roman" w:eastAsia="Calibri" w:hAnsi="Times New Roman" w:cs="Times New Roman"/>
                <w:color w:val="000000"/>
              </w:rPr>
              <w:t>производство, обработка, транспортировка и сборка</w:t>
            </w:r>
          </w:p>
        </w:tc>
        <w:tc>
          <w:tcPr>
            <w:tcW w:w="961" w:type="dxa"/>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12</w:t>
            </w:r>
          </w:p>
        </w:tc>
        <w:tc>
          <w:tcPr>
            <w:tcW w:w="961" w:type="dxa"/>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10</w:t>
            </w:r>
          </w:p>
        </w:tc>
        <w:tc>
          <w:tcPr>
            <w:tcW w:w="961" w:type="dxa"/>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12</w:t>
            </w:r>
          </w:p>
        </w:tc>
        <w:tc>
          <w:tcPr>
            <w:tcW w:w="961" w:type="dxa"/>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10</w:t>
            </w:r>
          </w:p>
        </w:tc>
      </w:tr>
      <w:tr w:rsidR="00500720" w:rsidRPr="00500720" w:rsidTr="00D55ED4">
        <w:tc>
          <w:tcPr>
            <w:tcW w:w="0" w:type="auto"/>
            <w:vAlign w:val="center"/>
          </w:tcPr>
          <w:p w:rsidR="00500720" w:rsidRPr="00500720" w:rsidRDefault="00500720" w:rsidP="00500720">
            <w:pPr>
              <w:spacing w:before="120" w:after="120" w:line="245" w:lineRule="auto"/>
              <w:rPr>
                <w:rFonts w:ascii="Times New Roman" w:eastAsia="Calibri" w:hAnsi="Times New Roman" w:cs="Times New Roman"/>
                <w:color w:val="000000"/>
              </w:rPr>
            </w:pPr>
            <w:r w:rsidRPr="00500720">
              <w:rPr>
                <w:rFonts w:ascii="Times New Roman" w:eastAsia="Calibri" w:hAnsi="Times New Roman" w:cs="Times New Roman"/>
                <w:color w:val="000000"/>
              </w:rPr>
              <w:t>технологии автоматизированной идентификации, наблюдения и / или контроля</w:t>
            </w:r>
          </w:p>
        </w:tc>
        <w:tc>
          <w:tcPr>
            <w:tcW w:w="961" w:type="dxa"/>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w:t>
            </w:r>
          </w:p>
        </w:tc>
        <w:tc>
          <w:tcPr>
            <w:tcW w:w="961" w:type="dxa"/>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w:t>
            </w:r>
          </w:p>
        </w:tc>
        <w:tc>
          <w:tcPr>
            <w:tcW w:w="961" w:type="dxa"/>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w:t>
            </w:r>
          </w:p>
        </w:tc>
        <w:tc>
          <w:tcPr>
            <w:tcW w:w="961" w:type="dxa"/>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w:t>
            </w:r>
          </w:p>
        </w:tc>
      </w:tr>
      <w:tr w:rsidR="00500720" w:rsidRPr="00500720" w:rsidTr="00D55ED4">
        <w:tc>
          <w:tcPr>
            <w:tcW w:w="0" w:type="auto"/>
            <w:vAlign w:val="center"/>
          </w:tcPr>
          <w:p w:rsidR="00500720" w:rsidRPr="00500720" w:rsidRDefault="00500720" w:rsidP="00500720">
            <w:pPr>
              <w:spacing w:before="120" w:after="120" w:line="245" w:lineRule="auto"/>
              <w:rPr>
                <w:rFonts w:ascii="Times New Roman" w:eastAsia="Calibri" w:hAnsi="Times New Roman" w:cs="Times New Roman"/>
                <w:color w:val="000000"/>
              </w:rPr>
            </w:pPr>
            <w:r w:rsidRPr="00500720">
              <w:rPr>
                <w:rFonts w:ascii="Times New Roman" w:eastAsia="Calibri" w:hAnsi="Times New Roman" w:cs="Times New Roman"/>
                <w:color w:val="000000"/>
              </w:rPr>
              <w:t>связь, управление и геоматика</w:t>
            </w:r>
          </w:p>
        </w:tc>
        <w:tc>
          <w:tcPr>
            <w:tcW w:w="961" w:type="dxa"/>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8</w:t>
            </w:r>
          </w:p>
        </w:tc>
        <w:tc>
          <w:tcPr>
            <w:tcW w:w="961" w:type="dxa"/>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4</w:t>
            </w:r>
          </w:p>
        </w:tc>
        <w:tc>
          <w:tcPr>
            <w:tcW w:w="961" w:type="dxa"/>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8</w:t>
            </w:r>
          </w:p>
        </w:tc>
        <w:tc>
          <w:tcPr>
            <w:tcW w:w="961" w:type="dxa"/>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4</w:t>
            </w:r>
          </w:p>
        </w:tc>
      </w:tr>
      <w:tr w:rsidR="00500720" w:rsidRPr="00500720" w:rsidTr="00D55ED4">
        <w:tc>
          <w:tcPr>
            <w:tcW w:w="0" w:type="auto"/>
            <w:vAlign w:val="center"/>
          </w:tcPr>
          <w:p w:rsidR="00500720" w:rsidRPr="00500720" w:rsidRDefault="00500720" w:rsidP="00500720">
            <w:pPr>
              <w:spacing w:before="120" w:after="120" w:line="245" w:lineRule="auto"/>
              <w:rPr>
                <w:rFonts w:ascii="Times New Roman" w:eastAsia="Calibri" w:hAnsi="Times New Roman" w:cs="Times New Roman"/>
                <w:color w:val="000000"/>
              </w:rPr>
            </w:pPr>
            <w:r w:rsidRPr="00500720">
              <w:rPr>
                <w:rFonts w:ascii="Times New Roman" w:eastAsia="Calibri" w:hAnsi="Times New Roman" w:cs="Times New Roman"/>
                <w:color w:val="000000"/>
              </w:rPr>
              <w:t>производственная информационная система и автоматизация управления производством</w:t>
            </w:r>
          </w:p>
        </w:tc>
        <w:tc>
          <w:tcPr>
            <w:tcW w:w="961" w:type="dxa"/>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w:t>
            </w:r>
          </w:p>
        </w:tc>
        <w:tc>
          <w:tcPr>
            <w:tcW w:w="961" w:type="dxa"/>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w:t>
            </w:r>
          </w:p>
        </w:tc>
        <w:tc>
          <w:tcPr>
            <w:tcW w:w="961" w:type="dxa"/>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w:t>
            </w:r>
          </w:p>
        </w:tc>
        <w:tc>
          <w:tcPr>
            <w:tcW w:w="961" w:type="dxa"/>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w:t>
            </w:r>
          </w:p>
        </w:tc>
      </w:tr>
      <w:tr w:rsidR="00500720" w:rsidRPr="00500720" w:rsidTr="00D55ED4">
        <w:tc>
          <w:tcPr>
            <w:tcW w:w="0" w:type="auto"/>
            <w:vAlign w:val="center"/>
          </w:tcPr>
          <w:p w:rsidR="00500720" w:rsidRPr="00500720" w:rsidRDefault="00500720" w:rsidP="00500720">
            <w:pPr>
              <w:spacing w:before="120" w:after="120" w:line="245" w:lineRule="auto"/>
              <w:rPr>
                <w:rFonts w:ascii="Times New Roman" w:eastAsia="Calibri" w:hAnsi="Times New Roman" w:cs="Times New Roman"/>
                <w:color w:val="000000"/>
              </w:rPr>
            </w:pPr>
            <w:r w:rsidRPr="00500720">
              <w:rPr>
                <w:rFonts w:ascii="Times New Roman" w:eastAsia="Calibri" w:hAnsi="Times New Roman" w:cs="Times New Roman"/>
                <w:color w:val="000000"/>
              </w:rPr>
              <w:t>передовые методы организации и управления производством</w:t>
            </w:r>
          </w:p>
        </w:tc>
        <w:tc>
          <w:tcPr>
            <w:tcW w:w="961" w:type="dxa"/>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4</w:t>
            </w:r>
          </w:p>
        </w:tc>
        <w:tc>
          <w:tcPr>
            <w:tcW w:w="961" w:type="dxa"/>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6</w:t>
            </w:r>
          </w:p>
        </w:tc>
        <w:tc>
          <w:tcPr>
            <w:tcW w:w="961" w:type="dxa"/>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4</w:t>
            </w:r>
          </w:p>
        </w:tc>
        <w:tc>
          <w:tcPr>
            <w:tcW w:w="961" w:type="dxa"/>
            <w:vAlign w:val="center"/>
          </w:tcPr>
          <w:p w:rsidR="00500720" w:rsidRPr="00500720" w:rsidRDefault="00500720" w:rsidP="00500720">
            <w:pPr>
              <w:spacing w:before="120" w:after="120" w:line="245"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6</w:t>
            </w:r>
          </w:p>
        </w:tc>
      </w:tr>
    </w:tbl>
    <w:p w:rsidR="00500720" w:rsidRPr="00500720" w:rsidRDefault="00500720" w:rsidP="00500720">
      <w:pPr>
        <w:rPr>
          <w:rFonts w:ascii="Times New Roman" w:eastAsia="Calibri" w:hAnsi="Times New Roman" w:cs="Times New Roman"/>
          <w:color w:val="000000"/>
        </w:rPr>
      </w:pPr>
      <w:r w:rsidRPr="00500720">
        <w:rPr>
          <w:rFonts w:ascii="Times New Roman" w:eastAsia="Calibri" w:hAnsi="Times New Roman" w:cs="Times New Roman"/>
          <w:color w:val="000000"/>
        </w:rPr>
        <w:t>*Данные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 29.11.2007 №282-ФЗ.</w:t>
      </w:r>
    </w:p>
    <w:p w:rsidR="00500720" w:rsidRPr="00D853DE" w:rsidRDefault="00500720" w:rsidP="00500720">
      <w:pPr>
        <w:spacing w:after="0" w:line="360" w:lineRule="auto"/>
        <w:ind w:firstLine="709"/>
        <w:jc w:val="both"/>
        <w:rPr>
          <w:rFonts w:ascii="Times New Roman" w:eastAsia="Times New Roman" w:hAnsi="Times New Roman" w:cs="Times New Roman"/>
          <w:color w:val="000000"/>
          <w:sz w:val="24"/>
          <w:szCs w:val="24"/>
          <w:lang w:eastAsia="ru-RU"/>
        </w:rPr>
      </w:pPr>
      <w:r w:rsidRPr="00D853DE">
        <w:rPr>
          <w:rFonts w:ascii="Times New Roman" w:eastAsia="Times New Roman" w:hAnsi="Times New Roman" w:cs="Times New Roman"/>
          <w:color w:val="000000"/>
          <w:sz w:val="24"/>
          <w:szCs w:val="24"/>
          <w:lang w:eastAsia="ru-RU"/>
        </w:rPr>
        <w:t xml:space="preserve">Согласно приведенным данным по использованию передовых производственных технологий, отмечается общий рост их применения: увеличение количества предприятий, использующих технологии, со 153 в 2020 г. до 159 в 2021 г. и увеличение количества самих технологий с 2714 в 2020 г. до 2830 в 2021 г. </w:t>
      </w:r>
    </w:p>
    <w:p w:rsidR="00500720" w:rsidRPr="00D853DE" w:rsidRDefault="00500720" w:rsidP="00500720">
      <w:pPr>
        <w:spacing w:after="0" w:line="360" w:lineRule="auto"/>
        <w:ind w:firstLine="709"/>
        <w:jc w:val="both"/>
        <w:rPr>
          <w:rFonts w:ascii="Times New Roman" w:eastAsia="Times New Roman" w:hAnsi="Times New Roman" w:cs="Times New Roman"/>
          <w:color w:val="000000"/>
          <w:sz w:val="24"/>
          <w:szCs w:val="24"/>
          <w:lang w:eastAsia="ru-RU"/>
        </w:rPr>
      </w:pPr>
      <w:r w:rsidRPr="00D853DE">
        <w:rPr>
          <w:rFonts w:ascii="Times New Roman" w:eastAsia="Times New Roman" w:hAnsi="Times New Roman" w:cs="Times New Roman"/>
          <w:color w:val="000000"/>
          <w:sz w:val="24"/>
          <w:szCs w:val="24"/>
          <w:lang w:eastAsia="ru-RU"/>
        </w:rPr>
        <w:t>Наиболее интенсивный рост происходит в сфере обрабатывающего производства (увеличение количества предприятий, использующих передовые производственные технологии, со 101 до 106 и увеличение использования самих технологий с 2116 до 2176).</w:t>
      </w:r>
    </w:p>
    <w:p w:rsidR="00500720" w:rsidRPr="00D853DE" w:rsidRDefault="00500720" w:rsidP="00500720">
      <w:pPr>
        <w:spacing w:after="0" w:line="360" w:lineRule="auto"/>
        <w:ind w:firstLine="709"/>
        <w:jc w:val="both"/>
        <w:rPr>
          <w:rFonts w:ascii="Times New Roman" w:eastAsia="Times New Roman" w:hAnsi="Times New Roman" w:cs="Times New Roman"/>
          <w:color w:val="000000"/>
          <w:sz w:val="24"/>
          <w:szCs w:val="24"/>
          <w:lang w:eastAsia="ru-RU"/>
        </w:rPr>
      </w:pPr>
      <w:r w:rsidRPr="00D853DE">
        <w:rPr>
          <w:rFonts w:ascii="Times New Roman" w:eastAsia="Times New Roman" w:hAnsi="Times New Roman" w:cs="Times New Roman"/>
          <w:color w:val="000000"/>
          <w:sz w:val="24"/>
          <w:szCs w:val="24"/>
          <w:lang w:eastAsia="ru-RU"/>
        </w:rPr>
        <w:t>Некоторое снижение отмечается в сфере информации и связи (2020 г. – 232 используемых технологии, 2021 г. – 124).</w:t>
      </w:r>
    </w:p>
    <w:p w:rsidR="00500720" w:rsidRPr="00500720" w:rsidRDefault="00500720" w:rsidP="00390009">
      <w:pPr>
        <w:keepNext/>
        <w:keepLines/>
        <w:spacing w:before="120" w:after="120" w:line="240" w:lineRule="auto"/>
        <w:jc w:val="center"/>
        <w:rPr>
          <w:rFonts w:ascii="Times New Roman" w:eastAsia="Calibri" w:hAnsi="Times New Roman" w:cs="Times New Roman"/>
          <w:color w:val="000000"/>
        </w:rPr>
      </w:pPr>
      <w:r w:rsidRPr="00500720">
        <w:rPr>
          <w:rFonts w:ascii="Times New Roman" w:eastAsia="Times New Roman" w:hAnsi="Times New Roman" w:cs="Times New Roman"/>
          <w:color w:val="000000"/>
          <w:sz w:val="24"/>
          <w:szCs w:val="24"/>
        </w:rPr>
        <w:t xml:space="preserve">Таблица </w:t>
      </w:r>
      <w:r w:rsidR="00390009">
        <w:rPr>
          <w:rFonts w:ascii="Times New Roman" w:eastAsia="Times New Roman" w:hAnsi="Times New Roman" w:cs="Times New Roman"/>
          <w:color w:val="000000"/>
          <w:sz w:val="24"/>
          <w:szCs w:val="24"/>
        </w:rPr>
        <w:t>68</w:t>
      </w:r>
      <w:r w:rsidRPr="00500720">
        <w:rPr>
          <w:rFonts w:ascii="Times New Roman" w:eastAsia="Times New Roman" w:hAnsi="Times New Roman" w:cs="Times New Roman"/>
          <w:color w:val="000000"/>
          <w:sz w:val="24"/>
          <w:szCs w:val="24"/>
        </w:rPr>
        <w:t xml:space="preserve">. </w:t>
      </w:r>
      <w:r w:rsidRPr="00500720">
        <w:rPr>
          <w:rFonts w:ascii="Times New Roman" w:eastAsia="Times New Roman" w:hAnsi="Times New Roman" w:cs="Times New Roman"/>
          <w:bCs/>
          <w:color w:val="000000"/>
          <w:sz w:val="24"/>
          <w:szCs w:val="24"/>
        </w:rPr>
        <w:t>Использование передовых производственных технологий по видам экономической деятельности в Ленинградской области</w:t>
      </w:r>
      <w:r w:rsidRPr="00500720">
        <w:rPr>
          <w:rFonts w:ascii="Times New Roman" w:eastAsia="Times New Roman" w:hAnsi="Times New Roman" w:cs="Times New Roman"/>
          <w:color w:val="000000"/>
          <w:sz w:val="24"/>
          <w:szCs w:val="24"/>
          <w:vertAlign w:val="superscript"/>
        </w:rPr>
        <w:footnoteReference w:id="6"/>
      </w:r>
      <w:r w:rsidRPr="00500720">
        <w:rPr>
          <w:rFonts w:ascii="Times New Roman" w:eastAsia="Times New Roman" w:hAnsi="Times New Roman" w:cs="Times New Roman"/>
          <w:color w:val="000000"/>
          <w:sz w:val="24"/>
          <w:szCs w:val="24"/>
        </w:rPr>
        <w:t>,</w:t>
      </w:r>
      <w:r w:rsidRPr="00500720">
        <w:rPr>
          <w:rFonts w:ascii="Times New Roman" w:eastAsia="Times New Roman" w:hAnsi="Times New Roman" w:cs="Times New Roman"/>
          <w:color w:val="000000"/>
          <w:sz w:val="24"/>
          <w:szCs w:val="24"/>
          <w:vertAlign w:val="superscript"/>
        </w:rPr>
        <w:t>2</w:t>
      </w:r>
    </w:p>
    <w:tbl>
      <w:tblPr>
        <w:tblStyle w:val="300"/>
        <w:tblW w:w="0" w:type="auto"/>
        <w:tblLayout w:type="fixed"/>
        <w:tblLook w:val="04A0" w:firstRow="1" w:lastRow="0" w:firstColumn="1" w:lastColumn="0" w:noHBand="0" w:noVBand="1"/>
      </w:tblPr>
      <w:tblGrid>
        <w:gridCol w:w="4219"/>
        <w:gridCol w:w="1418"/>
        <w:gridCol w:w="1386"/>
        <w:gridCol w:w="1516"/>
        <w:gridCol w:w="1456"/>
      </w:tblGrid>
      <w:tr w:rsidR="00500720" w:rsidRPr="00500720" w:rsidTr="00500720">
        <w:trPr>
          <w:tblHeader/>
        </w:trPr>
        <w:tc>
          <w:tcPr>
            <w:tcW w:w="4219" w:type="dxa"/>
            <w:vMerge w:val="restart"/>
            <w:vAlign w:val="center"/>
          </w:tcPr>
          <w:p w:rsidR="00500720" w:rsidRPr="00D55ED4" w:rsidRDefault="00500720" w:rsidP="00500720">
            <w:pPr>
              <w:spacing w:before="120" w:after="120" w:line="269" w:lineRule="auto"/>
              <w:rPr>
                <w:rFonts w:ascii="Times New Roman" w:eastAsia="Calibri" w:hAnsi="Times New Roman" w:cs="Times New Roman"/>
                <w:b/>
                <w:color w:val="000000"/>
              </w:rPr>
            </w:pPr>
          </w:p>
        </w:tc>
        <w:tc>
          <w:tcPr>
            <w:tcW w:w="2804" w:type="dxa"/>
            <w:gridSpan w:val="2"/>
            <w:vAlign w:val="center"/>
          </w:tcPr>
          <w:p w:rsidR="00500720" w:rsidRPr="00D55ED4" w:rsidRDefault="00500720" w:rsidP="00500720">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Число предприятий, использующих передовые производственные технологии</w:t>
            </w:r>
          </w:p>
        </w:tc>
        <w:tc>
          <w:tcPr>
            <w:tcW w:w="2972" w:type="dxa"/>
            <w:gridSpan w:val="2"/>
            <w:vAlign w:val="center"/>
          </w:tcPr>
          <w:p w:rsidR="00500720" w:rsidRPr="00D55ED4" w:rsidRDefault="00500720" w:rsidP="00500720">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Количество использованных передовых производственных технологий</w:t>
            </w:r>
          </w:p>
        </w:tc>
      </w:tr>
      <w:tr w:rsidR="00500720" w:rsidRPr="00500720" w:rsidTr="00500720">
        <w:trPr>
          <w:tblHeader/>
        </w:trPr>
        <w:tc>
          <w:tcPr>
            <w:tcW w:w="4219" w:type="dxa"/>
            <w:vMerge/>
            <w:vAlign w:val="center"/>
          </w:tcPr>
          <w:p w:rsidR="00500720" w:rsidRPr="00D55ED4" w:rsidRDefault="00500720" w:rsidP="00500720">
            <w:pPr>
              <w:spacing w:before="120" w:after="120" w:line="269" w:lineRule="auto"/>
              <w:rPr>
                <w:rFonts w:ascii="Times New Roman" w:eastAsia="Calibri" w:hAnsi="Times New Roman" w:cs="Times New Roman"/>
                <w:b/>
                <w:color w:val="000000"/>
              </w:rPr>
            </w:pPr>
          </w:p>
        </w:tc>
        <w:tc>
          <w:tcPr>
            <w:tcW w:w="1418" w:type="dxa"/>
            <w:vAlign w:val="center"/>
          </w:tcPr>
          <w:p w:rsidR="00500720" w:rsidRPr="00D55ED4" w:rsidRDefault="00500720" w:rsidP="00500720">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2020 г.</w:t>
            </w:r>
          </w:p>
        </w:tc>
        <w:tc>
          <w:tcPr>
            <w:tcW w:w="1386" w:type="dxa"/>
            <w:vAlign w:val="center"/>
          </w:tcPr>
          <w:p w:rsidR="00500720" w:rsidRPr="00D55ED4" w:rsidRDefault="00500720" w:rsidP="00500720">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2021 г.</w:t>
            </w:r>
          </w:p>
        </w:tc>
        <w:tc>
          <w:tcPr>
            <w:tcW w:w="1516" w:type="dxa"/>
            <w:vAlign w:val="center"/>
          </w:tcPr>
          <w:p w:rsidR="00500720" w:rsidRPr="00D55ED4" w:rsidRDefault="00500720" w:rsidP="00500720">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2020 г.</w:t>
            </w:r>
          </w:p>
        </w:tc>
        <w:tc>
          <w:tcPr>
            <w:tcW w:w="1456" w:type="dxa"/>
            <w:vAlign w:val="center"/>
          </w:tcPr>
          <w:p w:rsidR="00500720" w:rsidRPr="00D55ED4" w:rsidRDefault="00500720" w:rsidP="00500720">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2021 г.</w:t>
            </w:r>
          </w:p>
        </w:tc>
      </w:tr>
      <w:tr w:rsidR="00500720" w:rsidRPr="00500720" w:rsidTr="00500720">
        <w:tc>
          <w:tcPr>
            <w:tcW w:w="4219" w:type="dxa"/>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Всего</w:t>
            </w:r>
          </w:p>
        </w:tc>
        <w:tc>
          <w:tcPr>
            <w:tcW w:w="1418"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153</w:t>
            </w:r>
          </w:p>
        </w:tc>
        <w:tc>
          <w:tcPr>
            <w:tcW w:w="1386"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159</w:t>
            </w:r>
          </w:p>
        </w:tc>
        <w:tc>
          <w:tcPr>
            <w:tcW w:w="1516"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2714</w:t>
            </w:r>
          </w:p>
        </w:tc>
        <w:tc>
          <w:tcPr>
            <w:tcW w:w="1456"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2830</w:t>
            </w:r>
          </w:p>
        </w:tc>
      </w:tr>
      <w:tr w:rsidR="00500720" w:rsidRPr="00500720" w:rsidTr="00500720">
        <w:tc>
          <w:tcPr>
            <w:tcW w:w="4219" w:type="dxa"/>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добыча полезных ископаемых</w:t>
            </w:r>
          </w:p>
        </w:tc>
        <w:tc>
          <w:tcPr>
            <w:tcW w:w="1418"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w:t>
            </w:r>
          </w:p>
        </w:tc>
        <w:tc>
          <w:tcPr>
            <w:tcW w:w="1386"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w:t>
            </w:r>
          </w:p>
        </w:tc>
        <w:tc>
          <w:tcPr>
            <w:tcW w:w="1516"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w:t>
            </w:r>
          </w:p>
        </w:tc>
        <w:tc>
          <w:tcPr>
            <w:tcW w:w="1456"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w:t>
            </w:r>
          </w:p>
        </w:tc>
      </w:tr>
      <w:tr w:rsidR="00500720" w:rsidRPr="00500720" w:rsidTr="00500720">
        <w:tc>
          <w:tcPr>
            <w:tcW w:w="4219" w:type="dxa"/>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обрабатывающие производства</w:t>
            </w:r>
          </w:p>
        </w:tc>
        <w:tc>
          <w:tcPr>
            <w:tcW w:w="1418"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101</w:t>
            </w:r>
          </w:p>
        </w:tc>
        <w:tc>
          <w:tcPr>
            <w:tcW w:w="1386"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106</w:t>
            </w:r>
          </w:p>
        </w:tc>
        <w:tc>
          <w:tcPr>
            <w:tcW w:w="1516"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2116</w:t>
            </w:r>
          </w:p>
        </w:tc>
        <w:tc>
          <w:tcPr>
            <w:tcW w:w="1456"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2176</w:t>
            </w:r>
          </w:p>
        </w:tc>
      </w:tr>
      <w:tr w:rsidR="00500720" w:rsidRPr="00500720" w:rsidTr="00500720">
        <w:tc>
          <w:tcPr>
            <w:tcW w:w="4219" w:type="dxa"/>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обеспечение электрической энергией, газом и паром, кондиционирование воздуха</w:t>
            </w:r>
          </w:p>
        </w:tc>
        <w:tc>
          <w:tcPr>
            <w:tcW w:w="1418"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12</w:t>
            </w:r>
          </w:p>
        </w:tc>
        <w:tc>
          <w:tcPr>
            <w:tcW w:w="1386"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13</w:t>
            </w:r>
          </w:p>
        </w:tc>
        <w:tc>
          <w:tcPr>
            <w:tcW w:w="1516"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175</w:t>
            </w:r>
          </w:p>
        </w:tc>
        <w:tc>
          <w:tcPr>
            <w:tcW w:w="1456"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92</w:t>
            </w:r>
          </w:p>
        </w:tc>
      </w:tr>
      <w:tr w:rsidR="00500720" w:rsidRPr="00500720" w:rsidTr="00500720">
        <w:tc>
          <w:tcPr>
            <w:tcW w:w="4219" w:type="dxa"/>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водоснабжение, водоотведение, организация сбора и утилизация отходов, деятельность по ликвидации загрязнений</w:t>
            </w:r>
          </w:p>
        </w:tc>
        <w:tc>
          <w:tcPr>
            <w:tcW w:w="1418"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8</w:t>
            </w:r>
          </w:p>
        </w:tc>
        <w:tc>
          <w:tcPr>
            <w:tcW w:w="1386"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5</w:t>
            </w:r>
          </w:p>
        </w:tc>
        <w:tc>
          <w:tcPr>
            <w:tcW w:w="1516"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88</w:t>
            </w:r>
          </w:p>
        </w:tc>
        <w:tc>
          <w:tcPr>
            <w:tcW w:w="1456"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57</w:t>
            </w:r>
          </w:p>
        </w:tc>
      </w:tr>
      <w:tr w:rsidR="00500720" w:rsidRPr="00500720" w:rsidTr="00500720">
        <w:tc>
          <w:tcPr>
            <w:tcW w:w="4219" w:type="dxa"/>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деятельность в области информации и связи</w:t>
            </w:r>
          </w:p>
        </w:tc>
        <w:tc>
          <w:tcPr>
            <w:tcW w:w="1418"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15</w:t>
            </w:r>
          </w:p>
        </w:tc>
        <w:tc>
          <w:tcPr>
            <w:tcW w:w="1386"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17</w:t>
            </w:r>
          </w:p>
        </w:tc>
        <w:tc>
          <w:tcPr>
            <w:tcW w:w="1516"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232</w:t>
            </w:r>
          </w:p>
        </w:tc>
        <w:tc>
          <w:tcPr>
            <w:tcW w:w="1456"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124</w:t>
            </w:r>
          </w:p>
        </w:tc>
      </w:tr>
      <w:tr w:rsidR="00500720" w:rsidRPr="00500720" w:rsidTr="00500720">
        <w:tc>
          <w:tcPr>
            <w:tcW w:w="4219" w:type="dxa"/>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технические испытания, исследования, анализ и сертификация</w:t>
            </w:r>
          </w:p>
        </w:tc>
        <w:tc>
          <w:tcPr>
            <w:tcW w:w="1418"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2</w:t>
            </w:r>
          </w:p>
        </w:tc>
        <w:tc>
          <w:tcPr>
            <w:tcW w:w="1386"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2</w:t>
            </w:r>
          </w:p>
        </w:tc>
        <w:tc>
          <w:tcPr>
            <w:tcW w:w="1516"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w:t>
            </w:r>
          </w:p>
        </w:tc>
        <w:tc>
          <w:tcPr>
            <w:tcW w:w="1456"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w:t>
            </w:r>
          </w:p>
        </w:tc>
      </w:tr>
      <w:tr w:rsidR="00500720" w:rsidRPr="00500720" w:rsidTr="00500720">
        <w:tc>
          <w:tcPr>
            <w:tcW w:w="4219" w:type="dxa"/>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научные исследования и разработки</w:t>
            </w:r>
          </w:p>
        </w:tc>
        <w:tc>
          <w:tcPr>
            <w:tcW w:w="1418"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3</w:t>
            </w:r>
          </w:p>
        </w:tc>
        <w:tc>
          <w:tcPr>
            <w:tcW w:w="1386"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4</w:t>
            </w:r>
          </w:p>
        </w:tc>
        <w:tc>
          <w:tcPr>
            <w:tcW w:w="1516"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17</w:t>
            </w:r>
          </w:p>
        </w:tc>
        <w:tc>
          <w:tcPr>
            <w:tcW w:w="1456"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29</w:t>
            </w:r>
          </w:p>
        </w:tc>
      </w:tr>
      <w:tr w:rsidR="00500720" w:rsidRPr="00500720" w:rsidTr="00500720">
        <w:tc>
          <w:tcPr>
            <w:tcW w:w="4219" w:type="dxa"/>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высшее образование</w:t>
            </w:r>
          </w:p>
        </w:tc>
        <w:tc>
          <w:tcPr>
            <w:tcW w:w="1418"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w:t>
            </w:r>
          </w:p>
        </w:tc>
        <w:tc>
          <w:tcPr>
            <w:tcW w:w="1386"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w:t>
            </w:r>
          </w:p>
        </w:tc>
        <w:tc>
          <w:tcPr>
            <w:tcW w:w="1516"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w:t>
            </w:r>
          </w:p>
        </w:tc>
        <w:tc>
          <w:tcPr>
            <w:tcW w:w="1456"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w:t>
            </w:r>
          </w:p>
        </w:tc>
      </w:tr>
    </w:tbl>
    <w:p w:rsidR="00500720" w:rsidRPr="00500720" w:rsidRDefault="00500720" w:rsidP="00500720">
      <w:pPr>
        <w:rPr>
          <w:rFonts w:ascii="Times New Roman" w:eastAsia="Calibri" w:hAnsi="Times New Roman" w:cs="Times New Roman"/>
          <w:color w:val="000000"/>
        </w:rPr>
      </w:pPr>
      <w:r w:rsidRPr="00500720">
        <w:rPr>
          <w:rFonts w:ascii="Times New Roman" w:eastAsia="Calibri" w:hAnsi="Times New Roman" w:cs="Times New Roman"/>
          <w:color w:val="000000"/>
        </w:rPr>
        <w:t>*Данные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 29.11.2007 №282-ФЗ.</w:t>
      </w:r>
    </w:p>
    <w:p w:rsidR="00500720" w:rsidRPr="00390009" w:rsidRDefault="00500720" w:rsidP="00500720">
      <w:pPr>
        <w:spacing w:after="0" w:line="360" w:lineRule="auto"/>
        <w:ind w:firstLine="709"/>
        <w:jc w:val="both"/>
        <w:rPr>
          <w:rFonts w:ascii="Times New Roman" w:eastAsia="Times New Roman" w:hAnsi="Times New Roman" w:cs="Times New Roman"/>
          <w:color w:val="000000"/>
          <w:sz w:val="24"/>
          <w:szCs w:val="24"/>
          <w:lang w:eastAsia="ru-RU"/>
        </w:rPr>
      </w:pPr>
      <w:r w:rsidRPr="00390009">
        <w:rPr>
          <w:rFonts w:ascii="Times New Roman" w:eastAsia="Times New Roman" w:hAnsi="Times New Roman" w:cs="Times New Roman"/>
          <w:color w:val="000000"/>
          <w:sz w:val="24"/>
          <w:szCs w:val="24"/>
          <w:lang w:eastAsia="ru-RU"/>
        </w:rPr>
        <w:t>Наиболее активно передовые производственные технологии используются на российских предприятиях (2020 г. – 106 предприятий, 2021 г. – 112), в них же отмечается наибольшее количество применяемых технологий (2020 г. – 1643, 2021 г. – 1754), в том числе частных (количество предприятий, применяющих передовые производственные технологии, возросло с 79 в 2020 г. до 87 в 2021 г., количество применяемых технологий – с 1192 в 2020 г. до 1220 в 2021 г.).</w:t>
      </w:r>
    </w:p>
    <w:p w:rsidR="00500720" w:rsidRPr="00500720" w:rsidRDefault="00500720" w:rsidP="00390009">
      <w:pPr>
        <w:keepNext/>
        <w:keepLines/>
        <w:spacing w:before="120" w:after="120" w:line="240" w:lineRule="auto"/>
        <w:jc w:val="center"/>
        <w:rPr>
          <w:rFonts w:ascii="Times New Roman" w:eastAsia="Calibri" w:hAnsi="Times New Roman" w:cs="Times New Roman"/>
          <w:color w:val="000000"/>
          <w:sz w:val="24"/>
          <w:szCs w:val="24"/>
        </w:rPr>
      </w:pPr>
      <w:r w:rsidRPr="00500720">
        <w:rPr>
          <w:rFonts w:ascii="Times New Roman" w:eastAsia="Calibri" w:hAnsi="Times New Roman" w:cs="Times New Roman"/>
          <w:color w:val="000000"/>
          <w:sz w:val="24"/>
          <w:szCs w:val="24"/>
        </w:rPr>
        <w:t xml:space="preserve">Таблица </w:t>
      </w:r>
      <w:r w:rsidR="00390009">
        <w:rPr>
          <w:rFonts w:ascii="Times New Roman" w:eastAsia="Calibri" w:hAnsi="Times New Roman" w:cs="Times New Roman"/>
          <w:color w:val="000000"/>
          <w:sz w:val="24"/>
          <w:szCs w:val="24"/>
        </w:rPr>
        <w:t>69</w:t>
      </w:r>
      <w:r w:rsidRPr="00500720">
        <w:rPr>
          <w:rFonts w:ascii="Times New Roman" w:eastAsia="Calibri" w:hAnsi="Times New Roman" w:cs="Times New Roman"/>
          <w:color w:val="000000"/>
          <w:sz w:val="24"/>
          <w:szCs w:val="24"/>
        </w:rPr>
        <w:t xml:space="preserve">. </w:t>
      </w:r>
      <w:r w:rsidRPr="00500720">
        <w:rPr>
          <w:rFonts w:ascii="Times New Roman" w:eastAsia="Calibri" w:hAnsi="Times New Roman" w:cs="Times New Roman"/>
          <w:bCs/>
          <w:color w:val="000000"/>
          <w:sz w:val="24"/>
          <w:szCs w:val="24"/>
        </w:rPr>
        <w:t>Использование передовых производственных технологий на предприятиях по формам собственности</w:t>
      </w:r>
    </w:p>
    <w:tbl>
      <w:tblPr>
        <w:tblStyle w:val="300"/>
        <w:tblW w:w="0" w:type="auto"/>
        <w:tblLook w:val="04A0" w:firstRow="1" w:lastRow="0" w:firstColumn="1" w:lastColumn="0" w:noHBand="0" w:noVBand="1"/>
      </w:tblPr>
      <w:tblGrid>
        <w:gridCol w:w="2815"/>
        <w:gridCol w:w="1932"/>
        <w:gridCol w:w="1932"/>
        <w:gridCol w:w="1800"/>
        <w:gridCol w:w="1800"/>
      </w:tblGrid>
      <w:tr w:rsidR="00500720" w:rsidRPr="00500720" w:rsidTr="00500720">
        <w:trPr>
          <w:tblHeader/>
        </w:trPr>
        <w:tc>
          <w:tcPr>
            <w:tcW w:w="0" w:type="auto"/>
            <w:vMerge w:val="restart"/>
            <w:vAlign w:val="center"/>
          </w:tcPr>
          <w:p w:rsidR="00500720" w:rsidRPr="00D55ED4" w:rsidRDefault="00500720" w:rsidP="00500720">
            <w:pPr>
              <w:spacing w:before="120" w:after="120" w:line="269" w:lineRule="auto"/>
              <w:rPr>
                <w:rFonts w:ascii="Times New Roman" w:eastAsia="Calibri" w:hAnsi="Times New Roman" w:cs="Times New Roman"/>
                <w:b/>
                <w:color w:val="000000"/>
              </w:rPr>
            </w:pPr>
          </w:p>
        </w:tc>
        <w:tc>
          <w:tcPr>
            <w:tcW w:w="0" w:type="auto"/>
            <w:gridSpan w:val="2"/>
            <w:vAlign w:val="center"/>
          </w:tcPr>
          <w:p w:rsidR="00500720" w:rsidRPr="00D55ED4" w:rsidRDefault="00500720" w:rsidP="00500720">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Число предприятий, использующих передовые производственные технологии</w:t>
            </w:r>
          </w:p>
        </w:tc>
        <w:tc>
          <w:tcPr>
            <w:tcW w:w="0" w:type="auto"/>
            <w:gridSpan w:val="2"/>
            <w:vAlign w:val="center"/>
          </w:tcPr>
          <w:p w:rsidR="00500720" w:rsidRPr="00D55ED4" w:rsidRDefault="00500720" w:rsidP="00500720">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Количество используемых передовых производственных технологий</w:t>
            </w:r>
          </w:p>
        </w:tc>
      </w:tr>
      <w:tr w:rsidR="00500720" w:rsidRPr="00500720" w:rsidTr="00500720">
        <w:tc>
          <w:tcPr>
            <w:tcW w:w="0" w:type="auto"/>
            <w:vMerge/>
            <w:vAlign w:val="center"/>
          </w:tcPr>
          <w:p w:rsidR="00500720" w:rsidRPr="00D55ED4" w:rsidRDefault="00500720" w:rsidP="00500720">
            <w:pPr>
              <w:spacing w:before="120" w:after="120" w:line="269" w:lineRule="auto"/>
              <w:rPr>
                <w:rFonts w:ascii="Times New Roman" w:eastAsia="Calibri" w:hAnsi="Times New Roman" w:cs="Times New Roman"/>
                <w:b/>
                <w:color w:val="000000"/>
              </w:rPr>
            </w:pPr>
          </w:p>
        </w:tc>
        <w:tc>
          <w:tcPr>
            <w:tcW w:w="0" w:type="auto"/>
            <w:vAlign w:val="center"/>
          </w:tcPr>
          <w:p w:rsidR="00500720" w:rsidRPr="00D55ED4" w:rsidRDefault="00500720" w:rsidP="00500720">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2020 г.</w:t>
            </w:r>
          </w:p>
        </w:tc>
        <w:tc>
          <w:tcPr>
            <w:tcW w:w="0" w:type="auto"/>
            <w:vAlign w:val="center"/>
          </w:tcPr>
          <w:p w:rsidR="00500720" w:rsidRPr="00D55ED4" w:rsidRDefault="00500720" w:rsidP="00500720">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2021 г.</w:t>
            </w:r>
          </w:p>
        </w:tc>
        <w:tc>
          <w:tcPr>
            <w:tcW w:w="0" w:type="auto"/>
            <w:vAlign w:val="center"/>
          </w:tcPr>
          <w:p w:rsidR="00500720" w:rsidRPr="00D55ED4" w:rsidRDefault="00500720" w:rsidP="00500720">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2020 г.</w:t>
            </w:r>
          </w:p>
        </w:tc>
        <w:tc>
          <w:tcPr>
            <w:tcW w:w="0" w:type="auto"/>
            <w:vAlign w:val="center"/>
          </w:tcPr>
          <w:p w:rsidR="00500720" w:rsidRPr="00D55ED4" w:rsidRDefault="00500720" w:rsidP="00500720">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2021 г.</w:t>
            </w:r>
          </w:p>
        </w:tc>
      </w:tr>
      <w:tr w:rsidR="00500720" w:rsidRPr="00500720" w:rsidTr="00500720">
        <w:tc>
          <w:tcPr>
            <w:tcW w:w="0" w:type="auto"/>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Всего</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153</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159</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2714</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2830</w:t>
            </w:r>
          </w:p>
        </w:tc>
      </w:tr>
      <w:tr w:rsidR="00500720" w:rsidRPr="00500720" w:rsidTr="00500720">
        <w:tc>
          <w:tcPr>
            <w:tcW w:w="0" w:type="auto"/>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Российская</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106</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112</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1643</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1754</w:t>
            </w:r>
          </w:p>
        </w:tc>
      </w:tr>
      <w:tr w:rsidR="00500720" w:rsidRPr="00500720" w:rsidTr="00500720">
        <w:tc>
          <w:tcPr>
            <w:tcW w:w="0" w:type="auto"/>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из них:</w:t>
            </w:r>
            <w:r w:rsidRPr="00500720">
              <w:rPr>
                <w:rFonts w:ascii="Times New Roman" w:eastAsia="Calibri" w:hAnsi="Times New Roman" w:cs="Times New Roman"/>
                <w:color w:val="000000"/>
              </w:rPr>
              <w:br/>
              <w:t>государственная</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8</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8</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216</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319</w:t>
            </w:r>
          </w:p>
        </w:tc>
      </w:tr>
      <w:tr w:rsidR="00500720" w:rsidRPr="00500720" w:rsidTr="00500720">
        <w:tc>
          <w:tcPr>
            <w:tcW w:w="0" w:type="auto"/>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муниципальная</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6</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7</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63</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40</w:t>
            </w:r>
          </w:p>
        </w:tc>
      </w:tr>
      <w:tr w:rsidR="00500720" w:rsidRPr="00500720" w:rsidTr="00500720">
        <w:tc>
          <w:tcPr>
            <w:tcW w:w="0" w:type="auto"/>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смешанная российская</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10</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5</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130</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91</w:t>
            </w:r>
          </w:p>
        </w:tc>
      </w:tr>
      <w:tr w:rsidR="00500720" w:rsidRPr="00500720" w:rsidTr="00500720">
        <w:tc>
          <w:tcPr>
            <w:tcW w:w="0" w:type="auto"/>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частная</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79</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87</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1192</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1220</w:t>
            </w:r>
          </w:p>
        </w:tc>
      </w:tr>
      <w:tr w:rsidR="00500720" w:rsidRPr="00500720" w:rsidTr="00500720">
        <w:tc>
          <w:tcPr>
            <w:tcW w:w="0" w:type="auto"/>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Иностранная и совместная российская и иностранная</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47</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47</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1071</w:t>
            </w:r>
          </w:p>
        </w:tc>
        <w:tc>
          <w:tcPr>
            <w:tcW w:w="0" w:type="auto"/>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1076</w:t>
            </w:r>
          </w:p>
        </w:tc>
      </w:tr>
    </w:tbl>
    <w:p w:rsidR="00500720" w:rsidRPr="00500720" w:rsidRDefault="00500720" w:rsidP="00500720">
      <w:pPr>
        <w:spacing w:after="0" w:line="360" w:lineRule="auto"/>
        <w:ind w:firstLine="709"/>
        <w:jc w:val="both"/>
        <w:rPr>
          <w:rFonts w:ascii="Times New Roman" w:eastAsia="Times New Roman" w:hAnsi="Times New Roman" w:cs="Times New Roman"/>
          <w:color w:val="000000"/>
          <w:sz w:val="28"/>
          <w:szCs w:val="28"/>
          <w:lang w:eastAsia="ru-RU"/>
        </w:rPr>
      </w:pPr>
    </w:p>
    <w:p w:rsidR="00500720" w:rsidRPr="00390009" w:rsidRDefault="00500720" w:rsidP="00390009">
      <w:pPr>
        <w:spacing w:after="0" w:line="360" w:lineRule="auto"/>
        <w:ind w:firstLine="709"/>
        <w:jc w:val="both"/>
        <w:rPr>
          <w:rFonts w:ascii="Times New Roman" w:eastAsia="Times New Roman" w:hAnsi="Times New Roman" w:cs="Times New Roman"/>
          <w:color w:val="000000"/>
          <w:sz w:val="24"/>
          <w:szCs w:val="24"/>
          <w:lang w:eastAsia="ru-RU"/>
        </w:rPr>
      </w:pPr>
      <w:r w:rsidRPr="00390009">
        <w:rPr>
          <w:rFonts w:ascii="Times New Roman" w:eastAsia="Times New Roman" w:hAnsi="Times New Roman" w:cs="Times New Roman"/>
          <w:color w:val="000000"/>
          <w:sz w:val="24"/>
          <w:szCs w:val="24"/>
          <w:lang w:eastAsia="ru-RU"/>
        </w:rPr>
        <w:t>По группам технологий повышение внедрения отмечается в сфере производства, обработки, транспортировки и сборки (</w:t>
      </w:r>
      <w:r w:rsidR="00D55ED4">
        <w:rPr>
          <w:rFonts w:ascii="Times New Roman" w:eastAsia="Times New Roman" w:hAnsi="Times New Roman" w:cs="Times New Roman"/>
          <w:color w:val="000000"/>
          <w:sz w:val="24"/>
          <w:szCs w:val="24"/>
          <w:lang w:eastAsia="ru-RU"/>
        </w:rPr>
        <w:t>«</w:t>
      </w:r>
      <w:r w:rsidRPr="00390009">
        <w:rPr>
          <w:rFonts w:ascii="Times New Roman" w:eastAsia="Times New Roman" w:hAnsi="Times New Roman" w:cs="Times New Roman"/>
          <w:color w:val="000000"/>
          <w:sz w:val="24"/>
          <w:szCs w:val="24"/>
          <w:lang w:eastAsia="ru-RU"/>
        </w:rPr>
        <w:t>внедренные в текущем году</w:t>
      </w:r>
      <w:r w:rsidR="00D55ED4">
        <w:rPr>
          <w:rFonts w:ascii="Times New Roman" w:eastAsia="Times New Roman" w:hAnsi="Times New Roman" w:cs="Times New Roman"/>
          <w:color w:val="000000"/>
          <w:sz w:val="24"/>
          <w:szCs w:val="24"/>
          <w:lang w:eastAsia="ru-RU"/>
        </w:rPr>
        <w:t>»</w:t>
      </w:r>
      <w:r w:rsidRPr="00390009">
        <w:rPr>
          <w:rFonts w:ascii="Times New Roman" w:eastAsia="Times New Roman" w:hAnsi="Times New Roman" w:cs="Times New Roman"/>
          <w:color w:val="000000"/>
          <w:sz w:val="24"/>
          <w:szCs w:val="24"/>
          <w:lang w:eastAsia="ru-RU"/>
        </w:rPr>
        <w:t>: 2020 г. – 63, 2021 г. – 106); рост внедрения отмечается также в сферах проектирования и инжиниринга, технологий автоматизированной идентификации, наблюдения и / или контроля, производственных информационных систем и автоматизации управления производством, технологий промышленных вычислений и больших данных, передовых методов управления производством.</w:t>
      </w:r>
    </w:p>
    <w:p w:rsidR="00500720" w:rsidRPr="00500720" w:rsidRDefault="00390009" w:rsidP="00390009">
      <w:pPr>
        <w:keepNext/>
        <w:keepLines/>
        <w:spacing w:before="120" w:after="12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Таблица 70</w:t>
      </w:r>
      <w:r w:rsidR="00500720" w:rsidRPr="00500720">
        <w:rPr>
          <w:rFonts w:ascii="Times New Roman" w:eastAsia="Calibri" w:hAnsi="Times New Roman" w:cs="Times New Roman"/>
          <w:color w:val="000000"/>
          <w:sz w:val="24"/>
          <w:szCs w:val="24"/>
        </w:rPr>
        <w:t xml:space="preserve">. </w:t>
      </w:r>
      <w:r w:rsidR="00500720" w:rsidRPr="00500720">
        <w:rPr>
          <w:rFonts w:ascii="Times New Roman" w:eastAsia="Calibri" w:hAnsi="Times New Roman" w:cs="Times New Roman"/>
          <w:bCs/>
          <w:color w:val="000000"/>
          <w:sz w:val="24"/>
          <w:szCs w:val="24"/>
        </w:rPr>
        <w:t>Число используемых передовых производственных технологий по группам технологий</w:t>
      </w:r>
    </w:p>
    <w:tbl>
      <w:tblPr>
        <w:tblStyle w:val="300"/>
        <w:tblW w:w="0" w:type="auto"/>
        <w:tblLook w:val="04A0" w:firstRow="1" w:lastRow="0" w:firstColumn="1" w:lastColumn="0" w:noHBand="0" w:noVBand="1"/>
      </w:tblPr>
      <w:tblGrid>
        <w:gridCol w:w="5956"/>
        <w:gridCol w:w="1080"/>
        <w:gridCol w:w="1081"/>
        <w:gridCol w:w="1081"/>
        <w:gridCol w:w="1081"/>
      </w:tblGrid>
      <w:tr w:rsidR="00500720" w:rsidRPr="00500720" w:rsidTr="00D55ED4">
        <w:trPr>
          <w:tblHeader/>
        </w:trPr>
        <w:tc>
          <w:tcPr>
            <w:tcW w:w="0" w:type="auto"/>
            <w:vMerge w:val="restart"/>
            <w:vAlign w:val="center"/>
          </w:tcPr>
          <w:p w:rsidR="00500720" w:rsidRPr="00D55ED4" w:rsidRDefault="00500720" w:rsidP="00500720">
            <w:pPr>
              <w:spacing w:before="120" w:after="120" w:line="269" w:lineRule="auto"/>
              <w:rPr>
                <w:rFonts w:ascii="Times New Roman" w:eastAsia="Calibri" w:hAnsi="Times New Roman" w:cs="Times New Roman"/>
                <w:b/>
                <w:color w:val="000000"/>
              </w:rPr>
            </w:pPr>
          </w:p>
        </w:tc>
        <w:tc>
          <w:tcPr>
            <w:tcW w:w="2161" w:type="dxa"/>
            <w:gridSpan w:val="2"/>
            <w:vAlign w:val="center"/>
          </w:tcPr>
          <w:p w:rsidR="00500720" w:rsidRPr="00D55ED4" w:rsidRDefault="00500720" w:rsidP="00500720">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Всего</w:t>
            </w:r>
          </w:p>
        </w:tc>
        <w:tc>
          <w:tcPr>
            <w:tcW w:w="2162" w:type="dxa"/>
            <w:gridSpan w:val="2"/>
            <w:vAlign w:val="center"/>
          </w:tcPr>
          <w:p w:rsidR="00500720" w:rsidRPr="00D55ED4" w:rsidRDefault="00500720" w:rsidP="00500720">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Из них внедренные в текущем году</w:t>
            </w:r>
          </w:p>
        </w:tc>
      </w:tr>
      <w:tr w:rsidR="00500720" w:rsidRPr="00500720" w:rsidTr="00D55ED4">
        <w:tc>
          <w:tcPr>
            <w:tcW w:w="0" w:type="auto"/>
            <w:vMerge/>
            <w:vAlign w:val="center"/>
          </w:tcPr>
          <w:p w:rsidR="00500720" w:rsidRPr="00D55ED4" w:rsidRDefault="00500720" w:rsidP="00500720">
            <w:pPr>
              <w:spacing w:before="120" w:after="120" w:line="269" w:lineRule="auto"/>
              <w:rPr>
                <w:rFonts w:ascii="Times New Roman" w:eastAsia="Calibri" w:hAnsi="Times New Roman" w:cs="Times New Roman"/>
                <w:b/>
                <w:color w:val="000000"/>
              </w:rPr>
            </w:pPr>
          </w:p>
        </w:tc>
        <w:tc>
          <w:tcPr>
            <w:tcW w:w="1080" w:type="dxa"/>
            <w:vAlign w:val="center"/>
          </w:tcPr>
          <w:p w:rsidR="00500720" w:rsidRPr="00D55ED4" w:rsidRDefault="00500720" w:rsidP="00500720">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2020 г.</w:t>
            </w:r>
          </w:p>
        </w:tc>
        <w:tc>
          <w:tcPr>
            <w:tcW w:w="1081" w:type="dxa"/>
            <w:vAlign w:val="center"/>
          </w:tcPr>
          <w:p w:rsidR="00500720" w:rsidRPr="00D55ED4" w:rsidRDefault="00500720" w:rsidP="00500720">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2021 г.</w:t>
            </w:r>
          </w:p>
        </w:tc>
        <w:tc>
          <w:tcPr>
            <w:tcW w:w="1081" w:type="dxa"/>
            <w:vAlign w:val="center"/>
          </w:tcPr>
          <w:p w:rsidR="00500720" w:rsidRPr="00D55ED4" w:rsidRDefault="00500720" w:rsidP="00500720">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2020 г.</w:t>
            </w:r>
          </w:p>
        </w:tc>
        <w:tc>
          <w:tcPr>
            <w:tcW w:w="1081" w:type="dxa"/>
            <w:vAlign w:val="center"/>
          </w:tcPr>
          <w:p w:rsidR="00500720" w:rsidRPr="00D55ED4" w:rsidRDefault="00500720" w:rsidP="00500720">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2021 г.</w:t>
            </w:r>
          </w:p>
        </w:tc>
      </w:tr>
      <w:tr w:rsidR="00500720" w:rsidRPr="00500720" w:rsidTr="00D55ED4">
        <w:tc>
          <w:tcPr>
            <w:tcW w:w="0" w:type="auto"/>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Всего</w:t>
            </w:r>
          </w:p>
        </w:tc>
        <w:tc>
          <w:tcPr>
            <w:tcW w:w="1080"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2714</w:t>
            </w:r>
          </w:p>
        </w:tc>
        <w:tc>
          <w:tcPr>
            <w:tcW w:w="1081"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2830</w:t>
            </w:r>
          </w:p>
        </w:tc>
        <w:tc>
          <w:tcPr>
            <w:tcW w:w="1081"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199</w:t>
            </w:r>
          </w:p>
        </w:tc>
        <w:tc>
          <w:tcPr>
            <w:tcW w:w="1081"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264</w:t>
            </w:r>
          </w:p>
        </w:tc>
      </w:tr>
      <w:tr w:rsidR="00500720" w:rsidRPr="00500720" w:rsidTr="00D55ED4">
        <w:tc>
          <w:tcPr>
            <w:tcW w:w="0" w:type="auto"/>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проектирование и инжиниринг</w:t>
            </w:r>
          </w:p>
        </w:tc>
        <w:tc>
          <w:tcPr>
            <w:tcW w:w="1080"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196</w:t>
            </w:r>
          </w:p>
        </w:tc>
        <w:tc>
          <w:tcPr>
            <w:tcW w:w="1081"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268</w:t>
            </w:r>
          </w:p>
        </w:tc>
        <w:tc>
          <w:tcPr>
            <w:tcW w:w="1081"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11</w:t>
            </w:r>
          </w:p>
        </w:tc>
        <w:tc>
          <w:tcPr>
            <w:tcW w:w="1081"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17</w:t>
            </w:r>
          </w:p>
        </w:tc>
      </w:tr>
      <w:tr w:rsidR="00500720" w:rsidRPr="00500720" w:rsidTr="00D55ED4">
        <w:tc>
          <w:tcPr>
            <w:tcW w:w="0" w:type="auto"/>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производство, обработка, транспортировка и сборка</w:t>
            </w:r>
          </w:p>
        </w:tc>
        <w:tc>
          <w:tcPr>
            <w:tcW w:w="1080"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830</w:t>
            </w:r>
          </w:p>
        </w:tc>
        <w:tc>
          <w:tcPr>
            <w:tcW w:w="1081"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866</w:t>
            </w:r>
          </w:p>
        </w:tc>
        <w:tc>
          <w:tcPr>
            <w:tcW w:w="1081"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63</w:t>
            </w:r>
          </w:p>
        </w:tc>
        <w:tc>
          <w:tcPr>
            <w:tcW w:w="1081"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106</w:t>
            </w:r>
          </w:p>
        </w:tc>
      </w:tr>
      <w:tr w:rsidR="00500720" w:rsidRPr="00500720" w:rsidTr="00D55ED4">
        <w:tc>
          <w:tcPr>
            <w:tcW w:w="0" w:type="auto"/>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технологии автоматизированной идентификации, наблюдения и / или контроля</w:t>
            </w:r>
          </w:p>
        </w:tc>
        <w:tc>
          <w:tcPr>
            <w:tcW w:w="1080"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275</w:t>
            </w:r>
          </w:p>
        </w:tc>
        <w:tc>
          <w:tcPr>
            <w:tcW w:w="1081"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140</w:t>
            </w:r>
          </w:p>
        </w:tc>
        <w:tc>
          <w:tcPr>
            <w:tcW w:w="1081"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7</w:t>
            </w:r>
          </w:p>
        </w:tc>
        <w:tc>
          <w:tcPr>
            <w:tcW w:w="1081"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15</w:t>
            </w:r>
          </w:p>
        </w:tc>
      </w:tr>
      <w:tr w:rsidR="00500720" w:rsidRPr="00500720" w:rsidTr="00D55ED4">
        <w:tc>
          <w:tcPr>
            <w:tcW w:w="0" w:type="auto"/>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связь, управление и геоматика</w:t>
            </w:r>
          </w:p>
        </w:tc>
        <w:tc>
          <w:tcPr>
            <w:tcW w:w="1080"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842</w:t>
            </w:r>
          </w:p>
        </w:tc>
        <w:tc>
          <w:tcPr>
            <w:tcW w:w="1081"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695</w:t>
            </w:r>
          </w:p>
        </w:tc>
        <w:tc>
          <w:tcPr>
            <w:tcW w:w="1081"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72</w:t>
            </w:r>
          </w:p>
        </w:tc>
        <w:tc>
          <w:tcPr>
            <w:tcW w:w="1081"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66</w:t>
            </w:r>
          </w:p>
        </w:tc>
      </w:tr>
      <w:tr w:rsidR="00500720" w:rsidRPr="00500720" w:rsidTr="00D55ED4">
        <w:tc>
          <w:tcPr>
            <w:tcW w:w="0" w:type="auto"/>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производственная информационная система и автоматизация управления производством</w:t>
            </w:r>
          </w:p>
        </w:tc>
        <w:tc>
          <w:tcPr>
            <w:tcW w:w="1080"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237</w:t>
            </w:r>
          </w:p>
        </w:tc>
        <w:tc>
          <w:tcPr>
            <w:tcW w:w="1081"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406</w:t>
            </w:r>
          </w:p>
        </w:tc>
        <w:tc>
          <w:tcPr>
            <w:tcW w:w="1081"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13</w:t>
            </w:r>
          </w:p>
        </w:tc>
        <w:tc>
          <w:tcPr>
            <w:tcW w:w="1081"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25</w:t>
            </w:r>
          </w:p>
        </w:tc>
      </w:tr>
      <w:tr w:rsidR="00500720" w:rsidRPr="00500720" w:rsidTr="00D55ED4">
        <w:tc>
          <w:tcPr>
            <w:tcW w:w="0" w:type="auto"/>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технологии промышленных вычислений и больших данных</w:t>
            </w:r>
          </w:p>
        </w:tc>
        <w:tc>
          <w:tcPr>
            <w:tcW w:w="1080"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76</w:t>
            </w:r>
          </w:p>
        </w:tc>
        <w:tc>
          <w:tcPr>
            <w:tcW w:w="1081"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113</w:t>
            </w:r>
          </w:p>
        </w:tc>
        <w:tc>
          <w:tcPr>
            <w:tcW w:w="1081"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18</w:t>
            </w:r>
          </w:p>
        </w:tc>
        <w:tc>
          <w:tcPr>
            <w:tcW w:w="1081"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21</w:t>
            </w:r>
          </w:p>
        </w:tc>
      </w:tr>
      <w:tr w:rsidR="00500720" w:rsidRPr="00500720" w:rsidTr="00D55ED4">
        <w:tc>
          <w:tcPr>
            <w:tcW w:w="0" w:type="auto"/>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"зеленые" технологии</w:t>
            </w:r>
          </w:p>
        </w:tc>
        <w:tc>
          <w:tcPr>
            <w:tcW w:w="1080"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77</w:t>
            </w:r>
          </w:p>
        </w:tc>
        <w:tc>
          <w:tcPr>
            <w:tcW w:w="1081"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82</w:t>
            </w:r>
          </w:p>
        </w:tc>
        <w:tc>
          <w:tcPr>
            <w:tcW w:w="1081"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w:t>
            </w:r>
          </w:p>
        </w:tc>
        <w:tc>
          <w:tcPr>
            <w:tcW w:w="1081"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6</w:t>
            </w:r>
          </w:p>
        </w:tc>
      </w:tr>
      <w:tr w:rsidR="00500720" w:rsidRPr="00500720" w:rsidTr="00D55ED4">
        <w:tc>
          <w:tcPr>
            <w:tcW w:w="0" w:type="auto"/>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технологии для обеспечения энергоэффективности</w:t>
            </w:r>
          </w:p>
        </w:tc>
        <w:tc>
          <w:tcPr>
            <w:tcW w:w="1080"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8</w:t>
            </w:r>
          </w:p>
        </w:tc>
        <w:tc>
          <w:tcPr>
            <w:tcW w:w="1081"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82</w:t>
            </w:r>
          </w:p>
        </w:tc>
        <w:tc>
          <w:tcPr>
            <w:tcW w:w="1081"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w:t>
            </w:r>
          </w:p>
        </w:tc>
        <w:tc>
          <w:tcPr>
            <w:tcW w:w="1081"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w:t>
            </w:r>
          </w:p>
        </w:tc>
      </w:tr>
      <w:tr w:rsidR="00500720" w:rsidRPr="00500720" w:rsidTr="00D55ED4">
        <w:tc>
          <w:tcPr>
            <w:tcW w:w="0" w:type="auto"/>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передовые методы организации и управления производством</w:t>
            </w:r>
          </w:p>
        </w:tc>
        <w:tc>
          <w:tcPr>
            <w:tcW w:w="1080"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173</w:t>
            </w:r>
          </w:p>
        </w:tc>
        <w:tc>
          <w:tcPr>
            <w:tcW w:w="1081"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260</w:t>
            </w:r>
          </w:p>
        </w:tc>
        <w:tc>
          <w:tcPr>
            <w:tcW w:w="1081"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4</w:t>
            </w:r>
          </w:p>
        </w:tc>
        <w:tc>
          <w:tcPr>
            <w:tcW w:w="1081"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8</w:t>
            </w:r>
          </w:p>
        </w:tc>
      </w:tr>
    </w:tbl>
    <w:p w:rsidR="00500720" w:rsidRPr="00500720" w:rsidRDefault="00500720" w:rsidP="00500720">
      <w:pPr>
        <w:rPr>
          <w:rFonts w:ascii="Times New Roman" w:eastAsia="Calibri" w:hAnsi="Times New Roman" w:cs="Times New Roman"/>
          <w:color w:val="000000"/>
        </w:rPr>
      </w:pPr>
      <w:r w:rsidRPr="00500720">
        <w:rPr>
          <w:rFonts w:ascii="Times New Roman" w:eastAsia="Calibri" w:hAnsi="Times New Roman" w:cs="Times New Roman"/>
          <w:color w:val="000000"/>
        </w:rPr>
        <w:t>*Данные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 29.11.2007 №282-ФЗ.</w:t>
      </w:r>
    </w:p>
    <w:p w:rsidR="00500720" w:rsidRPr="00390009" w:rsidRDefault="00500720" w:rsidP="00500720">
      <w:pPr>
        <w:spacing w:after="0" w:line="360" w:lineRule="auto"/>
        <w:ind w:firstLine="709"/>
        <w:jc w:val="both"/>
        <w:rPr>
          <w:rFonts w:ascii="Times New Roman" w:eastAsia="Times New Roman" w:hAnsi="Times New Roman" w:cs="Times New Roman"/>
          <w:color w:val="000000"/>
          <w:sz w:val="24"/>
          <w:szCs w:val="24"/>
          <w:lang w:eastAsia="ru-RU"/>
        </w:rPr>
      </w:pPr>
      <w:r w:rsidRPr="00390009">
        <w:rPr>
          <w:rFonts w:ascii="Times New Roman" w:eastAsia="Times New Roman" w:hAnsi="Times New Roman" w:cs="Times New Roman"/>
          <w:color w:val="000000"/>
          <w:sz w:val="24"/>
          <w:szCs w:val="24"/>
          <w:lang w:eastAsia="ru-RU"/>
        </w:rPr>
        <w:t xml:space="preserve">Структура используемых передовых производственных технологий по группам технологий представлена в </w:t>
      </w:r>
      <w:r w:rsidR="00390009">
        <w:rPr>
          <w:rFonts w:ascii="Times New Roman" w:eastAsia="Times New Roman" w:hAnsi="Times New Roman" w:cs="Times New Roman"/>
          <w:color w:val="000000"/>
          <w:sz w:val="24"/>
          <w:szCs w:val="24"/>
          <w:lang w:eastAsia="ru-RU"/>
        </w:rPr>
        <w:t>т</w:t>
      </w:r>
      <w:r w:rsidRPr="00390009">
        <w:rPr>
          <w:rFonts w:ascii="Times New Roman" w:eastAsia="Times New Roman" w:hAnsi="Times New Roman" w:cs="Times New Roman"/>
          <w:color w:val="000000"/>
          <w:sz w:val="24"/>
          <w:szCs w:val="24"/>
          <w:lang w:eastAsia="ru-RU"/>
        </w:rPr>
        <w:t xml:space="preserve">аблице </w:t>
      </w:r>
      <w:r w:rsidR="00390009">
        <w:rPr>
          <w:rFonts w:ascii="Times New Roman" w:eastAsia="Times New Roman" w:hAnsi="Times New Roman" w:cs="Times New Roman"/>
          <w:color w:val="000000"/>
          <w:sz w:val="24"/>
          <w:szCs w:val="24"/>
          <w:lang w:eastAsia="ru-RU"/>
        </w:rPr>
        <w:t>71</w:t>
      </w:r>
      <w:r w:rsidRPr="00390009">
        <w:rPr>
          <w:rFonts w:ascii="Times New Roman" w:eastAsia="Times New Roman" w:hAnsi="Times New Roman" w:cs="Times New Roman"/>
          <w:color w:val="000000"/>
          <w:sz w:val="24"/>
          <w:szCs w:val="24"/>
          <w:lang w:eastAsia="ru-RU"/>
        </w:rPr>
        <w:t>. Согласно представленным данным, наибольшая доля технологий приходится на сферу производства, обработки, транспортировки и сборки (30,6% в 2020 и 2021 гг.); значительный сегмент также на сферу производственных информационных систем и автоматизации управления производством (2020 г. – 31,0%, 2021 г. – 24,6%).</w:t>
      </w:r>
    </w:p>
    <w:p w:rsidR="00500720" w:rsidRPr="00500720" w:rsidRDefault="00390009" w:rsidP="00390009">
      <w:pPr>
        <w:keepNext/>
        <w:keepLines/>
        <w:spacing w:before="120" w:after="12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Таблица 71</w:t>
      </w:r>
      <w:r w:rsidR="00500720" w:rsidRPr="00500720">
        <w:rPr>
          <w:rFonts w:ascii="Times New Roman" w:eastAsia="Calibri" w:hAnsi="Times New Roman" w:cs="Times New Roman"/>
          <w:color w:val="000000"/>
          <w:sz w:val="24"/>
          <w:szCs w:val="24"/>
        </w:rPr>
        <w:t xml:space="preserve">. </w:t>
      </w:r>
      <w:r w:rsidR="00500720" w:rsidRPr="00500720">
        <w:rPr>
          <w:rFonts w:ascii="Times New Roman" w:eastAsia="Calibri" w:hAnsi="Times New Roman" w:cs="Times New Roman"/>
          <w:bCs/>
          <w:color w:val="000000"/>
          <w:sz w:val="24"/>
          <w:szCs w:val="24"/>
        </w:rPr>
        <w:t>Структура используемых передовых производственных технологий по группам технологий</w:t>
      </w:r>
    </w:p>
    <w:tbl>
      <w:tblPr>
        <w:tblStyle w:val="300"/>
        <w:tblW w:w="0" w:type="auto"/>
        <w:tblLook w:val="04A0" w:firstRow="1" w:lastRow="0" w:firstColumn="1" w:lastColumn="0" w:noHBand="0" w:noVBand="1"/>
      </w:tblPr>
      <w:tblGrid>
        <w:gridCol w:w="8188"/>
        <w:gridCol w:w="1045"/>
        <w:gridCol w:w="1046"/>
      </w:tblGrid>
      <w:tr w:rsidR="00500720" w:rsidRPr="00500720" w:rsidTr="00CB69B7">
        <w:tc>
          <w:tcPr>
            <w:tcW w:w="8188" w:type="dxa"/>
            <w:vAlign w:val="center"/>
          </w:tcPr>
          <w:p w:rsidR="00500720" w:rsidRPr="00D55ED4" w:rsidRDefault="00500720" w:rsidP="00500720">
            <w:pPr>
              <w:spacing w:before="120" w:after="120" w:line="269" w:lineRule="auto"/>
              <w:rPr>
                <w:rFonts w:ascii="Times New Roman" w:eastAsia="Calibri" w:hAnsi="Times New Roman" w:cs="Times New Roman"/>
                <w:b/>
                <w:color w:val="000000"/>
              </w:rPr>
            </w:pPr>
          </w:p>
        </w:tc>
        <w:tc>
          <w:tcPr>
            <w:tcW w:w="1045" w:type="dxa"/>
            <w:vAlign w:val="center"/>
          </w:tcPr>
          <w:p w:rsidR="00500720" w:rsidRPr="00D55ED4" w:rsidRDefault="00500720" w:rsidP="00500720">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2020 г.</w:t>
            </w:r>
          </w:p>
        </w:tc>
        <w:tc>
          <w:tcPr>
            <w:tcW w:w="1046" w:type="dxa"/>
            <w:vAlign w:val="center"/>
          </w:tcPr>
          <w:p w:rsidR="00500720" w:rsidRPr="00D55ED4" w:rsidRDefault="00500720" w:rsidP="00500720">
            <w:pPr>
              <w:spacing w:before="120" w:after="120" w:line="269" w:lineRule="auto"/>
              <w:jc w:val="center"/>
              <w:rPr>
                <w:rFonts w:ascii="Times New Roman" w:eastAsia="Calibri" w:hAnsi="Times New Roman" w:cs="Times New Roman"/>
                <w:b/>
                <w:color w:val="000000"/>
              </w:rPr>
            </w:pPr>
            <w:r w:rsidRPr="00D55ED4">
              <w:rPr>
                <w:rFonts w:ascii="Times New Roman" w:eastAsia="Calibri" w:hAnsi="Times New Roman" w:cs="Times New Roman"/>
                <w:b/>
                <w:color w:val="000000"/>
              </w:rPr>
              <w:t>2021 г.</w:t>
            </w:r>
          </w:p>
        </w:tc>
      </w:tr>
      <w:tr w:rsidR="00500720" w:rsidRPr="00500720" w:rsidTr="00CB69B7">
        <w:tc>
          <w:tcPr>
            <w:tcW w:w="8188" w:type="dxa"/>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проектирование и инжиниринг</w:t>
            </w:r>
          </w:p>
        </w:tc>
        <w:tc>
          <w:tcPr>
            <w:tcW w:w="1045"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7,2%</w:t>
            </w:r>
          </w:p>
        </w:tc>
        <w:tc>
          <w:tcPr>
            <w:tcW w:w="1046"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9,5%</w:t>
            </w:r>
          </w:p>
        </w:tc>
      </w:tr>
      <w:tr w:rsidR="00500720" w:rsidRPr="00500720" w:rsidTr="00CB69B7">
        <w:tc>
          <w:tcPr>
            <w:tcW w:w="8188" w:type="dxa"/>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производство, обработка, транспортировка и сборка</w:t>
            </w:r>
          </w:p>
        </w:tc>
        <w:tc>
          <w:tcPr>
            <w:tcW w:w="1045"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30,6%</w:t>
            </w:r>
          </w:p>
        </w:tc>
        <w:tc>
          <w:tcPr>
            <w:tcW w:w="1046"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30,6%</w:t>
            </w:r>
          </w:p>
        </w:tc>
      </w:tr>
      <w:tr w:rsidR="00500720" w:rsidRPr="00500720" w:rsidTr="00CB69B7">
        <w:tc>
          <w:tcPr>
            <w:tcW w:w="8188" w:type="dxa"/>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технологии автоматизированной идентификации, наблюдения и / или контроля</w:t>
            </w:r>
          </w:p>
        </w:tc>
        <w:tc>
          <w:tcPr>
            <w:tcW w:w="1045"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8,7%</w:t>
            </w:r>
          </w:p>
        </w:tc>
        <w:tc>
          <w:tcPr>
            <w:tcW w:w="1046"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14,3%</w:t>
            </w:r>
          </w:p>
        </w:tc>
      </w:tr>
      <w:tr w:rsidR="00500720" w:rsidRPr="00500720" w:rsidTr="00CB69B7">
        <w:tc>
          <w:tcPr>
            <w:tcW w:w="8188" w:type="dxa"/>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связь, управление и геоматика</w:t>
            </w:r>
          </w:p>
        </w:tc>
        <w:tc>
          <w:tcPr>
            <w:tcW w:w="1045"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10,1%</w:t>
            </w:r>
          </w:p>
        </w:tc>
        <w:tc>
          <w:tcPr>
            <w:tcW w:w="1046"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4,9%</w:t>
            </w:r>
          </w:p>
        </w:tc>
      </w:tr>
      <w:tr w:rsidR="00500720" w:rsidRPr="00500720" w:rsidTr="00CB69B7">
        <w:tc>
          <w:tcPr>
            <w:tcW w:w="8188" w:type="dxa"/>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производственная информационная система и автоматизация управления производством</w:t>
            </w:r>
          </w:p>
        </w:tc>
        <w:tc>
          <w:tcPr>
            <w:tcW w:w="1045"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31,0%</w:t>
            </w:r>
          </w:p>
        </w:tc>
        <w:tc>
          <w:tcPr>
            <w:tcW w:w="1046"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24,6%</w:t>
            </w:r>
          </w:p>
        </w:tc>
      </w:tr>
      <w:tr w:rsidR="00500720" w:rsidRPr="00500720" w:rsidTr="00CB69B7">
        <w:tc>
          <w:tcPr>
            <w:tcW w:w="8188" w:type="dxa"/>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передовые методы организации и управления производством</w:t>
            </w:r>
          </w:p>
        </w:tc>
        <w:tc>
          <w:tcPr>
            <w:tcW w:w="1045"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6,4%</w:t>
            </w:r>
          </w:p>
        </w:tc>
        <w:tc>
          <w:tcPr>
            <w:tcW w:w="1046"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9,2%</w:t>
            </w:r>
          </w:p>
        </w:tc>
      </w:tr>
      <w:tr w:rsidR="00500720" w:rsidRPr="00500720" w:rsidTr="00CB69B7">
        <w:tc>
          <w:tcPr>
            <w:tcW w:w="8188" w:type="dxa"/>
            <w:vAlign w:val="center"/>
          </w:tcPr>
          <w:p w:rsidR="00500720" w:rsidRPr="00500720" w:rsidRDefault="00500720" w:rsidP="00500720">
            <w:pPr>
              <w:spacing w:before="120" w:after="120" w:line="269" w:lineRule="auto"/>
              <w:rPr>
                <w:rFonts w:ascii="Times New Roman" w:eastAsia="Calibri" w:hAnsi="Times New Roman" w:cs="Times New Roman"/>
                <w:color w:val="000000"/>
              </w:rPr>
            </w:pPr>
            <w:r w:rsidRPr="00500720">
              <w:rPr>
                <w:rFonts w:ascii="Times New Roman" w:eastAsia="Calibri" w:hAnsi="Times New Roman" w:cs="Times New Roman"/>
                <w:color w:val="000000"/>
              </w:rPr>
              <w:t>прочие</w:t>
            </w:r>
          </w:p>
        </w:tc>
        <w:tc>
          <w:tcPr>
            <w:tcW w:w="1045"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5,9%</w:t>
            </w:r>
          </w:p>
        </w:tc>
        <w:tc>
          <w:tcPr>
            <w:tcW w:w="1046" w:type="dxa"/>
            <w:vAlign w:val="center"/>
          </w:tcPr>
          <w:p w:rsidR="00500720" w:rsidRPr="00500720" w:rsidRDefault="00500720" w:rsidP="00500720">
            <w:pPr>
              <w:spacing w:before="120" w:after="120" w:line="269" w:lineRule="auto"/>
              <w:jc w:val="center"/>
              <w:rPr>
                <w:rFonts w:ascii="Times New Roman" w:eastAsia="Calibri" w:hAnsi="Times New Roman" w:cs="Times New Roman"/>
                <w:color w:val="000000"/>
              </w:rPr>
            </w:pPr>
            <w:r w:rsidRPr="00500720">
              <w:rPr>
                <w:rFonts w:ascii="Times New Roman" w:eastAsia="Calibri" w:hAnsi="Times New Roman" w:cs="Times New Roman"/>
                <w:color w:val="000000"/>
              </w:rPr>
              <w:t>6,9%</w:t>
            </w:r>
          </w:p>
        </w:tc>
      </w:tr>
    </w:tbl>
    <w:p w:rsidR="00C0504B" w:rsidRPr="00221A36" w:rsidRDefault="00C0504B" w:rsidP="0037620C">
      <w:pPr>
        <w:spacing w:after="0" w:line="360" w:lineRule="auto"/>
        <w:jc w:val="both"/>
        <w:rPr>
          <w:rFonts w:ascii="Times New Roman" w:eastAsia="Times New Roman" w:hAnsi="Times New Roman" w:cs="Times New Roman"/>
          <w:color w:val="000000"/>
          <w:sz w:val="24"/>
          <w:szCs w:val="24"/>
          <w:lang w:eastAsia="ru-RU"/>
        </w:rPr>
      </w:pPr>
    </w:p>
    <w:p w:rsidR="00C0504B" w:rsidRPr="00221A36" w:rsidRDefault="00C0504B" w:rsidP="00C0504B">
      <w:pPr>
        <w:pStyle w:val="a4"/>
        <w:keepNext/>
        <w:keepLines/>
        <w:numPr>
          <w:ilvl w:val="2"/>
          <w:numId w:val="33"/>
        </w:numPr>
        <w:spacing w:before="120" w:after="120" w:line="240" w:lineRule="auto"/>
        <w:jc w:val="center"/>
        <w:outlineLvl w:val="2"/>
        <w:rPr>
          <w:rFonts w:ascii="Times New Roman" w:eastAsia="Times New Roman" w:hAnsi="Times New Roman" w:cs="Times New Roman"/>
          <w:b/>
          <w:bCs/>
          <w:color w:val="000000"/>
          <w:sz w:val="24"/>
          <w:szCs w:val="24"/>
          <w:lang w:eastAsia="ru-RU"/>
        </w:rPr>
      </w:pPr>
      <w:bookmarkStart w:id="98" w:name="_Toc122720277"/>
      <w:r w:rsidRPr="00221A36">
        <w:rPr>
          <w:rFonts w:ascii="Times New Roman" w:eastAsia="Times New Roman" w:hAnsi="Times New Roman" w:cs="Times New Roman"/>
          <w:b/>
          <w:bCs/>
          <w:color w:val="000000"/>
          <w:sz w:val="24"/>
          <w:szCs w:val="24"/>
          <w:lang w:eastAsia="ru-RU"/>
        </w:rPr>
        <w:t>О причинах разработки передовых производственных технологий в указанных сферах и выделении положительных эффектов от их внедрения</w:t>
      </w:r>
      <w:bookmarkEnd w:id="98"/>
    </w:p>
    <w:p w:rsidR="00C0504B" w:rsidRPr="00221A36" w:rsidRDefault="00C0504B" w:rsidP="00C0504B">
      <w:pPr>
        <w:spacing w:after="0" w:line="360" w:lineRule="auto"/>
        <w:ind w:firstLine="709"/>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Распоряжение</w:t>
      </w:r>
      <w:r>
        <w:rPr>
          <w:rFonts w:ascii="Times New Roman" w:eastAsia="Times New Roman" w:hAnsi="Times New Roman" w:cs="Times New Roman"/>
          <w:color w:val="000000"/>
          <w:sz w:val="24"/>
          <w:szCs w:val="24"/>
          <w:lang w:eastAsia="ru-RU"/>
        </w:rPr>
        <w:t>м</w:t>
      </w:r>
      <w:r w:rsidRPr="00221A36">
        <w:rPr>
          <w:rFonts w:ascii="Times New Roman" w:eastAsia="Times New Roman" w:hAnsi="Times New Roman" w:cs="Times New Roman"/>
          <w:color w:val="000000"/>
          <w:sz w:val="24"/>
          <w:szCs w:val="24"/>
          <w:lang w:eastAsia="ru-RU"/>
        </w:rPr>
        <w:t xml:space="preserve"> Правительства Ленинградской области от 23.09.2022 №692-р в регионе была принята Стратегия в области цифровой трансформации отраслей экономики, социальной сферы и государственного управления на период 2022 – 2024 гг., которая включает следующие направления:</w:t>
      </w:r>
    </w:p>
    <w:p w:rsidR="00C0504B" w:rsidRPr="00221A36" w:rsidRDefault="00C0504B" w:rsidP="00C0504B">
      <w:pPr>
        <w:numPr>
          <w:ilvl w:val="0"/>
          <w:numId w:val="20"/>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Повышение уровня жизни граждан субъекта Российской Федерации.</w:t>
      </w:r>
    </w:p>
    <w:p w:rsidR="00C0504B" w:rsidRPr="00221A36" w:rsidRDefault="00C0504B" w:rsidP="00C0504B">
      <w:pPr>
        <w:numPr>
          <w:ilvl w:val="0"/>
          <w:numId w:val="20"/>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Занятие субъектом Российской Федерации лидерских позиций в Российской Федерации.</w:t>
      </w:r>
    </w:p>
    <w:p w:rsidR="00C0504B" w:rsidRPr="00221A36" w:rsidRDefault="00C0504B" w:rsidP="00C0504B">
      <w:pPr>
        <w:numPr>
          <w:ilvl w:val="0"/>
          <w:numId w:val="20"/>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Улучшение экологической ситуации, повышение качества среды обитания и комфортности городских агломераций в субъекте Российской Федерации.</w:t>
      </w:r>
    </w:p>
    <w:p w:rsidR="00C0504B" w:rsidRPr="00221A36" w:rsidRDefault="00C0504B" w:rsidP="00C0504B">
      <w:pPr>
        <w:numPr>
          <w:ilvl w:val="0"/>
          <w:numId w:val="20"/>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Улучшение здоровья населения и повышение уровня его образования в субъекте Российской Федерации</w:t>
      </w:r>
    </w:p>
    <w:p w:rsidR="00C0504B" w:rsidRPr="00221A36" w:rsidRDefault="00C0504B" w:rsidP="00C0504B">
      <w:pPr>
        <w:spacing w:after="0" w:line="360" w:lineRule="auto"/>
        <w:ind w:left="709"/>
        <w:contextualSpacing/>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 xml:space="preserve">Планируемые результаты </w:t>
      </w:r>
      <w:r>
        <w:rPr>
          <w:rFonts w:ascii="Times New Roman" w:eastAsia="Times New Roman" w:hAnsi="Times New Roman" w:cs="Times New Roman"/>
          <w:color w:val="000000"/>
          <w:sz w:val="24"/>
          <w:szCs w:val="24"/>
          <w:lang w:eastAsia="ru-RU"/>
        </w:rPr>
        <w:t>С</w:t>
      </w:r>
      <w:r w:rsidRPr="00221A36">
        <w:rPr>
          <w:rFonts w:ascii="Times New Roman" w:eastAsia="Times New Roman" w:hAnsi="Times New Roman" w:cs="Times New Roman"/>
          <w:color w:val="000000"/>
          <w:sz w:val="24"/>
          <w:szCs w:val="24"/>
          <w:lang w:eastAsia="ru-RU"/>
        </w:rPr>
        <w:t>тратегии до 2024 г.</w:t>
      </w:r>
      <w:r>
        <w:rPr>
          <w:rFonts w:ascii="Times New Roman" w:eastAsia="Times New Roman" w:hAnsi="Times New Roman" w:cs="Times New Roman"/>
          <w:color w:val="000000"/>
          <w:sz w:val="24"/>
          <w:szCs w:val="24"/>
          <w:lang w:eastAsia="ru-RU"/>
        </w:rPr>
        <w:t xml:space="preserve"> включают в себя</w:t>
      </w:r>
      <w:r w:rsidRPr="00221A36">
        <w:rPr>
          <w:rFonts w:ascii="Times New Roman" w:eastAsia="Times New Roman" w:hAnsi="Times New Roman" w:cs="Times New Roman"/>
          <w:color w:val="000000"/>
          <w:sz w:val="24"/>
          <w:szCs w:val="24"/>
          <w:lang w:eastAsia="ru-RU"/>
        </w:rPr>
        <w:t>:</w:t>
      </w:r>
    </w:p>
    <w:p w:rsidR="00C0504B" w:rsidRPr="00221A36" w:rsidRDefault="00C0504B" w:rsidP="00C0504B">
      <w:pPr>
        <w:numPr>
          <w:ilvl w:val="0"/>
          <w:numId w:val="21"/>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Увеличение</w:t>
      </w:r>
      <w:r w:rsidRPr="00221A36">
        <w:rPr>
          <w:rFonts w:ascii="Times New Roman" w:eastAsia="Times New Roman" w:hAnsi="Times New Roman" w:cs="Times New Roman"/>
          <w:color w:val="000000"/>
          <w:sz w:val="24"/>
          <w:szCs w:val="24"/>
          <w:lang w:eastAsia="ru-RU"/>
        </w:rPr>
        <w:t xml:space="preserve"> дол</w:t>
      </w:r>
      <w:r>
        <w:rPr>
          <w:rFonts w:ascii="Times New Roman" w:eastAsia="Times New Roman" w:hAnsi="Times New Roman" w:cs="Times New Roman"/>
          <w:color w:val="000000"/>
          <w:sz w:val="24"/>
          <w:szCs w:val="24"/>
          <w:lang w:eastAsia="ru-RU"/>
        </w:rPr>
        <w:t>и</w:t>
      </w:r>
      <w:r w:rsidRPr="00221A36">
        <w:rPr>
          <w:rFonts w:ascii="Times New Roman" w:eastAsia="Times New Roman" w:hAnsi="Times New Roman" w:cs="Times New Roman"/>
          <w:color w:val="000000"/>
          <w:sz w:val="24"/>
          <w:szCs w:val="24"/>
          <w:lang w:eastAsia="ru-RU"/>
        </w:rPr>
        <w:t xml:space="preserve"> принятия управленческих решений с использованием технологии "больших данных".</w:t>
      </w:r>
    </w:p>
    <w:p w:rsidR="00C0504B" w:rsidRPr="00221A36" w:rsidRDefault="00C0504B" w:rsidP="00C0504B">
      <w:pPr>
        <w:numPr>
          <w:ilvl w:val="0"/>
          <w:numId w:val="21"/>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 xml:space="preserve">Не менее 40% управленческих процессов </w:t>
      </w:r>
      <w:r>
        <w:rPr>
          <w:rFonts w:ascii="Times New Roman" w:eastAsia="Times New Roman" w:hAnsi="Times New Roman" w:cs="Times New Roman"/>
          <w:color w:val="000000"/>
          <w:sz w:val="24"/>
          <w:szCs w:val="24"/>
          <w:lang w:eastAsia="ru-RU"/>
        </w:rPr>
        <w:t>должны быть оптимизированы</w:t>
      </w:r>
      <w:r w:rsidRPr="00221A36">
        <w:rPr>
          <w:rFonts w:ascii="Times New Roman" w:eastAsia="Times New Roman" w:hAnsi="Times New Roman" w:cs="Times New Roman"/>
          <w:color w:val="000000"/>
          <w:sz w:val="24"/>
          <w:szCs w:val="24"/>
          <w:lang w:eastAsia="ru-RU"/>
        </w:rPr>
        <w:t xml:space="preserve"> в рамках оказания государственных и муниципальных услуг.</w:t>
      </w:r>
    </w:p>
    <w:p w:rsidR="00C0504B" w:rsidRPr="00221A36" w:rsidRDefault="00C0504B" w:rsidP="00C0504B">
      <w:pPr>
        <w:numPr>
          <w:ilvl w:val="0"/>
          <w:numId w:val="21"/>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 xml:space="preserve">Не менее 5 видов цифровых профилей </w:t>
      </w:r>
      <w:r>
        <w:rPr>
          <w:rFonts w:ascii="Times New Roman" w:eastAsia="Times New Roman" w:hAnsi="Times New Roman" w:cs="Times New Roman"/>
          <w:color w:val="000000"/>
          <w:sz w:val="24"/>
          <w:szCs w:val="24"/>
          <w:lang w:eastAsia="ru-RU"/>
        </w:rPr>
        <w:t xml:space="preserve">должны быть </w:t>
      </w:r>
      <w:r w:rsidRPr="00221A36">
        <w:rPr>
          <w:rFonts w:ascii="Times New Roman" w:eastAsia="Times New Roman" w:hAnsi="Times New Roman" w:cs="Times New Roman"/>
          <w:color w:val="000000"/>
          <w:sz w:val="24"/>
          <w:szCs w:val="24"/>
          <w:lang w:eastAsia="ru-RU"/>
        </w:rPr>
        <w:t>внедрены на территории Ленинградской области.</w:t>
      </w:r>
    </w:p>
    <w:p w:rsidR="00C0504B" w:rsidRPr="00221A36" w:rsidRDefault="00C0504B" w:rsidP="00C0504B">
      <w:pPr>
        <w:numPr>
          <w:ilvl w:val="0"/>
          <w:numId w:val="21"/>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Обеспеч</w:t>
      </w:r>
      <w:r>
        <w:rPr>
          <w:rFonts w:ascii="Times New Roman" w:eastAsia="Times New Roman" w:hAnsi="Times New Roman" w:cs="Times New Roman"/>
          <w:color w:val="000000"/>
          <w:sz w:val="24"/>
          <w:szCs w:val="24"/>
          <w:lang w:eastAsia="ru-RU"/>
        </w:rPr>
        <w:t>ение организационно-технического</w:t>
      </w:r>
      <w:r w:rsidRPr="00221A36">
        <w:rPr>
          <w:rFonts w:ascii="Times New Roman" w:eastAsia="Times New Roman" w:hAnsi="Times New Roman" w:cs="Times New Roman"/>
          <w:color w:val="000000"/>
          <w:sz w:val="24"/>
          <w:szCs w:val="24"/>
          <w:lang w:eastAsia="ru-RU"/>
        </w:rPr>
        <w:t xml:space="preserve"> взаи</w:t>
      </w:r>
      <w:r>
        <w:rPr>
          <w:rFonts w:ascii="Times New Roman" w:eastAsia="Times New Roman" w:hAnsi="Times New Roman" w:cs="Times New Roman"/>
          <w:color w:val="000000"/>
          <w:sz w:val="24"/>
          <w:szCs w:val="24"/>
          <w:lang w:eastAsia="ru-RU"/>
        </w:rPr>
        <w:t>модействия</w:t>
      </w:r>
      <w:r w:rsidRPr="00221A36">
        <w:rPr>
          <w:rFonts w:ascii="Times New Roman" w:eastAsia="Times New Roman" w:hAnsi="Times New Roman" w:cs="Times New Roman"/>
          <w:color w:val="000000"/>
          <w:sz w:val="24"/>
          <w:szCs w:val="24"/>
          <w:lang w:eastAsia="ru-RU"/>
        </w:rPr>
        <w:t xml:space="preserve"> региональных сегментов с федеральными информационными системами.</w:t>
      </w:r>
    </w:p>
    <w:p w:rsidR="00C0504B" w:rsidRPr="00221A36" w:rsidRDefault="00C0504B" w:rsidP="00C0504B">
      <w:pPr>
        <w:numPr>
          <w:ilvl w:val="0"/>
          <w:numId w:val="21"/>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Реализация</w:t>
      </w:r>
      <w:r w:rsidRPr="00221A36">
        <w:rPr>
          <w:rFonts w:ascii="Times New Roman" w:eastAsia="Times New Roman" w:hAnsi="Times New Roman" w:cs="Times New Roman"/>
          <w:color w:val="000000"/>
          <w:sz w:val="24"/>
          <w:szCs w:val="24"/>
          <w:lang w:eastAsia="ru-RU"/>
        </w:rPr>
        <w:t xml:space="preserve"> механизм</w:t>
      </w:r>
      <w:r>
        <w:rPr>
          <w:rFonts w:ascii="Times New Roman" w:eastAsia="Times New Roman" w:hAnsi="Times New Roman" w:cs="Times New Roman"/>
          <w:color w:val="000000"/>
          <w:sz w:val="24"/>
          <w:szCs w:val="24"/>
          <w:lang w:eastAsia="ru-RU"/>
        </w:rPr>
        <w:t>а</w:t>
      </w:r>
      <w:r w:rsidRPr="00221A36">
        <w:rPr>
          <w:rFonts w:ascii="Times New Roman" w:eastAsia="Times New Roman" w:hAnsi="Times New Roman" w:cs="Times New Roman"/>
          <w:color w:val="000000"/>
          <w:sz w:val="24"/>
          <w:szCs w:val="24"/>
          <w:lang w:eastAsia="ru-RU"/>
        </w:rPr>
        <w:t xml:space="preserve"> электронного голосования на территории Ленинградской области.</w:t>
      </w:r>
    </w:p>
    <w:p w:rsidR="00C0504B" w:rsidRPr="00221A36" w:rsidRDefault="00C0504B" w:rsidP="00C0504B">
      <w:pPr>
        <w:numPr>
          <w:ilvl w:val="0"/>
          <w:numId w:val="21"/>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 xml:space="preserve">95% массовых социально значимых государственных и муниципальных услуг </w:t>
      </w:r>
      <w:r>
        <w:rPr>
          <w:rFonts w:ascii="Times New Roman" w:eastAsia="Times New Roman" w:hAnsi="Times New Roman" w:cs="Times New Roman"/>
          <w:color w:val="000000"/>
          <w:sz w:val="24"/>
          <w:szCs w:val="24"/>
          <w:lang w:eastAsia="ru-RU"/>
        </w:rPr>
        <w:t xml:space="preserve">должны быть </w:t>
      </w:r>
      <w:r w:rsidRPr="00221A36">
        <w:rPr>
          <w:rFonts w:ascii="Times New Roman" w:eastAsia="Times New Roman" w:hAnsi="Times New Roman" w:cs="Times New Roman"/>
          <w:color w:val="000000"/>
          <w:sz w:val="24"/>
          <w:szCs w:val="24"/>
          <w:lang w:eastAsia="ru-RU"/>
        </w:rPr>
        <w:t>доступны для получения с использованием ЕПГУ.</w:t>
      </w:r>
    </w:p>
    <w:p w:rsidR="00C0504B" w:rsidRPr="00221A36" w:rsidRDefault="00C0504B" w:rsidP="00C0504B">
      <w:pPr>
        <w:numPr>
          <w:ilvl w:val="0"/>
          <w:numId w:val="21"/>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100% мер социальной поддержки должны быть </w:t>
      </w:r>
      <w:r w:rsidRPr="00221A36">
        <w:rPr>
          <w:rFonts w:ascii="Times New Roman" w:eastAsia="Times New Roman" w:hAnsi="Times New Roman" w:cs="Times New Roman"/>
          <w:color w:val="000000"/>
          <w:sz w:val="24"/>
          <w:szCs w:val="24"/>
          <w:lang w:eastAsia="ru-RU"/>
        </w:rPr>
        <w:t>оступны для граждан через ЕПГУ и РПГУ.</w:t>
      </w:r>
    </w:p>
    <w:p w:rsidR="00C0504B" w:rsidRPr="00221A36" w:rsidRDefault="00C0504B" w:rsidP="00C0504B">
      <w:pPr>
        <w:numPr>
          <w:ilvl w:val="0"/>
          <w:numId w:val="21"/>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Создание </w:t>
      </w:r>
      <w:r w:rsidRPr="00221A36">
        <w:rPr>
          <w:rFonts w:ascii="Times New Roman" w:eastAsia="Times New Roman" w:hAnsi="Times New Roman" w:cs="Times New Roman"/>
          <w:color w:val="000000"/>
          <w:sz w:val="24"/>
          <w:szCs w:val="24"/>
          <w:lang w:eastAsia="ru-RU"/>
        </w:rPr>
        <w:t xml:space="preserve"> и поддержи</w:t>
      </w:r>
      <w:r>
        <w:rPr>
          <w:rFonts w:ascii="Times New Roman" w:eastAsia="Times New Roman" w:hAnsi="Times New Roman" w:cs="Times New Roman"/>
          <w:color w:val="000000"/>
          <w:sz w:val="24"/>
          <w:szCs w:val="24"/>
          <w:lang w:eastAsia="ru-RU"/>
        </w:rPr>
        <w:t>ка</w:t>
      </w:r>
      <w:r w:rsidRPr="00221A36">
        <w:rPr>
          <w:rFonts w:ascii="Times New Roman" w:eastAsia="Times New Roman" w:hAnsi="Times New Roman" w:cs="Times New Roman"/>
          <w:color w:val="000000"/>
          <w:sz w:val="24"/>
          <w:szCs w:val="24"/>
          <w:lang w:eastAsia="ru-RU"/>
        </w:rPr>
        <w:t xml:space="preserve"> в актуальном состоянии отраслевы</w:t>
      </w:r>
      <w:r>
        <w:rPr>
          <w:rFonts w:ascii="Times New Roman" w:eastAsia="Times New Roman" w:hAnsi="Times New Roman" w:cs="Times New Roman"/>
          <w:color w:val="000000"/>
          <w:sz w:val="24"/>
          <w:szCs w:val="24"/>
          <w:lang w:eastAsia="ru-RU"/>
        </w:rPr>
        <w:t>х</w:t>
      </w:r>
      <w:r w:rsidRPr="00221A36">
        <w:rPr>
          <w:rFonts w:ascii="Times New Roman" w:eastAsia="Times New Roman" w:hAnsi="Times New Roman" w:cs="Times New Roman"/>
          <w:color w:val="000000"/>
          <w:sz w:val="24"/>
          <w:szCs w:val="24"/>
          <w:lang w:eastAsia="ru-RU"/>
        </w:rPr>
        <w:t xml:space="preserve"> цифровы</w:t>
      </w:r>
      <w:r>
        <w:rPr>
          <w:rFonts w:ascii="Times New Roman" w:eastAsia="Times New Roman" w:hAnsi="Times New Roman" w:cs="Times New Roman"/>
          <w:color w:val="000000"/>
          <w:sz w:val="24"/>
          <w:szCs w:val="24"/>
          <w:lang w:eastAsia="ru-RU"/>
        </w:rPr>
        <w:t>х реестров</w:t>
      </w:r>
      <w:r w:rsidRPr="00221A36">
        <w:rPr>
          <w:rFonts w:ascii="Times New Roman" w:eastAsia="Times New Roman" w:hAnsi="Times New Roman" w:cs="Times New Roman"/>
          <w:color w:val="000000"/>
          <w:sz w:val="24"/>
          <w:szCs w:val="24"/>
          <w:lang w:eastAsia="ru-RU"/>
        </w:rPr>
        <w:t>.</w:t>
      </w:r>
    </w:p>
    <w:p w:rsidR="00C0504B" w:rsidRPr="00221A36" w:rsidRDefault="00C0504B" w:rsidP="00C0504B">
      <w:pPr>
        <w:numPr>
          <w:ilvl w:val="0"/>
          <w:numId w:val="21"/>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 xml:space="preserve">90% населенных пунктов численностью до 250 чел. </w:t>
      </w:r>
      <w:r>
        <w:rPr>
          <w:rFonts w:ascii="Times New Roman" w:eastAsia="Times New Roman" w:hAnsi="Times New Roman" w:cs="Times New Roman"/>
          <w:color w:val="000000"/>
          <w:sz w:val="24"/>
          <w:szCs w:val="24"/>
          <w:lang w:eastAsia="ru-RU"/>
        </w:rPr>
        <w:t xml:space="preserve">должны быть </w:t>
      </w:r>
      <w:r w:rsidRPr="00221A36">
        <w:rPr>
          <w:rFonts w:ascii="Times New Roman" w:eastAsia="Times New Roman" w:hAnsi="Times New Roman" w:cs="Times New Roman"/>
          <w:color w:val="000000"/>
          <w:sz w:val="24"/>
          <w:szCs w:val="24"/>
          <w:lang w:eastAsia="ru-RU"/>
        </w:rPr>
        <w:t>обеспечены возможностью скоростного доступа к сети "Интернет".</w:t>
      </w:r>
    </w:p>
    <w:p w:rsidR="00C0504B" w:rsidRPr="00221A36" w:rsidRDefault="00C0504B" w:rsidP="00C0504B">
      <w:pPr>
        <w:numPr>
          <w:ilvl w:val="0"/>
          <w:numId w:val="21"/>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Не более 24 часов - средний срок простоя государственных информационных систем при компьютерных атаках.</w:t>
      </w:r>
    </w:p>
    <w:p w:rsidR="00C0504B" w:rsidRPr="00221A36" w:rsidRDefault="00C0504B" w:rsidP="00C0504B">
      <w:pPr>
        <w:spacing w:after="0" w:line="360" w:lineRule="auto"/>
        <w:ind w:firstLine="709"/>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Долгосрочные социально-экономические эффекты:</w:t>
      </w:r>
    </w:p>
    <w:p w:rsidR="00C0504B" w:rsidRPr="00221A36" w:rsidRDefault="00C0504B" w:rsidP="00C0504B">
      <w:pPr>
        <w:numPr>
          <w:ilvl w:val="0"/>
          <w:numId w:val="22"/>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Повышение уровня удовлетворенности граждан качеством государственного управления.</w:t>
      </w:r>
    </w:p>
    <w:p w:rsidR="00C0504B" w:rsidRPr="00221A36" w:rsidRDefault="00C0504B" w:rsidP="00C0504B">
      <w:pPr>
        <w:numPr>
          <w:ilvl w:val="0"/>
          <w:numId w:val="22"/>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Взаимодействие граждан с государственными органами преимущественно в цифровом пространстве.</w:t>
      </w:r>
    </w:p>
    <w:p w:rsidR="00C0504B" w:rsidRPr="00221A36" w:rsidRDefault="00C0504B" w:rsidP="00C0504B">
      <w:pPr>
        <w:numPr>
          <w:ilvl w:val="0"/>
          <w:numId w:val="22"/>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Повышение уровня доступности граждан к информации и документам в цифровом виде.</w:t>
      </w:r>
    </w:p>
    <w:p w:rsidR="00C0504B" w:rsidRPr="00221A36" w:rsidRDefault="00C0504B" w:rsidP="00C0504B">
      <w:pPr>
        <w:numPr>
          <w:ilvl w:val="0"/>
          <w:numId w:val="22"/>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Вовлечение граждан в общественно-государственную форму управления регионом.</w:t>
      </w:r>
    </w:p>
    <w:p w:rsidR="00C0504B" w:rsidRPr="00221A36" w:rsidRDefault="00C0504B" w:rsidP="00C0504B">
      <w:pPr>
        <w:numPr>
          <w:ilvl w:val="0"/>
          <w:numId w:val="22"/>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Увеличение проникновения цифровых сервисов на территории Ленинградской области.</w:t>
      </w:r>
    </w:p>
    <w:p w:rsidR="00C0504B" w:rsidRPr="00221A36" w:rsidRDefault="00C0504B" w:rsidP="00C0504B">
      <w:pPr>
        <w:spacing w:after="0" w:line="360" w:lineRule="auto"/>
        <w:ind w:firstLine="709"/>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Связь с показателями национальных целей:</w:t>
      </w:r>
    </w:p>
    <w:p w:rsidR="00C0504B" w:rsidRPr="00221A36" w:rsidRDefault="00C0504B" w:rsidP="00C0504B">
      <w:pPr>
        <w:numPr>
          <w:ilvl w:val="0"/>
          <w:numId w:val="23"/>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Увеличение вложений в отечественные решения в сфере информационных технологий в четыре раза по сравнению с показателем 2019 г.</w:t>
      </w:r>
    </w:p>
    <w:p w:rsidR="00C0504B" w:rsidRPr="00221A36" w:rsidRDefault="00C0504B" w:rsidP="00C0504B">
      <w:pPr>
        <w:numPr>
          <w:ilvl w:val="0"/>
          <w:numId w:val="23"/>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Обеспечение устойчивого роста численности населения Российской Федерации.</w:t>
      </w:r>
    </w:p>
    <w:p w:rsidR="00C0504B" w:rsidRPr="00221A36" w:rsidRDefault="00C0504B" w:rsidP="00C0504B">
      <w:pPr>
        <w:numPr>
          <w:ilvl w:val="0"/>
          <w:numId w:val="23"/>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Повышение ожидаемой продолжительности жизни до 78 лет.</w:t>
      </w:r>
    </w:p>
    <w:p w:rsidR="00C0504B" w:rsidRPr="00221A36" w:rsidRDefault="00C0504B" w:rsidP="00C0504B">
      <w:pPr>
        <w:numPr>
          <w:ilvl w:val="0"/>
          <w:numId w:val="23"/>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Снижение уровня бедности в два раза по сравнению с показателем 2017 г.</w:t>
      </w:r>
    </w:p>
    <w:p w:rsidR="00C0504B" w:rsidRPr="00221A36" w:rsidRDefault="00C0504B" w:rsidP="00C0504B">
      <w:pPr>
        <w:numPr>
          <w:ilvl w:val="0"/>
          <w:numId w:val="23"/>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Вхождение РФ в число 10-ти ведущих стран мира по качеству общего образования.</w:t>
      </w:r>
    </w:p>
    <w:p w:rsidR="00C0504B" w:rsidRPr="00221A36" w:rsidRDefault="00C0504B" w:rsidP="00C0504B">
      <w:pPr>
        <w:numPr>
          <w:ilvl w:val="0"/>
          <w:numId w:val="23"/>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Формирование эффективной системы выявления, поддержки и развития способностей и талантов у детей и молодежи.</w:t>
      </w:r>
    </w:p>
    <w:p w:rsidR="00C0504B" w:rsidRPr="00221A36" w:rsidRDefault="00C0504B" w:rsidP="00C0504B">
      <w:pPr>
        <w:numPr>
          <w:ilvl w:val="0"/>
          <w:numId w:val="23"/>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Улучшение качества городской среды в полтора раза.</w:t>
      </w:r>
    </w:p>
    <w:p w:rsidR="00C0504B" w:rsidRPr="00221A36" w:rsidRDefault="00C0504B" w:rsidP="00C0504B">
      <w:pPr>
        <w:numPr>
          <w:ilvl w:val="0"/>
          <w:numId w:val="23"/>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Создание устойчивой системы обращения с твердыми коммунальными отходами, обеспечивающей сортировку отходов в объеме 100% и снижение объема отходов, направляемых на полигоны, в 2 раза.</w:t>
      </w:r>
    </w:p>
    <w:p w:rsidR="00C0504B" w:rsidRPr="00221A36" w:rsidRDefault="00C0504B" w:rsidP="00C0504B">
      <w:pPr>
        <w:numPr>
          <w:ilvl w:val="0"/>
          <w:numId w:val="23"/>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Достижение "цифровой зрелости" ключевых отраслей экономики и социальной сферы, в том числе здравоохранения и образования, а также государственного управления.</w:t>
      </w:r>
    </w:p>
    <w:p w:rsidR="00C0504B" w:rsidRPr="00221A36" w:rsidRDefault="00C0504B" w:rsidP="00C0504B">
      <w:pPr>
        <w:numPr>
          <w:ilvl w:val="0"/>
          <w:numId w:val="23"/>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Увеличение доли массовых социально значимых услуг, доступных в электронном виде, до 95 процентов.</w:t>
      </w:r>
    </w:p>
    <w:p w:rsidR="00C0504B" w:rsidRPr="00221A36" w:rsidRDefault="00C0504B" w:rsidP="00C0504B">
      <w:pPr>
        <w:numPr>
          <w:ilvl w:val="0"/>
          <w:numId w:val="23"/>
        </w:numPr>
        <w:spacing w:after="0" w:line="360" w:lineRule="auto"/>
        <w:ind w:left="0" w:firstLine="709"/>
        <w:contextualSpacing/>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Рост доли домохозяйств, которым обеспечена возможность широкополосного доступа к информационно-телекоммуникационной сети "Интернет", до 97 процентов.</w:t>
      </w:r>
    </w:p>
    <w:p w:rsidR="00C0504B" w:rsidRPr="00221A36" w:rsidRDefault="00C0504B" w:rsidP="00C0504B">
      <w:pPr>
        <w:spacing w:after="0" w:line="360" w:lineRule="auto"/>
        <w:ind w:firstLine="709"/>
        <w:jc w:val="both"/>
        <w:rPr>
          <w:rFonts w:ascii="Times New Roman" w:eastAsia="Times New Roman" w:hAnsi="Times New Roman" w:cs="Times New Roman"/>
          <w:color w:val="000000"/>
          <w:sz w:val="24"/>
          <w:szCs w:val="24"/>
          <w:lang w:eastAsia="ru-RU"/>
        </w:rPr>
      </w:pPr>
    </w:p>
    <w:p w:rsidR="00C0504B" w:rsidRPr="00221A36" w:rsidRDefault="00C0504B" w:rsidP="00C0504B">
      <w:pPr>
        <w:keepNext/>
        <w:keepLines/>
        <w:spacing w:before="120" w:after="120" w:line="240" w:lineRule="auto"/>
        <w:jc w:val="center"/>
        <w:outlineLvl w:val="2"/>
        <w:rPr>
          <w:rFonts w:ascii="Times New Roman" w:eastAsia="Times New Roman" w:hAnsi="Times New Roman" w:cs="Times New Roman"/>
          <w:b/>
          <w:color w:val="000000"/>
          <w:sz w:val="24"/>
          <w:szCs w:val="24"/>
          <w:lang w:eastAsia="ru-RU"/>
        </w:rPr>
      </w:pPr>
      <w:bookmarkStart w:id="99" w:name="_Toc122720278"/>
      <w:r>
        <w:rPr>
          <w:rFonts w:ascii="Times New Roman" w:eastAsia="Times New Roman" w:hAnsi="Times New Roman" w:cs="Times New Roman"/>
          <w:b/>
          <w:color w:val="000000"/>
          <w:sz w:val="24"/>
          <w:szCs w:val="24"/>
          <w:lang w:eastAsia="ru-RU"/>
        </w:rPr>
        <w:t>3.10</w:t>
      </w:r>
      <w:r w:rsidRPr="00221A36">
        <w:rPr>
          <w:rFonts w:ascii="Times New Roman" w:eastAsia="Times New Roman" w:hAnsi="Times New Roman" w:cs="Times New Roman"/>
          <w:b/>
          <w:color w:val="000000"/>
          <w:sz w:val="24"/>
          <w:szCs w:val="24"/>
          <w:lang w:eastAsia="ru-RU"/>
        </w:rPr>
        <w:t>.</w:t>
      </w:r>
      <w:r>
        <w:rPr>
          <w:rFonts w:ascii="Times New Roman" w:eastAsia="Times New Roman" w:hAnsi="Times New Roman" w:cs="Times New Roman"/>
          <w:b/>
          <w:color w:val="000000"/>
          <w:sz w:val="24"/>
          <w:szCs w:val="24"/>
          <w:lang w:eastAsia="ru-RU"/>
        </w:rPr>
        <w:t>2.</w:t>
      </w:r>
      <w:r w:rsidRPr="00221A36">
        <w:rPr>
          <w:rFonts w:ascii="Times New Roman" w:eastAsia="Times New Roman" w:hAnsi="Times New Roman" w:cs="Times New Roman"/>
          <w:b/>
          <w:color w:val="000000"/>
          <w:sz w:val="24"/>
          <w:szCs w:val="24"/>
          <w:lang w:eastAsia="ru-RU"/>
        </w:rPr>
        <w:t> О потенциале развития передовых производственных технологий в структуре экономики Ленинградской области</w:t>
      </w:r>
      <w:bookmarkEnd w:id="99"/>
    </w:p>
    <w:p w:rsidR="00C0504B" w:rsidRPr="00221A36" w:rsidRDefault="00C0504B" w:rsidP="00C0504B">
      <w:pPr>
        <w:spacing w:after="0" w:line="360" w:lineRule="auto"/>
        <w:ind w:firstLine="709"/>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Ленинградская область — субъект Российской Федерации, расположенный на северо-западе европейской части страны. Территория — 83 908 км², что составляет 0.49 % площади России. Ленинградская область – один из 11 субъектов Российской Федерации, входящих в состав Северо-Западного федерального округа.</w:t>
      </w:r>
    </w:p>
    <w:p w:rsidR="00C0504B" w:rsidRPr="00221A36" w:rsidRDefault="00C0504B" w:rsidP="00C0504B">
      <w:pPr>
        <w:spacing w:after="0" w:line="360" w:lineRule="auto"/>
        <w:ind w:firstLine="709"/>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Численность населения Ленинградской области на 01.01.2022 г. составляет 1 911 586 чел.</w:t>
      </w:r>
    </w:p>
    <w:p w:rsidR="00C0504B" w:rsidRPr="00221A36" w:rsidRDefault="00C0504B" w:rsidP="00C0504B">
      <w:pPr>
        <w:spacing w:after="0" w:line="360" w:lineRule="auto"/>
        <w:ind w:firstLine="709"/>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Ленинградская область включает в себя 17 муниципальных районов, один городской округ, 65 городских и 134 сельских поселений. Число населенных пунктов всего – 2943, в том числе: городских – 67, сельских – 2876.</w:t>
      </w:r>
    </w:p>
    <w:p w:rsidR="00C0504B" w:rsidRPr="00221A36" w:rsidRDefault="00C0504B" w:rsidP="00C0504B">
      <w:pPr>
        <w:spacing w:after="0" w:line="360" w:lineRule="auto"/>
        <w:ind w:firstLine="709"/>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Показатель – индекс промышленного производства (в % к соответствующему периоду предыдущего года) по данным Петростата по Ленинградской области составил по итогам 2021 г. - 107,6%, за 1 квартал - 105,2%, за январь-июль 2022 г. - 99,8%. Руководство региона предпринимает меры по повышению индекса к 2023 г.</w:t>
      </w:r>
    </w:p>
    <w:p w:rsidR="00C0504B" w:rsidRPr="00221A36" w:rsidRDefault="00C0504B" w:rsidP="00C0504B">
      <w:pPr>
        <w:spacing w:after="0" w:line="360" w:lineRule="auto"/>
        <w:ind w:firstLine="709"/>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Ленинградская область является одним из ведущих регионов Российской Федерации с высоким инвестиционным рейтингом, социально ориентированными программами развития и активно развивающимися институтами гражданского общества. Ленинградская область – высоко индустриальный регион, в котором представлены все виды производства и транспорта.</w:t>
      </w:r>
    </w:p>
    <w:p w:rsidR="00C0504B" w:rsidRPr="00221A36" w:rsidRDefault="00C0504B" w:rsidP="00C0504B">
      <w:pPr>
        <w:spacing w:after="0" w:line="360" w:lineRule="auto"/>
        <w:ind w:firstLine="709"/>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В ежегодном Национальном рейтинге состояния инвестиционного климата в регионах России, подготовленном Агентством стратегических инициатив (АСИ) в 2022 г. на основании результатов за 2021 г., Ленинградская область занимает 9 место, поднявшись на 1 пункт по сравнению с предыдущим годом. Национальный рейтинг состояния инвестиционного климата оценивает усилия региональных властей по созданию благоприятных условий ведения бизнеса и выявляет лучшие практики, а его результаты стимулируют конкуренцию в борьбе за инвестиции на региональном уровне.</w:t>
      </w:r>
    </w:p>
    <w:p w:rsidR="00C0504B" w:rsidRPr="00221A36" w:rsidRDefault="00C0504B" w:rsidP="00C0504B">
      <w:pPr>
        <w:spacing w:after="0" w:line="360" w:lineRule="auto"/>
        <w:ind w:firstLine="709"/>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Таблица 72. иллюстрирует высокий уровень развития науки в регионе.</w:t>
      </w:r>
    </w:p>
    <w:p w:rsidR="00C0504B" w:rsidRPr="00500720" w:rsidRDefault="00C0504B" w:rsidP="00C0504B">
      <w:pPr>
        <w:keepNext/>
        <w:keepLines/>
        <w:pBdr>
          <w:top w:val="nil"/>
          <w:left w:val="nil"/>
          <w:bottom w:val="nil"/>
          <w:right w:val="nil"/>
          <w:between w:val="nil"/>
        </w:pBdr>
        <w:spacing w:before="120" w:after="120" w:line="240" w:lineRule="auto"/>
        <w:jc w:val="center"/>
        <w:rPr>
          <w:rFonts w:ascii="Times New Roman" w:eastAsia="Calibri" w:hAnsi="Times New Roman" w:cs="Times New Roman"/>
          <w:color w:val="000000"/>
          <w:sz w:val="24"/>
          <w:szCs w:val="24"/>
        </w:rPr>
      </w:pPr>
      <w:r w:rsidRPr="00500720">
        <w:rPr>
          <w:rFonts w:ascii="Times New Roman" w:eastAsia="Calibri" w:hAnsi="Times New Roman" w:cs="Times New Roman"/>
          <w:color w:val="000000"/>
          <w:sz w:val="24"/>
          <w:szCs w:val="24"/>
        </w:rPr>
        <w:t xml:space="preserve">Таблица </w:t>
      </w:r>
      <w:r>
        <w:rPr>
          <w:rFonts w:ascii="Times New Roman" w:eastAsia="Calibri" w:hAnsi="Times New Roman" w:cs="Times New Roman"/>
          <w:color w:val="000000"/>
          <w:sz w:val="24"/>
          <w:szCs w:val="24"/>
        </w:rPr>
        <w:t>72</w:t>
      </w:r>
      <w:r w:rsidRPr="00500720">
        <w:rPr>
          <w:rFonts w:ascii="Times New Roman" w:eastAsia="Calibri" w:hAnsi="Times New Roman" w:cs="Times New Roman"/>
          <w:color w:val="000000"/>
          <w:sz w:val="24"/>
          <w:szCs w:val="24"/>
        </w:rPr>
        <w:t xml:space="preserve">. </w:t>
      </w:r>
      <w:r w:rsidRPr="00500720">
        <w:rPr>
          <w:rFonts w:ascii="Times New Roman" w:eastAsia="Calibri" w:hAnsi="Times New Roman" w:cs="Times New Roman"/>
          <w:bCs/>
          <w:color w:val="000000"/>
          <w:sz w:val="24"/>
          <w:szCs w:val="24"/>
        </w:rPr>
        <w:t>Основные показатели состояния и развития науки</w:t>
      </w:r>
      <w:r w:rsidRPr="00500720">
        <w:rPr>
          <w:rFonts w:ascii="Times New Roman" w:eastAsia="Calibri" w:hAnsi="Times New Roman" w:cs="Times New Roman"/>
          <w:color w:val="000000"/>
          <w:sz w:val="24"/>
          <w:szCs w:val="24"/>
        </w:rPr>
        <w:t xml:space="preserve"> (по данным источника: https://digital.gov.ru/uploaded/files/strategiya-lo.pdf?utm_referrer=https%3a%2f%2fyandex.ru%2f)</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1"/>
        <w:gridCol w:w="1559"/>
        <w:gridCol w:w="1559"/>
        <w:gridCol w:w="1560"/>
      </w:tblGrid>
      <w:tr w:rsidR="00C0504B" w:rsidRPr="00500720" w:rsidTr="00A32957">
        <w:tc>
          <w:tcPr>
            <w:tcW w:w="5211" w:type="dxa"/>
            <w:vAlign w:val="center"/>
          </w:tcPr>
          <w:p w:rsidR="00C0504B" w:rsidRPr="00500720" w:rsidRDefault="00C0504B" w:rsidP="00A32957">
            <w:pPr>
              <w:spacing w:before="120" w:after="120" w:line="269" w:lineRule="auto"/>
              <w:rPr>
                <w:rFonts w:ascii="Times New Roman" w:eastAsia="Times New Roman" w:hAnsi="Times New Roman" w:cs="Times New Roman"/>
                <w:color w:val="000000"/>
              </w:rPr>
            </w:pPr>
          </w:p>
        </w:tc>
        <w:tc>
          <w:tcPr>
            <w:tcW w:w="1559" w:type="dxa"/>
            <w:vAlign w:val="center"/>
          </w:tcPr>
          <w:p w:rsidR="00C0504B" w:rsidRPr="00A32957" w:rsidRDefault="00C0504B" w:rsidP="00A32957">
            <w:pPr>
              <w:spacing w:before="120" w:after="120" w:line="269" w:lineRule="auto"/>
              <w:jc w:val="center"/>
              <w:rPr>
                <w:rFonts w:ascii="Times New Roman" w:eastAsia="Times New Roman" w:hAnsi="Times New Roman" w:cs="Times New Roman"/>
                <w:b/>
                <w:color w:val="000000"/>
              </w:rPr>
            </w:pPr>
            <w:r w:rsidRPr="00A32957">
              <w:rPr>
                <w:rFonts w:ascii="Times New Roman" w:eastAsia="Times New Roman" w:hAnsi="Times New Roman" w:cs="Times New Roman"/>
                <w:b/>
                <w:color w:val="000000"/>
              </w:rPr>
              <w:t>2019</w:t>
            </w:r>
          </w:p>
        </w:tc>
        <w:tc>
          <w:tcPr>
            <w:tcW w:w="1559" w:type="dxa"/>
            <w:vAlign w:val="center"/>
          </w:tcPr>
          <w:p w:rsidR="00C0504B" w:rsidRPr="00A32957" w:rsidRDefault="00C0504B" w:rsidP="00A32957">
            <w:pPr>
              <w:spacing w:before="120" w:after="120" w:line="269" w:lineRule="auto"/>
              <w:jc w:val="center"/>
              <w:rPr>
                <w:rFonts w:ascii="Times New Roman" w:eastAsia="Times New Roman" w:hAnsi="Times New Roman" w:cs="Times New Roman"/>
                <w:b/>
                <w:color w:val="000000"/>
              </w:rPr>
            </w:pPr>
            <w:r w:rsidRPr="00A32957">
              <w:rPr>
                <w:rFonts w:ascii="Times New Roman" w:eastAsia="Times New Roman" w:hAnsi="Times New Roman" w:cs="Times New Roman"/>
                <w:b/>
                <w:color w:val="000000"/>
              </w:rPr>
              <w:t>2020</w:t>
            </w:r>
          </w:p>
        </w:tc>
        <w:tc>
          <w:tcPr>
            <w:tcW w:w="1560" w:type="dxa"/>
            <w:vAlign w:val="center"/>
          </w:tcPr>
          <w:p w:rsidR="00C0504B" w:rsidRPr="00A32957" w:rsidRDefault="00C0504B" w:rsidP="00A32957">
            <w:pPr>
              <w:spacing w:before="120" w:after="120" w:line="269" w:lineRule="auto"/>
              <w:jc w:val="center"/>
              <w:rPr>
                <w:rFonts w:ascii="Times New Roman" w:eastAsia="Times New Roman" w:hAnsi="Times New Roman" w:cs="Times New Roman"/>
                <w:b/>
                <w:color w:val="000000"/>
              </w:rPr>
            </w:pPr>
            <w:r w:rsidRPr="00A32957">
              <w:rPr>
                <w:rFonts w:ascii="Times New Roman" w:eastAsia="Times New Roman" w:hAnsi="Times New Roman" w:cs="Times New Roman"/>
                <w:b/>
                <w:color w:val="000000"/>
              </w:rPr>
              <w:t>2021</w:t>
            </w:r>
          </w:p>
        </w:tc>
      </w:tr>
      <w:tr w:rsidR="00C0504B" w:rsidRPr="00500720" w:rsidTr="00A32957">
        <w:tc>
          <w:tcPr>
            <w:tcW w:w="5211" w:type="dxa"/>
            <w:vAlign w:val="center"/>
          </w:tcPr>
          <w:p w:rsidR="00C0504B" w:rsidRPr="00500720" w:rsidRDefault="00C0504B" w:rsidP="00A32957">
            <w:pPr>
              <w:spacing w:before="120" w:after="120" w:line="269" w:lineRule="auto"/>
              <w:rPr>
                <w:rFonts w:ascii="Times New Roman" w:eastAsia="Times New Roman" w:hAnsi="Times New Roman" w:cs="Times New Roman"/>
                <w:color w:val="000000"/>
              </w:rPr>
            </w:pPr>
            <w:r w:rsidRPr="00500720">
              <w:rPr>
                <w:rFonts w:ascii="Times New Roman" w:eastAsia="Calibri" w:hAnsi="Times New Roman" w:cs="Times New Roman"/>
                <w:color w:val="000000"/>
              </w:rPr>
              <w:t>Число организаций, выполнявших научные исследования и разработки, единиц</w:t>
            </w:r>
          </w:p>
        </w:tc>
        <w:tc>
          <w:tcPr>
            <w:tcW w:w="1559"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Times New Roman" w:hAnsi="Times New Roman" w:cs="Times New Roman"/>
                <w:color w:val="000000"/>
              </w:rPr>
              <w:t>16</w:t>
            </w:r>
          </w:p>
        </w:tc>
        <w:tc>
          <w:tcPr>
            <w:tcW w:w="1559"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Times New Roman" w:hAnsi="Times New Roman" w:cs="Times New Roman"/>
                <w:color w:val="000000"/>
              </w:rPr>
              <w:t>15</w:t>
            </w:r>
          </w:p>
        </w:tc>
        <w:tc>
          <w:tcPr>
            <w:tcW w:w="1560"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Times New Roman" w:hAnsi="Times New Roman" w:cs="Times New Roman"/>
                <w:color w:val="000000"/>
              </w:rPr>
              <w:t>23</w:t>
            </w:r>
          </w:p>
        </w:tc>
      </w:tr>
      <w:tr w:rsidR="00C0504B" w:rsidRPr="00500720" w:rsidTr="00A32957">
        <w:tc>
          <w:tcPr>
            <w:tcW w:w="5211" w:type="dxa"/>
            <w:vAlign w:val="center"/>
          </w:tcPr>
          <w:p w:rsidR="00C0504B" w:rsidRPr="00500720" w:rsidRDefault="00C0504B" w:rsidP="00A32957">
            <w:pPr>
              <w:spacing w:before="120" w:after="120" w:line="269" w:lineRule="auto"/>
              <w:rPr>
                <w:rFonts w:ascii="Times New Roman" w:eastAsia="Times New Roman" w:hAnsi="Times New Roman" w:cs="Times New Roman"/>
                <w:color w:val="000000"/>
              </w:rPr>
            </w:pPr>
            <w:r w:rsidRPr="00500720">
              <w:rPr>
                <w:rFonts w:ascii="Times New Roman" w:eastAsia="Calibri" w:hAnsi="Times New Roman" w:cs="Times New Roman"/>
                <w:color w:val="000000"/>
              </w:rPr>
              <w:t>Численность работников, выполнявших научные исследования и разработки (на конец года), тыс. человек</w:t>
            </w:r>
          </w:p>
        </w:tc>
        <w:tc>
          <w:tcPr>
            <w:tcW w:w="1559"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Times New Roman" w:hAnsi="Times New Roman" w:cs="Times New Roman"/>
                <w:color w:val="000000"/>
              </w:rPr>
              <w:t>7,1</w:t>
            </w:r>
          </w:p>
        </w:tc>
        <w:tc>
          <w:tcPr>
            <w:tcW w:w="1559"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Times New Roman" w:hAnsi="Times New Roman" w:cs="Times New Roman"/>
                <w:color w:val="000000"/>
              </w:rPr>
              <w:t>6,0</w:t>
            </w:r>
          </w:p>
        </w:tc>
        <w:tc>
          <w:tcPr>
            <w:tcW w:w="1560"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Times New Roman" w:hAnsi="Times New Roman" w:cs="Times New Roman"/>
                <w:color w:val="000000"/>
              </w:rPr>
              <w:t>6,3</w:t>
            </w:r>
          </w:p>
        </w:tc>
      </w:tr>
      <w:tr w:rsidR="00C0504B" w:rsidRPr="00500720" w:rsidTr="00A32957">
        <w:tc>
          <w:tcPr>
            <w:tcW w:w="5211" w:type="dxa"/>
            <w:vAlign w:val="center"/>
          </w:tcPr>
          <w:p w:rsidR="00C0504B" w:rsidRPr="00500720" w:rsidRDefault="00C0504B" w:rsidP="00A32957">
            <w:pPr>
              <w:spacing w:before="120" w:after="120" w:line="269" w:lineRule="auto"/>
              <w:rPr>
                <w:rFonts w:ascii="Times New Roman" w:eastAsia="Times New Roman" w:hAnsi="Times New Roman" w:cs="Times New Roman"/>
                <w:color w:val="000000"/>
              </w:rPr>
            </w:pPr>
            <w:r w:rsidRPr="00500720">
              <w:rPr>
                <w:rFonts w:ascii="Times New Roman" w:eastAsia="Calibri" w:hAnsi="Times New Roman" w:cs="Times New Roman"/>
                <w:color w:val="000000"/>
              </w:rPr>
              <w:t>докторов наук</w:t>
            </w:r>
          </w:p>
        </w:tc>
        <w:tc>
          <w:tcPr>
            <w:tcW w:w="1559"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Times New Roman" w:hAnsi="Times New Roman" w:cs="Times New Roman"/>
                <w:color w:val="000000"/>
              </w:rPr>
              <w:t>0,1</w:t>
            </w:r>
          </w:p>
        </w:tc>
        <w:tc>
          <w:tcPr>
            <w:tcW w:w="1559"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Times New Roman" w:hAnsi="Times New Roman" w:cs="Times New Roman"/>
                <w:color w:val="000000"/>
              </w:rPr>
              <w:t>0,1</w:t>
            </w:r>
          </w:p>
        </w:tc>
        <w:tc>
          <w:tcPr>
            <w:tcW w:w="1560"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Times New Roman" w:hAnsi="Times New Roman" w:cs="Times New Roman"/>
                <w:color w:val="000000"/>
              </w:rPr>
              <w:t>0,1</w:t>
            </w:r>
          </w:p>
        </w:tc>
      </w:tr>
      <w:tr w:rsidR="00C0504B" w:rsidRPr="00500720" w:rsidTr="00A32957">
        <w:tc>
          <w:tcPr>
            <w:tcW w:w="5211" w:type="dxa"/>
            <w:vAlign w:val="center"/>
          </w:tcPr>
          <w:p w:rsidR="00C0504B" w:rsidRPr="00500720" w:rsidRDefault="00C0504B" w:rsidP="00A32957">
            <w:pPr>
              <w:spacing w:before="120" w:after="120" w:line="269" w:lineRule="auto"/>
              <w:rPr>
                <w:rFonts w:ascii="Times New Roman" w:eastAsia="Times New Roman" w:hAnsi="Times New Roman" w:cs="Times New Roman"/>
                <w:color w:val="000000"/>
              </w:rPr>
            </w:pPr>
            <w:r w:rsidRPr="00500720">
              <w:rPr>
                <w:rFonts w:ascii="Times New Roman" w:eastAsia="Calibri" w:hAnsi="Times New Roman" w:cs="Times New Roman"/>
                <w:color w:val="000000"/>
              </w:rPr>
              <w:t>кандидатов наук</w:t>
            </w:r>
          </w:p>
        </w:tc>
        <w:tc>
          <w:tcPr>
            <w:tcW w:w="1559"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Times New Roman" w:hAnsi="Times New Roman" w:cs="Times New Roman"/>
                <w:color w:val="000000"/>
              </w:rPr>
              <w:t>0,5</w:t>
            </w:r>
          </w:p>
        </w:tc>
        <w:tc>
          <w:tcPr>
            <w:tcW w:w="1559"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Times New Roman" w:hAnsi="Times New Roman" w:cs="Times New Roman"/>
                <w:color w:val="000000"/>
              </w:rPr>
              <w:t>0,4</w:t>
            </w:r>
          </w:p>
        </w:tc>
        <w:tc>
          <w:tcPr>
            <w:tcW w:w="1560"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Times New Roman" w:hAnsi="Times New Roman" w:cs="Times New Roman"/>
                <w:color w:val="000000"/>
              </w:rPr>
              <w:t>0,4</w:t>
            </w:r>
          </w:p>
        </w:tc>
      </w:tr>
      <w:tr w:rsidR="00C0504B" w:rsidRPr="00500720" w:rsidTr="00A32957">
        <w:tc>
          <w:tcPr>
            <w:tcW w:w="5211" w:type="dxa"/>
            <w:vAlign w:val="center"/>
          </w:tcPr>
          <w:p w:rsidR="00C0504B" w:rsidRPr="00500720" w:rsidRDefault="00C0504B" w:rsidP="00A32957">
            <w:pPr>
              <w:spacing w:before="120" w:after="120" w:line="269" w:lineRule="auto"/>
              <w:rPr>
                <w:rFonts w:ascii="Times New Roman" w:eastAsia="Times New Roman" w:hAnsi="Times New Roman" w:cs="Times New Roman"/>
                <w:color w:val="000000"/>
              </w:rPr>
            </w:pPr>
            <w:r w:rsidRPr="00500720">
              <w:rPr>
                <w:rFonts w:ascii="Times New Roman" w:eastAsia="Calibri" w:hAnsi="Times New Roman" w:cs="Times New Roman"/>
                <w:color w:val="000000"/>
              </w:rPr>
              <w:t>Персонал, занятый научными исследованиями и разработками, в расчете на 10000 занятых в экономике, человек</w:t>
            </w:r>
          </w:p>
        </w:tc>
        <w:tc>
          <w:tcPr>
            <w:tcW w:w="1559"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Times New Roman" w:hAnsi="Times New Roman" w:cs="Times New Roman"/>
                <w:color w:val="000000"/>
              </w:rPr>
              <w:t>91</w:t>
            </w:r>
          </w:p>
        </w:tc>
        <w:tc>
          <w:tcPr>
            <w:tcW w:w="1559"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Times New Roman" w:hAnsi="Times New Roman" w:cs="Times New Roman"/>
                <w:color w:val="000000"/>
              </w:rPr>
              <w:t>77</w:t>
            </w:r>
          </w:p>
        </w:tc>
        <w:tc>
          <w:tcPr>
            <w:tcW w:w="1560"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Times New Roman" w:hAnsi="Times New Roman" w:cs="Times New Roman"/>
                <w:color w:val="000000"/>
              </w:rPr>
              <w:t>70</w:t>
            </w:r>
          </w:p>
        </w:tc>
      </w:tr>
    </w:tbl>
    <w:p w:rsidR="00C0504B" w:rsidRPr="00500720" w:rsidRDefault="00C0504B" w:rsidP="00C0504B">
      <w:pPr>
        <w:spacing w:after="0" w:line="360" w:lineRule="auto"/>
        <w:ind w:firstLine="709"/>
        <w:jc w:val="both"/>
        <w:rPr>
          <w:rFonts w:ascii="Times New Roman" w:eastAsia="Times New Roman" w:hAnsi="Times New Roman" w:cs="Times New Roman"/>
          <w:color w:val="000000"/>
          <w:sz w:val="28"/>
          <w:szCs w:val="28"/>
          <w:lang w:eastAsia="ru-RU"/>
        </w:rPr>
      </w:pPr>
    </w:p>
    <w:p w:rsidR="00C0504B" w:rsidRPr="00221A36" w:rsidRDefault="00C0504B" w:rsidP="00C0504B">
      <w:pPr>
        <w:spacing w:after="0" w:line="360" w:lineRule="auto"/>
        <w:ind w:firstLine="709"/>
        <w:jc w:val="both"/>
        <w:rPr>
          <w:rFonts w:ascii="Times New Roman" w:eastAsia="Times New Roman" w:hAnsi="Times New Roman" w:cs="Times New Roman"/>
          <w:color w:val="000000"/>
          <w:sz w:val="24"/>
          <w:szCs w:val="24"/>
          <w:lang w:eastAsia="ru-RU"/>
        </w:rPr>
      </w:pPr>
      <w:r w:rsidRPr="00221A36">
        <w:rPr>
          <w:rFonts w:ascii="Times New Roman" w:eastAsia="Times New Roman" w:hAnsi="Times New Roman" w:cs="Times New Roman"/>
          <w:color w:val="000000"/>
          <w:sz w:val="24"/>
          <w:szCs w:val="24"/>
          <w:lang w:eastAsia="ru-RU"/>
        </w:rPr>
        <w:t xml:space="preserve">В 2021 г. отмечается позитивная динамика количества работников, выполняющих исследования и разработки (2020 г. – 6011, 2021 г. – 6303), в том числе непосредственно исследователей (2020 г. – 2377, 2021 г. – 2690). </w:t>
      </w:r>
    </w:p>
    <w:p w:rsidR="00C0504B" w:rsidRPr="00500720" w:rsidRDefault="00C0504B" w:rsidP="00C0504B">
      <w:pPr>
        <w:keepNext/>
        <w:keepLines/>
        <w:spacing w:before="120" w:after="120" w:line="240" w:lineRule="auto"/>
        <w:jc w:val="center"/>
        <w:rPr>
          <w:rFonts w:ascii="Times New Roman" w:eastAsia="Times New Roman" w:hAnsi="Times New Roman" w:cs="Times New Roman"/>
          <w:color w:val="000000"/>
          <w:sz w:val="24"/>
          <w:szCs w:val="24"/>
        </w:rPr>
      </w:pPr>
      <w:r w:rsidRPr="00500720">
        <w:rPr>
          <w:rFonts w:ascii="Times New Roman" w:eastAsia="Calibri" w:hAnsi="Times New Roman" w:cs="Times New Roman"/>
          <w:color w:val="000000"/>
          <w:sz w:val="24"/>
          <w:szCs w:val="24"/>
        </w:rPr>
        <w:t xml:space="preserve">Таблица </w:t>
      </w:r>
      <w:r>
        <w:rPr>
          <w:rFonts w:ascii="Times New Roman" w:eastAsia="Calibri" w:hAnsi="Times New Roman" w:cs="Times New Roman"/>
          <w:color w:val="000000"/>
          <w:sz w:val="24"/>
          <w:szCs w:val="24"/>
        </w:rPr>
        <w:t>73</w:t>
      </w:r>
      <w:r w:rsidRPr="00500720">
        <w:rPr>
          <w:rFonts w:ascii="Times New Roman" w:eastAsia="Calibri" w:hAnsi="Times New Roman" w:cs="Times New Roman"/>
          <w:color w:val="000000"/>
          <w:sz w:val="24"/>
          <w:szCs w:val="24"/>
        </w:rPr>
        <w:t xml:space="preserve">. </w:t>
      </w:r>
      <w:r w:rsidRPr="00500720">
        <w:rPr>
          <w:rFonts w:ascii="Times New Roman" w:eastAsia="Calibri" w:hAnsi="Times New Roman" w:cs="Times New Roman"/>
          <w:bCs/>
          <w:color w:val="000000"/>
          <w:sz w:val="24"/>
          <w:szCs w:val="24"/>
        </w:rPr>
        <w:t>Численность работников, выполняющих исследования и разработки</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52"/>
        <w:gridCol w:w="2079"/>
        <w:gridCol w:w="2079"/>
        <w:gridCol w:w="2079"/>
      </w:tblGrid>
      <w:tr w:rsidR="00C0504B" w:rsidRPr="00500720" w:rsidTr="00A32957">
        <w:tc>
          <w:tcPr>
            <w:tcW w:w="3652" w:type="dxa"/>
            <w:vAlign w:val="center"/>
          </w:tcPr>
          <w:p w:rsidR="00C0504B" w:rsidRPr="00500720" w:rsidRDefault="00C0504B" w:rsidP="00A32957">
            <w:pPr>
              <w:spacing w:before="120" w:after="120" w:line="269" w:lineRule="auto"/>
              <w:jc w:val="both"/>
              <w:rPr>
                <w:rFonts w:ascii="Times New Roman" w:eastAsia="Times New Roman" w:hAnsi="Times New Roman" w:cs="Times New Roman"/>
                <w:color w:val="000000"/>
              </w:rPr>
            </w:pPr>
          </w:p>
        </w:tc>
        <w:tc>
          <w:tcPr>
            <w:tcW w:w="2079" w:type="dxa"/>
            <w:vAlign w:val="center"/>
          </w:tcPr>
          <w:p w:rsidR="00C0504B" w:rsidRPr="00A32957" w:rsidRDefault="00C0504B" w:rsidP="00A32957">
            <w:pPr>
              <w:spacing w:before="120" w:after="120" w:line="269" w:lineRule="auto"/>
              <w:jc w:val="center"/>
              <w:rPr>
                <w:rFonts w:ascii="Times New Roman" w:eastAsia="Times New Roman" w:hAnsi="Times New Roman" w:cs="Times New Roman"/>
                <w:b/>
                <w:color w:val="000000"/>
              </w:rPr>
            </w:pPr>
            <w:r w:rsidRPr="00A32957">
              <w:rPr>
                <w:rFonts w:ascii="Times New Roman" w:eastAsia="Times New Roman" w:hAnsi="Times New Roman" w:cs="Times New Roman"/>
                <w:b/>
                <w:color w:val="000000"/>
              </w:rPr>
              <w:t>2019</w:t>
            </w:r>
          </w:p>
        </w:tc>
        <w:tc>
          <w:tcPr>
            <w:tcW w:w="2079" w:type="dxa"/>
            <w:vAlign w:val="center"/>
          </w:tcPr>
          <w:p w:rsidR="00C0504B" w:rsidRPr="00A32957" w:rsidRDefault="00C0504B" w:rsidP="00A32957">
            <w:pPr>
              <w:spacing w:before="120" w:after="120" w:line="269" w:lineRule="auto"/>
              <w:jc w:val="center"/>
              <w:rPr>
                <w:rFonts w:ascii="Times New Roman" w:eastAsia="Times New Roman" w:hAnsi="Times New Roman" w:cs="Times New Roman"/>
                <w:b/>
                <w:color w:val="000000"/>
              </w:rPr>
            </w:pPr>
            <w:r w:rsidRPr="00A32957">
              <w:rPr>
                <w:rFonts w:ascii="Times New Roman" w:eastAsia="Times New Roman" w:hAnsi="Times New Roman" w:cs="Times New Roman"/>
                <w:b/>
                <w:color w:val="000000"/>
              </w:rPr>
              <w:t>2020</w:t>
            </w:r>
          </w:p>
        </w:tc>
        <w:tc>
          <w:tcPr>
            <w:tcW w:w="2079" w:type="dxa"/>
            <w:vAlign w:val="center"/>
          </w:tcPr>
          <w:p w:rsidR="00C0504B" w:rsidRPr="00A32957" w:rsidRDefault="00C0504B" w:rsidP="00A32957">
            <w:pPr>
              <w:spacing w:before="120" w:after="120" w:line="269" w:lineRule="auto"/>
              <w:jc w:val="center"/>
              <w:rPr>
                <w:rFonts w:ascii="Times New Roman" w:eastAsia="Times New Roman" w:hAnsi="Times New Roman" w:cs="Times New Roman"/>
                <w:b/>
                <w:color w:val="000000"/>
              </w:rPr>
            </w:pPr>
            <w:r w:rsidRPr="00A32957">
              <w:rPr>
                <w:rFonts w:ascii="Times New Roman" w:eastAsia="Times New Roman" w:hAnsi="Times New Roman" w:cs="Times New Roman"/>
                <w:b/>
                <w:color w:val="000000"/>
              </w:rPr>
              <w:t>2021</w:t>
            </w:r>
          </w:p>
        </w:tc>
      </w:tr>
      <w:tr w:rsidR="00C0504B" w:rsidRPr="00500720" w:rsidTr="00A32957">
        <w:tc>
          <w:tcPr>
            <w:tcW w:w="3652" w:type="dxa"/>
            <w:vAlign w:val="center"/>
          </w:tcPr>
          <w:p w:rsidR="00C0504B" w:rsidRPr="00500720" w:rsidRDefault="00C0504B" w:rsidP="00A32957">
            <w:pPr>
              <w:spacing w:before="120" w:after="120" w:line="269" w:lineRule="auto"/>
              <w:jc w:val="both"/>
              <w:rPr>
                <w:rFonts w:ascii="Times New Roman" w:eastAsia="Times New Roman" w:hAnsi="Times New Roman" w:cs="Times New Roman"/>
                <w:color w:val="000000"/>
              </w:rPr>
            </w:pPr>
            <w:r w:rsidRPr="00500720">
              <w:rPr>
                <w:rFonts w:ascii="Times New Roman" w:eastAsia="Calibri" w:hAnsi="Times New Roman" w:cs="Times New Roman"/>
                <w:color w:val="000000"/>
              </w:rPr>
              <w:t>Всего</w:t>
            </w:r>
          </w:p>
        </w:tc>
        <w:tc>
          <w:tcPr>
            <w:tcW w:w="2079"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Calibri" w:hAnsi="Times New Roman" w:cs="Times New Roman"/>
                <w:color w:val="000000"/>
              </w:rPr>
              <w:t>7146</w:t>
            </w:r>
          </w:p>
        </w:tc>
        <w:tc>
          <w:tcPr>
            <w:tcW w:w="2079"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Calibri" w:hAnsi="Times New Roman" w:cs="Times New Roman"/>
                <w:color w:val="000000"/>
              </w:rPr>
              <w:t>6011</w:t>
            </w:r>
          </w:p>
        </w:tc>
        <w:tc>
          <w:tcPr>
            <w:tcW w:w="2079"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Times New Roman" w:hAnsi="Times New Roman" w:cs="Times New Roman"/>
                <w:color w:val="000000"/>
              </w:rPr>
              <w:t>6303</w:t>
            </w:r>
          </w:p>
        </w:tc>
      </w:tr>
      <w:tr w:rsidR="00C0504B" w:rsidRPr="00500720" w:rsidTr="00A32957">
        <w:tc>
          <w:tcPr>
            <w:tcW w:w="3652" w:type="dxa"/>
            <w:vAlign w:val="center"/>
          </w:tcPr>
          <w:p w:rsidR="00C0504B" w:rsidRPr="00500720" w:rsidRDefault="00C0504B" w:rsidP="00A32957">
            <w:pPr>
              <w:spacing w:before="120" w:after="120" w:line="269" w:lineRule="auto"/>
              <w:jc w:val="both"/>
              <w:rPr>
                <w:rFonts w:ascii="Times New Roman" w:eastAsia="Times New Roman" w:hAnsi="Times New Roman" w:cs="Times New Roman"/>
                <w:color w:val="000000"/>
              </w:rPr>
            </w:pPr>
            <w:r w:rsidRPr="00500720">
              <w:rPr>
                <w:rFonts w:ascii="Times New Roman" w:eastAsia="Calibri" w:hAnsi="Times New Roman" w:cs="Times New Roman"/>
                <w:color w:val="000000"/>
              </w:rPr>
              <w:t>исследователи</w:t>
            </w:r>
          </w:p>
        </w:tc>
        <w:tc>
          <w:tcPr>
            <w:tcW w:w="2079"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Calibri" w:hAnsi="Times New Roman" w:cs="Times New Roman"/>
                <w:color w:val="000000"/>
              </w:rPr>
              <w:t>2735</w:t>
            </w:r>
          </w:p>
        </w:tc>
        <w:tc>
          <w:tcPr>
            <w:tcW w:w="2079"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Calibri" w:hAnsi="Times New Roman" w:cs="Times New Roman"/>
                <w:color w:val="000000"/>
              </w:rPr>
              <w:t>2377</w:t>
            </w:r>
          </w:p>
        </w:tc>
        <w:tc>
          <w:tcPr>
            <w:tcW w:w="2079"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Times New Roman" w:hAnsi="Times New Roman" w:cs="Times New Roman"/>
                <w:color w:val="000000"/>
              </w:rPr>
              <w:t>2690</w:t>
            </w:r>
          </w:p>
        </w:tc>
      </w:tr>
      <w:tr w:rsidR="00C0504B" w:rsidRPr="00500720" w:rsidTr="00A32957">
        <w:tc>
          <w:tcPr>
            <w:tcW w:w="3652" w:type="dxa"/>
            <w:vAlign w:val="center"/>
          </w:tcPr>
          <w:p w:rsidR="00C0504B" w:rsidRPr="00500720" w:rsidRDefault="00C0504B" w:rsidP="00A32957">
            <w:pPr>
              <w:spacing w:before="120" w:after="120" w:line="269" w:lineRule="auto"/>
              <w:jc w:val="both"/>
              <w:rPr>
                <w:rFonts w:ascii="Times New Roman" w:eastAsia="Times New Roman" w:hAnsi="Times New Roman" w:cs="Times New Roman"/>
                <w:color w:val="000000"/>
              </w:rPr>
            </w:pPr>
            <w:r w:rsidRPr="00500720">
              <w:rPr>
                <w:rFonts w:ascii="Times New Roman" w:eastAsia="Calibri" w:hAnsi="Times New Roman" w:cs="Times New Roman"/>
                <w:color w:val="000000"/>
              </w:rPr>
              <w:t>техники</w:t>
            </w:r>
          </w:p>
        </w:tc>
        <w:tc>
          <w:tcPr>
            <w:tcW w:w="2079"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Calibri" w:hAnsi="Times New Roman" w:cs="Times New Roman"/>
                <w:color w:val="000000"/>
              </w:rPr>
              <w:t>438</w:t>
            </w:r>
          </w:p>
        </w:tc>
        <w:tc>
          <w:tcPr>
            <w:tcW w:w="2079"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Times New Roman" w:hAnsi="Times New Roman" w:cs="Times New Roman"/>
                <w:color w:val="000000"/>
              </w:rPr>
              <w:t>281</w:t>
            </w:r>
          </w:p>
        </w:tc>
        <w:tc>
          <w:tcPr>
            <w:tcW w:w="2079"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Times New Roman" w:hAnsi="Times New Roman" w:cs="Times New Roman"/>
                <w:color w:val="000000"/>
              </w:rPr>
              <w:t>334</w:t>
            </w:r>
          </w:p>
        </w:tc>
      </w:tr>
      <w:tr w:rsidR="00C0504B" w:rsidRPr="00500720" w:rsidTr="00A32957">
        <w:tc>
          <w:tcPr>
            <w:tcW w:w="3652" w:type="dxa"/>
            <w:vAlign w:val="center"/>
          </w:tcPr>
          <w:p w:rsidR="00C0504B" w:rsidRPr="00500720" w:rsidRDefault="00C0504B" w:rsidP="00A32957">
            <w:pPr>
              <w:spacing w:before="120" w:after="120" w:line="269" w:lineRule="auto"/>
              <w:jc w:val="both"/>
              <w:rPr>
                <w:rFonts w:ascii="Times New Roman" w:eastAsia="Times New Roman" w:hAnsi="Times New Roman" w:cs="Times New Roman"/>
                <w:color w:val="000000"/>
              </w:rPr>
            </w:pPr>
            <w:r w:rsidRPr="00500720">
              <w:rPr>
                <w:rFonts w:ascii="Times New Roman" w:eastAsia="Calibri" w:hAnsi="Times New Roman" w:cs="Times New Roman"/>
                <w:color w:val="000000"/>
              </w:rPr>
              <w:t>вспомогательный персонал</w:t>
            </w:r>
          </w:p>
        </w:tc>
        <w:tc>
          <w:tcPr>
            <w:tcW w:w="2079"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Calibri" w:hAnsi="Times New Roman" w:cs="Times New Roman"/>
                <w:color w:val="000000"/>
              </w:rPr>
              <w:t>2146</w:t>
            </w:r>
          </w:p>
        </w:tc>
        <w:tc>
          <w:tcPr>
            <w:tcW w:w="2079"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Times New Roman" w:hAnsi="Times New Roman" w:cs="Times New Roman"/>
                <w:color w:val="000000"/>
              </w:rPr>
              <w:t>1658</w:t>
            </w:r>
          </w:p>
        </w:tc>
        <w:tc>
          <w:tcPr>
            <w:tcW w:w="2079"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Times New Roman" w:hAnsi="Times New Roman" w:cs="Times New Roman"/>
                <w:color w:val="000000"/>
              </w:rPr>
              <w:t>1496</w:t>
            </w:r>
          </w:p>
        </w:tc>
      </w:tr>
      <w:tr w:rsidR="00C0504B" w:rsidRPr="00500720" w:rsidTr="00A32957">
        <w:tc>
          <w:tcPr>
            <w:tcW w:w="3652" w:type="dxa"/>
            <w:vAlign w:val="center"/>
          </w:tcPr>
          <w:p w:rsidR="00C0504B" w:rsidRPr="00500720" w:rsidRDefault="00C0504B" w:rsidP="00A32957">
            <w:pPr>
              <w:spacing w:before="120" w:after="120" w:line="269" w:lineRule="auto"/>
              <w:jc w:val="both"/>
              <w:rPr>
                <w:rFonts w:ascii="Times New Roman" w:eastAsia="Times New Roman" w:hAnsi="Times New Roman" w:cs="Times New Roman"/>
                <w:color w:val="000000"/>
              </w:rPr>
            </w:pPr>
            <w:r w:rsidRPr="00500720">
              <w:rPr>
                <w:rFonts w:ascii="Times New Roman" w:eastAsia="Calibri" w:hAnsi="Times New Roman" w:cs="Times New Roman"/>
                <w:color w:val="000000"/>
              </w:rPr>
              <w:t>прочие</w:t>
            </w:r>
          </w:p>
        </w:tc>
        <w:tc>
          <w:tcPr>
            <w:tcW w:w="2079"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Calibri" w:hAnsi="Times New Roman" w:cs="Times New Roman"/>
                <w:color w:val="000000"/>
              </w:rPr>
              <w:t>1827</w:t>
            </w:r>
          </w:p>
        </w:tc>
        <w:tc>
          <w:tcPr>
            <w:tcW w:w="2079"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Times New Roman" w:hAnsi="Times New Roman" w:cs="Times New Roman"/>
                <w:color w:val="000000"/>
              </w:rPr>
              <w:t>1695</w:t>
            </w:r>
          </w:p>
        </w:tc>
        <w:tc>
          <w:tcPr>
            <w:tcW w:w="2079"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Times New Roman" w:hAnsi="Times New Roman" w:cs="Times New Roman"/>
                <w:color w:val="000000"/>
              </w:rPr>
              <w:t>1783</w:t>
            </w:r>
          </w:p>
        </w:tc>
      </w:tr>
      <w:tr w:rsidR="00C0504B" w:rsidRPr="00500720" w:rsidTr="00A32957">
        <w:tc>
          <w:tcPr>
            <w:tcW w:w="3652" w:type="dxa"/>
            <w:vAlign w:val="center"/>
          </w:tcPr>
          <w:p w:rsidR="00C0504B" w:rsidRPr="00500720" w:rsidRDefault="00C0504B" w:rsidP="00A32957">
            <w:pPr>
              <w:spacing w:before="120" w:after="120" w:line="269" w:lineRule="auto"/>
              <w:jc w:val="both"/>
              <w:rPr>
                <w:rFonts w:ascii="Times New Roman" w:eastAsia="Times New Roman" w:hAnsi="Times New Roman" w:cs="Times New Roman"/>
                <w:color w:val="000000"/>
              </w:rPr>
            </w:pPr>
            <w:r w:rsidRPr="00500720">
              <w:rPr>
                <w:rFonts w:ascii="Times New Roman" w:eastAsia="Calibri" w:hAnsi="Times New Roman" w:cs="Times New Roman"/>
                <w:color w:val="000000"/>
              </w:rPr>
              <w:t>Из общей численности специалисты с высшим образованием</w:t>
            </w:r>
          </w:p>
        </w:tc>
        <w:tc>
          <w:tcPr>
            <w:tcW w:w="2079"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Calibri" w:hAnsi="Times New Roman" w:cs="Times New Roman"/>
                <w:color w:val="000000"/>
              </w:rPr>
              <w:t>4656</w:t>
            </w:r>
          </w:p>
        </w:tc>
        <w:tc>
          <w:tcPr>
            <w:tcW w:w="2079"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Times New Roman" w:hAnsi="Times New Roman" w:cs="Times New Roman"/>
                <w:color w:val="000000"/>
              </w:rPr>
              <w:t>3979</w:t>
            </w:r>
          </w:p>
        </w:tc>
        <w:tc>
          <w:tcPr>
            <w:tcW w:w="2079"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Times New Roman" w:hAnsi="Times New Roman" w:cs="Times New Roman"/>
                <w:color w:val="000000"/>
              </w:rPr>
              <w:t>4300</w:t>
            </w:r>
          </w:p>
        </w:tc>
      </w:tr>
      <w:tr w:rsidR="00C0504B" w:rsidRPr="00500720" w:rsidTr="00A32957">
        <w:tc>
          <w:tcPr>
            <w:tcW w:w="3652" w:type="dxa"/>
            <w:vAlign w:val="center"/>
          </w:tcPr>
          <w:p w:rsidR="00C0504B" w:rsidRPr="00500720" w:rsidRDefault="00C0504B" w:rsidP="00A32957">
            <w:pPr>
              <w:spacing w:before="120" w:after="120" w:line="269" w:lineRule="auto"/>
              <w:jc w:val="both"/>
              <w:rPr>
                <w:rFonts w:ascii="Times New Roman" w:eastAsia="Times New Roman" w:hAnsi="Times New Roman" w:cs="Times New Roman"/>
                <w:color w:val="000000"/>
              </w:rPr>
            </w:pPr>
            <w:r w:rsidRPr="00500720">
              <w:rPr>
                <w:rFonts w:ascii="Times New Roman" w:eastAsia="Calibri" w:hAnsi="Times New Roman" w:cs="Times New Roman"/>
                <w:color w:val="000000"/>
              </w:rPr>
              <w:t>доктора наук</w:t>
            </w:r>
          </w:p>
        </w:tc>
        <w:tc>
          <w:tcPr>
            <w:tcW w:w="2079"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Calibri" w:hAnsi="Times New Roman" w:cs="Times New Roman"/>
                <w:color w:val="000000"/>
              </w:rPr>
              <w:t>110</w:t>
            </w:r>
          </w:p>
        </w:tc>
        <w:tc>
          <w:tcPr>
            <w:tcW w:w="2079"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Times New Roman" w:hAnsi="Times New Roman" w:cs="Times New Roman"/>
                <w:color w:val="000000"/>
              </w:rPr>
              <w:t>103</w:t>
            </w:r>
          </w:p>
        </w:tc>
        <w:tc>
          <w:tcPr>
            <w:tcW w:w="2079"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Times New Roman" w:hAnsi="Times New Roman" w:cs="Times New Roman"/>
                <w:color w:val="000000"/>
              </w:rPr>
              <w:t>103</w:t>
            </w:r>
          </w:p>
        </w:tc>
      </w:tr>
      <w:tr w:rsidR="00C0504B" w:rsidRPr="00500720" w:rsidTr="00A32957">
        <w:tc>
          <w:tcPr>
            <w:tcW w:w="3652" w:type="dxa"/>
            <w:vAlign w:val="center"/>
          </w:tcPr>
          <w:p w:rsidR="00C0504B" w:rsidRPr="00500720" w:rsidRDefault="00C0504B" w:rsidP="00A32957">
            <w:pPr>
              <w:spacing w:before="120" w:after="120" w:line="269" w:lineRule="auto"/>
              <w:jc w:val="both"/>
              <w:rPr>
                <w:rFonts w:ascii="Times New Roman" w:eastAsia="Times New Roman" w:hAnsi="Times New Roman" w:cs="Times New Roman"/>
                <w:color w:val="000000"/>
              </w:rPr>
            </w:pPr>
            <w:r w:rsidRPr="00500720">
              <w:rPr>
                <w:rFonts w:ascii="Times New Roman" w:eastAsia="Calibri" w:hAnsi="Times New Roman" w:cs="Times New Roman"/>
                <w:color w:val="000000"/>
              </w:rPr>
              <w:t>кандидаты наук</w:t>
            </w:r>
          </w:p>
        </w:tc>
        <w:tc>
          <w:tcPr>
            <w:tcW w:w="2079"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Calibri" w:hAnsi="Times New Roman" w:cs="Times New Roman"/>
                <w:color w:val="000000"/>
              </w:rPr>
              <w:t>467</w:t>
            </w:r>
          </w:p>
        </w:tc>
        <w:tc>
          <w:tcPr>
            <w:tcW w:w="2079"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Times New Roman" w:hAnsi="Times New Roman" w:cs="Times New Roman"/>
                <w:color w:val="000000"/>
              </w:rPr>
              <w:t>377</w:t>
            </w:r>
          </w:p>
        </w:tc>
        <w:tc>
          <w:tcPr>
            <w:tcW w:w="2079" w:type="dxa"/>
            <w:vAlign w:val="center"/>
          </w:tcPr>
          <w:p w:rsidR="00C0504B" w:rsidRPr="00500720" w:rsidRDefault="00C0504B" w:rsidP="00A32957">
            <w:pPr>
              <w:spacing w:before="120" w:after="120" w:line="269" w:lineRule="auto"/>
              <w:jc w:val="center"/>
              <w:rPr>
                <w:rFonts w:ascii="Times New Roman" w:eastAsia="Times New Roman" w:hAnsi="Times New Roman" w:cs="Times New Roman"/>
                <w:color w:val="000000"/>
              </w:rPr>
            </w:pPr>
            <w:r w:rsidRPr="00500720">
              <w:rPr>
                <w:rFonts w:ascii="Times New Roman" w:eastAsia="Times New Roman" w:hAnsi="Times New Roman" w:cs="Times New Roman"/>
                <w:color w:val="000000"/>
              </w:rPr>
              <w:t>392</w:t>
            </w:r>
          </w:p>
        </w:tc>
      </w:tr>
    </w:tbl>
    <w:p w:rsidR="00C0504B" w:rsidRPr="00500720" w:rsidRDefault="00C0504B" w:rsidP="00C0504B">
      <w:pPr>
        <w:spacing w:after="0" w:line="360" w:lineRule="auto"/>
        <w:ind w:firstLine="709"/>
        <w:jc w:val="both"/>
        <w:rPr>
          <w:rFonts w:ascii="Times New Roman" w:eastAsia="Times New Roman" w:hAnsi="Times New Roman" w:cs="Times New Roman"/>
          <w:color w:val="000000"/>
          <w:sz w:val="28"/>
          <w:szCs w:val="28"/>
          <w:lang w:eastAsia="ru-RU"/>
        </w:rPr>
      </w:pPr>
    </w:p>
    <w:p w:rsidR="00C0504B" w:rsidRPr="00221A36" w:rsidRDefault="00C0504B" w:rsidP="00C0504B">
      <w:pPr>
        <w:keepNext/>
        <w:keepLines/>
        <w:spacing w:before="40" w:after="0" w:line="240" w:lineRule="auto"/>
        <w:jc w:val="center"/>
        <w:outlineLvl w:val="2"/>
        <w:rPr>
          <w:rFonts w:ascii="Times New Roman" w:eastAsia="Times New Roman" w:hAnsi="Times New Roman" w:cs="Times New Roman"/>
          <w:color w:val="000000"/>
          <w:sz w:val="28"/>
          <w:szCs w:val="28"/>
          <w:lang w:eastAsia="ru-RU"/>
        </w:rPr>
      </w:pPr>
      <w:bookmarkStart w:id="100" w:name="_Toc122720279"/>
      <w:r w:rsidRPr="00221A36">
        <w:rPr>
          <w:rFonts w:ascii="Times New Roman" w:eastAsia="Times New Roman" w:hAnsi="Times New Roman" w:cs="Times New Roman"/>
          <w:b/>
          <w:bCs/>
          <w:color w:val="000000"/>
          <w:sz w:val="24"/>
          <w:szCs w:val="24"/>
          <w:lang w:eastAsia="ru-RU"/>
        </w:rPr>
        <w:t>3.10.3</w:t>
      </w:r>
      <w:bookmarkEnd w:id="100"/>
      <w:r>
        <w:rPr>
          <w:rFonts w:ascii="Times New Roman" w:eastAsia="Times New Roman" w:hAnsi="Times New Roman" w:cs="Times New Roman"/>
          <w:color w:val="000000"/>
          <w:sz w:val="28"/>
          <w:szCs w:val="28"/>
          <w:lang w:eastAsia="ru-RU"/>
        </w:rPr>
        <w:t xml:space="preserve"> </w:t>
      </w:r>
      <w:r w:rsidRPr="00221A36">
        <w:rPr>
          <w:rFonts w:ascii="Times New Roman" w:hAnsi="Times New Roman" w:cs="Times New Roman"/>
          <w:b/>
          <w:sz w:val="24"/>
          <w:szCs w:val="24"/>
        </w:rPr>
        <w:t>Цифровизация экономики и формирования ее новых рынков и секторов</w:t>
      </w:r>
    </w:p>
    <w:p w:rsidR="00C0504B" w:rsidRDefault="00C0504B" w:rsidP="00C0504B">
      <w:pPr>
        <w:spacing w:after="0" w:line="360" w:lineRule="auto"/>
        <w:ind w:firstLine="709"/>
        <w:jc w:val="both"/>
        <w:rPr>
          <w:rFonts w:ascii="Times New Roman" w:hAnsi="Times New Roman" w:cs="Times New Roman"/>
          <w:sz w:val="24"/>
          <w:szCs w:val="24"/>
        </w:rPr>
      </w:pPr>
    </w:p>
    <w:p w:rsidR="00C0504B" w:rsidRPr="00221A36" w:rsidRDefault="00C0504B" w:rsidP="00C0504B">
      <w:pPr>
        <w:spacing w:after="0" w:line="360" w:lineRule="auto"/>
        <w:ind w:firstLine="709"/>
        <w:jc w:val="both"/>
        <w:rPr>
          <w:rFonts w:ascii="Times New Roman" w:eastAsia="Times New Roman" w:hAnsi="Times New Roman" w:cs="Times New Roman"/>
          <w:sz w:val="24"/>
          <w:szCs w:val="24"/>
          <w:lang w:eastAsia="ru-RU"/>
        </w:rPr>
      </w:pPr>
      <w:r w:rsidRPr="00221A36">
        <w:rPr>
          <w:rFonts w:ascii="Times New Roman" w:eastAsia="Times New Roman" w:hAnsi="Times New Roman" w:cs="Times New Roman"/>
          <w:sz w:val="24"/>
          <w:szCs w:val="24"/>
          <w:lang w:eastAsia="ru-RU"/>
        </w:rPr>
        <w:t>По итогам 2022 года в Ленинградской области зарегистрирован рост числа пользователей фиксированного и мобильного Интернета, а также увеличение трафика передачи данных, в том числе по технологии 4G (LTE). В регионе заметно увеличились зоны охвата сетями мобильной связи и количества предоставляемых ими услуг и сервисов.</w:t>
      </w:r>
    </w:p>
    <w:p w:rsidR="00C0504B" w:rsidRPr="00221A36" w:rsidRDefault="00C0504B" w:rsidP="00C0504B">
      <w:pPr>
        <w:spacing w:after="0" w:line="360" w:lineRule="auto"/>
        <w:ind w:firstLine="709"/>
        <w:jc w:val="both"/>
        <w:rPr>
          <w:rFonts w:ascii="Times New Roman" w:eastAsia="Times New Roman" w:hAnsi="Times New Roman" w:cs="Times New Roman"/>
          <w:sz w:val="24"/>
          <w:szCs w:val="24"/>
          <w:lang w:eastAsia="ru-RU"/>
        </w:rPr>
      </w:pPr>
      <w:r w:rsidRPr="00221A36">
        <w:rPr>
          <w:rFonts w:ascii="Times New Roman" w:eastAsia="Times New Roman" w:hAnsi="Times New Roman" w:cs="Times New Roman"/>
          <w:sz w:val="24"/>
          <w:szCs w:val="24"/>
          <w:lang w:eastAsia="ru-RU"/>
        </w:rPr>
        <w:t>В части мобильной связи за 2022 год в Ленинградской области введено в эксплуатацию более 1 600 новых базовых станций, в том числе по технологии 4G (LTE). Это позволило не только увеличить площадь покрытия территории региона, но также повысить качество связи в густонаселённых районах (Кудрово, Мурино, Новое Девяткино, Сертолово, Янино и др.).</w:t>
      </w:r>
    </w:p>
    <w:p w:rsidR="00C0504B" w:rsidRPr="00221A36" w:rsidRDefault="00C0504B" w:rsidP="00C0504B">
      <w:pPr>
        <w:spacing w:after="0" w:line="360" w:lineRule="auto"/>
        <w:ind w:firstLine="709"/>
        <w:jc w:val="both"/>
        <w:rPr>
          <w:rFonts w:ascii="Times New Roman" w:eastAsia="Times New Roman" w:hAnsi="Times New Roman" w:cs="Times New Roman"/>
          <w:sz w:val="24"/>
          <w:szCs w:val="24"/>
          <w:lang w:eastAsia="ru-RU"/>
        </w:rPr>
      </w:pPr>
      <w:r w:rsidRPr="00221A36">
        <w:rPr>
          <w:rFonts w:ascii="Times New Roman" w:eastAsia="Times New Roman" w:hAnsi="Times New Roman" w:cs="Times New Roman"/>
          <w:sz w:val="24"/>
          <w:szCs w:val="24"/>
          <w:lang w:eastAsia="ru-RU"/>
        </w:rPr>
        <w:t>За счёт ввода в эксплуатацию новых базовых станций и рефарминга частот охват мобильной связью стандарта LTE (4G) на территории Ленинградской области увеличился более чем на 2,5 %.</w:t>
      </w:r>
    </w:p>
    <w:p w:rsidR="00C0504B" w:rsidRPr="00221A36" w:rsidRDefault="00C0504B" w:rsidP="00C0504B">
      <w:pPr>
        <w:spacing w:after="0" w:line="360" w:lineRule="auto"/>
        <w:ind w:firstLine="709"/>
        <w:jc w:val="both"/>
        <w:rPr>
          <w:rFonts w:ascii="Times New Roman" w:eastAsia="Times New Roman" w:hAnsi="Times New Roman" w:cs="Times New Roman"/>
          <w:sz w:val="24"/>
          <w:szCs w:val="24"/>
          <w:lang w:eastAsia="ru-RU"/>
        </w:rPr>
      </w:pPr>
      <w:r w:rsidRPr="00221A36">
        <w:rPr>
          <w:rFonts w:ascii="Times New Roman" w:eastAsia="Times New Roman" w:hAnsi="Times New Roman" w:cs="Times New Roman"/>
          <w:sz w:val="24"/>
          <w:szCs w:val="24"/>
          <w:lang w:eastAsia="ru-RU"/>
        </w:rPr>
        <w:t>Отдельно отмечаем продолжение реализации в 2022 году Федерального проекта «Устранение цифрового неравенства» (УЦН 2.0).</w:t>
      </w:r>
    </w:p>
    <w:p w:rsidR="00C0504B" w:rsidRPr="00221A36" w:rsidRDefault="00C0504B" w:rsidP="00C0504B">
      <w:pPr>
        <w:spacing w:after="0" w:line="360" w:lineRule="auto"/>
        <w:ind w:firstLine="709"/>
        <w:jc w:val="both"/>
        <w:rPr>
          <w:rFonts w:ascii="Times New Roman" w:eastAsia="Times New Roman" w:hAnsi="Times New Roman" w:cs="Times New Roman"/>
          <w:sz w:val="24"/>
          <w:szCs w:val="24"/>
          <w:lang w:eastAsia="ru-RU"/>
        </w:rPr>
      </w:pPr>
      <w:r w:rsidRPr="00221A36">
        <w:rPr>
          <w:rFonts w:ascii="Times New Roman" w:eastAsia="Times New Roman" w:hAnsi="Times New Roman" w:cs="Times New Roman"/>
          <w:sz w:val="24"/>
          <w:szCs w:val="24"/>
          <w:lang w:eastAsia="ru-RU"/>
        </w:rPr>
        <w:t>Во втором полугодии деревня Лукинская Подпорожского района Ленинградской области подключена к услугам мобильной связи, и теперь жители деревни могут пользоваться мобильной связью, в том числе скоростным интернетом. Ранее населенный пункт, расположенный на самом востоке области, на расстоянии более 300 км от Санкт-Петербурга, не входил в зону покрытия ни одного оператора.</w:t>
      </w:r>
    </w:p>
    <w:p w:rsidR="00C0504B" w:rsidRPr="00221A36" w:rsidRDefault="00C0504B" w:rsidP="00C0504B">
      <w:pPr>
        <w:spacing w:after="0" w:line="360" w:lineRule="auto"/>
        <w:ind w:firstLine="709"/>
        <w:jc w:val="both"/>
        <w:rPr>
          <w:rFonts w:ascii="Times New Roman" w:eastAsia="Times New Roman" w:hAnsi="Times New Roman" w:cs="Times New Roman"/>
          <w:sz w:val="24"/>
          <w:szCs w:val="24"/>
          <w:lang w:eastAsia="ru-RU"/>
        </w:rPr>
      </w:pPr>
      <w:r w:rsidRPr="00221A36">
        <w:rPr>
          <w:rFonts w:ascii="Times New Roman" w:eastAsia="Times New Roman" w:hAnsi="Times New Roman" w:cs="Times New Roman"/>
          <w:sz w:val="24"/>
          <w:szCs w:val="24"/>
          <w:lang w:eastAsia="ru-RU"/>
        </w:rPr>
        <w:t>Программа УЦН 2.0 предусматривает появление современной мобильной связи, включая высокоскоростной доступ в Интернет, в малых населённых пунктах с численностью жителей от 100 до 500 человек.</w:t>
      </w:r>
    </w:p>
    <w:p w:rsidR="00C0504B" w:rsidRPr="00221A36" w:rsidRDefault="00C0504B" w:rsidP="00C0504B">
      <w:pPr>
        <w:spacing w:after="0" w:line="360" w:lineRule="auto"/>
        <w:ind w:firstLine="709"/>
        <w:jc w:val="both"/>
        <w:rPr>
          <w:rFonts w:ascii="Times New Roman" w:eastAsia="Times New Roman" w:hAnsi="Times New Roman" w:cs="Times New Roman"/>
          <w:sz w:val="24"/>
          <w:szCs w:val="24"/>
          <w:lang w:eastAsia="ru-RU"/>
        </w:rPr>
      </w:pPr>
      <w:r w:rsidRPr="00221A36">
        <w:rPr>
          <w:rFonts w:ascii="Times New Roman" w:eastAsia="Times New Roman" w:hAnsi="Times New Roman" w:cs="Times New Roman"/>
          <w:sz w:val="24"/>
          <w:szCs w:val="24"/>
          <w:lang w:eastAsia="ru-RU"/>
        </w:rPr>
        <w:t>Для решения обозначенных задач планируется как размещение и использование новых базовых станций подвижной радиотелефонной связи, так и развитие транспортной сети передачи данных за счёт строительства волоконно-оптических и радиорелейных линий связи.</w:t>
      </w:r>
    </w:p>
    <w:p w:rsidR="00C0504B" w:rsidRPr="00221A36" w:rsidRDefault="00C0504B" w:rsidP="00C0504B">
      <w:pPr>
        <w:spacing w:after="0" w:line="360" w:lineRule="auto"/>
        <w:ind w:firstLine="709"/>
        <w:jc w:val="both"/>
        <w:rPr>
          <w:rFonts w:ascii="Times New Roman" w:eastAsia="Times New Roman" w:hAnsi="Times New Roman" w:cs="Times New Roman"/>
          <w:sz w:val="24"/>
          <w:szCs w:val="24"/>
          <w:lang w:eastAsia="ru-RU"/>
        </w:rPr>
      </w:pPr>
      <w:r w:rsidRPr="00221A36">
        <w:rPr>
          <w:rFonts w:ascii="Times New Roman" w:eastAsia="Times New Roman" w:hAnsi="Times New Roman" w:cs="Times New Roman"/>
          <w:sz w:val="24"/>
          <w:szCs w:val="24"/>
          <w:lang w:eastAsia="ru-RU"/>
        </w:rPr>
        <w:t xml:space="preserve">В части стационарной связи в 2022 году протяжённость волоконно-оптических линий связи ПАО «Ростелеком», крупнейшего оператора, предоставляющего услуги связи на территории региона, увеличилась на 18,2%. </w:t>
      </w:r>
    </w:p>
    <w:p w:rsidR="00C0504B" w:rsidRPr="00221A36" w:rsidRDefault="00C0504B" w:rsidP="00C0504B">
      <w:pPr>
        <w:spacing w:after="0" w:line="360" w:lineRule="auto"/>
        <w:ind w:firstLine="709"/>
        <w:jc w:val="both"/>
        <w:rPr>
          <w:rFonts w:ascii="Times New Roman" w:eastAsia="Times New Roman" w:hAnsi="Times New Roman" w:cs="Times New Roman"/>
          <w:sz w:val="24"/>
          <w:szCs w:val="24"/>
          <w:lang w:eastAsia="ru-RU"/>
        </w:rPr>
      </w:pPr>
      <w:r w:rsidRPr="00221A36">
        <w:rPr>
          <w:rFonts w:ascii="Times New Roman" w:eastAsia="Times New Roman" w:hAnsi="Times New Roman" w:cs="Times New Roman"/>
          <w:sz w:val="24"/>
          <w:szCs w:val="24"/>
          <w:lang w:eastAsia="ru-RU"/>
        </w:rPr>
        <w:t>За год волоконно-оптические линии связи появились в 52 населённых пунктах Ленинградской области. Возможность получения услуги высокоскоростного доступа в сеть Интернет появилась у  21 489 домохозяйств.</w:t>
      </w:r>
    </w:p>
    <w:p w:rsidR="00C0504B" w:rsidRPr="00221A36" w:rsidRDefault="00C0504B" w:rsidP="00C0504B">
      <w:pPr>
        <w:spacing w:after="0" w:line="360" w:lineRule="auto"/>
        <w:ind w:firstLine="709"/>
        <w:jc w:val="both"/>
        <w:rPr>
          <w:rFonts w:ascii="Times New Roman" w:eastAsia="Times New Roman" w:hAnsi="Times New Roman" w:cs="Times New Roman"/>
          <w:sz w:val="24"/>
          <w:szCs w:val="24"/>
          <w:lang w:eastAsia="ru-RU"/>
        </w:rPr>
      </w:pPr>
      <w:r w:rsidRPr="00221A36">
        <w:rPr>
          <w:rFonts w:ascii="Times New Roman" w:eastAsia="Times New Roman" w:hAnsi="Times New Roman" w:cs="Times New Roman"/>
          <w:sz w:val="24"/>
          <w:szCs w:val="24"/>
          <w:lang w:eastAsia="ru-RU"/>
        </w:rPr>
        <w:t>По итогам 2022 года:</w:t>
      </w:r>
    </w:p>
    <w:p w:rsidR="00C0504B" w:rsidRPr="00221A36" w:rsidRDefault="00C0504B" w:rsidP="00C0504B">
      <w:pPr>
        <w:widowControl w:val="0"/>
        <w:numPr>
          <w:ilvl w:val="0"/>
          <w:numId w:val="34"/>
        </w:numPr>
        <w:tabs>
          <w:tab w:val="left" w:pos="1134"/>
        </w:tabs>
        <w:autoSpaceDE w:val="0"/>
        <w:autoSpaceDN w:val="0"/>
        <w:adjustRightInd w:val="0"/>
        <w:spacing w:after="0" w:line="360" w:lineRule="auto"/>
        <w:ind w:left="0" w:firstLine="709"/>
        <w:contextualSpacing/>
        <w:jc w:val="both"/>
        <w:rPr>
          <w:rFonts w:ascii="Times New Roman" w:eastAsia="Calibri" w:hAnsi="Times New Roman" w:cs="Times New Roman"/>
          <w:sz w:val="24"/>
          <w:szCs w:val="24"/>
        </w:rPr>
      </w:pPr>
      <w:r w:rsidRPr="00221A36">
        <w:rPr>
          <w:rFonts w:ascii="Times New Roman" w:eastAsia="Calibri" w:hAnsi="Times New Roman" w:cs="Times New Roman"/>
          <w:sz w:val="24"/>
          <w:szCs w:val="24"/>
        </w:rPr>
        <w:t>спрос на услугу «проводной стационарный телефон» со стороны физических лиц снизился на 12,1%, со стороны юридических лиц снизился на 5,6%;</w:t>
      </w:r>
    </w:p>
    <w:p w:rsidR="00C0504B" w:rsidRPr="00221A36" w:rsidRDefault="00C0504B" w:rsidP="00C0504B">
      <w:pPr>
        <w:widowControl w:val="0"/>
        <w:numPr>
          <w:ilvl w:val="0"/>
          <w:numId w:val="34"/>
        </w:numPr>
        <w:tabs>
          <w:tab w:val="left" w:pos="1134"/>
        </w:tabs>
        <w:autoSpaceDE w:val="0"/>
        <w:autoSpaceDN w:val="0"/>
        <w:adjustRightInd w:val="0"/>
        <w:spacing w:after="0" w:line="360" w:lineRule="auto"/>
        <w:ind w:left="0" w:firstLine="709"/>
        <w:contextualSpacing/>
        <w:jc w:val="both"/>
        <w:rPr>
          <w:rFonts w:ascii="Times New Roman" w:eastAsia="Calibri" w:hAnsi="Times New Roman" w:cs="Times New Roman"/>
          <w:sz w:val="24"/>
          <w:szCs w:val="24"/>
        </w:rPr>
      </w:pPr>
      <w:r w:rsidRPr="00221A36">
        <w:rPr>
          <w:rFonts w:ascii="Times New Roman" w:eastAsia="Calibri" w:hAnsi="Times New Roman" w:cs="Times New Roman"/>
          <w:sz w:val="24"/>
          <w:szCs w:val="24"/>
        </w:rPr>
        <w:t>спрос на услугу доступа в сеть Интернет по технологиям проводной связи со стороны физических лиц увеличился на 0,95%, со стороны юридических лиц снизился на 2,4%;</w:t>
      </w:r>
    </w:p>
    <w:p w:rsidR="00C0504B" w:rsidRPr="00221A36" w:rsidRDefault="00C0504B" w:rsidP="00C0504B">
      <w:pPr>
        <w:widowControl w:val="0"/>
        <w:numPr>
          <w:ilvl w:val="0"/>
          <w:numId w:val="34"/>
        </w:numPr>
        <w:tabs>
          <w:tab w:val="left" w:pos="1134"/>
        </w:tabs>
        <w:autoSpaceDE w:val="0"/>
        <w:autoSpaceDN w:val="0"/>
        <w:adjustRightInd w:val="0"/>
        <w:spacing w:after="0" w:line="360" w:lineRule="auto"/>
        <w:ind w:left="0" w:firstLine="709"/>
        <w:contextualSpacing/>
        <w:jc w:val="both"/>
        <w:rPr>
          <w:rFonts w:ascii="Times New Roman" w:eastAsia="Calibri" w:hAnsi="Times New Roman" w:cs="Times New Roman"/>
          <w:sz w:val="24"/>
          <w:szCs w:val="24"/>
        </w:rPr>
      </w:pPr>
      <w:r w:rsidRPr="00221A36">
        <w:rPr>
          <w:rFonts w:ascii="Times New Roman" w:eastAsia="Calibri" w:hAnsi="Times New Roman" w:cs="Times New Roman"/>
          <w:sz w:val="24"/>
          <w:szCs w:val="24"/>
        </w:rPr>
        <w:t>спрос на услугу цифрового телевидения IP-TV со стороны физических лиц увеличился на 7%, со стороны юридических лиц увеличился на 4,7%.</w:t>
      </w:r>
    </w:p>
    <w:p w:rsidR="00C0504B" w:rsidRPr="00221A36" w:rsidRDefault="00C0504B" w:rsidP="00C0504B">
      <w:pPr>
        <w:spacing w:after="0" w:line="360" w:lineRule="auto"/>
        <w:ind w:firstLine="709"/>
        <w:jc w:val="both"/>
        <w:rPr>
          <w:rFonts w:ascii="Times New Roman" w:eastAsia="Times New Roman" w:hAnsi="Times New Roman" w:cs="Times New Roman"/>
          <w:sz w:val="24"/>
          <w:szCs w:val="24"/>
          <w:lang w:eastAsia="ru-RU"/>
        </w:rPr>
      </w:pPr>
      <w:r w:rsidRPr="00221A36">
        <w:rPr>
          <w:rFonts w:ascii="Times New Roman" w:eastAsia="Times New Roman" w:hAnsi="Times New Roman" w:cs="Times New Roman"/>
          <w:sz w:val="24"/>
          <w:szCs w:val="24"/>
          <w:lang w:eastAsia="ru-RU"/>
        </w:rPr>
        <w:t>В части цифрового эфирного наземного телерадиовещания по состоянию на 31 декабря 2022 года в региональной сети цифрового эфирного наземного телерадиовещания для эфирной трансляции пакетов программ первого и второго мультиплексов и радиопрограмм в аналоговом формате на территории Ленинградской области задействованы 72 цифровых телерадиовещательных передающих комплекса.</w:t>
      </w:r>
    </w:p>
    <w:p w:rsidR="00C0504B" w:rsidRPr="00221A36" w:rsidRDefault="00C0504B" w:rsidP="00C0504B">
      <w:pPr>
        <w:spacing w:after="0" w:line="360" w:lineRule="auto"/>
        <w:ind w:firstLine="709"/>
        <w:jc w:val="both"/>
        <w:rPr>
          <w:rFonts w:ascii="Times New Roman" w:eastAsia="Times New Roman" w:hAnsi="Times New Roman" w:cs="Times New Roman"/>
          <w:sz w:val="24"/>
          <w:szCs w:val="24"/>
          <w:lang w:eastAsia="ru-RU"/>
        </w:rPr>
      </w:pPr>
      <w:r w:rsidRPr="00221A36">
        <w:rPr>
          <w:rFonts w:ascii="Times New Roman" w:eastAsia="Times New Roman" w:hAnsi="Times New Roman" w:cs="Times New Roman"/>
          <w:sz w:val="24"/>
          <w:szCs w:val="24"/>
          <w:lang w:eastAsia="ru-RU"/>
        </w:rPr>
        <w:t xml:space="preserve">Охват населения Ленинградской области вещанием бесплатного пакета программ первого и второго мультиплексов в составе 20-ти федеральных программ и трёх радиопрограмм (Радио «Россия», «Вести </w:t>
      </w:r>
      <w:r w:rsidRPr="00221A36">
        <w:rPr>
          <w:rFonts w:ascii="Times New Roman" w:eastAsia="Times New Roman" w:hAnsi="Times New Roman" w:cs="Times New Roman"/>
          <w:sz w:val="24"/>
          <w:szCs w:val="24"/>
          <w:lang w:val="en-US" w:eastAsia="ru-RU"/>
        </w:rPr>
        <w:t>FM</w:t>
      </w:r>
      <w:r w:rsidRPr="00221A36">
        <w:rPr>
          <w:rFonts w:ascii="Times New Roman" w:eastAsia="Times New Roman" w:hAnsi="Times New Roman" w:cs="Times New Roman"/>
          <w:sz w:val="24"/>
          <w:szCs w:val="24"/>
          <w:lang w:eastAsia="ru-RU"/>
        </w:rPr>
        <w:t>», Радио «Маяк») составил: 98,91% (Первый мультиплекс, РТРС-1), 96,31% (Второй мультиплекс, РТРС-2).</w:t>
      </w:r>
    </w:p>
    <w:p w:rsidR="00C0504B" w:rsidRPr="00221A36" w:rsidRDefault="00C0504B" w:rsidP="00C0504B">
      <w:pPr>
        <w:spacing w:after="0" w:line="360" w:lineRule="auto"/>
        <w:ind w:firstLine="709"/>
        <w:jc w:val="both"/>
        <w:rPr>
          <w:rFonts w:ascii="Times New Roman" w:eastAsia="Times New Roman" w:hAnsi="Times New Roman" w:cs="Times New Roman"/>
          <w:sz w:val="24"/>
          <w:szCs w:val="24"/>
          <w:lang w:eastAsia="ru-RU"/>
        </w:rPr>
      </w:pPr>
      <w:r w:rsidRPr="00221A36">
        <w:rPr>
          <w:rFonts w:ascii="Times New Roman" w:eastAsia="Times New Roman" w:hAnsi="Times New Roman" w:cs="Times New Roman"/>
          <w:sz w:val="24"/>
          <w:szCs w:val="24"/>
          <w:lang w:eastAsia="ru-RU"/>
        </w:rPr>
        <w:t>Во взаимодействии с органами местного самоуправления Ленинградской области, Комитетом цифрового развития Ленинградской области и филиалом Российской телевизионной и радиовещательной сети «Санкт-Петербургский региональный центр» в 2022 году предоставлены консультации, а также оказано иное содействие по трём тысячам восьмисот шестидесяти девяти обращениям телезрителей региона по вопросам доступа и просмотра программ РТРС-1 и РТРС-2.</w:t>
      </w:r>
    </w:p>
    <w:p w:rsidR="00C0504B" w:rsidRPr="00221A36" w:rsidRDefault="00C0504B" w:rsidP="00C0504B">
      <w:pPr>
        <w:spacing w:after="0" w:line="360" w:lineRule="auto"/>
        <w:ind w:firstLine="709"/>
        <w:jc w:val="both"/>
        <w:rPr>
          <w:rFonts w:ascii="Times New Roman" w:eastAsia="Times New Roman" w:hAnsi="Times New Roman" w:cs="Times New Roman"/>
          <w:sz w:val="24"/>
          <w:szCs w:val="24"/>
          <w:lang w:eastAsia="ru-RU"/>
        </w:rPr>
      </w:pPr>
      <w:r w:rsidRPr="00221A36">
        <w:rPr>
          <w:rFonts w:ascii="Times New Roman" w:eastAsia="Times New Roman" w:hAnsi="Times New Roman" w:cs="Times New Roman"/>
          <w:sz w:val="24"/>
          <w:szCs w:val="24"/>
          <w:lang w:eastAsia="ru-RU"/>
        </w:rPr>
        <w:t xml:space="preserve">В части услуг почтовой связи Управление федеральной почтовой связи Санкт-Петербурга и Ленинградской области - Филиал АО «Почта России» (далее – АО «Почта России») на территории Ленинградской области располагает сетью, состоящей из 428 функционирующих отделений почтовой связи (далее – ОПС), в том числе: </w:t>
      </w:r>
      <w:r w:rsidRPr="00221A36">
        <w:rPr>
          <w:rFonts w:ascii="Times New Roman" w:eastAsia="Times New Roman" w:hAnsi="Times New Roman" w:cs="Times New Roman"/>
          <w:sz w:val="24"/>
          <w:szCs w:val="24"/>
          <w:shd w:val="clear" w:color="auto" w:fill="FFFFFF"/>
          <w:lang w:eastAsia="ru-RU"/>
        </w:rPr>
        <w:t>городского типа – 137, сельского – 276, передвижных – 15. Из 428 функционирующих ОПС убыточными являются 341 ОПС (79,67 %), что на 7,17% выше по сравнению с данными 2021 года.</w:t>
      </w:r>
    </w:p>
    <w:p w:rsidR="00C0504B" w:rsidRPr="00221A36" w:rsidRDefault="00C0504B" w:rsidP="00C0504B">
      <w:pPr>
        <w:spacing w:after="0" w:line="360" w:lineRule="auto"/>
        <w:ind w:firstLine="709"/>
        <w:jc w:val="both"/>
        <w:rPr>
          <w:rFonts w:ascii="Times New Roman" w:eastAsia="Times New Roman" w:hAnsi="Times New Roman" w:cs="Times New Roman"/>
          <w:sz w:val="24"/>
          <w:szCs w:val="24"/>
          <w:lang w:eastAsia="ru-RU"/>
        </w:rPr>
      </w:pPr>
      <w:r w:rsidRPr="00221A36">
        <w:rPr>
          <w:rFonts w:ascii="Times New Roman" w:eastAsia="Times New Roman" w:hAnsi="Times New Roman" w:cs="Times New Roman"/>
          <w:sz w:val="24"/>
          <w:szCs w:val="24"/>
          <w:lang w:eastAsia="ru-RU"/>
        </w:rPr>
        <w:t>Укомплектованность штата сотрудников ОПС по состоянию на 31 декабря 2022 года составляет 91,7 %. Средняя заработная плата работников почтовой связи в регионе составила 31 690 руб., что на 22,3 % выше средней заработной платы в 2021 году (25 911 руб.).</w:t>
      </w:r>
    </w:p>
    <w:p w:rsidR="00C0504B" w:rsidRPr="00221A36" w:rsidRDefault="00C0504B" w:rsidP="00C0504B">
      <w:pPr>
        <w:spacing w:after="0" w:line="360" w:lineRule="auto"/>
        <w:ind w:firstLine="709"/>
        <w:jc w:val="both"/>
        <w:rPr>
          <w:rFonts w:ascii="Times New Roman" w:eastAsia="Times New Roman" w:hAnsi="Times New Roman" w:cs="Times New Roman"/>
          <w:sz w:val="24"/>
          <w:szCs w:val="24"/>
          <w:lang w:eastAsia="ru-RU"/>
        </w:rPr>
      </w:pPr>
      <w:r w:rsidRPr="00221A36">
        <w:rPr>
          <w:rFonts w:ascii="Times New Roman" w:eastAsia="Times New Roman" w:hAnsi="Times New Roman" w:cs="Times New Roman"/>
          <w:sz w:val="24"/>
          <w:szCs w:val="24"/>
          <w:lang w:eastAsia="ru-RU"/>
        </w:rPr>
        <w:t>В части повышения качества услуг почтовой связи в 2022 году в Ленинградской области в рамках исполнения поручения Президента Российской Федерации от 11.09.2021 № ПР-1703 АО «Почта России» отремонтировано и открыто 13 отделений почтовой связи (далее – ОПС) в семи муниципальных районах региона: Тосненский (п. Сельцо), Гатчинский (д. Малое Верево, п. Лукаши, д. Лампово, п. Елизаветино), Ломоносовский (с. Копорье), Волховский (д. Иссад, д. Бережки, д. Усадище и с. Паша), Тихвинский (п. Шугозеро), Приозерский (с. Мельниково), Выборгский (п. Победа).</w:t>
      </w:r>
    </w:p>
    <w:p w:rsidR="00C0504B" w:rsidRPr="00221A36" w:rsidRDefault="00C0504B" w:rsidP="00C0504B">
      <w:pPr>
        <w:spacing w:after="0" w:line="360" w:lineRule="auto"/>
        <w:ind w:firstLine="709"/>
        <w:jc w:val="both"/>
        <w:rPr>
          <w:rFonts w:ascii="Times New Roman" w:eastAsia="Times New Roman" w:hAnsi="Times New Roman" w:cs="Times New Roman"/>
          <w:sz w:val="24"/>
          <w:szCs w:val="24"/>
          <w:lang w:eastAsia="ru-RU"/>
        </w:rPr>
      </w:pPr>
      <w:r w:rsidRPr="00221A36">
        <w:rPr>
          <w:rFonts w:ascii="Times New Roman" w:eastAsia="Times New Roman" w:hAnsi="Times New Roman" w:cs="Times New Roman"/>
          <w:sz w:val="24"/>
          <w:szCs w:val="24"/>
          <w:lang w:eastAsia="ru-RU"/>
        </w:rPr>
        <w:t>Развитие телекоммуникационной инфраструктуры на территории региона способствует развитию и функционированию Единой сети передачи данных  Ленинградской области (далее – ЕСПД ЛО), объединяющей в единое информационное пространство государственные и муниципальные органы власти, а также государственные и муниципальные организации/учреждения.</w:t>
      </w:r>
    </w:p>
    <w:p w:rsidR="00C0504B" w:rsidRDefault="00C0504B" w:rsidP="00C0504B">
      <w:pPr>
        <w:spacing w:after="0" w:line="360" w:lineRule="auto"/>
        <w:ind w:firstLine="709"/>
        <w:jc w:val="both"/>
        <w:rPr>
          <w:rFonts w:ascii="Times New Roman" w:eastAsia="Times New Roman" w:hAnsi="Times New Roman" w:cs="Times New Roman"/>
          <w:sz w:val="24"/>
          <w:szCs w:val="24"/>
          <w:lang w:eastAsia="ru-RU"/>
        </w:rPr>
      </w:pPr>
      <w:r w:rsidRPr="00221A36">
        <w:rPr>
          <w:rFonts w:ascii="Times New Roman" w:eastAsia="Times New Roman" w:hAnsi="Times New Roman" w:cs="Times New Roman"/>
          <w:sz w:val="24"/>
          <w:szCs w:val="24"/>
          <w:lang w:eastAsia="ru-RU"/>
        </w:rPr>
        <w:t>В рамках мероприятия «Развитие и обеспечение функционирования инфраструктуры связи электронного правительства Ленинградской области» обеспечено предоставление защищённых каналов связи цифровой технологической сети передачи данных между территориально разделёнными объектами (абонентами) ЕСПД ЛО, расположенными по 545 адресам в черте Санкт-Петербурга и на те</w:t>
      </w:r>
      <w:r>
        <w:rPr>
          <w:rFonts w:ascii="Times New Roman" w:eastAsia="Times New Roman" w:hAnsi="Times New Roman" w:cs="Times New Roman"/>
          <w:sz w:val="24"/>
          <w:szCs w:val="24"/>
          <w:lang w:eastAsia="ru-RU"/>
        </w:rPr>
        <w:t xml:space="preserve">рритории Ленинградской области. </w:t>
      </w:r>
      <w:r w:rsidRPr="0051281D">
        <w:rPr>
          <w:rFonts w:ascii="Times New Roman" w:eastAsia="Times New Roman" w:hAnsi="Times New Roman" w:cs="Times New Roman"/>
          <w:sz w:val="24"/>
          <w:szCs w:val="24"/>
          <w:lang w:eastAsia="ru-RU"/>
        </w:rPr>
        <w:t>Динамика развития ЕСПД ЛО приведена на рисунке 66.</w:t>
      </w:r>
    </w:p>
    <w:p w:rsidR="00C0504B" w:rsidRDefault="00C0504B" w:rsidP="00C0504B">
      <w:pPr>
        <w:spacing w:after="0" w:line="36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Рисунок 66. </w:t>
      </w:r>
      <w:r w:rsidRPr="0051281D">
        <w:rPr>
          <w:rFonts w:ascii="Times New Roman" w:eastAsia="Times New Roman" w:hAnsi="Times New Roman" w:cs="Times New Roman"/>
          <w:sz w:val="24"/>
          <w:szCs w:val="24"/>
          <w:lang w:eastAsia="ru-RU"/>
        </w:rPr>
        <w:t>Динамика развития ЕСПД ЛО</w:t>
      </w:r>
      <w:r w:rsidR="00CB69B7">
        <w:rPr>
          <w:rFonts w:ascii="Times New Roman" w:eastAsia="Times New Roman" w:hAnsi="Times New Roman" w:cs="Times New Roman"/>
          <w:sz w:val="24"/>
          <w:szCs w:val="24"/>
          <w:lang w:eastAsia="ru-RU"/>
        </w:rPr>
        <w:t xml:space="preserve"> с 2015 по 2022 годы</w:t>
      </w:r>
    </w:p>
    <w:p w:rsidR="00C0504B" w:rsidRPr="0051281D" w:rsidRDefault="00C0504B" w:rsidP="00C0504B">
      <w:pPr>
        <w:spacing w:after="0" w:line="240" w:lineRule="auto"/>
        <w:ind w:firstLine="705"/>
        <w:jc w:val="center"/>
        <w:rPr>
          <w:rFonts w:ascii="Times New Roman" w:eastAsia="Times New Roman" w:hAnsi="Times New Roman" w:cs="Times New Roman"/>
          <w:sz w:val="24"/>
          <w:szCs w:val="24"/>
          <w:lang w:eastAsia="ru-RU"/>
        </w:rPr>
      </w:pPr>
    </w:p>
    <w:p w:rsidR="00C0504B" w:rsidRPr="00500720" w:rsidRDefault="00C0504B" w:rsidP="00C0504B">
      <w:pPr>
        <w:spacing w:after="0" w:line="240" w:lineRule="auto"/>
        <w:contextualSpacing/>
        <w:rPr>
          <w:rFonts w:ascii="Calibri" w:eastAsia="Calibri" w:hAnsi="Calibri" w:cs="Times New Roman"/>
        </w:rPr>
      </w:pPr>
      <w:r w:rsidRPr="00500720">
        <w:rPr>
          <w:rFonts w:ascii="Calibri" w:eastAsia="Calibri" w:hAnsi="Calibri" w:cs="Times New Roman"/>
          <w:noProof/>
          <w:lang w:eastAsia="ru-RU"/>
        </w:rPr>
        <w:drawing>
          <wp:inline distT="0" distB="0" distL="0" distR="0" wp14:anchorId="051023A2" wp14:editId="5733A50A">
            <wp:extent cx="6267576" cy="3360874"/>
            <wp:effectExtent l="0" t="0" r="19050" b="1143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C0504B" w:rsidRDefault="00C0504B" w:rsidP="00C0504B">
      <w:pPr>
        <w:spacing w:after="0" w:line="240" w:lineRule="auto"/>
        <w:ind w:firstLine="709"/>
        <w:jc w:val="both"/>
        <w:rPr>
          <w:rFonts w:ascii="Times New Roman" w:eastAsia="Times New Roman" w:hAnsi="Times New Roman" w:cs="Times New Roman"/>
          <w:b/>
          <w:sz w:val="28"/>
          <w:szCs w:val="28"/>
          <w:lang w:eastAsia="ru-RU"/>
        </w:rPr>
      </w:pPr>
    </w:p>
    <w:p w:rsidR="00C0504B" w:rsidRPr="0051281D" w:rsidRDefault="00C0504B" w:rsidP="00C0504B">
      <w:pPr>
        <w:spacing w:after="0" w:line="360" w:lineRule="auto"/>
        <w:ind w:firstLine="709"/>
        <w:jc w:val="both"/>
        <w:rPr>
          <w:rFonts w:ascii="Times New Roman" w:eastAsia="Times New Roman" w:hAnsi="Times New Roman" w:cs="Times New Roman"/>
          <w:sz w:val="24"/>
          <w:szCs w:val="24"/>
          <w:lang w:eastAsia="ru-RU"/>
        </w:rPr>
      </w:pPr>
      <w:r w:rsidRPr="0051281D">
        <w:rPr>
          <w:rFonts w:ascii="Times New Roman" w:eastAsia="Times New Roman" w:hAnsi="Times New Roman" w:cs="Times New Roman"/>
          <w:sz w:val="24"/>
          <w:szCs w:val="24"/>
          <w:lang w:eastAsia="ru-RU"/>
        </w:rPr>
        <w:t xml:space="preserve">В 2022 году по инициативе Комитета цифрового развития Ленинградской области в работу Единой информационно-справочной службы «122» Ленинградской области по вопросам здравоохранения внедрен Голосовой помощник, обработавший в 2022 году более 315 тысяч звонков на номер «122». </w:t>
      </w:r>
    </w:p>
    <w:p w:rsidR="00C0504B" w:rsidRPr="0051281D" w:rsidRDefault="00C0504B" w:rsidP="00C0504B">
      <w:pPr>
        <w:spacing w:after="0" w:line="360" w:lineRule="auto"/>
        <w:ind w:firstLine="709"/>
        <w:jc w:val="both"/>
        <w:rPr>
          <w:rFonts w:ascii="Times New Roman" w:eastAsia="Times New Roman" w:hAnsi="Times New Roman" w:cs="Times New Roman"/>
          <w:sz w:val="24"/>
          <w:szCs w:val="24"/>
          <w:lang w:eastAsia="ru-RU"/>
        </w:rPr>
      </w:pPr>
      <w:r w:rsidRPr="0051281D">
        <w:rPr>
          <w:rFonts w:ascii="Times New Roman" w:eastAsia="Times New Roman" w:hAnsi="Times New Roman" w:cs="Times New Roman"/>
          <w:sz w:val="24"/>
          <w:szCs w:val="24"/>
          <w:lang w:eastAsia="ru-RU"/>
        </w:rPr>
        <w:t>Разработчиком сервиса, помогающего обрабатывать вызовы без помощи оператора, выступила компания ПАО «Ростелеком».</w:t>
      </w:r>
    </w:p>
    <w:p w:rsidR="00C0504B" w:rsidRPr="0051281D" w:rsidRDefault="00C0504B" w:rsidP="00C0504B">
      <w:pPr>
        <w:spacing w:after="0" w:line="360" w:lineRule="auto"/>
        <w:ind w:firstLine="709"/>
        <w:jc w:val="both"/>
        <w:rPr>
          <w:rFonts w:ascii="Times New Roman" w:eastAsia="Times New Roman" w:hAnsi="Times New Roman" w:cs="Times New Roman"/>
          <w:sz w:val="24"/>
          <w:szCs w:val="24"/>
          <w:lang w:eastAsia="ru-RU"/>
        </w:rPr>
      </w:pPr>
      <w:r w:rsidRPr="0051281D">
        <w:rPr>
          <w:rFonts w:ascii="Times New Roman" w:eastAsia="Times New Roman" w:hAnsi="Times New Roman" w:cs="Times New Roman"/>
          <w:sz w:val="24"/>
          <w:szCs w:val="24"/>
          <w:lang w:eastAsia="ru-RU"/>
        </w:rPr>
        <w:t>Чаще всего голосовой помощник, работающий на основе искусственного интеллекта, использовался по следующим направлениям:</w:t>
      </w:r>
    </w:p>
    <w:p w:rsidR="00C0504B" w:rsidRPr="0051281D" w:rsidRDefault="00C0504B" w:rsidP="00C0504B">
      <w:pPr>
        <w:widowControl w:val="0"/>
        <w:numPr>
          <w:ilvl w:val="0"/>
          <w:numId w:val="34"/>
        </w:numPr>
        <w:tabs>
          <w:tab w:val="left" w:pos="1134"/>
        </w:tabs>
        <w:autoSpaceDE w:val="0"/>
        <w:autoSpaceDN w:val="0"/>
        <w:adjustRightInd w:val="0"/>
        <w:spacing w:after="0" w:line="360" w:lineRule="auto"/>
        <w:ind w:left="0" w:firstLine="709"/>
        <w:contextualSpacing/>
        <w:jc w:val="both"/>
        <w:rPr>
          <w:rFonts w:ascii="Times New Roman" w:eastAsia="Calibri" w:hAnsi="Times New Roman" w:cs="Times New Roman"/>
          <w:sz w:val="24"/>
          <w:szCs w:val="24"/>
        </w:rPr>
      </w:pPr>
      <w:r w:rsidRPr="0051281D">
        <w:rPr>
          <w:rFonts w:ascii="Times New Roman" w:eastAsia="Calibri" w:hAnsi="Times New Roman" w:cs="Times New Roman"/>
          <w:sz w:val="24"/>
          <w:szCs w:val="24"/>
        </w:rPr>
        <w:t>запись на приём к врачу (доля таких вызовов составила 28%),</w:t>
      </w:r>
    </w:p>
    <w:p w:rsidR="00C0504B" w:rsidRPr="0051281D" w:rsidRDefault="00C0504B" w:rsidP="00C0504B">
      <w:pPr>
        <w:widowControl w:val="0"/>
        <w:numPr>
          <w:ilvl w:val="0"/>
          <w:numId w:val="34"/>
        </w:numPr>
        <w:tabs>
          <w:tab w:val="left" w:pos="1134"/>
        </w:tabs>
        <w:autoSpaceDE w:val="0"/>
        <w:autoSpaceDN w:val="0"/>
        <w:adjustRightInd w:val="0"/>
        <w:spacing w:after="0" w:line="360" w:lineRule="auto"/>
        <w:ind w:left="0" w:firstLine="709"/>
        <w:contextualSpacing/>
        <w:jc w:val="both"/>
        <w:rPr>
          <w:rFonts w:ascii="Times New Roman" w:eastAsia="Calibri" w:hAnsi="Times New Roman" w:cs="Times New Roman"/>
          <w:sz w:val="24"/>
          <w:szCs w:val="24"/>
        </w:rPr>
      </w:pPr>
      <w:r w:rsidRPr="0051281D">
        <w:rPr>
          <w:rFonts w:ascii="Times New Roman" w:eastAsia="Calibri" w:hAnsi="Times New Roman" w:cs="Times New Roman"/>
          <w:sz w:val="24"/>
          <w:szCs w:val="24"/>
        </w:rPr>
        <w:t>вызов врача на дом (22%),</w:t>
      </w:r>
    </w:p>
    <w:p w:rsidR="00C0504B" w:rsidRPr="0051281D" w:rsidRDefault="00C0504B" w:rsidP="00C0504B">
      <w:pPr>
        <w:widowControl w:val="0"/>
        <w:numPr>
          <w:ilvl w:val="0"/>
          <w:numId w:val="34"/>
        </w:numPr>
        <w:tabs>
          <w:tab w:val="left" w:pos="1134"/>
        </w:tabs>
        <w:autoSpaceDE w:val="0"/>
        <w:autoSpaceDN w:val="0"/>
        <w:adjustRightInd w:val="0"/>
        <w:spacing w:after="0" w:line="360" w:lineRule="auto"/>
        <w:ind w:left="0" w:firstLine="709"/>
        <w:contextualSpacing/>
        <w:jc w:val="both"/>
        <w:rPr>
          <w:rFonts w:ascii="Times New Roman" w:eastAsia="Calibri" w:hAnsi="Times New Roman" w:cs="Times New Roman"/>
          <w:sz w:val="24"/>
          <w:szCs w:val="24"/>
        </w:rPr>
      </w:pPr>
      <w:r w:rsidRPr="0051281D">
        <w:rPr>
          <w:rFonts w:ascii="Times New Roman" w:eastAsia="Calibri" w:hAnsi="Times New Roman" w:cs="Times New Roman"/>
          <w:sz w:val="24"/>
          <w:szCs w:val="24"/>
        </w:rPr>
        <w:t>запись на вакцинацию (5%).</w:t>
      </w:r>
    </w:p>
    <w:p w:rsidR="00C0504B" w:rsidRPr="0051281D" w:rsidRDefault="00C0504B" w:rsidP="00C0504B">
      <w:pPr>
        <w:tabs>
          <w:tab w:val="left" w:pos="1134"/>
        </w:tabs>
        <w:spacing w:after="0" w:line="360" w:lineRule="auto"/>
        <w:ind w:firstLine="709"/>
        <w:contextualSpacing/>
        <w:jc w:val="both"/>
        <w:rPr>
          <w:rFonts w:ascii="Times New Roman" w:eastAsia="Calibri" w:hAnsi="Times New Roman" w:cs="Times New Roman"/>
          <w:sz w:val="24"/>
          <w:szCs w:val="24"/>
        </w:rPr>
      </w:pPr>
      <w:r w:rsidRPr="0051281D">
        <w:rPr>
          <w:rFonts w:ascii="Times New Roman" w:eastAsia="Calibri" w:hAnsi="Times New Roman" w:cs="Times New Roman"/>
          <w:sz w:val="24"/>
          <w:szCs w:val="24"/>
        </w:rPr>
        <w:t xml:space="preserve">Также с помощью робота жители оформляли электронные больничные лисы, обращались за консультацией по тестированию на коронавирусную инфекцию и иным вопросам. В конце 2022 года Комитет цифрового развития Ленинградской области совместно с региональным комитетом по здравоохранению Ленинградской области приступили к поэтапному внедрению сервиса отложенной записи на приём. </w:t>
      </w:r>
    </w:p>
    <w:p w:rsidR="00C0504B" w:rsidRPr="0051281D" w:rsidRDefault="00C0504B" w:rsidP="00C0504B">
      <w:pPr>
        <w:spacing w:after="0" w:line="360" w:lineRule="auto"/>
        <w:ind w:firstLine="709"/>
        <w:jc w:val="both"/>
        <w:rPr>
          <w:rFonts w:ascii="Times New Roman" w:eastAsia="Times New Roman" w:hAnsi="Times New Roman" w:cs="Times New Roman"/>
          <w:sz w:val="24"/>
          <w:szCs w:val="24"/>
          <w:lang w:eastAsia="ru-RU"/>
        </w:rPr>
      </w:pPr>
      <w:r w:rsidRPr="0051281D">
        <w:rPr>
          <w:rFonts w:ascii="Times New Roman" w:eastAsia="Times New Roman" w:hAnsi="Times New Roman" w:cs="Times New Roman"/>
          <w:sz w:val="24"/>
          <w:szCs w:val="24"/>
          <w:lang w:eastAsia="ru-RU"/>
        </w:rPr>
        <w:t>Всего за 2022 год по вопросам здравоохранения на номер «122» поступило более 700 тыс. вызовов. Кроме того, номер 122 активно использовался для приёма обращений:</w:t>
      </w:r>
    </w:p>
    <w:p w:rsidR="00C0504B" w:rsidRPr="0051281D" w:rsidRDefault="00C0504B" w:rsidP="00C0504B">
      <w:pPr>
        <w:widowControl w:val="0"/>
        <w:numPr>
          <w:ilvl w:val="0"/>
          <w:numId w:val="34"/>
        </w:numPr>
        <w:tabs>
          <w:tab w:val="left" w:pos="1134"/>
        </w:tabs>
        <w:autoSpaceDE w:val="0"/>
        <w:autoSpaceDN w:val="0"/>
        <w:adjustRightInd w:val="0"/>
        <w:spacing w:after="0" w:line="360" w:lineRule="auto"/>
        <w:ind w:left="0" w:firstLine="709"/>
        <w:contextualSpacing/>
        <w:jc w:val="both"/>
        <w:rPr>
          <w:rFonts w:ascii="Times New Roman" w:eastAsia="Calibri" w:hAnsi="Times New Roman" w:cs="Times New Roman"/>
          <w:sz w:val="24"/>
          <w:szCs w:val="24"/>
        </w:rPr>
      </w:pPr>
      <w:r w:rsidRPr="0051281D">
        <w:rPr>
          <w:rFonts w:ascii="Times New Roman" w:eastAsia="Calibri" w:hAnsi="Times New Roman" w:cs="Times New Roman"/>
          <w:sz w:val="24"/>
          <w:szCs w:val="24"/>
        </w:rPr>
        <w:t>по выплатам мобилизованным (6,4 тыс. вызовов),</w:t>
      </w:r>
    </w:p>
    <w:p w:rsidR="00C0504B" w:rsidRPr="0051281D" w:rsidRDefault="00C0504B" w:rsidP="00C0504B">
      <w:pPr>
        <w:widowControl w:val="0"/>
        <w:numPr>
          <w:ilvl w:val="0"/>
          <w:numId w:val="34"/>
        </w:numPr>
        <w:tabs>
          <w:tab w:val="left" w:pos="1134"/>
        </w:tabs>
        <w:autoSpaceDE w:val="0"/>
        <w:autoSpaceDN w:val="0"/>
        <w:adjustRightInd w:val="0"/>
        <w:spacing w:after="0" w:line="360" w:lineRule="auto"/>
        <w:ind w:left="0" w:firstLine="709"/>
        <w:contextualSpacing/>
        <w:jc w:val="both"/>
        <w:rPr>
          <w:rFonts w:ascii="Times New Roman" w:eastAsia="Calibri" w:hAnsi="Times New Roman" w:cs="Times New Roman"/>
          <w:sz w:val="24"/>
          <w:szCs w:val="24"/>
        </w:rPr>
      </w:pPr>
      <w:r w:rsidRPr="0051281D">
        <w:rPr>
          <w:rFonts w:ascii="Times New Roman" w:eastAsia="Calibri" w:hAnsi="Times New Roman" w:cs="Times New Roman"/>
          <w:sz w:val="24"/>
          <w:szCs w:val="24"/>
        </w:rPr>
        <w:t>по частичной мобилизации и осеннему призыву (27,4 тыс. вызовов).</w:t>
      </w:r>
    </w:p>
    <w:p w:rsidR="00C0504B" w:rsidRPr="0051281D" w:rsidRDefault="00C0504B" w:rsidP="00C0504B">
      <w:pPr>
        <w:spacing w:after="0" w:line="360" w:lineRule="auto"/>
        <w:ind w:firstLine="709"/>
        <w:jc w:val="both"/>
        <w:rPr>
          <w:rFonts w:ascii="Times New Roman" w:hAnsi="Times New Roman" w:cs="Times New Roman"/>
          <w:sz w:val="24"/>
          <w:szCs w:val="24"/>
        </w:rPr>
      </w:pPr>
    </w:p>
    <w:p w:rsidR="00C0504B" w:rsidRPr="00FD2744" w:rsidRDefault="00C0504B" w:rsidP="00C0504B">
      <w:pPr>
        <w:pStyle w:val="a4"/>
        <w:numPr>
          <w:ilvl w:val="0"/>
          <w:numId w:val="33"/>
        </w:numPr>
        <w:spacing w:after="0" w:line="360" w:lineRule="auto"/>
        <w:jc w:val="center"/>
        <w:rPr>
          <w:rFonts w:ascii="Times New Roman" w:hAnsi="Times New Roman" w:cs="Times New Roman"/>
          <w:b/>
          <w:sz w:val="24"/>
          <w:szCs w:val="24"/>
        </w:rPr>
      </w:pPr>
      <w:r w:rsidRPr="00FD2744">
        <w:rPr>
          <w:rFonts w:ascii="Times New Roman" w:hAnsi="Times New Roman" w:cs="Times New Roman"/>
          <w:b/>
          <w:sz w:val="24"/>
          <w:szCs w:val="24"/>
        </w:rPr>
        <w:t>Результаты анализа, исследования и мониторинга состояния и развития конкурентной среды на рынках товаров, работ и услуг Ленинградской области</w:t>
      </w:r>
    </w:p>
    <w:p w:rsidR="00C0504B" w:rsidRPr="00FD2744" w:rsidRDefault="00C0504B" w:rsidP="00C0504B">
      <w:pPr>
        <w:pStyle w:val="a4"/>
        <w:spacing w:after="0" w:line="360" w:lineRule="auto"/>
        <w:ind w:left="1069"/>
        <w:jc w:val="both"/>
        <w:rPr>
          <w:rFonts w:ascii="Times New Roman" w:hAnsi="Times New Roman" w:cs="Times New Roman"/>
          <w:sz w:val="24"/>
          <w:szCs w:val="24"/>
        </w:rPr>
      </w:pPr>
    </w:p>
    <w:p w:rsidR="00C0504B" w:rsidRPr="0051281D" w:rsidRDefault="00C0504B" w:rsidP="00C0504B">
      <w:pPr>
        <w:spacing w:after="0" w:line="360" w:lineRule="auto"/>
        <w:ind w:firstLine="709"/>
        <w:jc w:val="both"/>
        <w:rPr>
          <w:rFonts w:ascii="Times New Roman" w:eastAsia="Arial" w:hAnsi="Times New Roman" w:cs="Times New Roman"/>
          <w:bCs/>
          <w:color w:val="000000"/>
          <w:sz w:val="24"/>
          <w:szCs w:val="24"/>
          <w:lang w:eastAsia="ru-RU"/>
        </w:rPr>
      </w:pPr>
      <w:r w:rsidRPr="0051281D">
        <w:rPr>
          <w:rFonts w:ascii="Times New Roman" w:eastAsia="Arial" w:hAnsi="Times New Roman" w:cs="Times New Roman"/>
          <w:bCs/>
          <w:color w:val="000000"/>
          <w:sz w:val="24"/>
          <w:szCs w:val="24"/>
          <w:lang w:eastAsia="ru-RU"/>
        </w:rPr>
        <w:t>Результаты проведенного исследования позволяют констатировать достаточно высокий уровень конкуренции на товарных рынках Ленинградской области. И предприниматели, и потребители отмечают рост представленности на рынках различных хозяйствующих субъектов и увеличение возможности выбора организаций, реализующих социально значимые товары или оказывающих необходимые потребителям работы/услуги. Так:</w:t>
      </w:r>
    </w:p>
    <w:p w:rsidR="00C0504B" w:rsidRPr="0051281D" w:rsidRDefault="00C0504B" w:rsidP="00C0504B">
      <w:pPr>
        <w:numPr>
          <w:ilvl w:val="0"/>
          <w:numId w:val="25"/>
        </w:numPr>
        <w:spacing w:after="0" w:line="360" w:lineRule="auto"/>
        <w:ind w:left="0" w:firstLine="709"/>
        <w:contextualSpacing/>
        <w:jc w:val="both"/>
        <w:rPr>
          <w:rFonts w:ascii="Times New Roman" w:eastAsia="Arial" w:hAnsi="Times New Roman" w:cs="Times New Roman"/>
          <w:bCs/>
          <w:color w:val="000000"/>
          <w:sz w:val="24"/>
          <w:szCs w:val="24"/>
          <w:lang w:eastAsia="ru-RU"/>
        </w:rPr>
      </w:pPr>
      <w:r w:rsidRPr="0051281D">
        <w:rPr>
          <w:rFonts w:ascii="Times New Roman" w:eastAsia="Arial" w:hAnsi="Times New Roman" w:cs="Times New Roman"/>
          <w:bCs/>
          <w:color w:val="000000"/>
          <w:sz w:val="24"/>
          <w:szCs w:val="24"/>
          <w:lang w:eastAsia="ru-RU"/>
        </w:rPr>
        <w:t>73% жителей региона отметили, что организаций, предоставляющих товары и услуги на исследуемых рынках Ленинградской области, в целом много или достаточно;</w:t>
      </w:r>
    </w:p>
    <w:p w:rsidR="00C0504B" w:rsidRPr="0051281D" w:rsidRDefault="00C0504B" w:rsidP="00C0504B">
      <w:pPr>
        <w:numPr>
          <w:ilvl w:val="0"/>
          <w:numId w:val="25"/>
        </w:numPr>
        <w:spacing w:after="0" w:line="360" w:lineRule="auto"/>
        <w:ind w:left="0" w:firstLine="709"/>
        <w:contextualSpacing/>
        <w:jc w:val="both"/>
        <w:rPr>
          <w:rFonts w:ascii="Times New Roman" w:eastAsia="Arial" w:hAnsi="Times New Roman" w:cs="Times New Roman"/>
          <w:bCs/>
          <w:color w:val="000000"/>
          <w:sz w:val="24"/>
          <w:szCs w:val="24"/>
          <w:lang w:eastAsia="ru-RU"/>
        </w:rPr>
      </w:pPr>
      <w:r w:rsidRPr="0051281D">
        <w:rPr>
          <w:rFonts w:ascii="Times New Roman" w:eastAsia="Arial" w:hAnsi="Times New Roman" w:cs="Times New Roman"/>
          <w:bCs/>
          <w:color w:val="000000"/>
          <w:sz w:val="24"/>
          <w:szCs w:val="24"/>
          <w:lang w:eastAsia="ru-RU"/>
        </w:rPr>
        <w:t xml:space="preserve">подавляющее большинство (81%) представителей бизнеса в той или иной степени довольны состоянием конкуренции между поставщиками основного закупаемого ими товара (работы, услуги). При этом 56% предпринимателей имеют возможность выбора между четырьмя или более поставщиками; </w:t>
      </w:r>
    </w:p>
    <w:p w:rsidR="00C0504B" w:rsidRPr="0051281D" w:rsidRDefault="00C0504B" w:rsidP="00C0504B">
      <w:pPr>
        <w:numPr>
          <w:ilvl w:val="0"/>
          <w:numId w:val="25"/>
        </w:numPr>
        <w:spacing w:after="0" w:line="360" w:lineRule="auto"/>
        <w:ind w:left="0" w:firstLine="709"/>
        <w:contextualSpacing/>
        <w:jc w:val="both"/>
        <w:rPr>
          <w:rFonts w:ascii="Times New Roman" w:eastAsia="Arial" w:hAnsi="Times New Roman" w:cs="Times New Roman"/>
          <w:bCs/>
          <w:color w:val="000000"/>
          <w:sz w:val="24"/>
          <w:szCs w:val="24"/>
          <w:lang w:eastAsia="ru-RU"/>
        </w:rPr>
      </w:pPr>
      <w:r w:rsidRPr="0051281D">
        <w:rPr>
          <w:rFonts w:ascii="Times New Roman" w:eastAsia="Arial" w:hAnsi="Times New Roman" w:cs="Times New Roman"/>
          <w:bCs/>
          <w:color w:val="000000"/>
          <w:sz w:val="24"/>
          <w:szCs w:val="24"/>
          <w:lang w:eastAsia="ru-RU"/>
        </w:rPr>
        <w:t>треть опрошенных хозяйствующих субъектов полагают, что на основном для их сферы бизнеса рынке уровень конкуренции высокий или очень высокий;</w:t>
      </w:r>
    </w:p>
    <w:p w:rsidR="00C0504B" w:rsidRPr="0051281D" w:rsidRDefault="00C0504B" w:rsidP="00C0504B">
      <w:pPr>
        <w:numPr>
          <w:ilvl w:val="0"/>
          <w:numId w:val="25"/>
        </w:numPr>
        <w:spacing w:after="0" w:line="360" w:lineRule="auto"/>
        <w:ind w:left="0" w:firstLine="709"/>
        <w:contextualSpacing/>
        <w:jc w:val="both"/>
        <w:rPr>
          <w:rFonts w:ascii="Times New Roman" w:eastAsia="Arial" w:hAnsi="Times New Roman" w:cs="Times New Roman"/>
          <w:bCs/>
          <w:color w:val="000000"/>
          <w:sz w:val="24"/>
          <w:szCs w:val="24"/>
          <w:lang w:eastAsia="ru-RU"/>
        </w:rPr>
      </w:pPr>
      <w:r w:rsidRPr="0051281D">
        <w:rPr>
          <w:rFonts w:ascii="Times New Roman" w:eastAsia="Arial" w:hAnsi="Times New Roman" w:cs="Times New Roman"/>
          <w:bCs/>
          <w:color w:val="000000"/>
          <w:sz w:val="24"/>
          <w:szCs w:val="24"/>
          <w:lang w:eastAsia="ru-RU"/>
        </w:rPr>
        <w:t xml:space="preserve">согласно информации органов местного самоуправления Ленинградской области, </w:t>
      </w:r>
      <w:r w:rsidR="00B873F8">
        <w:rPr>
          <w:rFonts w:ascii="Times New Roman" w:eastAsia="Arial" w:hAnsi="Times New Roman" w:cs="Times New Roman"/>
          <w:bCs/>
          <w:color w:val="000000"/>
          <w:sz w:val="24"/>
          <w:szCs w:val="24"/>
          <w:lang w:eastAsia="ru-RU"/>
        </w:rPr>
        <w:t>в 2022 г. по сравнению с 2021</w:t>
      </w:r>
      <w:r w:rsidRPr="0051281D">
        <w:rPr>
          <w:rFonts w:ascii="Times New Roman" w:eastAsia="Arial" w:hAnsi="Times New Roman" w:cs="Times New Roman"/>
          <w:bCs/>
          <w:color w:val="000000"/>
          <w:sz w:val="24"/>
          <w:szCs w:val="24"/>
          <w:lang w:eastAsia="ru-RU"/>
        </w:rPr>
        <w:t xml:space="preserve"> рост доли коммерческих организаций отмечается на 16 из 33 товарных рынков, включенных в перечень товарных рынков для содействия развитию конкуренции.</w:t>
      </w:r>
    </w:p>
    <w:p w:rsidR="00C0504B" w:rsidRPr="0051281D" w:rsidRDefault="00B873F8" w:rsidP="00C0504B">
      <w:pPr>
        <w:spacing w:after="0" w:line="360" w:lineRule="auto"/>
        <w:ind w:firstLine="709"/>
        <w:jc w:val="both"/>
        <w:rPr>
          <w:rFonts w:ascii="Times New Roman" w:eastAsia="Arial" w:hAnsi="Times New Roman" w:cs="Times New Roman"/>
          <w:bCs/>
          <w:color w:val="000000"/>
          <w:sz w:val="24"/>
          <w:szCs w:val="24"/>
          <w:lang w:eastAsia="ru-RU"/>
        </w:rPr>
      </w:pPr>
      <w:r>
        <w:rPr>
          <w:rFonts w:ascii="Times New Roman" w:eastAsia="Arial" w:hAnsi="Times New Roman" w:cs="Times New Roman"/>
          <w:bCs/>
          <w:color w:val="000000"/>
          <w:sz w:val="24"/>
          <w:szCs w:val="24"/>
          <w:lang w:eastAsia="ru-RU"/>
        </w:rPr>
        <w:t xml:space="preserve">За период с 2020 </w:t>
      </w:r>
      <w:r w:rsidR="00C0504B" w:rsidRPr="0051281D">
        <w:rPr>
          <w:rFonts w:ascii="Times New Roman" w:eastAsia="Arial" w:hAnsi="Times New Roman" w:cs="Times New Roman"/>
          <w:bCs/>
          <w:color w:val="000000"/>
          <w:sz w:val="24"/>
          <w:szCs w:val="24"/>
          <w:lang w:eastAsia="ru-RU"/>
        </w:rPr>
        <w:t>по настоящее время отмечается также снижение количества жалоб от юридических лиц / предпринимателей на административные барьеры в отдельные надзорные органы. Так, согласно данным Управления Федеральной антимонопольной службы по Ленинградской области, представленным в ответе на запрос № КЭР-1-9832/2022 от 08.11.2022, отмечается значительное снижение количества жалоб от юридических лиц / предпринимателей на административные барьеры (ограничение конкуренции) со стороны органов власти, в т.ч. на торгах по ФЗ-44 и иным НПА, а также вследствие заключения антиконкурентного соглашения с иными органами власти или хозяйствующими субъектами, неправомерной передачи государственного и муниципального имущества, предоставлен</w:t>
      </w:r>
      <w:r>
        <w:rPr>
          <w:rFonts w:ascii="Times New Roman" w:eastAsia="Arial" w:hAnsi="Times New Roman" w:cs="Times New Roman"/>
          <w:bCs/>
          <w:color w:val="000000"/>
          <w:sz w:val="24"/>
          <w:szCs w:val="24"/>
          <w:lang w:eastAsia="ru-RU"/>
        </w:rPr>
        <w:t>ия преференций и т.д. (в 2020</w:t>
      </w:r>
      <w:r w:rsidR="00C0504B" w:rsidRPr="0051281D">
        <w:rPr>
          <w:rFonts w:ascii="Times New Roman" w:eastAsia="Arial" w:hAnsi="Times New Roman" w:cs="Times New Roman"/>
          <w:bCs/>
          <w:color w:val="000000"/>
          <w:sz w:val="24"/>
          <w:szCs w:val="24"/>
          <w:lang w:eastAsia="ru-RU"/>
        </w:rPr>
        <w:t xml:space="preserve"> – </w:t>
      </w:r>
      <w:r>
        <w:rPr>
          <w:rFonts w:ascii="Times New Roman" w:eastAsia="Arial" w:hAnsi="Times New Roman" w:cs="Times New Roman"/>
          <w:bCs/>
          <w:color w:val="000000"/>
          <w:sz w:val="24"/>
          <w:szCs w:val="24"/>
          <w:lang w:eastAsia="ru-RU"/>
        </w:rPr>
        <w:t>2933 обращений, в 2021</w:t>
      </w:r>
      <w:r w:rsidR="00C0504B" w:rsidRPr="0051281D">
        <w:rPr>
          <w:rFonts w:ascii="Times New Roman" w:eastAsia="Arial" w:hAnsi="Times New Roman" w:cs="Times New Roman"/>
          <w:bCs/>
          <w:color w:val="000000"/>
          <w:sz w:val="24"/>
          <w:szCs w:val="24"/>
          <w:lang w:eastAsia="ru-RU"/>
        </w:rPr>
        <w:t xml:space="preserve"> – 2197 обращений, за пер</w:t>
      </w:r>
      <w:r>
        <w:rPr>
          <w:rFonts w:ascii="Times New Roman" w:eastAsia="Arial" w:hAnsi="Times New Roman" w:cs="Times New Roman"/>
          <w:bCs/>
          <w:color w:val="000000"/>
          <w:sz w:val="24"/>
          <w:szCs w:val="24"/>
          <w:lang w:eastAsia="ru-RU"/>
        </w:rPr>
        <w:t>иод с января по октябрь 2022</w:t>
      </w:r>
      <w:r w:rsidR="00C0504B" w:rsidRPr="0051281D">
        <w:rPr>
          <w:rFonts w:ascii="Times New Roman" w:eastAsia="Arial" w:hAnsi="Times New Roman" w:cs="Times New Roman"/>
          <w:bCs/>
          <w:color w:val="000000"/>
          <w:sz w:val="24"/>
          <w:szCs w:val="24"/>
          <w:lang w:eastAsia="ru-RU"/>
        </w:rPr>
        <w:t>– 1</w:t>
      </w:r>
      <w:r>
        <w:rPr>
          <w:rFonts w:ascii="Times New Roman" w:eastAsia="Arial" w:hAnsi="Times New Roman" w:cs="Times New Roman"/>
          <w:bCs/>
          <w:color w:val="000000"/>
          <w:sz w:val="24"/>
          <w:szCs w:val="24"/>
          <w:lang w:eastAsia="ru-RU"/>
        </w:rPr>
        <w:t xml:space="preserve"> </w:t>
      </w:r>
      <w:r w:rsidR="00C0504B" w:rsidRPr="0051281D">
        <w:rPr>
          <w:rFonts w:ascii="Times New Roman" w:eastAsia="Arial" w:hAnsi="Times New Roman" w:cs="Times New Roman"/>
          <w:bCs/>
          <w:color w:val="000000"/>
          <w:sz w:val="24"/>
          <w:szCs w:val="24"/>
          <w:lang w:eastAsia="ru-RU"/>
        </w:rPr>
        <w:t xml:space="preserve">460 обращений). </w:t>
      </w:r>
    </w:p>
    <w:p w:rsidR="00C0504B" w:rsidRPr="0051281D" w:rsidRDefault="00C0504B" w:rsidP="00C0504B">
      <w:pPr>
        <w:spacing w:after="0" w:line="360" w:lineRule="auto"/>
        <w:ind w:firstLine="709"/>
        <w:jc w:val="both"/>
        <w:rPr>
          <w:rFonts w:ascii="Times New Roman" w:eastAsia="Arial" w:hAnsi="Times New Roman" w:cs="Times New Roman"/>
          <w:bCs/>
          <w:color w:val="000000"/>
          <w:sz w:val="24"/>
          <w:szCs w:val="24"/>
          <w:lang w:eastAsia="ru-RU"/>
        </w:rPr>
      </w:pPr>
      <w:r w:rsidRPr="0051281D">
        <w:rPr>
          <w:rFonts w:ascii="Times New Roman" w:eastAsia="Arial" w:hAnsi="Times New Roman" w:cs="Times New Roman"/>
          <w:bCs/>
          <w:color w:val="000000"/>
          <w:sz w:val="24"/>
          <w:szCs w:val="24"/>
          <w:lang w:eastAsia="ru-RU"/>
        </w:rPr>
        <w:t>Общая тенденция к снижению количества поступающих обращений фиксируется</w:t>
      </w:r>
      <w:r w:rsidR="00B873F8">
        <w:rPr>
          <w:rFonts w:ascii="Times New Roman" w:eastAsia="Arial" w:hAnsi="Times New Roman" w:cs="Times New Roman"/>
          <w:bCs/>
          <w:color w:val="000000"/>
          <w:sz w:val="24"/>
          <w:szCs w:val="24"/>
          <w:lang w:eastAsia="ru-RU"/>
        </w:rPr>
        <w:br/>
      </w:r>
      <w:r w:rsidRPr="0051281D">
        <w:rPr>
          <w:rFonts w:ascii="Times New Roman" w:eastAsia="Arial" w:hAnsi="Times New Roman" w:cs="Times New Roman"/>
          <w:bCs/>
          <w:color w:val="000000"/>
          <w:sz w:val="24"/>
          <w:szCs w:val="24"/>
          <w:lang w:eastAsia="ru-RU"/>
        </w:rPr>
        <w:t xml:space="preserve"> в данных таких структур как Комитет государственного строительного надзора и государственной экспертизы Ленингр</w:t>
      </w:r>
      <w:r w:rsidR="00B873F8">
        <w:rPr>
          <w:rFonts w:ascii="Times New Roman" w:eastAsia="Arial" w:hAnsi="Times New Roman" w:cs="Times New Roman"/>
          <w:bCs/>
          <w:color w:val="000000"/>
          <w:sz w:val="24"/>
          <w:szCs w:val="24"/>
          <w:lang w:eastAsia="ru-RU"/>
        </w:rPr>
        <w:t>адской области (2020 – 4 026, 2021– 3 350, за три квартала 2022</w:t>
      </w:r>
      <w:r w:rsidRPr="0051281D">
        <w:rPr>
          <w:rFonts w:ascii="Times New Roman" w:eastAsia="Arial" w:hAnsi="Times New Roman" w:cs="Times New Roman"/>
          <w:bCs/>
          <w:color w:val="000000"/>
          <w:sz w:val="24"/>
          <w:szCs w:val="24"/>
          <w:lang w:eastAsia="ru-RU"/>
        </w:rPr>
        <w:t>– 1</w:t>
      </w:r>
      <w:r w:rsidR="00B873F8">
        <w:rPr>
          <w:rFonts w:ascii="Times New Roman" w:eastAsia="Arial" w:hAnsi="Times New Roman" w:cs="Times New Roman"/>
          <w:bCs/>
          <w:color w:val="000000"/>
          <w:sz w:val="24"/>
          <w:szCs w:val="24"/>
          <w:lang w:eastAsia="ru-RU"/>
        </w:rPr>
        <w:t xml:space="preserve"> </w:t>
      </w:r>
      <w:r w:rsidRPr="0051281D">
        <w:rPr>
          <w:rFonts w:ascii="Times New Roman" w:eastAsia="Arial" w:hAnsi="Times New Roman" w:cs="Times New Roman"/>
          <w:bCs/>
          <w:color w:val="000000"/>
          <w:sz w:val="24"/>
          <w:szCs w:val="24"/>
          <w:lang w:eastAsia="ru-RU"/>
        </w:rPr>
        <w:t>967), Северо-Западное управление Росприрод</w:t>
      </w:r>
      <w:r w:rsidR="00B873F8">
        <w:rPr>
          <w:rFonts w:ascii="Times New Roman" w:eastAsia="Arial" w:hAnsi="Times New Roman" w:cs="Times New Roman"/>
          <w:bCs/>
          <w:color w:val="000000"/>
          <w:sz w:val="24"/>
          <w:szCs w:val="24"/>
          <w:lang w:eastAsia="ru-RU"/>
        </w:rPr>
        <w:t>надзора (2020  – 4 302, 2021</w:t>
      </w:r>
      <w:r w:rsidRPr="0051281D">
        <w:rPr>
          <w:rFonts w:ascii="Times New Roman" w:eastAsia="Arial" w:hAnsi="Times New Roman" w:cs="Times New Roman"/>
          <w:bCs/>
          <w:color w:val="000000"/>
          <w:sz w:val="24"/>
          <w:szCs w:val="24"/>
          <w:lang w:eastAsia="ru-RU"/>
        </w:rPr>
        <w:t xml:space="preserve"> – 4</w:t>
      </w:r>
      <w:r w:rsidR="00B873F8">
        <w:rPr>
          <w:rFonts w:ascii="Times New Roman" w:eastAsia="Arial" w:hAnsi="Times New Roman" w:cs="Times New Roman"/>
          <w:bCs/>
          <w:color w:val="000000"/>
          <w:sz w:val="24"/>
          <w:szCs w:val="24"/>
          <w:lang w:eastAsia="ru-RU"/>
        </w:rPr>
        <w:t xml:space="preserve"> </w:t>
      </w:r>
      <w:r w:rsidRPr="0051281D">
        <w:rPr>
          <w:rFonts w:ascii="Times New Roman" w:eastAsia="Arial" w:hAnsi="Times New Roman" w:cs="Times New Roman"/>
          <w:bCs/>
          <w:color w:val="000000"/>
          <w:sz w:val="24"/>
          <w:szCs w:val="24"/>
          <w:lang w:eastAsia="ru-RU"/>
        </w:rPr>
        <w:t>163, за три квартала 2022 г. – 4</w:t>
      </w:r>
      <w:r w:rsidR="00B873F8">
        <w:rPr>
          <w:rFonts w:ascii="Times New Roman" w:eastAsia="Arial" w:hAnsi="Times New Roman" w:cs="Times New Roman"/>
          <w:bCs/>
          <w:color w:val="000000"/>
          <w:sz w:val="24"/>
          <w:szCs w:val="24"/>
          <w:lang w:eastAsia="ru-RU"/>
        </w:rPr>
        <w:t xml:space="preserve"> </w:t>
      </w:r>
      <w:r w:rsidRPr="0051281D">
        <w:rPr>
          <w:rFonts w:ascii="Times New Roman" w:eastAsia="Arial" w:hAnsi="Times New Roman" w:cs="Times New Roman"/>
          <w:bCs/>
          <w:color w:val="000000"/>
          <w:sz w:val="24"/>
          <w:szCs w:val="24"/>
          <w:lang w:eastAsia="ru-RU"/>
        </w:rPr>
        <w:t>048), Северо-Западное у</w:t>
      </w:r>
      <w:r w:rsidR="00B873F8">
        <w:rPr>
          <w:rFonts w:ascii="Times New Roman" w:eastAsia="Arial" w:hAnsi="Times New Roman" w:cs="Times New Roman"/>
          <w:bCs/>
          <w:color w:val="000000"/>
          <w:sz w:val="24"/>
          <w:szCs w:val="24"/>
          <w:lang w:eastAsia="ru-RU"/>
        </w:rPr>
        <w:t>правление Ростехнадзора (2020</w:t>
      </w:r>
      <w:r w:rsidRPr="0051281D">
        <w:rPr>
          <w:rFonts w:ascii="Times New Roman" w:eastAsia="Arial" w:hAnsi="Times New Roman" w:cs="Times New Roman"/>
          <w:bCs/>
          <w:color w:val="000000"/>
          <w:sz w:val="24"/>
          <w:szCs w:val="24"/>
          <w:lang w:eastAsia="ru-RU"/>
        </w:rPr>
        <w:t xml:space="preserve"> – 3</w:t>
      </w:r>
      <w:r w:rsidR="00B873F8">
        <w:rPr>
          <w:rFonts w:ascii="Times New Roman" w:eastAsia="Arial" w:hAnsi="Times New Roman" w:cs="Times New Roman"/>
          <w:bCs/>
          <w:color w:val="000000"/>
          <w:sz w:val="24"/>
          <w:szCs w:val="24"/>
          <w:lang w:eastAsia="ru-RU"/>
        </w:rPr>
        <w:t xml:space="preserve"> 492, 2021 </w:t>
      </w:r>
      <w:r w:rsidRPr="0051281D">
        <w:rPr>
          <w:rFonts w:ascii="Times New Roman" w:eastAsia="Arial" w:hAnsi="Times New Roman" w:cs="Times New Roman"/>
          <w:bCs/>
          <w:color w:val="000000"/>
          <w:sz w:val="24"/>
          <w:szCs w:val="24"/>
          <w:lang w:eastAsia="ru-RU"/>
        </w:rPr>
        <w:t>– 3</w:t>
      </w:r>
      <w:r w:rsidR="00B873F8">
        <w:rPr>
          <w:rFonts w:ascii="Times New Roman" w:eastAsia="Arial" w:hAnsi="Times New Roman" w:cs="Times New Roman"/>
          <w:bCs/>
          <w:color w:val="000000"/>
          <w:sz w:val="24"/>
          <w:szCs w:val="24"/>
          <w:lang w:eastAsia="ru-RU"/>
        </w:rPr>
        <w:t xml:space="preserve"> 361, за три квартала 2022</w:t>
      </w:r>
      <w:r w:rsidRPr="0051281D">
        <w:rPr>
          <w:rFonts w:ascii="Times New Roman" w:eastAsia="Arial" w:hAnsi="Times New Roman" w:cs="Times New Roman"/>
          <w:bCs/>
          <w:color w:val="000000"/>
          <w:sz w:val="24"/>
          <w:szCs w:val="24"/>
          <w:lang w:eastAsia="ru-RU"/>
        </w:rPr>
        <w:t>–2</w:t>
      </w:r>
      <w:r w:rsidR="00B873F8">
        <w:rPr>
          <w:rFonts w:ascii="Times New Roman" w:eastAsia="Arial" w:hAnsi="Times New Roman" w:cs="Times New Roman"/>
          <w:bCs/>
          <w:color w:val="000000"/>
          <w:sz w:val="24"/>
          <w:szCs w:val="24"/>
          <w:lang w:eastAsia="ru-RU"/>
        </w:rPr>
        <w:t xml:space="preserve"> </w:t>
      </w:r>
      <w:r w:rsidRPr="0051281D">
        <w:rPr>
          <w:rFonts w:ascii="Times New Roman" w:eastAsia="Arial" w:hAnsi="Times New Roman" w:cs="Times New Roman"/>
          <w:bCs/>
          <w:color w:val="000000"/>
          <w:sz w:val="24"/>
          <w:szCs w:val="24"/>
          <w:lang w:eastAsia="ru-RU"/>
        </w:rPr>
        <w:t xml:space="preserve">351). Данные, представленные в Докладе о деятельности Уполномоченного по защите прав предпринимателей в </w:t>
      </w:r>
      <w:r w:rsidR="00B873F8">
        <w:rPr>
          <w:rFonts w:ascii="Times New Roman" w:eastAsia="Arial" w:hAnsi="Times New Roman" w:cs="Times New Roman"/>
          <w:bCs/>
          <w:color w:val="000000"/>
          <w:sz w:val="24"/>
          <w:szCs w:val="24"/>
          <w:lang w:eastAsia="ru-RU"/>
        </w:rPr>
        <w:t>Ленинградской области за 2020  и за 2021</w:t>
      </w:r>
      <w:r w:rsidRPr="0051281D">
        <w:rPr>
          <w:rFonts w:ascii="Times New Roman" w:eastAsia="Arial" w:hAnsi="Times New Roman" w:cs="Times New Roman"/>
          <w:bCs/>
          <w:color w:val="000000"/>
          <w:sz w:val="24"/>
          <w:szCs w:val="24"/>
          <w:lang w:eastAsia="ru-RU"/>
        </w:rPr>
        <w:t>, также иллюстрируют снижение общего количества письменных жалоб и обращений, которые поступили в адрес уполномоченного (с</w:t>
      </w:r>
      <w:r w:rsidR="00B873F8">
        <w:rPr>
          <w:rFonts w:ascii="Times New Roman" w:eastAsia="Arial" w:hAnsi="Times New Roman" w:cs="Times New Roman"/>
          <w:bCs/>
          <w:color w:val="000000"/>
          <w:sz w:val="24"/>
          <w:szCs w:val="24"/>
          <w:lang w:eastAsia="ru-RU"/>
        </w:rPr>
        <w:t xml:space="preserve"> 337 жалоб и обращений в 2020 до 224 в 2021</w:t>
      </w:r>
      <w:r w:rsidRPr="0051281D">
        <w:rPr>
          <w:rFonts w:ascii="Times New Roman" w:eastAsia="Arial" w:hAnsi="Times New Roman" w:cs="Times New Roman"/>
          <w:bCs/>
          <w:color w:val="000000"/>
          <w:sz w:val="24"/>
          <w:szCs w:val="24"/>
          <w:lang w:eastAsia="ru-RU"/>
        </w:rPr>
        <w:t>).</w:t>
      </w:r>
    </w:p>
    <w:p w:rsidR="00C0504B" w:rsidRPr="0051281D" w:rsidRDefault="00C0504B" w:rsidP="00C0504B">
      <w:pPr>
        <w:spacing w:after="0" w:line="360" w:lineRule="auto"/>
        <w:ind w:firstLine="709"/>
        <w:jc w:val="both"/>
        <w:rPr>
          <w:rFonts w:ascii="Times New Roman" w:eastAsia="Arial" w:hAnsi="Times New Roman" w:cs="Times New Roman"/>
          <w:bCs/>
          <w:color w:val="000000"/>
          <w:sz w:val="24"/>
          <w:szCs w:val="24"/>
          <w:lang w:eastAsia="ru-RU"/>
        </w:rPr>
      </w:pPr>
      <w:r w:rsidRPr="0051281D">
        <w:rPr>
          <w:rFonts w:ascii="Times New Roman" w:eastAsia="Arial" w:hAnsi="Times New Roman" w:cs="Times New Roman"/>
          <w:bCs/>
          <w:color w:val="000000"/>
          <w:sz w:val="24"/>
          <w:szCs w:val="24"/>
          <w:lang w:eastAsia="ru-RU"/>
        </w:rPr>
        <w:t>В числе факторов, ограничивающих конкуренцию, необходимо, в первую очередь, отметить: сложную социально экономическую ситуацию, влияющую на все сферы развития экономики, а также на уровень платежеспособности населения, сложности с приобретением сырья и/или оборудования, необходимого для ведения многих направлений бизнеса, недостаточный уровень информированности представителей юридических лиц о возможностях получения государственной поддержки, отдельные сохраняющиеся административные барьеры (наиболее часто в ходе мониторинга назывались такие барьеры, как нестабильность российского законодательства, высокие налоги, которые вынуждены платить предст</w:t>
      </w:r>
      <w:r>
        <w:rPr>
          <w:rFonts w:ascii="Times New Roman" w:eastAsia="Arial" w:hAnsi="Times New Roman" w:cs="Times New Roman"/>
          <w:bCs/>
          <w:color w:val="000000"/>
          <w:sz w:val="24"/>
          <w:szCs w:val="24"/>
          <w:lang w:eastAsia="ru-RU"/>
        </w:rPr>
        <w:t>авители бизнеса, и коррупция).</w:t>
      </w:r>
    </w:p>
    <w:p w:rsidR="00C0504B" w:rsidRPr="005C669C" w:rsidRDefault="00C0504B" w:rsidP="00C0504B">
      <w:pPr>
        <w:spacing w:after="0" w:line="360" w:lineRule="auto"/>
        <w:ind w:firstLine="709"/>
        <w:jc w:val="both"/>
        <w:rPr>
          <w:rFonts w:ascii="Times New Roman" w:hAnsi="Times New Roman" w:cs="Times New Roman"/>
          <w:sz w:val="24"/>
          <w:szCs w:val="24"/>
        </w:rPr>
      </w:pPr>
      <w:r w:rsidRPr="005C669C">
        <w:rPr>
          <w:rFonts w:ascii="Times New Roman" w:hAnsi="Times New Roman" w:cs="Times New Roman"/>
          <w:sz w:val="24"/>
          <w:szCs w:val="24"/>
        </w:rPr>
        <w:t xml:space="preserve">За 2022 год установленные ключевые показатели развития конкуренции на рынках согласно Дорожной карте достигнуты, за исключением </w:t>
      </w:r>
      <w:r>
        <w:rPr>
          <w:rFonts w:ascii="Times New Roman" w:hAnsi="Times New Roman" w:cs="Times New Roman"/>
          <w:sz w:val="24"/>
          <w:szCs w:val="24"/>
        </w:rPr>
        <w:t>ситуации на рынке</w:t>
      </w:r>
      <w:r w:rsidRPr="0051281D">
        <w:rPr>
          <w:rFonts w:ascii="Times New Roman" w:hAnsi="Times New Roman" w:cs="Times New Roman"/>
          <w:sz w:val="24"/>
          <w:szCs w:val="24"/>
        </w:rPr>
        <w:t xml:space="preserve"> кадастровых и землеустроительных работ</w:t>
      </w:r>
      <w:r>
        <w:rPr>
          <w:rFonts w:ascii="Times New Roman" w:hAnsi="Times New Roman" w:cs="Times New Roman"/>
          <w:sz w:val="24"/>
          <w:szCs w:val="24"/>
        </w:rPr>
        <w:t xml:space="preserve">. </w:t>
      </w:r>
      <w:r w:rsidRPr="005C669C">
        <w:rPr>
          <w:rFonts w:ascii="Times New Roman" w:hAnsi="Times New Roman" w:cs="Times New Roman"/>
          <w:sz w:val="24"/>
          <w:szCs w:val="24"/>
        </w:rPr>
        <w:t>По состоянию на 31.12.2022</w:t>
      </w:r>
      <w:r>
        <w:rPr>
          <w:rFonts w:ascii="Times New Roman" w:hAnsi="Times New Roman" w:cs="Times New Roman"/>
          <w:sz w:val="24"/>
          <w:szCs w:val="24"/>
        </w:rPr>
        <w:t xml:space="preserve">, </w:t>
      </w:r>
      <w:r w:rsidRPr="005C669C">
        <w:rPr>
          <w:rFonts w:ascii="Times New Roman" w:hAnsi="Times New Roman" w:cs="Times New Roman"/>
          <w:sz w:val="24"/>
          <w:szCs w:val="24"/>
        </w:rPr>
        <w:t>согласно данным ЕГРЮЛ на территории Ленинградской области зарегистрированы: 27 организаций (в т.ч. 1 МУП)  с основным видом деятельности: «Кадастровая деятельность» и 21 (в т.ч. 2 МУП)  -  «Землеустройство».</w:t>
      </w:r>
    </w:p>
    <w:p w:rsidR="00C0504B" w:rsidRPr="005C669C" w:rsidRDefault="00C0504B" w:rsidP="00C0504B">
      <w:pPr>
        <w:spacing w:after="0" w:line="360" w:lineRule="auto"/>
        <w:ind w:firstLine="709"/>
        <w:jc w:val="both"/>
        <w:rPr>
          <w:rFonts w:ascii="Times New Roman" w:hAnsi="Times New Roman" w:cs="Times New Roman"/>
          <w:sz w:val="24"/>
          <w:szCs w:val="24"/>
        </w:rPr>
      </w:pPr>
      <w:r w:rsidRPr="005C669C">
        <w:rPr>
          <w:rFonts w:ascii="Times New Roman" w:hAnsi="Times New Roman" w:cs="Times New Roman"/>
          <w:sz w:val="24"/>
          <w:szCs w:val="24"/>
        </w:rPr>
        <w:t xml:space="preserve">3 муниципальных унитарных предприятия подлежат ликвидации или преобразованию в иную организационно-правовую форму до </w:t>
      </w:r>
      <w:r>
        <w:rPr>
          <w:rFonts w:ascii="Times New Roman" w:hAnsi="Times New Roman" w:cs="Times New Roman"/>
          <w:sz w:val="24"/>
          <w:szCs w:val="24"/>
        </w:rPr>
        <w:t>31.12.2024 в соответствии с утвержденным</w:t>
      </w:r>
      <w:r w:rsidRPr="005C669C">
        <w:rPr>
          <w:rFonts w:ascii="Times New Roman" w:hAnsi="Times New Roman" w:cs="Times New Roman"/>
          <w:sz w:val="24"/>
          <w:szCs w:val="24"/>
        </w:rPr>
        <w:t xml:space="preserve"> </w:t>
      </w:r>
      <w:r>
        <w:rPr>
          <w:rFonts w:ascii="Times New Roman" w:hAnsi="Times New Roman" w:cs="Times New Roman"/>
          <w:sz w:val="24"/>
          <w:szCs w:val="24"/>
        </w:rPr>
        <w:t xml:space="preserve">Губернатором Ленинградской области </w:t>
      </w:r>
      <w:r w:rsidRPr="005C669C">
        <w:rPr>
          <w:rFonts w:ascii="Times New Roman" w:hAnsi="Times New Roman" w:cs="Times New Roman"/>
          <w:sz w:val="24"/>
          <w:szCs w:val="24"/>
        </w:rPr>
        <w:t xml:space="preserve"> </w:t>
      </w:r>
      <w:r>
        <w:rPr>
          <w:rFonts w:ascii="Times New Roman" w:hAnsi="Times New Roman" w:cs="Times New Roman"/>
          <w:sz w:val="24"/>
          <w:szCs w:val="24"/>
        </w:rPr>
        <w:t>п</w:t>
      </w:r>
      <w:r w:rsidRPr="005C669C">
        <w:rPr>
          <w:rFonts w:ascii="Times New Roman" w:hAnsi="Times New Roman" w:cs="Times New Roman"/>
          <w:sz w:val="24"/>
          <w:szCs w:val="24"/>
        </w:rPr>
        <w:t>ланом мероприятий субъекта  Российской Федерации – Ленинградской области по реформированию  унитарных предприятий</w:t>
      </w:r>
      <w:r>
        <w:rPr>
          <w:rFonts w:ascii="Times New Roman" w:hAnsi="Times New Roman" w:cs="Times New Roman"/>
          <w:sz w:val="24"/>
          <w:szCs w:val="24"/>
        </w:rPr>
        <w:t xml:space="preserve"> на период до января 2025 года. </w:t>
      </w:r>
      <w:r w:rsidRPr="005C669C">
        <w:rPr>
          <w:rFonts w:ascii="Times New Roman" w:hAnsi="Times New Roman" w:cs="Times New Roman"/>
          <w:sz w:val="24"/>
          <w:szCs w:val="24"/>
        </w:rPr>
        <w:t>В 2022 году среди организаций, осуществляющих основной вид деятельности «Кадастровая деятельность» или «Землеустройство»:</w:t>
      </w:r>
    </w:p>
    <w:p w:rsidR="00C0504B" w:rsidRPr="005C669C" w:rsidRDefault="00C0504B" w:rsidP="00C0504B">
      <w:pPr>
        <w:pStyle w:val="a4"/>
        <w:numPr>
          <w:ilvl w:val="0"/>
          <w:numId w:val="39"/>
        </w:numPr>
        <w:spacing w:after="0" w:line="360" w:lineRule="auto"/>
        <w:ind w:left="0" w:firstLine="709"/>
        <w:jc w:val="both"/>
        <w:rPr>
          <w:rFonts w:ascii="Times New Roman" w:hAnsi="Times New Roman" w:cs="Times New Roman"/>
          <w:sz w:val="24"/>
          <w:szCs w:val="24"/>
        </w:rPr>
      </w:pPr>
      <w:r w:rsidRPr="005C669C">
        <w:rPr>
          <w:rFonts w:ascii="Times New Roman" w:hAnsi="Times New Roman" w:cs="Times New Roman"/>
          <w:sz w:val="24"/>
          <w:szCs w:val="24"/>
        </w:rPr>
        <w:t xml:space="preserve">2 организации созданы, </w:t>
      </w:r>
    </w:p>
    <w:p w:rsidR="00C0504B" w:rsidRPr="005C669C" w:rsidRDefault="00C0504B" w:rsidP="00C0504B">
      <w:pPr>
        <w:pStyle w:val="a4"/>
        <w:numPr>
          <w:ilvl w:val="0"/>
          <w:numId w:val="39"/>
        </w:numPr>
        <w:spacing w:after="0" w:line="360" w:lineRule="auto"/>
        <w:ind w:left="0" w:firstLine="709"/>
        <w:jc w:val="both"/>
        <w:rPr>
          <w:rFonts w:ascii="Times New Roman" w:hAnsi="Times New Roman" w:cs="Times New Roman"/>
          <w:sz w:val="24"/>
          <w:szCs w:val="24"/>
        </w:rPr>
      </w:pPr>
      <w:r w:rsidRPr="005C669C">
        <w:rPr>
          <w:rFonts w:ascii="Times New Roman" w:hAnsi="Times New Roman" w:cs="Times New Roman"/>
          <w:sz w:val="24"/>
          <w:szCs w:val="24"/>
        </w:rPr>
        <w:t xml:space="preserve">2 перерегистрировали юридический адрес в  Ленинградской области, </w:t>
      </w:r>
    </w:p>
    <w:p w:rsidR="00C0504B" w:rsidRPr="005C669C" w:rsidRDefault="00C0504B" w:rsidP="00C0504B">
      <w:pPr>
        <w:pStyle w:val="a4"/>
        <w:numPr>
          <w:ilvl w:val="0"/>
          <w:numId w:val="39"/>
        </w:numPr>
        <w:spacing w:after="0" w:line="360" w:lineRule="auto"/>
        <w:ind w:left="0" w:firstLine="709"/>
        <w:jc w:val="both"/>
        <w:rPr>
          <w:rFonts w:ascii="Times New Roman" w:hAnsi="Times New Roman" w:cs="Times New Roman"/>
          <w:sz w:val="24"/>
          <w:szCs w:val="24"/>
        </w:rPr>
      </w:pPr>
      <w:r w:rsidRPr="005C669C">
        <w:rPr>
          <w:rFonts w:ascii="Times New Roman" w:hAnsi="Times New Roman" w:cs="Times New Roman"/>
          <w:sz w:val="24"/>
          <w:szCs w:val="24"/>
        </w:rPr>
        <w:t xml:space="preserve">6 исключены из ЕГРЮЛ, </w:t>
      </w:r>
    </w:p>
    <w:p w:rsidR="00C0504B" w:rsidRPr="005C669C" w:rsidRDefault="00C0504B" w:rsidP="00C0504B">
      <w:pPr>
        <w:pStyle w:val="a4"/>
        <w:numPr>
          <w:ilvl w:val="0"/>
          <w:numId w:val="39"/>
        </w:numPr>
        <w:spacing w:after="0" w:line="360" w:lineRule="auto"/>
        <w:ind w:left="0" w:firstLine="709"/>
        <w:jc w:val="both"/>
        <w:rPr>
          <w:rFonts w:ascii="Times New Roman" w:hAnsi="Times New Roman" w:cs="Times New Roman"/>
          <w:sz w:val="24"/>
          <w:szCs w:val="24"/>
        </w:rPr>
      </w:pPr>
      <w:r w:rsidRPr="005C669C">
        <w:rPr>
          <w:rFonts w:ascii="Times New Roman" w:hAnsi="Times New Roman" w:cs="Times New Roman"/>
          <w:sz w:val="24"/>
          <w:szCs w:val="24"/>
        </w:rPr>
        <w:t xml:space="preserve">5 не ведут финансово-хозяйственную деятельность (по 2 приняты решения о предстоящем  исключении из ЕГРЮЛ), </w:t>
      </w:r>
    </w:p>
    <w:p w:rsidR="00C0504B" w:rsidRPr="005C669C" w:rsidRDefault="00C0504B" w:rsidP="00C0504B">
      <w:pPr>
        <w:pStyle w:val="a4"/>
        <w:numPr>
          <w:ilvl w:val="0"/>
          <w:numId w:val="39"/>
        </w:numPr>
        <w:spacing w:after="0" w:line="360" w:lineRule="auto"/>
        <w:ind w:left="0" w:firstLine="709"/>
        <w:jc w:val="both"/>
        <w:rPr>
          <w:rFonts w:ascii="Times New Roman" w:hAnsi="Times New Roman" w:cs="Times New Roman"/>
          <w:sz w:val="24"/>
          <w:szCs w:val="24"/>
        </w:rPr>
      </w:pPr>
      <w:r w:rsidRPr="005C669C">
        <w:rPr>
          <w:rFonts w:ascii="Times New Roman" w:hAnsi="Times New Roman" w:cs="Times New Roman"/>
          <w:sz w:val="24"/>
          <w:szCs w:val="24"/>
        </w:rPr>
        <w:t>по 1 МУП принято решение о преобразовании в ООО.</w:t>
      </w:r>
    </w:p>
    <w:p w:rsidR="00C0504B" w:rsidRPr="005C669C" w:rsidRDefault="00C0504B" w:rsidP="00C0504B">
      <w:pPr>
        <w:spacing w:after="0" w:line="360" w:lineRule="auto"/>
        <w:ind w:firstLine="709"/>
        <w:jc w:val="both"/>
        <w:rPr>
          <w:rFonts w:ascii="Times New Roman" w:hAnsi="Times New Roman" w:cs="Times New Roman"/>
          <w:sz w:val="24"/>
          <w:szCs w:val="24"/>
        </w:rPr>
      </w:pPr>
      <w:r w:rsidRPr="005C669C">
        <w:rPr>
          <w:rFonts w:ascii="Times New Roman" w:hAnsi="Times New Roman" w:cs="Times New Roman"/>
          <w:sz w:val="24"/>
          <w:szCs w:val="24"/>
        </w:rPr>
        <w:t>Невыполнение планового показателя связано с сокращением количества организаций, зарегистрированных на территории Ленинградской области, находящихся в частной собственности  и осуществляющих деятельность в области кадастровых и землеустроительных работ.</w:t>
      </w:r>
    </w:p>
    <w:p w:rsidR="00C0504B" w:rsidRPr="00694448" w:rsidRDefault="00C0504B" w:rsidP="00500720">
      <w:pPr>
        <w:spacing w:after="0" w:line="360" w:lineRule="auto"/>
        <w:ind w:firstLine="709"/>
        <w:jc w:val="both"/>
        <w:rPr>
          <w:rFonts w:ascii="Times New Roman" w:eastAsia="Times New Roman" w:hAnsi="Times New Roman" w:cs="Times New Roman"/>
          <w:color w:val="000000"/>
          <w:sz w:val="24"/>
          <w:szCs w:val="24"/>
          <w:lang w:eastAsia="ru-RU"/>
        </w:rPr>
      </w:pPr>
    </w:p>
    <w:sectPr w:rsidR="00C0504B" w:rsidRPr="00694448" w:rsidSect="00A67959">
      <w:footerReference w:type="default" r:id="rId133"/>
      <w:pgSz w:w="11906" w:h="16838"/>
      <w:pgMar w:top="1134" w:right="709"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2F6E" w:rsidRDefault="00DF2F6E">
      <w:pPr>
        <w:spacing w:after="0" w:line="240" w:lineRule="auto"/>
      </w:pPr>
      <w:r>
        <w:separator/>
      </w:r>
    </w:p>
  </w:endnote>
  <w:endnote w:type="continuationSeparator" w:id="0">
    <w:p w:rsidR="00DF2F6E" w:rsidRDefault="00DF2F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imesNewRomanPS-BoldMT">
    <w:altName w:val="Times New Roman"/>
    <w:panose1 w:val="00000000000000000000"/>
    <w:charset w:val="00"/>
    <w:family w:val="roman"/>
    <w:notTrueType/>
    <w:pitch w:val="default"/>
  </w:font>
  <w:font w:name="Open Sans">
    <w:charset w:val="CC"/>
    <w:family w:val="swiss"/>
    <w:pitch w:val="variable"/>
    <w:sig w:usb0="E00002EF" w:usb1="4000205B" w:usb2="00000028"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Book Antiqua">
    <w:panose1 w:val="02040602050305030304"/>
    <w:charset w:val="CC"/>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Liberation Sans">
    <w:altName w:val="Arial"/>
    <w:charset w:val="CC"/>
    <w:family w:val="swiss"/>
    <w:pitch w:val="variable"/>
  </w:font>
  <w:font w:name="Microsoft YaHei">
    <w:panose1 w:val="020B0503020204020204"/>
    <w:charset w:val="86"/>
    <w:family w:val="swiss"/>
    <w:pitch w:val="variable"/>
    <w:sig w:usb0="80000287" w:usb1="280F3C52" w:usb2="00000016" w:usb3="00000000" w:csb0="0004001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0784029"/>
      <w:docPartObj>
        <w:docPartGallery w:val="Page Numbers (Bottom of Page)"/>
        <w:docPartUnique/>
      </w:docPartObj>
    </w:sdtPr>
    <w:sdtEndPr/>
    <w:sdtContent>
      <w:p w:rsidR="00123328" w:rsidRDefault="00123328">
        <w:pPr>
          <w:pStyle w:val="ae"/>
          <w:jc w:val="center"/>
        </w:pPr>
        <w:r>
          <w:fldChar w:fldCharType="begin"/>
        </w:r>
        <w:r>
          <w:instrText>PAGE   \* MERGEFORMAT</w:instrText>
        </w:r>
        <w:r>
          <w:fldChar w:fldCharType="separate"/>
        </w:r>
        <w:r w:rsidR="008C32C6">
          <w:rPr>
            <w:noProof/>
          </w:rPr>
          <w:t>61</w:t>
        </w:r>
        <w:r>
          <w:fldChar w:fldCharType="end"/>
        </w:r>
      </w:p>
    </w:sdtContent>
  </w:sdt>
  <w:p w:rsidR="00123328" w:rsidRDefault="00123328">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2F6E" w:rsidRDefault="00DF2F6E">
      <w:pPr>
        <w:spacing w:after="0" w:line="240" w:lineRule="auto"/>
      </w:pPr>
      <w:r>
        <w:separator/>
      </w:r>
    </w:p>
  </w:footnote>
  <w:footnote w:type="continuationSeparator" w:id="0">
    <w:p w:rsidR="00DF2F6E" w:rsidRDefault="00DF2F6E">
      <w:pPr>
        <w:spacing w:after="0" w:line="240" w:lineRule="auto"/>
      </w:pPr>
      <w:r>
        <w:continuationSeparator/>
      </w:r>
    </w:p>
  </w:footnote>
  <w:footnote w:id="1">
    <w:p w:rsidR="00123328" w:rsidRPr="00F87F65" w:rsidRDefault="00123328" w:rsidP="00786D2A">
      <w:pPr>
        <w:pStyle w:val="af8"/>
        <w:rPr>
          <w:rFonts w:ascii="Times New Roman" w:hAnsi="Times New Roman" w:cs="Times New Roman"/>
        </w:rPr>
      </w:pPr>
      <w:r>
        <w:rPr>
          <w:rStyle w:val="afa"/>
        </w:rPr>
        <w:footnoteRef/>
      </w:r>
      <w:r>
        <w:t xml:space="preserve"> </w:t>
      </w:r>
      <w:r w:rsidRPr="00F87F65">
        <w:rPr>
          <w:rFonts w:ascii="Times New Roman" w:hAnsi="Times New Roman" w:cs="Times New Roman"/>
        </w:rPr>
        <w:t>Более подробно данные представлены в отдельной таблице.</w:t>
      </w:r>
    </w:p>
  </w:footnote>
  <w:footnote w:id="2">
    <w:p w:rsidR="00123328" w:rsidRPr="009C6F8D" w:rsidRDefault="00123328" w:rsidP="00851FF9">
      <w:pPr>
        <w:pStyle w:val="af8"/>
        <w:rPr>
          <w:rFonts w:ascii="Times New Roman" w:hAnsi="Times New Roman" w:cs="Times New Roman"/>
          <w:sz w:val="22"/>
          <w:szCs w:val="22"/>
        </w:rPr>
      </w:pPr>
      <w:r>
        <w:rPr>
          <w:rStyle w:val="afa"/>
        </w:rPr>
        <w:footnoteRef/>
      </w:r>
      <w:r>
        <w:t xml:space="preserve"> </w:t>
      </w:r>
      <w:r w:rsidRPr="009C6F8D">
        <w:rPr>
          <w:rFonts w:ascii="Times New Roman" w:hAnsi="Times New Roman" w:cs="Times New Roman"/>
          <w:sz w:val="22"/>
          <w:szCs w:val="22"/>
        </w:rPr>
        <w:t>Сумма ответов может превышать 100%, поскольку респондентам предоставлялась возможность выбрать несколько вариантов ответа.</w:t>
      </w:r>
    </w:p>
  </w:footnote>
  <w:footnote w:id="3">
    <w:p w:rsidR="00123328" w:rsidRDefault="00123328" w:rsidP="00851FF9">
      <w:pPr>
        <w:pStyle w:val="af8"/>
      </w:pPr>
      <w:r>
        <w:rPr>
          <w:rStyle w:val="afa"/>
        </w:rPr>
        <w:footnoteRef/>
      </w:r>
      <w:r>
        <w:t xml:space="preserve"> Сумма ответов может превышать 100%, поскольку респондентам предоставлялась возможность выбрать несколько вариантов ответа.</w:t>
      </w:r>
    </w:p>
  </w:footnote>
  <w:footnote w:id="4">
    <w:p w:rsidR="00123328" w:rsidRPr="00682FC6" w:rsidRDefault="00123328" w:rsidP="003A1D5A">
      <w:pPr>
        <w:pStyle w:val="af8"/>
        <w:rPr>
          <w:rFonts w:ascii="Times New Roman" w:hAnsi="Times New Roman" w:cs="Times New Roman"/>
        </w:rPr>
      </w:pPr>
      <w:r w:rsidRPr="00682FC6">
        <w:rPr>
          <w:rStyle w:val="afa"/>
          <w:rFonts w:ascii="Times New Roman" w:hAnsi="Times New Roman" w:cs="Times New Roman"/>
        </w:rPr>
        <w:footnoteRef/>
      </w:r>
      <w:r w:rsidRPr="00682FC6">
        <w:rPr>
          <w:rFonts w:ascii="Times New Roman" w:hAnsi="Times New Roman" w:cs="Times New Roman"/>
        </w:rPr>
        <w:t xml:space="preserve"> В исследовании учитывались только данные корректно авторизованных участников.</w:t>
      </w:r>
    </w:p>
  </w:footnote>
  <w:footnote w:id="5">
    <w:p w:rsidR="00123328" w:rsidRPr="00B50E57" w:rsidRDefault="00123328" w:rsidP="003A1D5A">
      <w:pPr>
        <w:pStyle w:val="af8"/>
        <w:rPr>
          <w:rFonts w:ascii="Times New Roman" w:hAnsi="Times New Roman" w:cs="Times New Roman"/>
          <w:sz w:val="22"/>
          <w:szCs w:val="22"/>
        </w:rPr>
      </w:pPr>
      <w:r w:rsidRPr="00B50E57">
        <w:rPr>
          <w:rStyle w:val="afa"/>
          <w:rFonts w:ascii="Times New Roman" w:hAnsi="Times New Roman" w:cs="Times New Roman"/>
          <w:sz w:val="22"/>
          <w:szCs w:val="22"/>
        </w:rPr>
        <w:footnoteRef/>
      </w:r>
      <w:r w:rsidRPr="00B50E57">
        <w:rPr>
          <w:rFonts w:ascii="Times New Roman" w:hAnsi="Times New Roman" w:cs="Times New Roman"/>
          <w:sz w:val="22"/>
          <w:szCs w:val="22"/>
        </w:rPr>
        <w:t xml:space="preserve"> При проведении зачета сложность вопросов определялась уровнем, к которому был отнесен предприниматель.</w:t>
      </w:r>
    </w:p>
  </w:footnote>
  <w:footnote w:id="6">
    <w:p w:rsidR="00123328" w:rsidRPr="00996BD2" w:rsidRDefault="00123328" w:rsidP="00500720">
      <w:pPr>
        <w:pBdr>
          <w:top w:val="nil"/>
          <w:left w:val="nil"/>
          <w:bottom w:val="nil"/>
          <w:right w:val="nil"/>
          <w:between w:val="nil"/>
        </w:pBdr>
        <w:spacing w:after="0" w:line="240" w:lineRule="auto"/>
        <w:rPr>
          <w:rFonts w:ascii="Times New Roman" w:hAnsi="Times New Roman" w:cs="Times New Roman"/>
          <w:color w:val="000000"/>
          <w:sz w:val="20"/>
          <w:szCs w:val="20"/>
        </w:rPr>
      </w:pPr>
      <w:r w:rsidRPr="00996BD2">
        <w:rPr>
          <w:rFonts w:ascii="Times New Roman" w:hAnsi="Times New Roman" w:cs="Times New Roman"/>
          <w:vertAlign w:val="superscript"/>
        </w:rPr>
        <w:footnoteRef/>
      </w:r>
      <w:r w:rsidRPr="00996BD2">
        <w:rPr>
          <w:rFonts w:ascii="Times New Roman" w:hAnsi="Times New Roman" w:cs="Times New Roman"/>
          <w:color w:val="000000"/>
          <w:sz w:val="20"/>
          <w:szCs w:val="20"/>
        </w:rPr>
        <w:t>https://petrostat.gks.ru/storage/mediabank/%D0%B1%D1%8E%D0%BB%D0%BB_%D0%9D%D0%B0%D1%83%D0%BA%D0%B0-%D0%9B%D0%9E'2021.pdf</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848EE"/>
    <w:multiLevelType w:val="multilevel"/>
    <w:tmpl w:val="12468B40"/>
    <w:lvl w:ilvl="0">
      <w:start w:val="3"/>
      <w:numFmt w:val="decimal"/>
      <w:lvlText w:val="%1"/>
      <w:lvlJc w:val="left"/>
      <w:pPr>
        <w:ind w:left="360" w:hanging="360"/>
      </w:pPr>
      <w:rPr>
        <w:rFonts w:hint="default"/>
      </w:rPr>
    </w:lvl>
    <w:lvl w:ilvl="1">
      <w:start w:val="5"/>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
    <w:nsid w:val="04D51AB8"/>
    <w:multiLevelType w:val="hybridMultilevel"/>
    <w:tmpl w:val="59C0737E"/>
    <w:lvl w:ilvl="0" w:tplc="04190001">
      <w:start w:val="1"/>
      <w:numFmt w:val="bullet"/>
      <w:lvlText w:val=""/>
      <w:lvlJc w:val="left"/>
      <w:pPr>
        <w:ind w:left="1071" w:hanging="360"/>
      </w:pPr>
      <w:rPr>
        <w:rFonts w:ascii="Symbol" w:hAnsi="Symbol" w:hint="default"/>
      </w:rPr>
    </w:lvl>
    <w:lvl w:ilvl="1" w:tplc="04190003" w:tentative="1">
      <w:start w:val="1"/>
      <w:numFmt w:val="bullet"/>
      <w:lvlText w:val="o"/>
      <w:lvlJc w:val="left"/>
      <w:pPr>
        <w:ind w:left="1791" w:hanging="360"/>
      </w:pPr>
      <w:rPr>
        <w:rFonts w:ascii="Courier New" w:hAnsi="Courier New" w:cs="Courier New" w:hint="default"/>
      </w:rPr>
    </w:lvl>
    <w:lvl w:ilvl="2" w:tplc="04190005" w:tentative="1">
      <w:start w:val="1"/>
      <w:numFmt w:val="bullet"/>
      <w:lvlText w:val=""/>
      <w:lvlJc w:val="left"/>
      <w:pPr>
        <w:ind w:left="2511" w:hanging="360"/>
      </w:pPr>
      <w:rPr>
        <w:rFonts w:ascii="Wingdings" w:hAnsi="Wingdings" w:hint="default"/>
      </w:rPr>
    </w:lvl>
    <w:lvl w:ilvl="3" w:tplc="04190001" w:tentative="1">
      <w:start w:val="1"/>
      <w:numFmt w:val="bullet"/>
      <w:lvlText w:val=""/>
      <w:lvlJc w:val="left"/>
      <w:pPr>
        <w:ind w:left="3231" w:hanging="360"/>
      </w:pPr>
      <w:rPr>
        <w:rFonts w:ascii="Symbol" w:hAnsi="Symbol" w:hint="default"/>
      </w:rPr>
    </w:lvl>
    <w:lvl w:ilvl="4" w:tplc="04190003" w:tentative="1">
      <w:start w:val="1"/>
      <w:numFmt w:val="bullet"/>
      <w:lvlText w:val="o"/>
      <w:lvlJc w:val="left"/>
      <w:pPr>
        <w:ind w:left="3951" w:hanging="360"/>
      </w:pPr>
      <w:rPr>
        <w:rFonts w:ascii="Courier New" w:hAnsi="Courier New" w:cs="Courier New" w:hint="default"/>
      </w:rPr>
    </w:lvl>
    <w:lvl w:ilvl="5" w:tplc="04190005" w:tentative="1">
      <w:start w:val="1"/>
      <w:numFmt w:val="bullet"/>
      <w:lvlText w:val=""/>
      <w:lvlJc w:val="left"/>
      <w:pPr>
        <w:ind w:left="4671" w:hanging="360"/>
      </w:pPr>
      <w:rPr>
        <w:rFonts w:ascii="Wingdings" w:hAnsi="Wingdings" w:hint="default"/>
      </w:rPr>
    </w:lvl>
    <w:lvl w:ilvl="6" w:tplc="04190001" w:tentative="1">
      <w:start w:val="1"/>
      <w:numFmt w:val="bullet"/>
      <w:lvlText w:val=""/>
      <w:lvlJc w:val="left"/>
      <w:pPr>
        <w:ind w:left="5391" w:hanging="360"/>
      </w:pPr>
      <w:rPr>
        <w:rFonts w:ascii="Symbol" w:hAnsi="Symbol" w:hint="default"/>
      </w:rPr>
    </w:lvl>
    <w:lvl w:ilvl="7" w:tplc="04190003" w:tentative="1">
      <w:start w:val="1"/>
      <w:numFmt w:val="bullet"/>
      <w:lvlText w:val="o"/>
      <w:lvlJc w:val="left"/>
      <w:pPr>
        <w:ind w:left="6111" w:hanging="360"/>
      </w:pPr>
      <w:rPr>
        <w:rFonts w:ascii="Courier New" w:hAnsi="Courier New" w:cs="Courier New" w:hint="default"/>
      </w:rPr>
    </w:lvl>
    <w:lvl w:ilvl="8" w:tplc="04190005" w:tentative="1">
      <w:start w:val="1"/>
      <w:numFmt w:val="bullet"/>
      <w:lvlText w:val=""/>
      <w:lvlJc w:val="left"/>
      <w:pPr>
        <w:ind w:left="6831" w:hanging="360"/>
      </w:pPr>
      <w:rPr>
        <w:rFonts w:ascii="Wingdings" w:hAnsi="Wingdings" w:hint="default"/>
      </w:rPr>
    </w:lvl>
  </w:abstractNum>
  <w:abstractNum w:abstractNumId="2">
    <w:nsid w:val="0FE2725D"/>
    <w:multiLevelType w:val="multilevel"/>
    <w:tmpl w:val="B9A6ACB8"/>
    <w:lvl w:ilvl="0">
      <w:start w:val="1"/>
      <w:numFmt w:val="decimal"/>
      <w:lvlText w:val="%1."/>
      <w:lvlJc w:val="left"/>
      <w:pPr>
        <w:ind w:left="1068" w:hanging="360"/>
      </w:pPr>
      <w:rPr>
        <w:rFonts w:hint="default"/>
      </w:rPr>
    </w:lvl>
    <w:lvl w:ilvl="1">
      <w:start w:val="7"/>
      <w:numFmt w:val="decimal"/>
      <w:isLgl/>
      <w:lvlText w:val="%1.%2."/>
      <w:lvlJc w:val="left"/>
      <w:pPr>
        <w:ind w:left="1428" w:hanging="720"/>
      </w:pPr>
      <w:rPr>
        <w:rFonts w:eastAsia="Times New Roman" w:hint="default"/>
        <w:b w:val="0"/>
      </w:rPr>
    </w:lvl>
    <w:lvl w:ilvl="2">
      <w:start w:val="3"/>
      <w:numFmt w:val="decimal"/>
      <w:isLgl/>
      <w:lvlText w:val="%1.%2.%3."/>
      <w:lvlJc w:val="left"/>
      <w:pPr>
        <w:ind w:left="1428" w:hanging="720"/>
      </w:pPr>
      <w:rPr>
        <w:rFonts w:eastAsia="Times New Roman" w:hint="default"/>
        <w:b w:val="0"/>
      </w:rPr>
    </w:lvl>
    <w:lvl w:ilvl="3">
      <w:start w:val="4"/>
      <w:numFmt w:val="decimal"/>
      <w:isLgl/>
      <w:lvlText w:val="%1.%2.%3.%4."/>
      <w:lvlJc w:val="left"/>
      <w:pPr>
        <w:ind w:left="1854" w:hanging="720"/>
      </w:pPr>
      <w:rPr>
        <w:rFonts w:eastAsia="Times New Roman" w:hint="default"/>
        <w:b/>
      </w:rPr>
    </w:lvl>
    <w:lvl w:ilvl="4">
      <w:start w:val="1"/>
      <w:numFmt w:val="decimalZero"/>
      <w:isLgl/>
      <w:lvlText w:val="%1.%2.%3.%4.%5."/>
      <w:lvlJc w:val="left"/>
      <w:pPr>
        <w:ind w:left="1788" w:hanging="1080"/>
      </w:pPr>
      <w:rPr>
        <w:rFonts w:eastAsia="Times New Roman" w:hint="default"/>
        <w:b w:val="0"/>
      </w:rPr>
    </w:lvl>
    <w:lvl w:ilvl="5">
      <w:start w:val="1"/>
      <w:numFmt w:val="decimal"/>
      <w:isLgl/>
      <w:lvlText w:val="%1.%2.%3.%4.%5.%6."/>
      <w:lvlJc w:val="left"/>
      <w:pPr>
        <w:ind w:left="1788" w:hanging="1080"/>
      </w:pPr>
      <w:rPr>
        <w:rFonts w:eastAsia="Times New Roman" w:hint="default"/>
        <w:b w:val="0"/>
      </w:rPr>
    </w:lvl>
    <w:lvl w:ilvl="6">
      <w:start w:val="1"/>
      <w:numFmt w:val="decimal"/>
      <w:isLgl/>
      <w:lvlText w:val="%1.%2.%3.%4.%5.%6.%7."/>
      <w:lvlJc w:val="left"/>
      <w:pPr>
        <w:ind w:left="2148" w:hanging="1440"/>
      </w:pPr>
      <w:rPr>
        <w:rFonts w:eastAsia="Times New Roman" w:hint="default"/>
        <w:b w:val="0"/>
      </w:rPr>
    </w:lvl>
    <w:lvl w:ilvl="7">
      <w:start w:val="1"/>
      <w:numFmt w:val="decimal"/>
      <w:isLgl/>
      <w:lvlText w:val="%1.%2.%3.%4.%5.%6.%7.%8."/>
      <w:lvlJc w:val="left"/>
      <w:pPr>
        <w:ind w:left="2148" w:hanging="1440"/>
      </w:pPr>
      <w:rPr>
        <w:rFonts w:eastAsia="Times New Roman" w:hint="default"/>
        <w:b w:val="0"/>
      </w:rPr>
    </w:lvl>
    <w:lvl w:ilvl="8">
      <w:start w:val="1"/>
      <w:numFmt w:val="decimal"/>
      <w:isLgl/>
      <w:lvlText w:val="%1.%2.%3.%4.%5.%6.%7.%8.%9."/>
      <w:lvlJc w:val="left"/>
      <w:pPr>
        <w:ind w:left="2508" w:hanging="1800"/>
      </w:pPr>
      <w:rPr>
        <w:rFonts w:eastAsia="Times New Roman" w:hint="default"/>
        <w:b w:val="0"/>
      </w:rPr>
    </w:lvl>
  </w:abstractNum>
  <w:abstractNum w:abstractNumId="3">
    <w:nsid w:val="12632490"/>
    <w:multiLevelType w:val="hybridMultilevel"/>
    <w:tmpl w:val="C3565516"/>
    <w:lvl w:ilvl="0" w:tplc="B8B8E24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ABC58BF"/>
    <w:multiLevelType w:val="hybridMultilevel"/>
    <w:tmpl w:val="D68655F2"/>
    <w:lvl w:ilvl="0" w:tplc="B8B8E24A">
      <w:start w:val="1"/>
      <w:numFmt w:val="bullet"/>
      <w:lvlText w:val="-"/>
      <w:lvlJc w:val="left"/>
      <w:pPr>
        <w:ind w:left="1500" w:hanging="360"/>
      </w:pPr>
      <w:rPr>
        <w:rFonts w:ascii="Courier New" w:hAnsi="Courier New"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
    <w:nsid w:val="1C6E5E01"/>
    <w:multiLevelType w:val="hybridMultilevel"/>
    <w:tmpl w:val="30C692CE"/>
    <w:lvl w:ilvl="0" w:tplc="B8B8E24A">
      <w:start w:val="1"/>
      <w:numFmt w:val="bullet"/>
      <w:lvlText w:val="-"/>
      <w:lvlJc w:val="left"/>
      <w:pPr>
        <w:ind w:left="1428" w:hanging="360"/>
      </w:pPr>
      <w:rPr>
        <w:rFonts w:ascii="Courier New" w:hAnsi="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1CF644D3"/>
    <w:multiLevelType w:val="hybridMultilevel"/>
    <w:tmpl w:val="162840C0"/>
    <w:lvl w:ilvl="0" w:tplc="96CA550C">
      <w:start w:val="1"/>
      <w:numFmt w:val="bullet"/>
      <w:lvlText w:val="-"/>
      <w:lvlJc w:val="left"/>
      <w:pPr>
        <w:tabs>
          <w:tab w:val="num" w:pos="720"/>
        </w:tabs>
        <w:ind w:left="720" w:hanging="360"/>
      </w:pPr>
      <w:rPr>
        <w:rFonts w:ascii="Times New Roman" w:hAnsi="Times New Roman" w:hint="default"/>
      </w:rPr>
    </w:lvl>
    <w:lvl w:ilvl="1" w:tplc="37481334" w:tentative="1">
      <w:start w:val="1"/>
      <w:numFmt w:val="bullet"/>
      <w:lvlText w:val="-"/>
      <w:lvlJc w:val="left"/>
      <w:pPr>
        <w:tabs>
          <w:tab w:val="num" w:pos="1440"/>
        </w:tabs>
        <w:ind w:left="1440" w:hanging="360"/>
      </w:pPr>
      <w:rPr>
        <w:rFonts w:ascii="Times New Roman" w:hAnsi="Times New Roman" w:hint="default"/>
      </w:rPr>
    </w:lvl>
    <w:lvl w:ilvl="2" w:tplc="212E2360" w:tentative="1">
      <w:start w:val="1"/>
      <w:numFmt w:val="bullet"/>
      <w:lvlText w:val="-"/>
      <w:lvlJc w:val="left"/>
      <w:pPr>
        <w:tabs>
          <w:tab w:val="num" w:pos="2160"/>
        </w:tabs>
        <w:ind w:left="2160" w:hanging="360"/>
      </w:pPr>
      <w:rPr>
        <w:rFonts w:ascii="Times New Roman" w:hAnsi="Times New Roman" w:hint="default"/>
      </w:rPr>
    </w:lvl>
    <w:lvl w:ilvl="3" w:tplc="85102246" w:tentative="1">
      <w:start w:val="1"/>
      <w:numFmt w:val="bullet"/>
      <w:lvlText w:val="-"/>
      <w:lvlJc w:val="left"/>
      <w:pPr>
        <w:tabs>
          <w:tab w:val="num" w:pos="2880"/>
        </w:tabs>
        <w:ind w:left="2880" w:hanging="360"/>
      </w:pPr>
      <w:rPr>
        <w:rFonts w:ascii="Times New Roman" w:hAnsi="Times New Roman" w:hint="default"/>
      </w:rPr>
    </w:lvl>
    <w:lvl w:ilvl="4" w:tplc="3F586B26" w:tentative="1">
      <w:start w:val="1"/>
      <w:numFmt w:val="bullet"/>
      <w:lvlText w:val="-"/>
      <w:lvlJc w:val="left"/>
      <w:pPr>
        <w:tabs>
          <w:tab w:val="num" w:pos="3600"/>
        </w:tabs>
        <w:ind w:left="3600" w:hanging="360"/>
      </w:pPr>
      <w:rPr>
        <w:rFonts w:ascii="Times New Roman" w:hAnsi="Times New Roman" w:hint="default"/>
      </w:rPr>
    </w:lvl>
    <w:lvl w:ilvl="5" w:tplc="158CE924" w:tentative="1">
      <w:start w:val="1"/>
      <w:numFmt w:val="bullet"/>
      <w:lvlText w:val="-"/>
      <w:lvlJc w:val="left"/>
      <w:pPr>
        <w:tabs>
          <w:tab w:val="num" w:pos="4320"/>
        </w:tabs>
        <w:ind w:left="4320" w:hanging="360"/>
      </w:pPr>
      <w:rPr>
        <w:rFonts w:ascii="Times New Roman" w:hAnsi="Times New Roman" w:hint="default"/>
      </w:rPr>
    </w:lvl>
    <w:lvl w:ilvl="6" w:tplc="946091F6" w:tentative="1">
      <w:start w:val="1"/>
      <w:numFmt w:val="bullet"/>
      <w:lvlText w:val="-"/>
      <w:lvlJc w:val="left"/>
      <w:pPr>
        <w:tabs>
          <w:tab w:val="num" w:pos="5040"/>
        </w:tabs>
        <w:ind w:left="5040" w:hanging="360"/>
      </w:pPr>
      <w:rPr>
        <w:rFonts w:ascii="Times New Roman" w:hAnsi="Times New Roman" w:hint="default"/>
      </w:rPr>
    </w:lvl>
    <w:lvl w:ilvl="7" w:tplc="0CCC5992" w:tentative="1">
      <w:start w:val="1"/>
      <w:numFmt w:val="bullet"/>
      <w:lvlText w:val="-"/>
      <w:lvlJc w:val="left"/>
      <w:pPr>
        <w:tabs>
          <w:tab w:val="num" w:pos="5760"/>
        </w:tabs>
        <w:ind w:left="5760" w:hanging="360"/>
      </w:pPr>
      <w:rPr>
        <w:rFonts w:ascii="Times New Roman" w:hAnsi="Times New Roman" w:hint="default"/>
      </w:rPr>
    </w:lvl>
    <w:lvl w:ilvl="8" w:tplc="9758A816" w:tentative="1">
      <w:start w:val="1"/>
      <w:numFmt w:val="bullet"/>
      <w:lvlText w:val="-"/>
      <w:lvlJc w:val="left"/>
      <w:pPr>
        <w:tabs>
          <w:tab w:val="num" w:pos="6480"/>
        </w:tabs>
        <w:ind w:left="6480" w:hanging="360"/>
      </w:pPr>
      <w:rPr>
        <w:rFonts w:ascii="Times New Roman" w:hAnsi="Times New Roman" w:hint="default"/>
      </w:rPr>
    </w:lvl>
  </w:abstractNum>
  <w:abstractNum w:abstractNumId="7">
    <w:nsid w:val="1DF900B4"/>
    <w:multiLevelType w:val="hybridMultilevel"/>
    <w:tmpl w:val="71BCB5B6"/>
    <w:lvl w:ilvl="0" w:tplc="B8B8E24A">
      <w:start w:val="1"/>
      <w:numFmt w:val="bullet"/>
      <w:lvlText w:val="-"/>
      <w:lvlJc w:val="left"/>
      <w:pPr>
        <w:ind w:left="1428" w:hanging="360"/>
      </w:pPr>
      <w:rPr>
        <w:rFonts w:ascii="Courier New" w:hAnsi="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1E566D65"/>
    <w:multiLevelType w:val="hybridMultilevel"/>
    <w:tmpl w:val="59322412"/>
    <w:lvl w:ilvl="0" w:tplc="8E446B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0C43D5D"/>
    <w:multiLevelType w:val="multilevel"/>
    <w:tmpl w:val="4CD023E8"/>
    <w:lvl w:ilvl="0">
      <w:start w:val="1"/>
      <w:numFmt w:val="decimal"/>
      <w:lvlText w:val="2.%1."/>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2EF63D0"/>
    <w:multiLevelType w:val="hybridMultilevel"/>
    <w:tmpl w:val="B8A65D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74650E4"/>
    <w:multiLevelType w:val="multilevel"/>
    <w:tmpl w:val="A0B49DF6"/>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2D710BB4"/>
    <w:multiLevelType w:val="multilevel"/>
    <w:tmpl w:val="24BA5D40"/>
    <w:lvl w:ilvl="0">
      <w:start w:val="1"/>
      <w:numFmt w:val="decimal"/>
      <w:lvlText w:val="%1."/>
      <w:lvlJc w:val="left"/>
      <w:pPr>
        <w:ind w:left="1069" w:hanging="360"/>
      </w:pPr>
      <w:rPr>
        <w:rFonts w:hint="default"/>
      </w:rPr>
    </w:lvl>
    <w:lvl w:ilvl="1">
      <w:start w:val="9"/>
      <w:numFmt w:val="decimal"/>
      <w:isLgl/>
      <w:lvlText w:val="%1.%2."/>
      <w:lvlJc w:val="left"/>
      <w:pPr>
        <w:ind w:left="1429" w:hanging="720"/>
      </w:pPr>
      <w:rPr>
        <w:rFonts w:hint="default"/>
        <w:b/>
        <w:u w:val="single"/>
      </w:rPr>
    </w:lvl>
    <w:lvl w:ilvl="2">
      <w:start w:val="6"/>
      <w:numFmt w:val="decimal"/>
      <w:isLgl/>
      <w:lvlText w:val="%1.%2.%3."/>
      <w:lvlJc w:val="left"/>
      <w:pPr>
        <w:ind w:left="1429" w:hanging="720"/>
      </w:pPr>
      <w:rPr>
        <w:rFonts w:hint="default"/>
        <w:b/>
        <w:u w:val="none"/>
      </w:rPr>
    </w:lvl>
    <w:lvl w:ilvl="3">
      <w:start w:val="1"/>
      <w:numFmt w:val="decimal"/>
      <w:isLgl/>
      <w:lvlText w:val="%1.%2.%3.%4."/>
      <w:lvlJc w:val="left"/>
      <w:pPr>
        <w:ind w:left="1789" w:hanging="1080"/>
      </w:pPr>
      <w:rPr>
        <w:rFonts w:hint="default"/>
        <w:b/>
        <w:u w:val="single"/>
      </w:rPr>
    </w:lvl>
    <w:lvl w:ilvl="4">
      <w:start w:val="1"/>
      <w:numFmt w:val="decimal"/>
      <w:isLgl/>
      <w:lvlText w:val="%1.%2.%3.%4.%5."/>
      <w:lvlJc w:val="left"/>
      <w:pPr>
        <w:ind w:left="1789" w:hanging="1080"/>
      </w:pPr>
      <w:rPr>
        <w:rFonts w:hint="default"/>
        <w:b/>
        <w:u w:val="single"/>
      </w:rPr>
    </w:lvl>
    <w:lvl w:ilvl="5">
      <w:start w:val="1"/>
      <w:numFmt w:val="decimal"/>
      <w:isLgl/>
      <w:lvlText w:val="%1.%2.%3.%4.%5.%6."/>
      <w:lvlJc w:val="left"/>
      <w:pPr>
        <w:ind w:left="2149" w:hanging="1440"/>
      </w:pPr>
      <w:rPr>
        <w:rFonts w:hint="default"/>
        <w:b/>
        <w:u w:val="single"/>
      </w:rPr>
    </w:lvl>
    <w:lvl w:ilvl="6">
      <w:start w:val="1"/>
      <w:numFmt w:val="decimal"/>
      <w:isLgl/>
      <w:lvlText w:val="%1.%2.%3.%4.%5.%6.%7."/>
      <w:lvlJc w:val="left"/>
      <w:pPr>
        <w:ind w:left="2149" w:hanging="1440"/>
      </w:pPr>
      <w:rPr>
        <w:rFonts w:hint="default"/>
        <w:b/>
        <w:u w:val="single"/>
      </w:rPr>
    </w:lvl>
    <w:lvl w:ilvl="7">
      <w:start w:val="1"/>
      <w:numFmt w:val="decimal"/>
      <w:isLgl/>
      <w:lvlText w:val="%1.%2.%3.%4.%5.%6.%7.%8."/>
      <w:lvlJc w:val="left"/>
      <w:pPr>
        <w:ind w:left="2509" w:hanging="1800"/>
      </w:pPr>
      <w:rPr>
        <w:rFonts w:hint="default"/>
        <w:b/>
        <w:u w:val="single"/>
      </w:rPr>
    </w:lvl>
    <w:lvl w:ilvl="8">
      <w:start w:val="1"/>
      <w:numFmt w:val="decimal"/>
      <w:isLgl/>
      <w:lvlText w:val="%1.%2.%3.%4.%5.%6.%7.%8.%9."/>
      <w:lvlJc w:val="left"/>
      <w:pPr>
        <w:ind w:left="2509" w:hanging="1800"/>
      </w:pPr>
      <w:rPr>
        <w:rFonts w:hint="default"/>
        <w:b/>
        <w:u w:val="single"/>
      </w:rPr>
    </w:lvl>
  </w:abstractNum>
  <w:abstractNum w:abstractNumId="13">
    <w:nsid w:val="35B1065F"/>
    <w:multiLevelType w:val="hybridMultilevel"/>
    <w:tmpl w:val="4DBA28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70D1C2F"/>
    <w:multiLevelType w:val="hybridMultilevel"/>
    <w:tmpl w:val="BA606F96"/>
    <w:lvl w:ilvl="0" w:tplc="B8B8E24A">
      <w:start w:val="1"/>
      <w:numFmt w:val="bullet"/>
      <w:lvlText w:val="-"/>
      <w:lvlJc w:val="left"/>
      <w:pPr>
        <w:ind w:left="1507" w:hanging="360"/>
      </w:pPr>
      <w:rPr>
        <w:rFonts w:ascii="Courier New" w:hAnsi="Courier New"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abstractNum w:abstractNumId="15">
    <w:nsid w:val="38013783"/>
    <w:multiLevelType w:val="multilevel"/>
    <w:tmpl w:val="D556EF2E"/>
    <w:lvl w:ilvl="0">
      <w:start w:val="2"/>
      <w:numFmt w:val="decimal"/>
      <w:lvlText w:val="%1."/>
      <w:lvlJc w:val="left"/>
      <w:pPr>
        <w:ind w:left="360" w:hanging="360"/>
      </w:pPr>
      <w:rPr>
        <w:rFonts w:hint="default"/>
      </w:rPr>
    </w:lvl>
    <w:lvl w:ilvl="1">
      <w:start w:val="4"/>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nsid w:val="394252C1"/>
    <w:multiLevelType w:val="multilevel"/>
    <w:tmpl w:val="5DDAF556"/>
    <w:lvl w:ilvl="0">
      <w:start w:val="1"/>
      <w:numFmt w:val="decimal"/>
      <w:lvlText w:val="%1."/>
      <w:lvlJc w:val="left"/>
      <w:pPr>
        <w:ind w:left="450" w:hanging="450"/>
      </w:pPr>
      <w:rPr>
        <w:rFonts w:hint="default"/>
      </w:rPr>
    </w:lvl>
    <w:lvl w:ilvl="1">
      <w:start w:val="1"/>
      <w:numFmt w:val="decimal"/>
      <w:lvlText w:val="%1.%2."/>
      <w:lvlJc w:val="left"/>
      <w:pPr>
        <w:ind w:left="143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3CFA0518"/>
    <w:multiLevelType w:val="hybridMultilevel"/>
    <w:tmpl w:val="49A47158"/>
    <w:lvl w:ilvl="0" w:tplc="693A47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2004E3B"/>
    <w:multiLevelType w:val="hybridMultilevel"/>
    <w:tmpl w:val="07D86802"/>
    <w:lvl w:ilvl="0" w:tplc="B8B8E24A">
      <w:start w:val="1"/>
      <w:numFmt w:val="bullet"/>
      <w:lvlText w:val="-"/>
      <w:lvlJc w:val="left"/>
      <w:pPr>
        <w:ind w:left="1428" w:hanging="360"/>
      </w:pPr>
      <w:rPr>
        <w:rFonts w:ascii="Courier New" w:hAnsi="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49631938"/>
    <w:multiLevelType w:val="hybridMultilevel"/>
    <w:tmpl w:val="635C2682"/>
    <w:lvl w:ilvl="0" w:tplc="AC84B1E6">
      <w:start w:val="1"/>
      <w:numFmt w:val="upperRoman"/>
      <w:lvlText w:val="%1."/>
      <w:lvlJc w:val="left"/>
      <w:pPr>
        <w:tabs>
          <w:tab w:val="num" w:pos="1746"/>
        </w:tabs>
        <w:ind w:left="1386" w:hanging="360"/>
      </w:pPr>
      <w:rPr>
        <w:rFonts w:hint="default"/>
      </w:rPr>
    </w:lvl>
    <w:lvl w:ilvl="1" w:tplc="6DEEBB2A">
      <w:start w:val="1"/>
      <w:numFmt w:val="upperLetter"/>
      <w:lvlText w:val="%2."/>
      <w:lvlJc w:val="left"/>
      <w:pPr>
        <w:tabs>
          <w:tab w:val="num" w:pos="2956"/>
        </w:tabs>
        <w:ind w:left="2956" w:hanging="1876"/>
      </w:pPr>
      <w:rPr>
        <w:rFonts w:hint="default"/>
      </w:rPr>
    </w:lvl>
    <w:lvl w:ilvl="2" w:tplc="B9543E1E">
      <w:start w:val="1"/>
      <w:numFmt w:val="bullet"/>
      <w:pStyle w:val="2"/>
      <w:lvlText w:val=""/>
      <w:lvlJc w:val="left"/>
      <w:pPr>
        <w:tabs>
          <w:tab w:val="num" w:pos="2340"/>
        </w:tabs>
        <w:ind w:left="2263" w:hanging="283"/>
      </w:pPr>
      <w:rPr>
        <w:rFonts w:ascii="Wingdings" w:hAnsi="Wingdings" w:hint="default"/>
      </w:rPr>
    </w:lvl>
    <w:lvl w:ilvl="3" w:tplc="8DE40498" w:tentative="1">
      <w:start w:val="1"/>
      <w:numFmt w:val="decimal"/>
      <w:lvlText w:val="%4."/>
      <w:lvlJc w:val="left"/>
      <w:pPr>
        <w:tabs>
          <w:tab w:val="num" w:pos="2880"/>
        </w:tabs>
        <w:ind w:left="2880" w:hanging="360"/>
      </w:pPr>
    </w:lvl>
    <w:lvl w:ilvl="4" w:tplc="AD0295D4" w:tentative="1">
      <w:start w:val="1"/>
      <w:numFmt w:val="lowerLetter"/>
      <w:lvlText w:val="%5."/>
      <w:lvlJc w:val="left"/>
      <w:pPr>
        <w:tabs>
          <w:tab w:val="num" w:pos="3600"/>
        </w:tabs>
        <w:ind w:left="3600" w:hanging="360"/>
      </w:pPr>
    </w:lvl>
    <w:lvl w:ilvl="5" w:tplc="5BB476BA" w:tentative="1">
      <w:start w:val="1"/>
      <w:numFmt w:val="lowerRoman"/>
      <w:lvlText w:val="%6."/>
      <w:lvlJc w:val="right"/>
      <w:pPr>
        <w:tabs>
          <w:tab w:val="num" w:pos="4320"/>
        </w:tabs>
        <w:ind w:left="4320" w:hanging="180"/>
      </w:pPr>
    </w:lvl>
    <w:lvl w:ilvl="6" w:tplc="3E3CD474" w:tentative="1">
      <w:start w:val="1"/>
      <w:numFmt w:val="decimal"/>
      <w:lvlText w:val="%7."/>
      <w:lvlJc w:val="left"/>
      <w:pPr>
        <w:tabs>
          <w:tab w:val="num" w:pos="5040"/>
        </w:tabs>
        <w:ind w:left="5040" w:hanging="360"/>
      </w:pPr>
    </w:lvl>
    <w:lvl w:ilvl="7" w:tplc="050CF7AC" w:tentative="1">
      <w:start w:val="1"/>
      <w:numFmt w:val="lowerLetter"/>
      <w:lvlText w:val="%8."/>
      <w:lvlJc w:val="left"/>
      <w:pPr>
        <w:tabs>
          <w:tab w:val="num" w:pos="5760"/>
        </w:tabs>
        <w:ind w:left="5760" w:hanging="360"/>
      </w:pPr>
    </w:lvl>
    <w:lvl w:ilvl="8" w:tplc="301C0192" w:tentative="1">
      <w:start w:val="1"/>
      <w:numFmt w:val="lowerRoman"/>
      <w:lvlText w:val="%9."/>
      <w:lvlJc w:val="right"/>
      <w:pPr>
        <w:tabs>
          <w:tab w:val="num" w:pos="6480"/>
        </w:tabs>
        <w:ind w:left="6480" w:hanging="180"/>
      </w:pPr>
    </w:lvl>
  </w:abstractNum>
  <w:abstractNum w:abstractNumId="20">
    <w:nsid w:val="497A0FD5"/>
    <w:multiLevelType w:val="hybridMultilevel"/>
    <w:tmpl w:val="C250279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4A126932"/>
    <w:multiLevelType w:val="hybridMultilevel"/>
    <w:tmpl w:val="A01002FC"/>
    <w:lvl w:ilvl="0" w:tplc="64CC81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4F9F5DE4"/>
    <w:multiLevelType w:val="hybridMultilevel"/>
    <w:tmpl w:val="C1427B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2F96BE8"/>
    <w:multiLevelType w:val="multilevel"/>
    <w:tmpl w:val="36A831E8"/>
    <w:lvl w:ilvl="0">
      <w:start w:val="1"/>
      <w:numFmt w:val="decimal"/>
      <w:lvlText w:val="%1."/>
      <w:lvlJc w:val="left"/>
      <w:pPr>
        <w:ind w:left="1069" w:hanging="360"/>
      </w:pPr>
      <w:rPr>
        <w:rFonts w:hint="default"/>
      </w:rPr>
    </w:lvl>
    <w:lvl w:ilvl="1">
      <w:start w:val="9"/>
      <w:numFmt w:val="decimal"/>
      <w:isLgl/>
      <w:lvlText w:val="%1.%2."/>
      <w:lvlJc w:val="left"/>
      <w:pPr>
        <w:ind w:left="1429" w:hanging="720"/>
      </w:pPr>
      <w:rPr>
        <w:rFonts w:hint="default"/>
      </w:rPr>
    </w:lvl>
    <w:lvl w:ilvl="2">
      <w:start w:val="5"/>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24">
    <w:nsid w:val="54DB2CB7"/>
    <w:multiLevelType w:val="hybridMultilevel"/>
    <w:tmpl w:val="E50EF4E8"/>
    <w:lvl w:ilvl="0" w:tplc="FDA072C6">
      <w:start w:val="1"/>
      <w:numFmt w:val="bullet"/>
      <w:pStyle w:val="Point"/>
      <w:lvlText w:val=""/>
      <w:lvlJc w:val="left"/>
      <w:pPr>
        <w:tabs>
          <w:tab w:val="num" w:pos="360"/>
        </w:tabs>
        <w:ind w:left="360" w:hanging="360"/>
      </w:pPr>
      <w:rPr>
        <w:rFonts w:ascii="Symbol" w:hAnsi="Symbol" w:hint="default"/>
      </w:rPr>
    </w:lvl>
    <w:lvl w:ilvl="1" w:tplc="BAF27FD4" w:tentative="1">
      <w:start w:val="1"/>
      <w:numFmt w:val="bullet"/>
      <w:lvlText w:val="o"/>
      <w:lvlJc w:val="left"/>
      <w:pPr>
        <w:tabs>
          <w:tab w:val="num" w:pos="1080"/>
        </w:tabs>
        <w:ind w:left="1080" w:hanging="360"/>
      </w:pPr>
      <w:rPr>
        <w:rFonts w:ascii="Courier New" w:hAnsi="Courier New" w:hint="default"/>
      </w:rPr>
    </w:lvl>
    <w:lvl w:ilvl="2" w:tplc="8200C370" w:tentative="1">
      <w:start w:val="1"/>
      <w:numFmt w:val="bullet"/>
      <w:lvlText w:val=""/>
      <w:lvlJc w:val="left"/>
      <w:pPr>
        <w:tabs>
          <w:tab w:val="num" w:pos="1800"/>
        </w:tabs>
        <w:ind w:left="1800" w:hanging="360"/>
      </w:pPr>
      <w:rPr>
        <w:rFonts w:ascii="Wingdings" w:hAnsi="Wingdings" w:hint="default"/>
      </w:rPr>
    </w:lvl>
    <w:lvl w:ilvl="3" w:tplc="19EA837C" w:tentative="1">
      <w:start w:val="1"/>
      <w:numFmt w:val="bullet"/>
      <w:lvlText w:val=""/>
      <w:lvlJc w:val="left"/>
      <w:pPr>
        <w:tabs>
          <w:tab w:val="num" w:pos="2520"/>
        </w:tabs>
        <w:ind w:left="2520" w:hanging="360"/>
      </w:pPr>
      <w:rPr>
        <w:rFonts w:ascii="Symbol" w:hAnsi="Symbol" w:hint="default"/>
      </w:rPr>
    </w:lvl>
    <w:lvl w:ilvl="4" w:tplc="9F5AF01E" w:tentative="1">
      <w:start w:val="1"/>
      <w:numFmt w:val="bullet"/>
      <w:lvlText w:val="o"/>
      <w:lvlJc w:val="left"/>
      <w:pPr>
        <w:tabs>
          <w:tab w:val="num" w:pos="3240"/>
        </w:tabs>
        <w:ind w:left="3240" w:hanging="360"/>
      </w:pPr>
      <w:rPr>
        <w:rFonts w:ascii="Courier New" w:hAnsi="Courier New" w:hint="default"/>
      </w:rPr>
    </w:lvl>
    <w:lvl w:ilvl="5" w:tplc="77D211C6" w:tentative="1">
      <w:start w:val="1"/>
      <w:numFmt w:val="bullet"/>
      <w:lvlText w:val=""/>
      <w:lvlJc w:val="left"/>
      <w:pPr>
        <w:tabs>
          <w:tab w:val="num" w:pos="3960"/>
        </w:tabs>
        <w:ind w:left="3960" w:hanging="360"/>
      </w:pPr>
      <w:rPr>
        <w:rFonts w:ascii="Wingdings" w:hAnsi="Wingdings" w:hint="default"/>
      </w:rPr>
    </w:lvl>
    <w:lvl w:ilvl="6" w:tplc="27F0AF2E" w:tentative="1">
      <w:start w:val="1"/>
      <w:numFmt w:val="bullet"/>
      <w:lvlText w:val=""/>
      <w:lvlJc w:val="left"/>
      <w:pPr>
        <w:tabs>
          <w:tab w:val="num" w:pos="4680"/>
        </w:tabs>
        <w:ind w:left="4680" w:hanging="360"/>
      </w:pPr>
      <w:rPr>
        <w:rFonts w:ascii="Symbol" w:hAnsi="Symbol" w:hint="default"/>
      </w:rPr>
    </w:lvl>
    <w:lvl w:ilvl="7" w:tplc="257ECDF6" w:tentative="1">
      <w:start w:val="1"/>
      <w:numFmt w:val="bullet"/>
      <w:lvlText w:val="o"/>
      <w:lvlJc w:val="left"/>
      <w:pPr>
        <w:tabs>
          <w:tab w:val="num" w:pos="5400"/>
        </w:tabs>
        <w:ind w:left="5400" w:hanging="360"/>
      </w:pPr>
      <w:rPr>
        <w:rFonts w:ascii="Courier New" w:hAnsi="Courier New" w:hint="default"/>
      </w:rPr>
    </w:lvl>
    <w:lvl w:ilvl="8" w:tplc="0BECE102" w:tentative="1">
      <w:start w:val="1"/>
      <w:numFmt w:val="bullet"/>
      <w:lvlText w:val=""/>
      <w:lvlJc w:val="left"/>
      <w:pPr>
        <w:tabs>
          <w:tab w:val="num" w:pos="6120"/>
        </w:tabs>
        <w:ind w:left="6120" w:hanging="360"/>
      </w:pPr>
      <w:rPr>
        <w:rFonts w:ascii="Wingdings" w:hAnsi="Wingdings" w:hint="default"/>
      </w:rPr>
    </w:lvl>
  </w:abstractNum>
  <w:abstractNum w:abstractNumId="25">
    <w:nsid w:val="57454B1B"/>
    <w:multiLevelType w:val="multilevel"/>
    <w:tmpl w:val="0F2A06FA"/>
    <w:lvl w:ilvl="0">
      <w:start w:val="1"/>
      <w:numFmt w:val="decimal"/>
      <w:lvlText w:val="%1."/>
      <w:lvlJc w:val="left"/>
      <w:pPr>
        <w:ind w:left="1069" w:hanging="360"/>
      </w:pPr>
      <w:rPr>
        <w:rFonts w:hint="default"/>
      </w:rPr>
    </w:lvl>
    <w:lvl w:ilvl="1">
      <w:start w:val="8"/>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6">
    <w:nsid w:val="574C35FF"/>
    <w:multiLevelType w:val="hybridMultilevel"/>
    <w:tmpl w:val="3A7E5888"/>
    <w:lvl w:ilvl="0" w:tplc="4CB2D7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59543DE5"/>
    <w:multiLevelType w:val="hybridMultilevel"/>
    <w:tmpl w:val="2C2C03DA"/>
    <w:lvl w:ilvl="0" w:tplc="A95239D2">
      <w:start w:val="1"/>
      <w:numFmt w:val="bullet"/>
      <w:lvlText w:val=""/>
      <w:lvlJc w:val="left"/>
      <w:pPr>
        <w:ind w:left="1429" w:hanging="360"/>
      </w:pPr>
      <w:rPr>
        <w:rFonts w:ascii="Symbol" w:hAnsi="Symbol" w:hint="default"/>
        <w:color w:val="auto"/>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8">
    <w:nsid w:val="618B5D67"/>
    <w:multiLevelType w:val="hybridMultilevel"/>
    <w:tmpl w:val="91BEAEEE"/>
    <w:lvl w:ilvl="0" w:tplc="089469F0">
      <w:start w:val="1"/>
      <w:numFmt w:val="decimal"/>
      <w:lvlText w:val="%1."/>
      <w:lvlJc w:val="left"/>
      <w:pPr>
        <w:ind w:left="1369" w:hanging="6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621751E3"/>
    <w:multiLevelType w:val="multilevel"/>
    <w:tmpl w:val="4BD2288E"/>
    <w:lvl w:ilvl="0">
      <w:start w:val="3"/>
      <w:numFmt w:val="decimal"/>
      <w:lvlText w:val="%1."/>
      <w:lvlJc w:val="left"/>
      <w:pPr>
        <w:ind w:left="480" w:hanging="480"/>
      </w:pPr>
      <w:rPr>
        <w:rFonts w:hint="default"/>
      </w:rPr>
    </w:lvl>
    <w:lvl w:ilvl="1">
      <w:start w:val="10"/>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64461215"/>
    <w:multiLevelType w:val="multilevel"/>
    <w:tmpl w:val="A1CE0714"/>
    <w:lvl w:ilvl="0">
      <w:start w:val="3"/>
      <w:numFmt w:val="decimal"/>
      <w:lvlText w:val="%1."/>
      <w:lvlJc w:val="left"/>
      <w:pPr>
        <w:ind w:left="360" w:hanging="360"/>
      </w:pPr>
      <w:rPr>
        <w:rFonts w:hint="default"/>
      </w:rPr>
    </w:lvl>
    <w:lvl w:ilvl="1">
      <w:start w:val="6"/>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31">
    <w:nsid w:val="683E6619"/>
    <w:multiLevelType w:val="hybridMultilevel"/>
    <w:tmpl w:val="4CC6CD68"/>
    <w:lvl w:ilvl="0" w:tplc="90965EF6">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32">
    <w:nsid w:val="69496F64"/>
    <w:multiLevelType w:val="hybridMultilevel"/>
    <w:tmpl w:val="267E2496"/>
    <w:lvl w:ilvl="0" w:tplc="B8B8E24A">
      <w:start w:val="1"/>
      <w:numFmt w:val="bullet"/>
      <w:lvlText w:val="-"/>
      <w:lvlJc w:val="left"/>
      <w:pPr>
        <w:ind w:left="1428" w:hanging="360"/>
      </w:pPr>
      <w:rPr>
        <w:rFonts w:ascii="Courier New" w:hAnsi="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nsid w:val="714836D4"/>
    <w:multiLevelType w:val="hybridMultilevel"/>
    <w:tmpl w:val="65DC392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nsid w:val="789F4B25"/>
    <w:multiLevelType w:val="hybridMultilevel"/>
    <w:tmpl w:val="C84C8202"/>
    <w:lvl w:ilvl="0" w:tplc="7084E2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7A6B1BCD"/>
    <w:multiLevelType w:val="hybridMultilevel"/>
    <w:tmpl w:val="56CE9E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C6A334E"/>
    <w:multiLevelType w:val="hybridMultilevel"/>
    <w:tmpl w:val="EB56037E"/>
    <w:lvl w:ilvl="0" w:tplc="B8B8E24A">
      <w:start w:val="1"/>
      <w:numFmt w:val="bullet"/>
      <w:lvlText w:val="-"/>
      <w:lvlJc w:val="left"/>
      <w:pPr>
        <w:ind w:left="1428" w:hanging="360"/>
      </w:pPr>
      <w:rPr>
        <w:rFonts w:ascii="Courier New" w:hAnsi="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nsid w:val="7C6C086A"/>
    <w:multiLevelType w:val="hybridMultilevel"/>
    <w:tmpl w:val="02F48CF4"/>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F721DA2"/>
    <w:multiLevelType w:val="hybridMultilevel"/>
    <w:tmpl w:val="50C0402C"/>
    <w:lvl w:ilvl="0" w:tplc="33E0A678">
      <w:start w:val="1"/>
      <w:numFmt w:val="decimal"/>
      <w:pStyle w:val="a"/>
      <w:lvlText w:val="%1."/>
      <w:lvlJc w:val="left"/>
      <w:pPr>
        <w:ind w:left="1211"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8"/>
  </w:num>
  <w:num w:numId="2">
    <w:abstractNumId w:val="16"/>
  </w:num>
  <w:num w:numId="3">
    <w:abstractNumId w:val="9"/>
  </w:num>
  <w:num w:numId="4">
    <w:abstractNumId w:val="37"/>
  </w:num>
  <w:num w:numId="5">
    <w:abstractNumId w:val="2"/>
  </w:num>
  <w:num w:numId="6">
    <w:abstractNumId w:val="34"/>
  </w:num>
  <w:num w:numId="7">
    <w:abstractNumId w:val="15"/>
  </w:num>
  <w:num w:numId="8">
    <w:abstractNumId w:val="3"/>
  </w:num>
  <w:num w:numId="9">
    <w:abstractNumId w:val="7"/>
  </w:num>
  <w:num w:numId="10">
    <w:abstractNumId w:val="18"/>
  </w:num>
  <w:num w:numId="11">
    <w:abstractNumId w:val="32"/>
  </w:num>
  <w:num w:numId="12">
    <w:abstractNumId w:val="24"/>
  </w:num>
  <w:num w:numId="13">
    <w:abstractNumId w:val="19"/>
  </w:num>
  <w:num w:numId="14">
    <w:abstractNumId w:val="4"/>
  </w:num>
  <w:num w:numId="15">
    <w:abstractNumId w:val="14"/>
  </w:num>
  <w:num w:numId="16">
    <w:abstractNumId w:val="10"/>
  </w:num>
  <w:num w:numId="17">
    <w:abstractNumId w:val="27"/>
  </w:num>
  <w:num w:numId="18">
    <w:abstractNumId w:val="11"/>
  </w:num>
  <w:num w:numId="19">
    <w:abstractNumId w:val="20"/>
  </w:num>
  <w:num w:numId="20">
    <w:abstractNumId w:val="26"/>
  </w:num>
  <w:num w:numId="21">
    <w:abstractNumId w:val="25"/>
  </w:num>
  <w:num w:numId="22">
    <w:abstractNumId w:val="28"/>
  </w:num>
  <w:num w:numId="23">
    <w:abstractNumId w:val="21"/>
  </w:num>
  <w:num w:numId="24">
    <w:abstractNumId w:val="35"/>
  </w:num>
  <w:num w:numId="25">
    <w:abstractNumId w:val="5"/>
  </w:num>
  <w:num w:numId="26">
    <w:abstractNumId w:val="36"/>
  </w:num>
  <w:num w:numId="27">
    <w:abstractNumId w:val="22"/>
  </w:num>
  <w:num w:numId="28">
    <w:abstractNumId w:val="1"/>
  </w:num>
  <w:num w:numId="29">
    <w:abstractNumId w:val="13"/>
  </w:num>
  <w:num w:numId="30">
    <w:abstractNumId w:val="0"/>
  </w:num>
  <w:num w:numId="31">
    <w:abstractNumId w:val="30"/>
  </w:num>
  <w:num w:numId="32">
    <w:abstractNumId w:val="6"/>
  </w:num>
  <w:num w:numId="33">
    <w:abstractNumId w:val="29"/>
  </w:num>
  <w:num w:numId="34">
    <w:abstractNumId w:val="17"/>
  </w:num>
  <w:num w:numId="35">
    <w:abstractNumId w:val="31"/>
  </w:num>
  <w:num w:numId="36">
    <w:abstractNumId w:val="8"/>
  </w:num>
  <w:num w:numId="37">
    <w:abstractNumId w:val="23"/>
  </w:num>
  <w:num w:numId="38">
    <w:abstractNumId w:val="12"/>
  </w:num>
  <w:num w:numId="39">
    <w:abstractNumId w:val="3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14"/>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24A7"/>
    <w:rsid w:val="00003F99"/>
    <w:rsid w:val="000111A0"/>
    <w:rsid w:val="000115B6"/>
    <w:rsid w:val="0001633E"/>
    <w:rsid w:val="00034E0C"/>
    <w:rsid w:val="000420C6"/>
    <w:rsid w:val="000428B6"/>
    <w:rsid w:val="000478BE"/>
    <w:rsid w:val="00051D4C"/>
    <w:rsid w:val="000563B0"/>
    <w:rsid w:val="00075B86"/>
    <w:rsid w:val="00076F5B"/>
    <w:rsid w:val="00080A73"/>
    <w:rsid w:val="0008184C"/>
    <w:rsid w:val="000824A7"/>
    <w:rsid w:val="0009128E"/>
    <w:rsid w:val="0009145D"/>
    <w:rsid w:val="0009177F"/>
    <w:rsid w:val="00091BC4"/>
    <w:rsid w:val="00092983"/>
    <w:rsid w:val="00094250"/>
    <w:rsid w:val="00094C29"/>
    <w:rsid w:val="00096C41"/>
    <w:rsid w:val="000973DD"/>
    <w:rsid w:val="000A2E8B"/>
    <w:rsid w:val="000A53E7"/>
    <w:rsid w:val="000B3939"/>
    <w:rsid w:val="000B7BA9"/>
    <w:rsid w:val="000C0612"/>
    <w:rsid w:val="000C4269"/>
    <w:rsid w:val="000D159A"/>
    <w:rsid w:val="000D4105"/>
    <w:rsid w:val="000F4C84"/>
    <w:rsid w:val="000F51A9"/>
    <w:rsid w:val="000F7C28"/>
    <w:rsid w:val="0010260C"/>
    <w:rsid w:val="00105054"/>
    <w:rsid w:val="00105B73"/>
    <w:rsid w:val="0011063F"/>
    <w:rsid w:val="00120492"/>
    <w:rsid w:val="00121A0B"/>
    <w:rsid w:val="00123328"/>
    <w:rsid w:val="00124ED4"/>
    <w:rsid w:val="001253B4"/>
    <w:rsid w:val="00126A23"/>
    <w:rsid w:val="00134087"/>
    <w:rsid w:val="0014416A"/>
    <w:rsid w:val="0014600C"/>
    <w:rsid w:val="00151284"/>
    <w:rsid w:val="001647E8"/>
    <w:rsid w:val="00166301"/>
    <w:rsid w:val="001665A2"/>
    <w:rsid w:val="00167896"/>
    <w:rsid w:val="00174DFE"/>
    <w:rsid w:val="0017678A"/>
    <w:rsid w:val="001801FC"/>
    <w:rsid w:val="00182FF1"/>
    <w:rsid w:val="00183ACE"/>
    <w:rsid w:val="00192AED"/>
    <w:rsid w:val="001A05A2"/>
    <w:rsid w:val="001A362B"/>
    <w:rsid w:val="001A46B8"/>
    <w:rsid w:val="001A493D"/>
    <w:rsid w:val="001A5CDF"/>
    <w:rsid w:val="001B3ADE"/>
    <w:rsid w:val="001B3FDF"/>
    <w:rsid w:val="001B569A"/>
    <w:rsid w:val="001C06DC"/>
    <w:rsid w:val="001C1127"/>
    <w:rsid w:val="001C29D1"/>
    <w:rsid w:val="001C30B8"/>
    <w:rsid w:val="001C4282"/>
    <w:rsid w:val="001D309D"/>
    <w:rsid w:val="001D5B22"/>
    <w:rsid w:val="001E1145"/>
    <w:rsid w:val="001F1B9C"/>
    <w:rsid w:val="002108BF"/>
    <w:rsid w:val="002108DE"/>
    <w:rsid w:val="002141F3"/>
    <w:rsid w:val="00217F70"/>
    <w:rsid w:val="002237BB"/>
    <w:rsid w:val="0022602A"/>
    <w:rsid w:val="002302CE"/>
    <w:rsid w:val="0023105C"/>
    <w:rsid w:val="00237E01"/>
    <w:rsid w:val="00243C5A"/>
    <w:rsid w:val="002440F7"/>
    <w:rsid w:val="002503E3"/>
    <w:rsid w:val="002507AA"/>
    <w:rsid w:val="002535E0"/>
    <w:rsid w:val="0025370F"/>
    <w:rsid w:val="002649F7"/>
    <w:rsid w:val="00266091"/>
    <w:rsid w:val="00271952"/>
    <w:rsid w:val="00273AF1"/>
    <w:rsid w:val="002762B6"/>
    <w:rsid w:val="00277912"/>
    <w:rsid w:val="002912DD"/>
    <w:rsid w:val="00295E5D"/>
    <w:rsid w:val="002A2805"/>
    <w:rsid w:val="002A54F9"/>
    <w:rsid w:val="002A7F7F"/>
    <w:rsid w:val="002B01A5"/>
    <w:rsid w:val="002B4C67"/>
    <w:rsid w:val="002B7654"/>
    <w:rsid w:val="002C7173"/>
    <w:rsid w:val="002D7D7E"/>
    <w:rsid w:val="002E082E"/>
    <w:rsid w:val="002E61C6"/>
    <w:rsid w:val="002E7D6A"/>
    <w:rsid w:val="002F56EB"/>
    <w:rsid w:val="002F6152"/>
    <w:rsid w:val="00300BF7"/>
    <w:rsid w:val="00301B3A"/>
    <w:rsid w:val="00307510"/>
    <w:rsid w:val="00317B6C"/>
    <w:rsid w:val="003213D4"/>
    <w:rsid w:val="00325032"/>
    <w:rsid w:val="00333763"/>
    <w:rsid w:val="00344407"/>
    <w:rsid w:val="00347E62"/>
    <w:rsid w:val="003609FA"/>
    <w:rsid w:val="00370C06"/>
    <w:rsid w:val="003736FC"/>
    <w:rsid w:val="00374C73"/>
    <w:rsid w:val="00375B4B"/>
    <w:rsid w:val="0037620C"/>
    <w:rsid w:val="00380395"/>
    <w:rsid w:val="003813F5"/>
    <w:rsid w:val="00390009"/>
    <w:rsid w:val="00393C3B"/>
    <w:rsid w:val="003A02C7"/>
    <w:rsid w:val="003A1D5A"/>
    <w:rsid w:val="003A2852"/>
    <w:rsid w:val="003B4122"/>
    <w:rsid w:val="003B5308"/>
    <w:rsid w:val="003B5BF2"/>
    <w:rsid w:val="003C5F0B"/>
    <w:rsid w:val="003C6AE0"/>
    <w:rsid w:val="003E7FEA"/>
    <w:rsid w:val="003F5D3B"/>
    <w:rsid w:val="003F628F"/>
    <w:rsid w:val="00405D1D"/>
    <w:rsid w:val="004149E7"/>
    <w:rsid w:val="00414DEE"/>
    <w:rsid w:val="0041550D"/>
    <w:rsid w:val="004219E2"/>
    <w:rsid w:val="00427B84"/>
    <w:rsid w:val="00432BEE"/>
    <w:rsid w:val="00435672"/>
    <w:rsid w:val="004360BC"/>
    <w:rsid w:val="00447264"/>
    <w:rsid w:val="004472DF"/>
    <w:rsid w:val="00450C9F"/>
    <w:rsid w:val="0045131D"/>
    <w:rsid w:val="00453C17"/>
    <w:rsid w:val="00460B14"/>
    <w:rsid w:val="00482018"/>
    <w:rsid w:val="00485ED4"/>
    <w:rsid w:val="004947DD"/>
    <w:rsid w:val="004A1126"/>
    <w:rsid w:val="004A55B6"/>
    <w:rsid w:val="004C0575"/>
    <w:rsid w:val="004C693C"/>
    <w:rsid w:val="004D1B6D"/>
    <w:rsid w:val="004D2519"/>
    <w:rsid w:val="004D5E55"/>
    <w:rsid w:val="004E2A2A"/>
    <w:rsid w:val="004E6B3D"/>
    <w:rsid w:val="004F787E"/>
    <w:rsid w:val="00500720"/>
    <w:rsid w:val="005041A6"/>
    <w:rsid w:val="005058FC"/>
    <w:rsid w:val="00507D2F"/>
    <w:rsid w:val="00513A76"/>
    <w:rsid w:val="00514FA7"/>
    <w:rsid w:val="00517AB0"/>
    <w:rsid w:val="005212B5"/>
    <w:rsid w:val="00526B7D"/>
    <w:rsid w:val="00530C08"/>
    <w:rsid w:val="00534DAA"/>
    <w:rsid w:val="005350BE"/>
    <w:rsid w:val="005406A2"/>
    <w:rsid w:val="00550FDA"/>
    <w:rsid w:val="00555E08"/>
    <w:rsid w:val="0055762B"/>
    <w:rsid w:val="0056088F"/>
    <w:rsid w:val="00563277"/>
    <w:rsid w:val="00563BAB"/>
    <w:rsid w:val="0056435A"/>
    <w:rsid w:val="00573C20"/>
    <w:rsid w:val="005813D0"/>
    <w:rsid w:val="00584DEC"/>
    <w:rsid w:val="0058733D"/>
    <w:rsid w:val="0059232D"/>
    <w:rsid w:val="005951DE"/>
    <w:rsid w:val="00595596"/>
    <w:rsid w:val="005A40E5"/>
    <w:rsid w:val="005B3A47"/>
    <w:rsid w:val="005B5F9A"/>
    <w:rsid w:val="005C4421"/>
    <w:rsid w:val="005D092F"/>
    <w:rsid w:val="005D160A"/>
    <w:rsid w:val="005E56AF"/>
    <w:rsid w:val="005E5A67"/>
    <w:rsid w:val="005F7C1E"/>
    <w:rsid w:val="00600E2F"/>
    <w:rsid w:val="00612582"/>
    <w:rsid w:val="006215D9"/>
    <w:rsid w:val="00625E89"/>
    <w:rsid w:val="006363D3"/>
    <w:rsid w:val="006445CF"/>
    <w:rsid w:val="00645ABB"/>
    <w:rsid w:val="00647458"/>
    <w:rsid w:val="0065233D"/>
    <w:rsid w:val="00654DF4"/>
    <w:rsid w:val="00657650"/>
    <w:rsid w:val="00662469"/>
    <w:rsid w:val="006645CE"/>
    <w:rsid w:val="00670823"/>
    <w:rsid w:val="00682FC6"/>
    <w:rsid w:val="00683570"/>
    <w:rsid w:val="00685C48"/>
    <w:rsid w:val="00692A1E"/>
    <w:rsid w:val="00694448"/>
    <w:rsid w:val="00694C9A"/>
    <w:rsid w:val="006951EB"/>
    <w:rsid w:val="006A3693"/>
    <w:rsid w:val="006B4BC2"/>
    <w:rsid w:val="006C2BF7"/>
    <w:rsid w:val="006D12C5"/>
    <w:rsid w:val="006D3DE6"/>
    <w:rsid w:val="006E03D5"/>
    <w:rsid w:val="006E3576"/>
    <w:rsid w:val="006F10DD"/>
    <w:rsid w:val="006F6D1F"/>
    <w:rsid w:val="006F70DD"/>
    <w:rsid w:val="00700694"/>
    <w:rsid w:val="007011CA"/>
    <w:rsid w:val="007075AA"/>
    <w:rsid w:val="007156C8"/>
    <w:rsid w:val="00715D40"/>
    <w:rsid w:val="00720B81"/>
    <w:rsid w:val="007213A7"/>
    <w:rsid w:val="00725DA5"/>
    <w:rsid w:val="007301D6"/>
    <w:rsid w:val="00734A52"/>
    <w:rsid w:val="00735F28"/>
    <w:rsid w:val="00737947"/>
    <w:rsid w:val="0074073E"/>
    <w:rsid w:val="00740BBB"/>
    <w:rsid w:val="00740E0D"/>
    <w:rsid w:val="00745936"/>
    <w:rsid w:val="0075391D"/>
    <w:rsid w:val="00757DE4"/>
    <w:rsid w:val="00762548"/>
    <w:rsid w:val="007656F9"/>
    <w:rsid w:val="007671E9"/>
    <w:rsid w:val="007720FF"/>
    <w:rsid w:val="007734D5"/>
    <w:rsid w:val="007812D2"/>
    <w:rsid w:val="00786D2A"/>
    <w:rsid w:val="00790BF3"/>
    <w:rsid w:val="0079477A"/>
    <w:rsid w:val="007A07CC"/>
    <w:rsid w:val="007A36E6"/>
    <w:rsid w:val="007A5B7C"/>
    <w:rsid w:val="007A6714"/>
    <w:rsid w:val="007A71EF"/>
    <w:rsid w:val="007A7956"/>
    <w:rsid w:val="007B1001"/>
    <w:rsid w:val="007B1863"/>
    <w:rsid w:val="007B6C74"/>
    <w:rsid w:val="007B6D63"/>
    <w:rsid w:val="007C58AF"/>
    <w:rsid w:val="007D28C4"/>
    <w:rsid w:val="007D6F38"/>
    <w:rsid w:val="00805C9B"/>
    <w:rsid w:val="00812FC6"/>
    <w:rsid w:val="00813FC2"/>
    <w:rsid w:val="00816E69"/>
    <w:rsid w:val="008212CA"/>
    <w:rsid w:val="00822552"/>
    <w:rsid w:val="00824773"/>
    <w:rsid w:val="008274CE"/>
    <w:rsid w:val="00840AB5"/>
    <w:rsid w:val="008502AE"/>
    <w:rsid w:val="00851746"/>
    <w:rsid w:val="00851FF9"/>
    <w:rsid w:val="0085495C"/>
    <w:rsid w:val="00867072"/>
    <w:rsid w:val="008711B1"/>
    <w:rsid w:val="008718A5"/>
    <w:rsid w:val="0088268B"/>
    <w:rsid w:val="00883348"/>
    <w:rsid w:val="00886AB5"/>
    <w:rsid w:val="008916C4"/>
    <w:rsid w:val="00895CEF"/>
    <w:rsid w:val="008A134A"/>
    <w:rsid w:val="008A2912"/>
    <w:rsid w:val="008A2EEE"/>
    <w:rsid w:val="008A5536"/>
    <w:rsid w:val="008B1214"/>
    <w:rsid w:val="008B2BBE"/>
    <w:rsid w:val="008B3442"/>
    <w:rsid w:val="008B5B98"/>
    <w:rsid w:val="008C1779"/>
    <w:rsid w:val="008C32C6"/>
    <w:rsid w:val="008D7368"/>
    <w:rsid w:val="008E38AE"/>
    <w:rsid w:val="00901814"/>
    <w:rsid w:val="00910013"/>
    <w:rsid w:val="0091015A"/>
    <w:rsid w:val="00914EBB"/>
    <w:rsid w:val="00915763"/>
    <w:rsid w:val="00921A0E"/>
    <w:rsid w:val="0092256D"/>
    <w:rsid w:val="00933AF2"/>
    <w:rsid w:val="009506CF"/>
    <w:rsid w:val="0096100B"/>
    <w:rsid w:val="0096592A"/>
    <w:rsid w:val="00967BCE"/>
    <w:rsid w:val="00967DCB"/>
    <w:rsid w:val="00976DAC"/>
    <w:rsid w:val="0097766B"/>
    <w:rsid w:val="00984D79"/>
    <w:rsid w:val="009938CA"/>
    <w:rsid w:val="009946D5"/>
    <w:rsid w:val="009A3AAA"/>
    <w:rsid w:val="009B79C7"/>
    <w:rsid w:val="009D768E"/>
    <w:rsid w:val="009F279C"/>
    <w:rsid w:val="009F4BC7"/>
    <w:rsid w:val="009F51AD"/>
    <w:rsid w:val="009F6DA9"/>
    <w:rsid w:val="00A07EAB"/>
    <w:rsid w:val="00A10573"/>
    <w:rsid w:val="00A22C55"/>
    <w:rsid w:val="00A23306"/>
    <w:rsid w:val="00A262C3"/>
    <w:rsid w:val="00A32957"/>
    <w:rsid w:val="00A42827"/>
    <w:rsid w:val="00A44C07"/>
    <w:rsid w:val="00A64202"/>
    <w:rsid w:val="00A66926"/>
    <w:rsid w:val="00A67959"/>
    <w:rsid w:val="00A74680"/>
    <w:rsid w:val="00A7519F"/>
    <w:rsid w:val="00A90238"/>
    <w:rsid w:val="00A94289"/>
    <w:rsid w:val="00A956AA"/>
    <w:rsid w:val="00A96B25"/>
    <w:rsid w:val="00AA4E31"/>
    <w:rsid w:val="00AB50DC"/>
    <w:rsid w:val="00AB5F29"/>
    <w:rsid w:val="00AB794B"/>
    <w:rsid w:val="00AC7363"/>
    <w:rsid w:val="00AD759B"/>
    <w:rsid w:val="00AD7D09"/>
    <w:rsid w:val="00AE38C0"/>
    <w:rsid w:val="00AF257D"/>
    <w:rsid w:val="00B0548A"/>
    <w:rsid w:val="00B05945"/>
    <w:rsid w:val="00B12F02"/>
    <w:rsid w:val="00B147FB"/>
    <w:rsid w:val="00B17D59"/>
    <w:rsid w:val="00B2271D"/>
    <w:rsid w:val="00B23160"/>
    <w:rsid w:val="00B2456F"/>
    <w:rsid w:val="00B32376"/>
    <w:rsid w:val="00B34AA0"/>
    <w:rsid w:val="00B41BB5"/>
    <w:rsid w:val="00B46050"/>
    <w:rsid w:val="00B5309C"/>
    <w:rsid w:val="00B6184B"/>
    <w:rsid w:val="00B710BA"/>
    <w:rsid w:val="00B71270"/>
    <w:rsid w:val="00B762F4"/>
    <w:rsid w:val="00B76CD0"/>
    <w:rsid w:val="00B85E08"/>
    <w:rsid w:val="00B873F8"/>
    <w:rsid w:val="00B87EC1"/>
    <w:rsid w:val="00B905C2"/>
    <w:rsid w:val="00B92537"/>
    <w:rsid w:val="00BA1E02"/>
    <w:rsid w:val="00BA4BCB"/>
    <w:rsid w:val="00BB344A"/>
    <w:rsid w:val="00BD6A7A"/>
    <w:rsid w:val="00BD7145"/>
    <w:rsid w:val="00BF02E3"/>
    <w:rsid w:val="00BF6143"/>
    <w:rsid w:val="00C009E5"/>
    <w:rsid w:val="00C0330B"/>
    <w:rsid w:val="00C045C5"/>
    <w:rsid w:val="00C0504B"/>
    <w:rsid w:val="00C07BBB"/>
    <w:rsid w:val="00C10E6E"/>
    <w:rsid w:val="00C10FC9"/>
    <w:rsid w:val="00C13EE7"/>
    <w:rsid w:val="00C146FE"/>
    <w:rsid w:val="00C15FEC"/>
    <w:rsid w:val="00C2073E"/>
    <w:rsid w:val="00C230F8"/>
    <w:rsid w:val="00C25682"/>
    <w:rsid w:val="00C2794E"/>
    <w:rsid w:val="00C348C0"/>
    <w:rsid w:val="00C35167"/>
    <w:rsid w:val="00C374E5"/>
    <w:rsid w:val="00C4009E"/>
    <w:rsid w:val="00C44BFF"/>
    <w:rsid w:val="00C4547E"/>
    <w:rsid w:val="00C5182A"/>
    <w:rsid w:val="00C51F10"/>
    <w:rsid w:val="00C53F08"/>
    <w:rsid w:val="00C54353"/>
    <w:rsid w:val="00C56B2C"/>
    <w:rsid w:val="00C6341C"/>
    <w:rsid w:val="00C63BF9"/>
    <w:rsid w:val="00C86C17"/>
    <w:rsid w:val="00C90724"/>
    <w:rsid w:val="00C90C55"/>
    <w:rsid w:val="00C92CCC"/>
    <w:rsid w:val="00CA27C8"/>
    <w:rsid w:val="00CA29C5"/>
    <w:rsid w:val="00CA6047"/>
    <w:rsid w:val="00CB4A12"/>
    <w:rsid w:val="00CB69B7"/>
    <w:rsid w:val="00CB6DEF"/>
    <w:rsid w:val="00CB7713"/>
    <w:rsid w:val="00CC7D2A"/>
    <w:rsid w:val="00CD0F1A"/>
    <w:rsid w:val="00CD2C97"/>
    <w:rsid w:val="00CD2F82"/>
    <w:rsid w:val="00CE4A05"/>
    <w:rsid w:val="00CE69F1"/>
    <w:rsid w:val="00CF40AB"/>
    <w:rsid w:val="00CF6D9F"/>
    <w:rsid w:val="00D040D8"/>
    <w:rsid w:val="00D12537"/>
    <w:rsid w:val="00D13402"/>
    <w:rsid w:val="00D34EB9"/>
    <w:rsid w:val="00D4338E"/>
    <w:rsid w:val="00D438AE"/>
    <w:rsid w:val="00D457F1"/>
    <w:rsid w:val="00D503F5"/>
    <w:rsid w:val="00D50493"/>
    <w:rsid w:val="00D52A03"/>
    <w:rsid w:val="00D53701"/>
    <w:rsid w:val="00D55ED4"/>
    <w:rsid w:val="00D55FEC"/>
    <w:rsid w:val="00D565E2"/>
    <w:rsid w:val="00D6728C"/>
    <w:rsid w:val="00D7263D"/>
    <w:rsid w:val="00D73E1F"/>
    <w:rsid w:val="00D7700E"/>
    <w:rsid w:val="00D80ADF"/>
    <w:rsid w:val="00D853DE"/>
    <w:rsid w:val="00D85E0B"/>
    <w:rsid w:val="00D86D70"/>
    <w:rsid w:val="00D90670"/>
    <w:rsid w:val="00D926FB"/>
    <w:rsid w:val="00DC11D4"/>
    <w:rsid w:val="00DC459E"/>
    <w:rsid w:val="00DD7914"/>
    <w:rsid w:val="00DE1038"/>
    <w:rsid w:val="00DE23E5"/>
    <w:rsid w:val="00DE488C"/>
    <w:rsid w:val="00DF2F6E"/>
    <w:rsid w:val="00DF47DF"/>
    <w:rsid w:val="00DF60E6"/>
    <w:rsid w:val="00E04678"/>
    <w:rsid w:val="00E129DF"/>
    <w:rsid w:val="00E14681"/>
    <w:rsid w:val="00E15F14"/>
    <w:rsid w:val="00E17A48"/>
    <w:rsid w:val="00E20216"/>
    <w:rsid w:val="00E24AEA"/>
    <w:rsid w:val="00E32484"/>
    <w:rsid w:val="00E355EA"/>
    <w:rsid w:val="00E36B7A"/>
    <w:rsid w:val="00E52B9A"/>
    <w:rsid w:val="00E56C5B"/>
    <w:rsid w:val="00E71BDE"/>
    <w:rsid w:val="00E732F6"/>
    <w:rsid w:val="00E73E8B"/>
    <w:rsid w:val="00E768AD"/>
    <w:rsid w:val="00E76D4D"/>
    <w:rsid w:val="00E801FE"/>
    <w:rsid w:val="00E80901"/>
    <w:rsid w:val="00E90469"/>
    <w:rsid w:val="00E962A0"/>
    <w:rsid w:val="00EB43C5"/>
    <w:rsid w:val="00EB600E"/>
    <w:rsid w:val="00EC040E"/>
    <w:rsid w:val="00ED0556"/>
    <w:rsid w:val="00ED3333"/>
    <w:rsid w:val="00ED339A"/>
    <w:rsid w:val="00ED35B3"/>
    <w:rsid w:val="00ED70B8"/>
    <w:rsid w:val="00EE3F14"/>
    <w:rsid w:val="00EF0409"/>
    <w:rsid w:val="00EF1D34"/>
    <w:rsid w:val="00F13850"/>
    <w:rsid w:val="00F224A7"/>
    <w:rsid w:val="00F25BAA"/>
    <w:rsid w:val="00F331A1"/>
    <w:rsid w:val="00F35D26"/>
    <w:rsid w:val="00F368F8"/>
    <w:rsid w:val="00F40F8C"/>
    <w:rsid w:val="00F449E8"/>
    <w:rsid w:val="00F45E9C"/>
    <w:rsid w:val="00F512A7"/>
    <w:rsid w:val="00F538AA"/>
    <w:rsid w:val="00F63F2E"/>
    <w:rsid w:val="00F70475"/>
    <w:rsid w:val="00F71AD2"/>
    <w:rsid w:val="00F80F42"/>
    <w:rsid w:val="00F826F1"/>
    <w:rsid w:val="00F911B4"/>
    <w:rsid w:val="00F94EF7"/>
    <w:rsid w:val="00FA6F78"/>
    <w:rsid w:val="00FD13C1"/>
    <w:rsid w:val="00FD23A6"/>
    <w:rsid w:val="00FD2744"/>
    <w:rsid w:val="00FD6557"/>
    <w:rsid w:val="00FE101B"/>
    <w:rsid w:val="00FE39E1"/>
    <w:rsid w:val="00FF23C8"/>
    <w:rsid w:val="00FF75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index 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index heading" w:qFormat="1"/>
    <w:lsdException w:name="caption" w:uiPriority="35" w:qFormat="1"/>
    <w:lsdException w:name="annotation reference" w:qFormat="1"/>
    <w:lsdException w:name="page number" w:uiPriority="0"/>
    <w:lsdException w:name="List"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2" w:qFormat="1"/>
    <w:lsdException w:name="Body Text 3" w:qFormat="1"/>
    <w:lsdException w:name="Strong" w:semiHidden="0" w:uiPriority="22" w:unhideWhenUsed="0" w:qFormat="1"/>
    <w:lsdException w:name="Emphasis" w:semiHidden="0" w:uiPriority="20" w:unhideWhenUsed="0" w:qFormat="1"/>
    <w:lsdException w:name="Plain Text" w:uiPriority="0"/>
    <w:lsdException w:name="Normal (Web)" w:qFormat="1"/>
    <w:lsdException w:name="annotation subject" w:qFormat="1"/>
    <w:lsdException w:name="Table Colorful 2" w:uiPriority="0"/>
    <w:lsdException w:name="Table Columns 2" w:uiPriority="0"/>
    <w:lsdException w:name="Table Columns 3" w:uiPriority="0"/>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0824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0"/>
    <w:link w:val="21"/>
    <w:uiPriority w:val="9"/>
    <w:qFormat/>
    <w:rsid w:val="002237B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0"/>
    <w:next w:val="a0"/>
    <w:link w:val="30"/>
    <w:uiPriority w:val="9"/>
    <w:unhideWhenUsed/>
    <w:qFormat/>
    <w:rsid w:val="000824A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qFormat/>
    <w:rsid w:val="002237BB"/>
    <w:pPr>
      <w:keepNext/>
      <w:spacing w:after="0" w:line="240" w:lineRule="auto"/>
      <w:jc w:val="center"/>
      <w:outlineLvl w:val="3"/>
    </w:pPr>
    <w:rPr>
      <w:rFonts w:ascii="Times New Roman" w:eastAsia="Times New Roman" w:hAnsi="Times New Roman" w:cs="Times New Roman"/>
      <w:b/>
      <w:sz w:val="24"/>
      <w:szCs w:val="20"/>
      <w:lang w:eastAsia="ru-RU"/>
    </w:rPr>
  </w:style>
  <w:style w:type="paragraph" w:styleId="5">
    <w:name w:val="heading 5"/>
    <w:basedOn w:val="a0"/>
    <w:next w:val="a0"/>
    <w:link w:val="50"/>
    <w:uiPriority w:val="9"/>
    <w:qFormat/>
    <w:rsid w:val="002237BB"/>
    <w:pPr>
      <w:keepNext/>
      <w:spacing w:after="0" w:line="240" w:lineRule="auto"/>
      <w:outlineLvl w:val="4"/>
    </w:pPr>
    <w:rPr>
      <w:rFonts w:ascii="Times New Roman" w:eastAsia="Times New Roman" w:hAnsi="Times New Roman" w:cs="Times New Roman"/>
      <w:sz w:val="24"/>
      <w:szCs w:val="20"/>
      <w:lang w:eastAsia="ru-RU"/>
    </w:rPr>
  </w:style>
  <w:style w:type="paragraph" w:styleId="6">
    <w:name w:val="heading 6"/>
    <w:basedOn w:val="a0"/>
    <w:next w:val="a0"/>
    <w:link w:val="60"/>
    <w:uiPriority w:val="9"/>
    <w:qFormat/>
    <w:rsid w:val="002237BB"/>
    <w:pPr>
      <w:keepNext/>
      <w:spacing w:after="0" w:line="240" w:lineRule="auto"/>
      <w:outlineLvl w:val="5"/>
    </w:pPr>
    <w:rPr>
      <w:rFonts w:ascii="Times New Roman" w:eastAsia="Times New Roman" w:hAnsi="Times New Roman" w:cs="Times New Roman"/>
      <w:sz w:val="28"/>
      <w:szCs w:val="20"/>
      <w:lang w:eastAsia="ru-RU"/>
    </w:rPr>
  </w:style>
  <w:style w:type="paragraph" w:styleId="7">
    <w:name w:val="heading 7"/>
    <w:basedOn w:val="a0"/>
    <w:next w:val="a0"/>
    <w:link w:val="70"/>
    <w:qFormat/>
    <w:rsid w:val="002237BB"/>
    <w:pPr>
      <w:keepNext/>
      <w:spacing w:after="0" w:line="240" w:lineRule="auto"/>
      <w:jc w:val="center"/>
      <w:outlineLvl w:val="6"/>
    </w:pPr>
    <w:rPr>
      <w:rFonts w:ascii="Times New Roman" w:eastAsia="Times New Roman" w:hAnsi="Times New Roman" w:cs="Times New Roman"/>
      <w:b/>
      <w:color w:val="800000"/>
      <w:szCs w:val="20"/>
      <w:lang w:eastAsia="ru-RU"/>
    </w:rPr>
  </w:style>
  <w:style w:type="paragraph" w:styleId="8">
    <w:name w:val="heading 8"/>
    <w:basedOn w:val="a0"/>
    <w:next w:val="a0"/>
    <w:link w:val="80"/>
    <w:qFormat/>
    <w:rsid w:val="002237BB"/>
    <w:pPr>
      <w:keepNext/>
      <w:spacing w:after="0" w:line="240" w:lineRule="auto"/>
      <w:jc w:val="both"/>
      <w:outlineLvl w:val="7"/>
    </w:pPr>
    <w:rPr>
      <w:rFonts w:ascii="Times New Roman" w:eastAsia="Times New Roman" w:hAnsi="Times New Roman" w:cs="Times New Roman"/>
      <w:sz w:val="24"/>
      <w:szCs w:val="20"/>
      <w:lang w:eastAsia="ru-RU"/>
    </w:rPr>
  </w:style>
  <w:style w:type="paragraph" w:styleId="9">
    <w:name w:val="heading 9"/>
    <w:basedOn w:val="a0"/>
    <w:next w:val="a0"/>
    <w:link w:val="90"/>
    <w:qFormat/>
    <w:rsid w:val="002237BB"/>
    <w:pPr>
      <w:keepNext/>
      <w:spacing w:after="0" w:line="240" w:lineRule="auto"/>
      <w:jc w:val="center"/>
      <w:outlineLvl w:val="8"/>
    </w:pPr>
    <w:rPr>
      <w:rFonts w:ascii="Times New Roman" w:eastAsia="Times New Roman" w:hAnsi="Times New Roman" w:cs="Times New Roman"/>
      <w:b/>
      <w:snapToGrid w:val="0"/>
      <w:color w:val="00000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qFormat/>
    <w:rsid w:val="000824A7"/>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1"/>
    <w:link w:val="3"/>
    <w:uiPriority w:val="9"/>
    <w:qFormat/>
    <w:rsid w:val="000824A7"/>
    <w:rPr>
      <w:rFonts w:asciiTheme="majorHAnsi" w:eastAsiaTheme="majorEastAsia" w:hAnsiTheme="majorHAnsi" w:cstheme="majorBidi"/>
      <w:b/>
      <w:bCs/>
      <w:color w:val="4F81BD" w:themeColor="accent1"/>
    </w:rPr>
  </w:style>
  <w:style w:type="paragraph" w:styleId="a4">
    <w:name w:val="List Paragraph"/>
    <w:aliases w:val="Варианты ответов,Список нумерованный цифры,Абзац списка2,Bullet List,FooterText,numbered,Table-Normal,RSHB_Table-Normal,Paragraphe de liste1,lp1,ПАРАГРАФ,SL_Абзац списка,Нумерованый список,СпБезКС,Use Case List Paragraph,1,UL"/>
    <w:basedOn w:val="a0"/>
    <w:link w:val="a5"/>
    <w:uiPriority w:val="34"/>
    <w:qFormat/>
    <w:rsid w:val="000824A7"/>
    <w:pPr>
      <w:ind w:left="720"/>
      <w:contextualSpacing/>
    </w:pPr>
  </w:style>
  <w:style w:type="character" w:styleId="a6">
    <w:name w:val="Hyperlink"/>
    <w:basedOn w:val="a1"/>
    <w:uiPriority w:val="99"/>
    <w:unhideWhenUsed/>
    <w:rsid w:val="000824A7"/>
    <w:rPr>
      <w:color w:val="0000FF" w:themeColor="hyperlink"/>
      <w:u w:val="single"/>
    </w:rPr>
  </w:style>
  <w:style w:type="table" w:styleId="a7">
    <w:name w:val="Table Grid"/>
    <w:basedOn w:val="a2"/>
    <w:uiPriority w:val="59"/>
    <w:rsid w:val="00082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0"/>
    <w:link w:val="a9"/>
    <w:uiPriority w:val="99"/>
    <w:semiHidden/>
    <w:unhideWhenUsed/>
    <w:qFormat/>
    <w:rsid w:val="000824A7"/>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qFormat/>
    <w:rsid w:val="000824A7"/>
    <w:rPr>
      <w:rFonts w:ascii="Tahoma" w:hAnsi="Tahoma" w:cs="Tahoma"/>
      <w:sz w:val="16"/>
      <w:szCs w:val="16"/>
    </w:rPr>
  </w:style>
  <w:style w:type="paragraph" w:styleId="aa">
    <w:name w:val="Normal (Web)"/>
    <w:aliases w:val="Обычный (Web),Обычный (Web)1,Обычный (Web) Знак,Обычный (веб) Знак Знак Знак,Обычный (веб) Знак Знак,Обычный (Web)11,Обычный (веб)1,Обычный (веб)11,Обычный (веб)111 Знак Знак,Обычный (Web) Знак Знак Знак Знак,Обычный (We,Обычный (W,Знак"/>
    <w:basedOn w:val="a0"/>
    <w:uiPriority w:val="99"/>
    <w:unhideWhenUsed/>
    <w:qFormat/>
    <w:rsid w:val="000824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1"/>
    <w:qFormat/>
    <w:rsid w:val="000824A7"/>
  </w:style>
  <w:style w:type="character" w:styleId="ab">
    <w:name w:val="Strong"/>
    <w:basedOn w:val="a1"/>
    <w:uiPriority w:val="22"/>
    <w:qFormat/>
    <w:rsid w:val="000824A7"/>
    <w:rPr>
      <w:b/>
      <w:bCs/>
    </w:rPr>
  </w:style>
  <w:style w:type="paragraph" w:styleId="ac">
    <w:name w:val="header"/>
    <w:basedOn w:val="a0"/>
    <w:link w:val="ad"/>
    <w:uiPriority w:val="99"/>
    <w:unhideWhenUsed/>
    <w:rsid w:val="000824A7"/>
    <w:pPr>
      <w:tabs>
        <w:tab w:val="center" w:pos="4677"/>
        <w:tab w:val="right" w:pos="9355"/>
      </w:tabs>
      <w:spacing w:after="0" w:line="240" w:lineRule="auto"/>
    </w:pPr>
  </w:style>
  <w:style w:type="character" w:customStyle="1" w:styleId="ad">
    <w:name w:val="Верхний колонтитул Знак"/>
    <w:basedOn w:val="a1"/>
    <w:link w:val="ac"/>
    <w:uiPriority w:val="99"/>
    <w:qFormat/>
    <w:rsid w:val="000824A7"/>
  </w:style>
  <w:style w:type="paragraph" w:styleId="ae">
    <w:name w:val="footer"/>
    <w:basedOn w:val="a0"/>
    <w:link w:val="af"/>
    <w:uiPriority w:val="99"/>
    <w:unhideWhenUsed/>
    <w:rsid w:val="000824A7"/>
    <w:pPr>
      <w:tabs>
        <w:tab w:val="center" w:pos="4677"/>
        <w:tab w:val="right" w:pos="9355"/>
      </w:tabs>
      <w:spacing w:after="0" w:line="240" w:lineRule="auto"/>
    </w:pPr>
  </w:style>
  <w:style w:type="character" w:customStyle="1" w:styleId="af">
    <w:name w:val="Нижний колонтитул Знак"/>
    <w:basedOn w:val="a1"/>
    <w:link w:val="ae"/>
    <w:uiPriority w:val="99"/>
    <w:qFormat/>
    <w:rsid w:val="000824A7"/>
  </w:style>
  <w:style w:type="character" w:customStyle="1" w:styleId="ListParagraphChar">
    <w:name w:val="List Paragraph Char"/>
    <w:link w:val="11"/>
    <w:locked/>
    <w:rsid w:val="000824A7"/>
    <w:rPr>
      <w:rFonts w:ascii="Calibri" w:hAnsi="Calibri"/>
      <w:sz w:val="24"/>
    </w:rPr>
  </w:style>
  <w:style w:type="paragraph" w:customStyle="1" w:styleId="11">
    <w:name w:val="Абзац списка1"/>
    <w:basedOn w:val="a0"/>
    <w:link w:val="ListParagraphChar"/>
    <w:uiPriority w:val="99"/>
    <w:qFormat/>
    <w:rsid w:val="000824A7"/>
    <w:pPr>
      <w:spacing w:after="0" w:line="240" w:lineRule="auto"/>
      <w:ind w:left="720"/>
      <w:contextualSpacing/>
    </w:pPr>
    <w:rPr>
      <w:rFonts w:ascii="Calibri" w:hAnsi="Calibri"/>
      <w:sz w:val="24"/>
    </w:rPr>
  </w:style>
  <w:style w:type="paragraph" w:customStyle="1" w:styleId="a">
    <w:name w:val="Стиль для нумерованного списка"/>
    <w:basedOn w:val="a0"/>
    <w:next w:val="a0"/>
    <w:qFormat/>
    <w:rsid w:val="000824A7"/>
    <w:pPr>
      <w:numPr>
        <w:numId w:val="1"/>
      </w:numPr>
      <w:tabs>
        <w:tab w:val="left" w:pos="993"/>
      </w:tabs>
      <w:spacing w:after="0" w:line="240" w:lineRule="auto"/>
      <w:ind w:left="0" w:firstLine="709"/>
      <w:jc w:val="both"/>
    </w:pPr>
    <w:rPr>
      <w:rFonts w:ascii="Times New Roman" w:eastAsia="Calibri" w:hAnsi="Times New Roman" w:cs="Sylfaen"/>
      <w:sz w:val="28"/>
      <w:szCs w:val="28"/>
    </w:rPr>
  </w:style>
  <w:style w:type="table" w:customStyle="1" w:styleId="12">
    <w:name w:val="Сетка таблицы1"/>
    <w:basedOn w:val="a2"/>
    <w:next w:val="a7"/>
    <w:uiPriority w:val="39"/>
    <w:rsid w:val="00082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uiPriority w:val="99"/>
    <w:qFormat/>
    <w:rsid w:val="000824A7"/>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tyle01">
    <w:name w:val="fontstyle01"/>
    <w:basedOn w:val="a1"/>
    <w:rsid w:val="000824A7"/>
    <w:rPr>
      <w:rFonts w:ascii="TimesNewRomanPS-BoldMT" w:hAnsi="TimesNewRomanPS-BoldMT" w:hint="default"/>
      <w:b/>
      <w:bCs/>
      <w:i w:val="0"/>
      <w:iCs w:val="0"/>
      <w:color w:val="000000"/>
      <w:sz w:val="28"/>
      <w:szCs w:val="28"/>
    </w:rPr>
  </w:style>
  <w:style w:type="character" w:customStyle="1" w:styleId="a5">
    <w:name w:val="Абзац списка Знак"/>
    <w:aliases w:val="Варианты ответов Знак,Список нумерованный цифры Знак,Абзац списка2 Знак,Bullet List Знак,FooterText Знак,numbered Знак,Table-Normal Знак,RSHB_Table-Normal Знак,Paragraphe de liste1 Знак,lp1 Знак,ПАРАГРАФ Знак,SL_Абзац списка Знак"/>
    <w:link w:val="a4"/>
    <w:uiPriority w:val="34"/>
    <w:qFormat/>
    <w:locked/>
    <w:rsid w:val="000824A7"/>
  </w:style>
  <w:style w:type="paragraph" w:customStyle="1" w:styleId="ConsPlusNormal">
    <w:name w:val="ConsPlusNormal"/>
    <w:rsid w:val="000824A7"/>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styleId="af0">
    <w:name w:val="annotation reference"/>
    <w:basedOn w:val="a1"/>
    <w:uiPriority w:val="99"/>
    <w:semiHidden/>
    <w:unhideWhenUsed/>
    <w:qFormat/>
    <w:rsid w:val="000824A7"/>
    <w:rPr>
      <w:sz w:val="16"/>
      <w:szCs w:val="16"/>
    </w:rPr>
  </w:style>
  <w:style w:type="paragraph" w:styleId="af1">
    <w:name w:val="annotation text"/>
    <w:basedOn w:val="a0"/>
    <w:link w:val="af2"/>
    <w:uiPriority w:val="99"/>
    <w:unhideWhenUsed/>
    <w:qFormat/>
    <w:rsid w:val="000824A7"/>
    <w:pPr>
      <w:spacing w:line="240" w:lineRule="auto"/>
    </w:pPr>
    <w:rPr>
      <w:sz w:val="20"/>
      <w:szCs w:val="20"/>
    </w:rPr>
  </w:style>
  <w:style w:type="character" w:customStyle="1" w:styleId="af2">
    <w:name w:val="Текст примечания Знак"/>
    <w:basedOn w:val="a1"/>
    <w:link w:val="af1"/>
    <w:uiPriority w:val="99"/>
    <w:qFormat/>
    <w:rsid w:val="000824A7"/>
    <w:rPr>
      <w:sz w:val="20"/>
      <w:szCs w:val="20"/>
    </w:rPr>
  </w:style>
  <w:style w:type="paragraph" w:styleId="af3">
    <w:name w:val="annotation subject"/>
    <w:basedOn w:val="af1"/>
    <w:next w:val="af1"/>
    <w:link w:val="af4"/>
    <w:uiPriority w:val="99"/>
    <w:semiHidden/>
    <w:unhideWhenUsed/>
    <w:qFormat/>
    <w:rsid w:val="000824A7"/>
    <w:rPr>
      <w:b/>
      <w:bCs/>
    </w:rPr>
  </w:style>
  <w:style w:type="character" w:customStyle="1" w:styleId="af4">
    <w:name w:val="Тема примечания Знак"/>
    <w:basedOn w:val="af2"/>
    <w:link w:val="af3"/>
    <w:uiPriority w:val="99"/>
    <w:semiHidden/>
    <w:qFormat/>
    <w:rsid w:val="000824A7"/>
    <w:rPr>
      <w:b/>
      <w:bCs/>
      <w:sz w:val="20"/>
      <w:szCs w:val="20"/>
    </w:rPr>
  </w:style>
  <w:style w:type="paragraph" w:styleId="af5">
    <w:name w:val="endnote text"/>
    <w:basedOn w:val="a0"/>
    <w:link w:val="af6"/>
    <w:uiPriority w:val="99"/>
    <w:semiHidden/>
    <w:unhideWhenUsed/>
    <w:rsid w:val="000824A7"/>
    <w:pPr>
      <w:spacing w:after="0" w:line="240" w:lineRule="auto"/>
    </w:pPr>
    <w:rPr>
      <w:sz w:val="20"/>
      <w:szCs w:val="20"/>
    </w:rPr>
  </w:style>
  <w:style w:type="character" w:customStyle="1" w:styleId="af6">
    <w:name w:val="Текст концевой сноски Знак"/>
    <w:basedOn w:val="a1"/>
    <w:link w:val="af5"/>
    <w:uiPriority w:val="99"/>
    <w:semiHidden/>
    <w:rsid w:val="000824A7"/>
    <w:rPr>
      <w:sz w:val="20"/>
      <w:szCs w:val="20"/>
    </w:rPr>
  </w:style>
  <w:style w:type="character" w:styleId="af7">
    <w:name w:val="endnote reference"/>
    <w:basedOn w:val="a1"/>
    <w:uiPriority w:val="99"/>
    <w:semiHidden/>
    <w:unhideWhenUsed/>
    <w:rsid w:val="000824A7"/>
    <w:rPr>
      <w:vertAlign w:val="superscript"/>
    </w:rPr>
  </w:style>
  <w:style w:type="paragraph" w:styleId="af8">
    <w:name w:val="footnote text"/>
    <w:aliases w:val="Текст сноски Знак1 Знак,Текст сноски Знак Знак Знак,Footnote Text Char Знак Знак,Footnote Text Char Знак,FSR footnote,lábléc,Footnote Text Char Char Char Char Char Char,Footnote Text Char2 Char,Footnote Text Char1 Char"/>
    <w:basedOn w:val="a0"/>
    <w:link w:val="af9"/>
    <w:uiPriority w:val="99"/>
    <w:unhideWhenUsed/>
    <w:rsid w:val="000824A7"/>
    <w:pPr>
      <w:spacing w:after="0" w:line="240" w:lineRule="auto"/>
    </w:pPr>
    <w:rPr>
      <w:sz w:val="20"/>
      <w:szCs w:val="20"/>
    </w:rPr>
  </w:style>
  <w:style w:type="character" w:customStyle="1" w:styleId="af9">
    <w:name w:val="Текст сноски Знак"/>
    <w:aliases w:val="Текст сноски Знак1 Знак Знак,Текст сноски Знак Знак Знак Знак,Footnote Text Char Знак Знак Знак,Footnote Text Char Знак Знак1,FSR footnote Знак,lábléc Знак,Footnote Text Char Char Char Char Char Char Знак,Footnote Text Char2 Char Знак"/>
    <w:basedOn w:val="a1"/>
    <w:link w:val="af8"/>
    <w:uiPriority w:val="99"/>
    <w:qFormat/>
    <w:rsid w:val="000824A7"/>
    <w:rPr>
      <w:sz w:val="20"/>
      <w:szCs w:val="20"/>
    </w:rPr>
  </w:style>
  <w:style w:type="character" w:styleId="afa">
    <w:name w:val="footnote reference"/>
    <w:aliases w:val="Знак сноски 1,Ciae niinee 1"/>
    <w:basedOn w:val="a1"/>
    <w:uiPriority w:val="99"/>
    <w:unhideWhenUsed/>
    <w:rsid w:val="000824A7"/>
    <w:rPr>
      <w:vertAlign w:val="superscript"/>
    </w:rPr>
  </w:style>
  <w:style w:type="character" w:customStyle="1" w:styleId="41">
    <w:name w:val="Основной текст4"/>
    <w:basedOn w:val="a1"/>
    <w:rsid w:val="000824A7"/>
    <w:rPr>
      <w:rFonts w:ascii="Times New Roman" w:eastAsia="Times New Roman" w:hAnsi="Times New Roman" w:cs="Times New Roman"/>
      <w:b/>
      <w:bCs/>
      <w:color w:val="000000"/>
      <w:spacing w:val="0"/>
      <w:w w:val="100"/>
      <w:position w:val="0"/>
      <w:sz w:val="17"/>
      <w:szCs w:val="17"/>
      <w:shd w:val="clear" w:color="auto" w:fill="FFFFFF"/>
      <w:lang w:val="ru-RU" w:eastAsia="ru-RU" w:bidi="ru-RU"/>
    </w:rPr>
  </w:style>
  <w:style w:type="table" w:customStyle="1" w:styleId="22">
    <w:name w:val="Сетка таблицы2"/>
    <w:basedOn w:val="a2"/>
    <w:next w:val="a7"/>
    <w:uiPriority w:val="39"/>
    <w:rsid w:val="00082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2">
    <w:name w:val="Основной текст (4)_"/>
    <w:basedOn w:val="a1"/>
    <w:link w:val="43"/>
    <w:rsid w:val="000824A7"/>
    <w:rPr>
      <w:rFonts w:ascii="Times New Roman" w:eastAsia="Times New Roman" w:hAnsi="Times New Roman" w:cs="Times New Roman"/>
      <w:sz w:val="26"/>
      <w:szCs w:val="26"/>
      <w:shd w:val="clear" w:color="auto" w:fill="FFFFFF"/>
    </w:rPr>
  </w:style>
  <w:style w:type="character" w:customStyle="1" w:styleId="afb">
    <w:name w:val="Основной текст_"/>
    <w:basedOn w:val="a1"/>
    <w:link w:val="23"/>
    <w:rsid w:val="000824A7"/>
    <w:rPr>
      <w:rFonts w:ascii="Times New Roman" w:eastAsia="Times New Roman" w:hAnsi="Times New Roman" w:cs="Times New Roman"/>
      <w:i/>
      <w:iCs/>
      <w:sz w:val="26"/>
      <w:szCs w:val="26"/>
      <w:shd w:val="clear" w:color="auto" w:fill="FFFFFF"/>
    </w:rPr>
  </w:style>
  <w:style w:type="character" w:customStyle="1" w:styleId="13">
    <w:name w:val="Заголовок №1_"/>
    <w:basedOn w:val="a1"/>
    <w:link w:val="14"/>
    <w:rsid w:val="000824A7"/>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0824A7"/>
    <w:pPr>
      <w:widowControl w:val="0"/>
      <w:shd w:val="clear" w:color="auto" w:fill="FFFFFF"/>
      <w:spacing w:before="60" w:after="60" w:line="322" w:lineRule="exact"/>
      <w:ind w:hanging="360"/>
      <w:jc w:val="both"/>
    </w:pPr>
    <w:rPr>
      <w:rFonts w:ascii="Times New Roman" w:eastAsia="Times New Roman" w:hAnsi="Times New Roman" w:cs="Times New Roman"/>
      <w:sz w:val="26"/>
      <w:szCs w:val="26"/>
    </w:rPr>
  </w:style>
  <w:style w:type="paragraph" w:customStyle="1" w:styleId="23">
    <w:name w:val="Основной текст2"/>
    <w:basedOn w:val="a0"/>
    <w:link w:val="afb"/>
    <w:rsid w:val="000824A7"/>
    <w:pPr>
      <w:widowControl w:val="0"/>
      <w:shd w:val="clear" w:color="auto" w:fill="FFFFFF"/>
      <w:spacing w:before="60" w:after="360" w:line="322" w:lineRule="exact"/>
      <w:jc w:val="both"/>
    </w:pPr>
    <w:rPr>
      <w:rFonts w:ascii="Times New Roman" w:eastAsia="Times New Roman" w:hAnsi="Times New Roman" w:cs="Times New Roman"/>
      <w:i/>
      <w:iCs/>
      <w:sz w:val="26"/>
      <w:szCs w:val="26"/>
    </w:rPr>
  </w:style>
  <w:style w:type="paragraph" w:customStyle="1" w:styleId="14">
    <w:name w:val="Заголовок №1"/>
    <w:basedOn w:val="a0"/>
    <w:link w:val="13"/>
    <w:rsid w:val="000824A7"/>
    <w:pPr>
      <w:widowControl w:val="0"/>
      <w:shd w:val="clear" w:color="auto" w:fill="FFFFFF"/>
      <w:spacing w:before="480" w:after="360" w:line="0" w:lineRule="atLeast"/>
      <w:jc w:val="both"/>
      <w:outlineLvl w:val="0"/>
    </w:pPr>
    <w:rPr>
      <w:rFonts w:ascii="Times New Roman" w:eastAsia="Times New Roman" w:hAnsi="Times New Roman" w:cs="Times New Roman"/>
      <w:b/>
      <w:bCs/>
      <w:sz w:val="26"/>
      <w:szCs w:val="26"/>
    </w:rPr>
  </w:style>
  <w:style w:type="character" w:styleId="afc">
    <w:name w:val="FollowedHyperlink"/>
    <w:basedOn w:val="a1"/>
    <w:uiPriority w:val="99"/>
    <w:semiHidden/>
    <w:unhideWhenUsed/>
    <w:rsid w:val="000824A7"/>
    <w:rPr>
      <w:color w:val="800080" w:themeColor="followedHyperlink"/>
      <w:u w:val="single"/>
    </w:rPr>
  </w:style>
  <w:style w:type="table" w:customStyle="1" w:styleId="31">
    <w:name w:val="Сетка таблицы3"/>
    <w:basedOn w:val="a2"/>
    <w:next w:val="a7"/>
    <w:uiPriority w:val="39"/>
    <w:rsid w:val="00082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
    <w:name w:val="Нет списка1"/>
    <w:next w:val="a3"/>
    <w:uiPriority w:val="99"/>
    <w:semiHidden/>
    <w:unhideWhenUsed/>
    <w:rsid w:val="000824A7"/>
  </w:style>
  <w:style w:type="character" w:customStyle="1" w:styleId="afd">
    <w:name w:val="Сноска_"/>
    <w:basedOn w:val="a1"/>
    <w:link w:val="afe"/>
    <w:rsid w:val="000824A7"/>
    <w:rPr>
      <w:rFonts w:ascii="Times New Roman" w:eastAsia="Times New Roman" w:hAnsi="Times New Roman" w:cs="Times New Roman"/>
      <w:sz w:val="18"/>
      <w:szCs w:val="18"/>
      <w:shd w:val="clear" w:color="auto" w:fill="FFFFFF"/>
    </w:rPr>
  </w:style>
  <w:style w:type="character" w:customStyle="1" w:styleId="24">
    <w:name w:val="Основной текст (2)_"/>
    <w:basedOn w:val="a1"/>
    <w:link w:val="25"/>
    <w:rsid w:val="000824A7"/>
    <w:rPr>
      <w:rFonts w:ascii="Times New Roman" w:eastAsia="Times New Roman" w:hAnsi="Times New Roman" w:cs="Times New Roman"/>
      <w:b/>
      <w:bCs/>
      <w:sz w:val="30"/>
      <w:szCs w:val="30"/>
      <w:shd w:val="clear" w:color="auto" w:fill="FFFFFF"/>
    </w:rPr>
  </w:style>
  <w:style w:type="character" w:customStyle="1" w:styleId="aff">
    <w:name w:val="Колонтитул_"/>
    <w:basedOn w:val="a1"/>
    <w:rsid w:val="000824A7"/>
    <w:rPr>
      <w:rFonts w:ascii="Times New Roman" w:eastAsia="Times New Roman" w:hAnsi="Times New Roman" w:cs="Times New Roman"/>
      <w:b/>
      <w:bCs/>
      <w:i w:val="0"/>
      <w:iCs w:val="0"/>
      <w:smallCaps w:val="0"/>
      <w:strike w:val="0"/>
      <w:sz w:val="20"/>
      <w:szCs w:val="20"/>
      <w:u w:val="none"/>
    </w:rPr>
  </w:style>
  <w:style w:type="character" w:customStyle="1" w:styleId="aff0">
    <w:name w:val="Колонтитул"/>
    <w:basedOn w:val="aff"/>
    <w:rsid w:val="000824A7"/>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32">
    <w:name w:val="Основной текст (3)_"/>
    <w:basedOn w:val="a1"/>
    <w:link w:val="33"/>
    <w:rsid w:val="000824A7"/>
    <w:rPr>
      <w:rFonts w:ascii="Times New Roman" w:eastAsia="Times New Roman" w:hAnsi="Times New Roman" w:cs="Times New Roman"/>
      <w:b/>
      <w:bCs/>
      <w:sz w:val="26"/>
      <w:szCs w:val="26"/>
      <w:shd w:val="clear" w:color="auto" w:fill="FFFFFF"/>
    </w:rPr>
  </w:style>
  <w:style w:type="character" w:customStyle="1" w:styleId="aff1">
    <w:name w:val="Основной текст + Не курсив"/>
    <w:basedOn w:val="afb"/>
    <w:rsid w:val="000824A7"/>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51">
    <w:name w:val="Основной текст (5)_"/>
    <w:basedOn w:val="a1"/>
    <w:link w:val="52"/>
    <w:rsid w:val="000824A7"/>
    <w:rPr>
      <w:rFonts w:ascii="Times New Roman" w:eastAsia="Times New Roman" w:hAnsi="Times New Roman" w:cs="Times New Roman"/>
      <w:sz w:val="18"/>
      <w:szCs w:val="18"/>
      <w:shd w:val="clear" w:color="auto" w:fill="FFFFFF"/>
    </w:rPr>
  </w:style>
  <w:style w:type="character" w:customStyle="1" w:styleId="16">
    <w:name w:val="Основной текст1"/>
    <w:basedOn w:val="afb"/>
    <w:rsid w:val="000824A7"/>
    <w:rPr>
      <w:rFonts w:ascii="Times New Roman" w:eastAsia="Times New Roman" w:hAnsi="Times New Roman" w:cs="Times New Roman"/>
      <w:b w:val="0"/>
      <w:bCs w:val="0"/>
      <w:i/>
      <w:iCs/>
      <w:smallCaps w:val="0"/>
      <w:strike w:val="0"/>
      <w:color w:val="000000"/>
      <w:spacing w:val="0"/>
      <w:w w:val="100"/>
      <w:position w:val="0"/>
      <w:sz w:val="26"/>
      <w:szCs w:val="26"/>
      <w:u w:val="single"/>
      <w:shd w:val="clear" w:color="auto" w:fill="FFFFFF"/>
      <w:lang w:val="ru-RU" w:eastAsia="ru-RU" w:bidi="ru-RU"/>
    </w:rPr>
  </w:style>
  <w:style w:type="character" w:customStyle="1" w:styleId="85pt">
    <w:name w:val="Основной текст + 8;5 pt;Полужирный;Не курсив"/>
    <w:basedOn w:val="afb"/>
    <w:rsid w:val="000824A7"/>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ru-RU" w:eastAsia="ru-RU" w:bidi="ru-RU"/>
    </w:rPr>
  </w:style>
  <w:style w:type="character" w:customStyle="1" w:styleId="85pt0">
    <w:name w:val="Основной текст + 8;5 pt"/>
    <w:basedOn w:val="afb"/>
    <w:rsid w:val="000824A7"/>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115pt">
    <w:name w:val="Основной текст + 11;5 pt;Не курсив"/>
    <w:basedOn w:val="afb"/>
    <w:rsid w:val="000824A7"/>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115pt0">
    <w:name w:val="Основной текст + 11;5 pt"/>
    <w:basedOn w:val="afb"/>
    <w:rsid w:val="000824A7"/>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paragraph" w:customStyle="1" w:styleId="afe">
    <w:name w:val="Сноска"/>
    <w:basedOn w:val="a0"/>
    <w:link w:val="afd"/>
    <w:rsid w:val="000824A7"/>
    <w:pPr>
      <w:widowControl w:val="0"/>
      <w:shd w:val="clear" w:color="auto" w:fill="FFFFFF"/>
      <w:spacing w:after="0" w:line="245" w:lineRule="exact"/>
      <w:jc w:val="both"/>
    </w:pPr>
    <w:rPr>
      <w:rFonts w:ascii="Times New Roman" w:eastAsia="Times New Roman" w:hAnsi="Times New Roman" w:cs="Times New Roman"/>
      <w:sz w:val="18"/>
      <w:szCs w:val="18"/>
    </w:rPr>
  </w:style>
  <w:style w:type="paragraph" w:customStyle="1" w:styleId="25">
    <w:name w:val="Основной текст (2)"/>
    <w:basedOn w:val="a0"/>
    <w:link w:val="24"/>
    <w:rsid w:val="000824A7"/>
    <w:pPr>
      <w:widowControl w:val="0"/>
      <w:shd w:val="clear" w:color="auto" w:fill="FFFFFF"/>
      <w:spacing w:after="0" w:line="398" w:lineRule="exact"/>
      <w:jc w:val="center"/>
    </w:pPr>
    <w:rPr>
      <w:rFonts w:ascii="Times New Roman" w:eastAsia="Times New Roman" w:hAnsi="Times New Roman" w:cs="Times New Roman"/>
      <w:b/>
      <w:bCs/>
      <w:sz w:val="30"/>
      <w:szCs w:val="30"/>
    </w:rPr>
  </w:style>
  <w:style w:type="paragraph" w:customStyle="1" w:styleId="33">
    <w:name w:val="Основной текст (3)"/>
    <w:basedOn w:val="a0"/>
    <w:link w:val="32"/>
    <w:rsid w:val="000824A7"/>
    <w:pPr>
      <w:widowControl w:val="0"/>
      <w:shd w:val="clear" w:color="auto" w:fill="FFFFFF"/>
      <w:spacing w:before="60" w:after="60" w:line="336" w:lineRule="exact"/>
      <w:ind w:hanging="360"/>
      <w:jc w:val="both"/>
    </w:pPr>
    <w:rPr>
      <w:rFonts w:ascii="Times New Roman" w:eastAsia="Times New Roman" w:hAnsi="Times New Roman" w:cs="Times New Roman"/>
      <w:b/>
      <w:bCs/>
      <w:sz w:val="26"/>
      <w:szCs w:val="26"/>
    </w:rPr>
  </w:style>
  <w:style w:type="paragraph" w:customStyle="1" w:styleId="52">
    <w:name w:val="Основной текст (5)"/>
    <w:basedOn w:val="a0"/>
    <w:link w:val="51"/>
    <w:rsid w:val="000824A7"/>
    <w:pPr>
      <w:widowControl w:val="0"/>
      <w:shd w:val="clear" w:color="auto" w:fill="FFFFFF"/>
      <w:spacing w:before="480" w:after="0" w:line="250" w:lineRule="exact"/>
      <w:jc w:val="both"/>
    </w:pPr>
    <w:rPr>
      <w:rFonts w:ascii="Times New Roman" w:eastAsia="Times New Roman" w:hAnsi="Times New Roman" w:cs="Times New Roman"/>
      <w:sz w:val="18"/>
      <w:szCs w:val="18"/>
    </w:rPr>
  </w:style>
  <w:style w:type="paragraph" w:styleId="aff2">
    <w:name w:val="Body Text"/>
    <w:basedOn w:val="a0"/>
    <w:link w:val="aff3"/>
    <w:uiPriority w:val="99"/>
    <w:qFormat/>
    <w:rsid w:val="000824A7"/>
    <w:pPr>
      <w:widowControl w:val="0"/>
      <w:spacing w:after="0" w:line="240" w:lineRule="auto"/>
    </w:pPr>
    <w:rPr>
      <w:rFonts w:ascii="Times New Roman" w:eastAsia="Times New Roman" w:hAnsi="Times New Roman" w:cs="Times New Roman"/>
      <w:b/>
      <w:bCs/>
      <w:sz w:val="20"/>
      <w:szCs w:val="20"/>
      <w:lang w:val="en-US"/>
    </w:rPr>
  </w:style>
  <w:style w:type="character" w:customStyle="1" w:styleId="aff3">
    <w:name w:val="Основной текст Знак"/>
    <w:basedOn w:val="a1"/>
    <w:link w:val="aff2"/>
    <w:uiPriority w:val="99"/>
    <w:qFormat/>
    <w:rsid w:val="000824A7"/>
    <w:rPr>
      <w:rFonts w:ascii="Times New Roman" w:eastAsia="Times New Roman" w:hAnsi="Times New Roman" w:cs="Times New Roman"/>
      <w:b/>
      <w:bCs/>
      <w:sz w:val="20"/>
      <w:szCs w:val="20"/>
      <w:lang w:val="en-US"/>
    </w:rPr>
  </w:style>
  <w:style w:type="paragraph" w:customStyle="1" w:styleId="TableParagraph">
    <w:name w:val="Table Paragraph"/>
    <w:basedOn w:val="a0"/>
    <w:uiPriority w:val="1"/>
    <w:qFormat/>
    <w:rsid w:val="000824A7"/>
    <w:pPr>
      <w:widowControl w:val="0"/>
      <w:spacing w:after="0" w:line="223" w:lineRule="exact"/>
      <w:jc w:val="center"/>
    </w:pPr>
    <w:rPr>
      <w:rFonts w:ascii="Times New Roman" w:eastAsia="Times New Roman" w:hAnsi="Times New Roman" w:cs="Times New Roman"/>
      <w:lang w:val="en-US"/>
    </w:rPr>
  </w:style>
  <w:style w:type="paragraph" w:styleId="aff4">
    <w:name w:val="Body Text Indent"/>
    <w:basedOn w:val="a0"/>
    <w:link w:val="aff5"/>
    <w:uiPriority w:val="99"/>
    <w:unhideWhenUsed/>
    <w:qFormat/>
    <w:rsid w:val="000824A7"/>
    <w:pPr>
      <w:widowControl w:val="0"/>
      <w:spacing w:after="120" w:line="240" w:lineRule="auto"/>
      <w:ind w:left="283"/>
    </w:pPr>
    <w:rPr>
      <w:rFonts w:ascii="Courier New" w:eastAsia="Courier New" w:hAnsi="Courier New" w:cs="Courier New"/>
      <w:color w:val="000000"/>
      <w:sz w:val="24"/>
      <w:szCs w:val="24"/>
      <w:lang w:eastAsia="ru-RU" w:bidi="ru-RU"/>
    </w:rPr>
  </w:style>
  <w:style w:type="character" w:customStyle="1" w:styleId="aff5">
    <w:name w:val="Основной текст с отступом Знак"/>
    <w:basedOn w:val="a1"/>
    <w:link w:val="aff4"/>
    <w:uiPriority w:val="99"/>
    <w:qFormat/>
    <w:rsid w:val="000824A7"/>
    <w:rPr>
      <w:rFonts w:ascii="Courier New" w:eastAsia="Courier New" w:hAnsi="Courier New" w:cs="Courier New"/>
      <w:color w:val="000000"/>
      <w:sz w:val="24"/>
      <w:szCs w:val="24"/>
      <w:lang w:eastAsia="ru-RU" w:bidi="ru-RU"/>
    </w:rPr>
  </w:style>
  <w:style w:type="character" w:customStyle="1" w:styleId="A20">
    <w:name w:val="A20"/>
    <w:uiPriority w:val="99"/>
    <w:rsid w:val="000824A7"/>
    <w:rPr>
      <w:rFonts w:cs="Open Sans"/>
      <w:color w:val="000000"/>
      <w:sz w:val="10"/>
      <w:szCs w:val="10"/>
    </w:rPr>
  </w:style>
  <w:style w:type="table" w:customStyle="1" w:styleId="44">
    <w:name w:val="Сетка таблицы4"/>
    <w:basedOn w:val="a2"/>
    <w:next w:val="a7"/>
    <w:uiPriority w:val="39"/>
    <w:rsid w:val="00082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ветлая сетка1"/>
    <w:basedOn w:val="a2"/>
    <w:uiPriority w:val="62"/>
    <w:rsid w:val="000824A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aff6">
    <w:name w:val="No Spacing"/>
    <w:link w:val="aff7"/>
    <w:uiPriority w:val="1"/>
    <w:qFormat/>
    <w:rsid w:val="000824A7"/>
    <w:pPr>
      <w:spacing w:after="0" w:line="240" w:lineRule="auto"/>
    </w:pPr>
  </w:style>
  <w:style w:type="character" w:customStyle="1" w:styleId="21">
    <w:name w:val="Заголовок 2 Знак"/>
    <w:basedOn w:val="a1"/>
    <w:link w:val="20"/>
    <w:qFormat/>
    <w:rsid w:val="002237BB"/>
    <w:rPr>
      <w:rFonts w:ascii="Times New Roman" w:eastAsia="Times New Roman" w:hAnsi="Times New Roman" w:cs="Times New Roman"/>
      <w:b/>
      <w:bCs/>
      <w:sz w:val="36"/>
      <w:szCs w:val="36"/>
      <w:lang w:eastAsia="ru-RU"/>
    </w:rPr>
  </w:style>
  <w:style w:type="character" w:customStyle="1" w:styleId="40">
    <w:name w:val="Заголовок 4 Знак"/>
    <w:basedOn w:val="a1"/>
    <w:link w:val="4"/>
    <w:uiPriority w:val="9"/>
    <w:rsid w:val="002237BB"/>
    <w:rPr>
      <w:rFonts w:ascii="Times New Roman" w:eastAsia="Times New Roman" w:hAnsi="Times New Roman" w:cs="Times New Roman"/>
      <w:b/>
      <w:sz w:val="24"/>
      <w:szCs w:val="20"/>
      <w:lang w:eastAsia="ru-RU"/>
    </w:rPr>
  </w:style>
  <w:style w:type="character" w:customStyle="1" w:styleId="50">
    <w:name w:val="Заголовок 5 Знак"/>
    <w:basedOn w:val="a1"/>
    <w:link w:val="5"/>
    <w:uiPriority w:val="9"/>
    <w:rsid w:val="002237BB"/>
    <w:rPr>
      <w:rFonts w:ascii="Times New Roman" w:eastAsia="Times New Roman" w:hAnsi="Times New Roman" w:cs="Times New Roman"/>
      <w:sz w:val="24"/>
      <w:szCs w:val="20"/>
      <w:lang w:eastAsia="ru-RU"/>
    </w:rPr>
  </w:style>
  <w:style w:type="character" w:customStyle="1" w:styleId="60">
    <w:name w:val="Заголовок 6 Знак"/>
    <w:basedOn w:val="a1"/>
    <w:link w:val="6"/>
    <w:uiPriority w:val="9"/>
    <w:rsid w:val="002237BB"/>
    <w:rPr>
      <w:rFonts w:ascii="Times New Roman" w:eastAsia="Times New Roman" w:hAnsi="Times New Roman" w:cs="Times New Roman"/>
      <w:sz w:val="28"/>
      <w:szCs w:val="20"/>
      <w:lang w:eastAsia="ru-RU"/>
    </w:rPr>
  </w:style>
  <w:style w:type="character" w:customStyle="1" w:styleId="70">
    <w:name w:val="Заголовок 7 Знак"/>
    <w:basedOn w:val="a1"/>
    <w:link w:val="7"/>
    <w:rsid w:val="002237BB"/>
    <w:rPr>
      <w:rFonts w:ascii="Times New Roman" w:eastAsia="Times New Roman" w:hAnsi="Times New Roman" w:cs="Times New Roman"/>
      <w:b/>
      <w:color w:val="800000"/>
      <w:szCs w:val="20"/>
      <w:lang w:eastAsia="ru-RU"/>
    </w:rPr>
  </w:style>
  <w:style w:type="character" w:customStyle="1" w:styleId="80">
    <w:name w:val="Заголовок 8 Знак"/>
    <w:basedOn w:val="a1"/>
    <w:link w:val="8"/>
    <w:rsid w:val="002237BB"/>
    <w:rPr>
      <w:rFonts w:ascii="Times New Roman" w:eastAsia="Times New Roman" w:hAnsi="Times New Roman" w:cs="Times New Roman"/>
      <w:sz w:val="24"/>
      <w:szCs w:val="20"/>
      <w:lang w:eastAsia="ru-RU"/>
    </w:rPr>
  </w:style>
  <w:style w:type="character" w:customStyle="1" w:styleId="90">
    <w:name w:val="Заголовок 9 Знак"/>
    <w:basedOn w:val="a1"/>
    <w:link w:val="9"/>
    <w:rsid w:val="002237BB"/>
    <w:rPr>
      <w:rFonts w:ascii="Times New Roman" w:eastAsia="Times New Roman" w:hAnsi="Times New Roman" w:cs="Times New Roman"/>
      <w:b/>
      <w:snapToGrid w:val="0"/>
      <w:color w:val="000000"/>
      <w:sz w:val="20"/>
      <w:szCs w:val="20"/>
      <w:lang w:eastAsia="ru-RU"/>
    </w:rPr>
  </w:style>
  <w:style w:type="character" w:customStyle="1" w:styleId="freebirdanalyticsviewquestiontitle">
    <w:name w:val="freebirdanalyticsviewquestiontitle"/>
    <w:basedOn w:val="a1"/>
    <w:rsid w:val="002237BB"/>
  </w:style>
  <w:style w:type="table" w:customStyle="1" w:styleId="53">
    <w:name w:val="Сетка таблицы5"/>
    <w:basedOn w:val="a2"/>
    <w:next w:val="a7"/>
    <w:uiPriority w:val="39"/>
    <w:rsid w:val="002237BB"/>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nformat">
    <w:name w:val="ConsNonformat"/>
    <w:rsid w:val="002237B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PlainText1">
    <w:name w:val="Plain Text1"/>
    <w:basedOn w:val="a0"/>
    <w:rsid w:val="002237BB"/>
    <w:pPr>
      <w:widowControl w:val="0"/>
      <w:spacing w:after="0" w:line="240" w:lineRule="auto"/>
    </w:pPr>
    <w:rPr>
      <w:rFonts w:ascii="Courier New" w:eastAsia="Times New Roman" w:hAnsi="Courier New" w:cs="Times New Roman"/>
      <w:sz w:val="20"/>
      <w:szCs w:val="20"/>
      <w:lang w:eastAsia="ru-RU"/>
    </w:rPr>
  </w:style>
  <w:style w:type="character" w:customStyle="1" w:styleId="3Exact">
    <w:name w:val="Основной текст (3) Exact"/>
    <w:basedOn w:val="a1"/>
    <w:rsid w:val="002237BB"/>
    <w:rPr>
      <w:rFonts w:ascii="Times New Roman" w:eastAsia="Times New Roman" w:hAnsi="Times New Roman" w:cs="Times New Roman" w:hint="default"/>
      <w:b/>
      <w:bCs/>
      <w:sz w:val="28"/>
      <w:szCs w:val="28"/>
      <w:shd w:val="clear" w:color="auto" w:fill="FFFFFF"/>
    </w:rPr>
  </w:style>
  <w:style w:type="table" w:customStyle="1" w:styleId="TableNormal">
    <w:name w:val="Table Normal"/>
    <w:unhideWhenUsed/>
    <w:qFormat/>
    <w:rsid w:val="002237B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rtejustify">
    <w:name w:val="rtejustify"/>
    <w:basedOn w:val="a0"/>
    <w:rsid w:val="002237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lk">
    <w:name w:val="blk"/>
    <w:basedOn w:val="a1"/>
    <w:rsid w:val="002237BB"/>
  </w:style>
  <w:style w:type="character" w:styleId="aff8">
    <w:name w:val="page number"/>
    <w:basedOn w:val="a1"/>
    <w:rsid w:val="002237BB"/>
  </w:style>
  <w:style w:type="character" w:customStyle="1" w:styleId="freebirdanalyticsviewquestionresponsescount">
    <w:name w:val="freebirdanalyticsviewquestionresponsescount"/>
    <w:basedOn w:val="a1"/>
    <w:rsid w:val="002237BB"/>
  </w:style>
  <w:style w:type="table" w:customStyle="1" w:styleId="3-51">
    <w:name w:val="Средняя сетка 3 - Акцент 51"/>
    <w:basedOn w:val="a2"/>
    <w:next w:val="3-5"/>
    <w:uiPriority w:val="69"/>
    <w:rsid w:val="002237BB"/>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1-51">
    <w:name w:val="Средняя сетка 1 - Акцент 51"/>
    <w:basedOn w:val="a2"/>
    <w:next w:val="1-5"/>
    <w:uiPriority w:val="67"/>
    <w:rsid w:val="002237BB"/>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customStyle="1" w:styleId="18">
    <w:name w:val="Название объекта1"/>
    <w:basedOn w:val="a0"/>
    <w:next w:val="a0"/>
    <w:uiPriority w:val="99"/>
    <w:unhideWhenUsed/>
    <w:qFormat/>
    <w:rsid w:val="002237BB"/>
    <w:pPr>
      <w:spacing w:line="240" w:lineRule="auto"/>
    </w:pPr>
    <w:rPr>
      <w:b/>
      <w:bCs/>
      <w:color w:val="4F81BD"/>
      <w:sz w:val="18"/>
      <w:szCs w:val="18"/>
    </w:rPr>
  </w:style>
  <w:style w:type="paragraph" w:customStyle="1" w:styleId="Style10">
    <w:name w:val="Style10"/>
    <w:basedOn w:val="a0"/>
    <w:uiPriority w:val="99"/>
    <w:rsid w:val="002237BB"/>
    <w:pPr>
      <w:widowControl w:val="0"/>
      <w:autoSpaceDE w:val="0"/>
      <w:autoSpaceDN w:val="0"/>
      <w:adjustRightInd w:val="0"/>
      <w:spacing w:after="0" w:line="278" w:lineRule="exact"/>
      <w:ind w:hanging="360"/>
      <w:jc w:val="both"/>
    </w:pPr>
    <w:rPr>
      <w:rFonts w:ascii="Times New Roman" w:eastAsia="Times New Roman" w:hAnsi="Times New Roman" w:cs="Times New Roman"/>
      <w:sz w:val="24"/>
      <w:szCs w:val="24"/>
      <w:lang w:eastAsia="ru-RU"/>
    </w:rPr>
  </w:style>
  <w:style w:type="table" w:customStyle="1" w:styleId="-651">
    <w:name w:val="Таблица-сетка 6 цветная — акцент 51"/>
    <w:basedOn w:val="a2"/>
    <w:uiPriority w:val="51"/>
    <w:rsid w:val="002237BB"/>
    <w:pPr>
      <w:spacing w:after="0" w:line="240" w:lineRule="auto"/>
    </w:pPr>
    <w:rPr>
      <w:color w:val="31849B"/>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character" w:customStyle="1" w:styleId="CharStyle3">
    <w:name w:val="Char Style 3"/>
    <w:basedOn w:val="a1"/>
    <w:link w:val="Style2"/>
    <w:rsid w:val="002237BB"/>
    <w:rPr>
      <w:rFonts w:ascii="Arial" w:eastAsia="Arial" w:hAnsi="Arial" w:cs="Arial"/>
      <w:sz w:val="15"/>
      <w:szCs w:val="15"/>
      <w:shd w:val="clear" w:color="auto" w:fill="FFFFFF"/>
    </w:rPr>
  </w:style>
  <w:style w:type="paragraph" w:customStyle="1" w:styleId="Style2">
    <w:name w:val="Style 2"/>
    <w:basedOn w:val="a0"/>
    <w:link w:val="CharStyle3"/>
    <w:rsid w:val="002237BB"/>
    <w:pPr>
      <w:widowControl w:val="0"/>
      <w:shd w:val="clear" w:color="auto" w:fill="FFFFFF"/>
      <w:spacing w:after="0" w:line="182" w:lineRule="exact"/>
      <w:jc w:val="both"/>
    </w:pPr>
    <w:rPr>
      <w:rFonts w:ascii="Arial" w:eastAsia="Arial" w:hAnsi="Arial" w:cs="Arial"/>
      <w:sz w:val="15"/>
      <w:szCs w:val="15"/>
    </w:rPr>
  </w:style>
  <w:style w:type="character" w:customStyle="1" w:styleId="CharStyle27">
    <w:name w:val="Char Style 27"/>
    <w:basedOn w:val="a1"/>
    <w:link w:val="Style26"/>
    <w:rsid w:val="002237BB"/>
    <w:rPr>
      <w:rFonts w:ascii="Arial" w:eastAsia="Arial" w:hAnsi="Arial" w:cs="Arial"/>
      <w:sz w:val="15"/>
      <w:szCs w:val="15"/>
      <w:shd w:val="clear" w:color="auto" w:fill="FFFFFF"/>
    </w:rPr>
  </w:style>
  <w:style w:type="paragraph" w:customStyle="1" w:styleId="Style26">
    <w:name w:val="Style 26"/>
    <w:basedOn w:val="a0"/>
    <w:link w:val="CharStyle27"/>
    <w:rsid w:val="002237BB"/>
    <w:pPr>
      <w:widowControl w:val="0"/>
      <w:shd w:val="clear" w:color="auto" w:fill="FFFFFF"/>
      <w:spacing w:after="0" w:line="0" w:lineRule="atLeast"/>
    </w:pPr>
    <w:rPr>
      <w:rFonts w:ascii="Arial" w:eastAsia="Arial" w:hAnsi="Arial" w:cs="Arial"/>
      <w:sz w:val="15"/>
      <w:szCs w:val="15"/>
    </w:rPr>
  </w:style>
  <w:style w:type="character" w:customStyle="1" w:styleId="CharStyle28">
    <w:name w:val="Char Style 28"/>
    <w:basedOn w:val="CharStyle27"/>
    <w:rsid w:val="002237BB"/>
    <w:rPr>
      <w:rFonts w:ascii="Arial" w:eastAsia="Arial" w:hAnsi="Arial" w:cs="Arial"/>
      <w:color w:val="000000"/>
      <w:spacing w:val="0"/>
      <w:w w:val="100"/>
      <w:position w:val="0"/>
      <w:sz w:val="15"/>
      <w:szCs w:val="15"/>
      <w:shd w:val="clear" w:color="auto" w:fill="FFFFFF"/>
      <w:lang w:val="ru-RU"/>
    </w:rPr>
  </w:style>
  <w:style w:type="table" w:customStyle="1" w:styleId="3-61">
    <w:name w:val="Средняя сетка 3 - Акцент 61"/>
    <w:basedOn w:val="a2"/>
    <w:next w:val="3-6"/>
    <w:uiPriority w:val="69"/>
    <w:rsid w:val="002237BB"/>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1">
    <w:name w:val="Светлая сетка - Акцент 61"/>
    <w:basedOn w:val="a2"/>
    <w:next w:val="-6"/>
    <w:uiPriority w:val="62"/>
    <w:rsid w:val="002237BB"/>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26">
    <w:name w:val="Body Text 2"/>
    <w:basedOn w:val="a0"/>
    <w:link w:val="27"/>
    <w:uiPriority w:val="99"/>
    <w:qFormat/>
    <w:rsid w:val="002237BB"/>
    <w:pPr>
      <w:spacing w:after="0" w:line="240" w:lineRule="auto"/>
      <w:jc w:val="both"/>
    </w:pPr>
    <w:rPr>
      <w:rFonts w:ascii="Times New Roman" w:eastAsia="Times New Roman" w:hAnsi="Times New Roman" w:cs="Times New Roman"/>
      <w:b/>
      <w:color w:val="800000"/>
      <w:sz w:val="16"/>
      <w:szCs w:val="20"/>
      <w:lang w:eastAsia="ru-RU"/>
    </w:rPr>
  </w:style>
  <w:style w:type="character" w:customStyle="1" w:styleId="27">
    <w:name w:val="Основной текст 2 Знак"/>
    <w:basedOn w:val="a1"/>
    <w:link w:val="26"/>
    <w:uiPriority w:val="99"/>
    <w:qFormat/>
    <w:rsid w:val="002237BB"/>
    <w:rPr>
      <w:rFonts w:ascii="Times New Roman" w:eastAsia="Times New Roman" w:hAnsi="Times New Roman" w:cs="Times New Roman"/>
      <w:b/>
      <w:color w:val="800000"/>
      <w:sz w:val="16"/>
      <w:szCs w:val="20"/>
      <w:lang w:eastAsia="ru-RU"/>
    </w:rPr>
  </w:style>
  <w:style w:type="paragraph" w:styleId="34">
    <w:name w:val="Body Text 3"/>
    <w:basedOn w:val="a0"/>
    <w:link w:val="35"/>
    <w:uiPriority w:val="99"/>
    <w:qFormat/>
    <w:rsid w:val="002237BB"/>
    <w:pPr>
      <w:spacing w:after="0" w:line="240" w:lineRule="auto"/>
      <w:jc w:val="both"/>
    </w:pPr>
    <w:rPr>
      <w:rFonts w:ascii="Times New Roman" w:eastAsia="Times New Roman" w:hAnsi="Times New Roman" w:cs="Times New Roman"/>
      <w:sz w:val="20"/>
      <w:szCs w:val="20"/>
      <w:lang w:eastAsia="ru-RU"/>
    </w:rPr>
  </w:style>
  <w:style w:type="character" w:customStyle="1" w:styleId="35">
    <w:name w:val="Основной текст 3 Знак"/>
    <w:basedOn w:val="a1"/>
    <w:link w:val="34"/>
    <w:uiPriority w:val="99"/>
    <w:qFormat/>
    <w:rsid w:val="002237BB"/>
    <w:rPr>
      <w:rFonts w:ascii="Times New Roman" w:eastAsia="Times New Roman" w:hAnsi="Times New Roman" w:cs="Times New Roman"/>
      <w:sz w:val="20"/>
      <w:szCs w:val="20"/>
      <w:lang w:eastAsia="ru-RU"/>
    </w:rPr>
  </w:style>
  <w:style w:type="paragraph" w:styleId="aff9">
    <w:name w:val="Plain Text"/>
    <w:basedOn w:val="a0"/>
    <w:link w:val="affa"/>
    <w:rsid w:val="002237BB"/>
    <w:pPr>
      <w:spacing w:after="0" w:line="240" w:lineRule="auto"/>
    </w:pPr>
    <w:rPr>
      <w:rFonts w:ascii="Courier New" w:eastAsia="Times New Roman" w:hAnsi="Courier New" w:cs="Times New Roman"/>
      <w:sz w:val="20"/>
      <w:szCs w:val="20"/>
      <w:lang w:eastAsia="ru-RU"/>
    </w:rPr>
  </w:style>
  <w:style w:type="character" w:customStyle="1" w:styleId="affa">
    <w:name w:val="Текст Знак"/>
    <w:basedOn w:val="a1"/>
    <w:link w:val="aff9"/>
    <w:rsid w:val="002237BB"/>
    <w:rPr>
      <w:rFonts w:ascii="Courier New" w:eastAsia="Times New Roman" w:hAnsi="Courier New" w:cs="Times New Roman"/>
      <w:sz w:val="20"/>
      <w:szCs w:val="20"/>
      <w:lang w:eastAsia="ru-RU"/>
    </w:rPr>
  </w:style>
  <w:style w:type="paragraph" w:customStyle="1" w:styleId="19">
    <w:name w:val="Обычный1"/>
    <w:rsid w:val="002237BB"/>
    <w:pPr>
      <w:widowControl w:val="0"/>
      <w:spacing w:after="0" w:line="240" w:lineRule="auto"/>
    </w:pPr>
    <w:rPr>
      <w:rFonts w:ascii="Arial" w:eastAsia="Times New Roman" w:hAnsi="Arial" w:cs="Times New Roman"/>
      <w:snapToGrid w:val="0"/>
      <w:sz w:val="18"/>
      <w:szCs w:val="20"/>
      <w:lang w:eastAsia="ru-RU"/>
    </w:rPr>
  </w:style>
  <w:style w:type="paragraph" w:styleId="1a">
    <w:name w:val="toc 1"/>
    <w:basedOn w:val="a0"/>
    <w:next w:val="a0"/>
    <w:autoRedefine/>
    <w:uiPriority w:val="39"/>
    <w:unhideWhenUsed/>
    <w:rsid w:val="002237BB"/>
    <w:pPr>
      <w:tabs>
        <w:tab w:val="right" w:leader="dot" w:pos="10026"/>
      </w:tabs>
      <w:spacing w:after="0" w:line="240" w:lineRule="auto"/>
    </w:pPr>
    <w:rPr>
      <w:rFonts w:ascii="Times New Roman" w:eastAsia="Times New Roman" w:hAnsi="Times New Roman" w:cs="Times New Roman"/>
      <w:noProof/>
      <w:sz w:val="24"/>
      <w:szCs w:val="24"/>
      <w:lang w:eastAsia="ru-RU"/>
    </w:rPr>
  </w:style>
  <w:style w:type="paragraph" w:styleId="28">
    <w:name w:val="toc 2"/>
    <w:basedOn w:val="a0"/>
    <w:next w:val="a0"/>
    <w:autoRedefine/>
    <w:uiPriority w:val="39"/>
    <w:unhideWhenUsed/>
    <w:rsid w:val="002237BB"/>
    <w:pPr>
      <w:spacing w:after="0" w:line="240" w:lineRule="auto"/>
      <w:ind w:left="200"/>
    </w:pPr>
    <w:rPr>
      <w:rFonts w:ascii="Times New Roman" w:eastAsia="Times New Roman" w:hAnsi="Times New Roman" w:cs="Times New Roman"/>
      <w:sz w:val="20"/>
      <w:szCs w:val="20"/>
      <w:lang w:eastAsia="ru-RU"/>
    </w:rPr>
  </w:style>
  <w:style w:type="paragraph" w:customStyle="1" w:styleId="formattext">
    <w:name w:val="formattext"/>
    <w:basedOn w:val="a0"/>
    <w:rsid w:val="002237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elle">
    <w:name w:val="spelle"/>
    <w:basedOn w:val="a1"/>
    <w:rsid w:val="002237BB"/>
  </w:style>
  <w:style w:type="character" w:customStyle="1" w:styleId="grame">
    <w:name w:val="grame"/>
    <w:basedOn w:val="a1"/>
    <w:rsid w:val="002237BB"/>
  </w:style>
  <w:style w:type="character" w:styleId="affb">
    <w:name w:val="Emphasis"/>
    <w:basedOn w:val="a1"/>
    <w:uiPriority w:val="20"/>
    <w:qFormat/>
    <w:rsid w:val="002237BB"/>
    <w:rPr>
      <w:i/>
      <w:iCs/>
    </w:rPr>
  </w:style>
  <w:style w:type="paragraph" w:customStyle="1" w:styleId="b-articletext">
    <w:name w:val="b-article__text"/>
    <w:basedOn w:val="a0"/>
    <w:rsid w:val="002237B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3-5">
    <w:name w:val="Medium Grid 3 Accent 5"/>
    <w:basedOn w:val="a2"/>
    <w:uiPriority w:val="69"/>
    <w:rsid w:val="002237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1-5">
    <w:name w:val="Medium Grid 1 Accent 5"/>
    <w:basedOn w:val="a2"/>
    <w:uiPriority w:val="67"/>
    <w:rsid w:val="002237BB"/>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3-6">
    <w:name w:val="Medium Grid 3 Accent 6"/>
    <w:basedOn w:val="a2"/>
    <w:uiPriority w:val="69"/>
    <w:rsid w:val="002237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6">
    <w:name w:val="Light Grid Accent 6"/>
    <w:basedOn w:val="a2"/>
    <w:uiPriority w:val="62"/>
    <w:rsid w:val="002237BB"/>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customStyle="1" w:styleId="Default">
    <w:name w:val="Default"/>
    <w:rsid w:val="00091BC4"/>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61">
    <w:name w:val="Сетка таблицы6"/>
    <w:basedOn w:val="a2"/>
    <w:next w:val="a7"/>
    <w:uiPriority w:val="39"/>
    <w:rsid w:val="003C6AE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caption"/>
    <w:basedOn w:val="a0"/>
    <w:next w:val="a0"/>
    <w:uiPriority w:val="35"/>
    <w:unhideWhenUsed/>
    <w:qFormat/>
    <w:rsid w:val="001B3FDF"/>
    <w:pPr>
      <w:spacing w:line="240" w:lineRule="auto"/>
    </w:pPr>
    <w:rPr>
      <w:b/>
      <w:bCs/>
      <w:color w:val="4F81BD" w:themeColor="accent1"/>
      <w:sz w:val="18"/>
      <w:szCs w:val="18"/>
    </w:rPr>
  </w:style>
  <w:style w:type="table" w:customStyle="1" w:styleId="71">
    <w:name w:val="Сетка таблицы7"/>
    <w:basedOn w:val="a2"/>
    <w:next w:val="a7"/>
    <w:uiPriority w:val="59"/>
    <w:rsid w:val="003337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2"/>
    <w:next w:val="a7"/>
    <w:uiPriority w:val="59"/>
    <w:rsid w:val="00D77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2"/>
    <w:next w:val="a7"/>
    <w:uiPriority w:val="59"/>
    <w:rsid w:val="00D77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7"/>
    <w:uiPriority w:val="59"/>
    <w:rsid w:val="00B712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
    <w:name w:val="Нет списка2"/>
    <w:next w:val="a3"/>
    <w:uiPriority w:val="99"/>
    <w:semiHidden/>
    <w:unhideWhenUsed/>
    <w:rsid w:val="00051D4C"/>
  </w:style>
  <w:style w:type="table" w:customStyle="1" w:styleId="110">
    <w:name w:val="Сетка таблицы11"/>
    <w:basedOn w:val="a2"/>
    <w:next w:val="a7"/>
    <w:uiPriority w:val="39"/>
    <w:rsid w:val="00051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next w:val="a7"/>
    <w:uiPriority w:val="39"/>
    <w:rsid w:val="00051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2"/>
    <w:next w:val="a7"/>
    <w:uiPriority w:val="39"/>
    <w:rsid w:val="00051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2"/>
    <w:next w:val="a7"/>
    <w:uiPriority w:val="39"/>
    <w:rsid w:val="00051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3"/>
    <w:uiPriority w:val="99"/>
    <w:semiHidden/>
    <w:unhideWhenUsed/>
    <w:rsid w:val="00051D4C"/>
  </w:style>
  <w:style w:type="table" w:customStyle="1" w:styleId="410">
    <w:name w:val="Сетка таблицы41"/>
    <w:basedOn w:val="a2"/>
    <w:next w:val="a7"/>
    <w:uiPriority w:val="39"/>
    <w:rsid w:val="00051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ветлая сетка11"/>
    <w:basedOn w:val="a2"/>
    <w:uiPriority w:val="62"/>
    <w:rsid w:val="00051D4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510">
    <w:name w:val="Сетка таблицы51"/>
    <w:basedOn w:val="a2"/>
    <w:next w:val="a7"/>
    <w:uiPriority w:val="59"/>
    <w:rsid w:val="00051D4C"/>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051D4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3-511">
    <w:name w:val="Средняя сетка 3 - Акцент 511"/>
    <w:basedOn w:val="a2"/>
    <w:next w:val="3-5"/>
    <w:uiPriority w:val="69"/>
    <w:rsid w:val="00051D4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1-511">
    <w:name w:val="Средняя сетка 1 - Акцент 511"/>
    <w:basedOn w:val="a2"/>
    <w:next w:val="1-5"/>
    <w:uiPriority w:val="67"/>
    <w:rsid w:val="00051D4C"/>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6511">
    <w:name w:val="Таблица-сетка 6 цветная — акцент 511"/>
    <w:basedOn w:val="a2"/>
    <w:uiPriority w:val="51"/>
    <w:rsid w:val="00051D4C"/>
    <w:pPr>
      <w:spacing w:after="0" w:line="240" w:lineRule="auto"/>
    </w:pPr>
    <w:rPr>
      <w:color w:val="31849B"/>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3-611">
    <w:name w:val="Средняя сетка 3 - Акцент 611"/>
    <w:basedOn w:val="a2"/>
    <w:next w:val="3-6"/>
    <w:uiPriority w:val="69"/>
    <w:rsid w:val="00051D4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11">
    <w:name w:val="Светлая сетка - Акцент 611"/>
    <w:basedOn w:val="a2"/>
    <w:next w:val="-6"/>
    <w:uiPriority w:val="62"/>
    <w:rsid w:val="00051D4C"/>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3-52">
    <w:name w:val="Средняя сетка 3 - Акцент 52"/>
    <w:basedOn w:val="a2"/>
    <w:next w:val="3-5"/>
    <w:uiPriority w:val="69"/>
    <w:rsid w:val="00051D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1-52">
    <w:name w:val="Средняя сетка 1 - Акцент 52"/>
    <w:basedOn w:val="a2"/>
    <w:next w:val="1-5"/>
    <w:uiPriority w:val="67"/>
    <w:rsid w:val="00051D4C"/>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3-62">
    <w:name w:val="Средняя сетка 3 - Акцент 62"/>
    <w:basedOn w:val="a2"/>
    <w:next w:val="3-6"/>
    <w:uiPriority w:val="69"/>
    <w:rsid w:val="00051D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62">
    <w:name w:val="Светлая сетка - Акцент 62"/>
    <w:basedOn w:val="a2"/>
    <w:next w:val="-6"/>
    <w:uiPriority w:val="62"/>
    <w:rsid w:val="00051D4C"/>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610">
    <w:name w:val="Сетка таблицы61"/>
    <w:basedOn w:val="a2"/>
    <w:next w:val="a7"/>
    <w:uiPriority w:val="39"/>
    <w:rsid w:val="00051D4C"/>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2"/>
    <w:next w:val="a7"/>
    <w:uiPriority w:val="59"/>
    <w:rsid w:val="00051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2"/>
    <w:next w:val="a7"/>
    <w:uiPriority w:val="59"/>
    <w:rsid w:val="00051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2"/>
    <w:next w:val="a7"/>
    <w:uiPriority w:val="59"/>
    <w:rsid w:val="00051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2"/>
    <w:next w:val="a7"/>
    <w:uiPriority w:val="59"/>
    <w:rsid w:val="00051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2">
    <w:name w:val="Основной текст7"/>
    <w:basedOn w:val="a0"/>
    <w:rsid w:val="00530C08"/>
    <w:pPr>
      <w:widowControl w:val="0"/>
      <w:shd w:val="clear" w:color="auto" w:fill="FFFFFF"/>
      <w:spacing w:after="240" w:line="322" w:lineRule="exact"/>
      <w:jc w:val="both"/>
    </w:pPr>
    <w:rPr>
      <w:rFonts w:ascii="Times New Roman" w:eastAsia="Times New Roman" w:hAnsi="Times New Roman" w:cs="Times New Roman"/>
      <w:color w:val="000000"/>
      <w:sz w:val="26"/>
      <w:szCs w:val="26"/>
      <w:lang w:eastAsia="ru-RU" w:bidi="ru-RU"/>
    </w:rPr>
  </w:style>
  <w:style w:type="character" w:customStyle="1" w:styleId="il">
    <w:name w:val="il"/>
    <w:basedOn w:val="a1"/>
    <w:rsid w:val="0009145D"/>
  </w:style>
  <w:style w:type="paragraph" w:customStyle="1" w:styleId="m-6024239108707793103consplusnormal">
    <w:name w:val="m_-6024239108707793103consplusnormal"/>
    <w:basedOn w:val="a0"/>
    <w:rsid w:val="0009145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30">
    <w:name w:val="Сетка таблицы13"/>
    <w:basedOn w:val="a2"/>
    <w:next w:val="a7"/>
    <w:uiPriority w:val="39"/>
    <w:rsid w:val="002912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Текст сноски Знак1"/>
    <w:aliases w:val="Текст сноски Знак1 Знак Знак1,Текст сноски Знак Знак Знак Знак1,Footnote Text Char Знак Знак Знак1,Footnote Text Char Знак Знак2,FSR footnote Знак1,lábléc Знак1,Footnote Text Char Char Char Char Char Char Знак1"/>
    <w:basedOn w:val="a1"/>
    <w:uiPriority w:val="99"/>
    <w:semiHidden/>
    <w:qFormat/>
    <w:rsid w:val="00C51F10"/>
    <w:rPr>
      <w:rFonts w:asciiTheme="minorHAnsi" w:hAnsiTheme="minorHAnsi"/>
      <w:sz w:val="20"/>
      <w:szCs w:val="20"/>
    </w:rPr>
  </w:style>
  <w:style w:type="character" w:customStyle="1" w:styleId="1c">
    <w:name w:val="Текст примечания Знак1"/>
    <w:basedOn w:val="a1"/>
    <w:uiPriority w:val="99"/>
    <w:semiHidden/>
    <w:rsid w:val="00C51F10"/>
    <w:rPr>
      <w:rFonts w:asciiTheme="minorHAnsi" w:hAnsiTheme="minorHAnsi"/>
      <w:sz w:val="20"/>
      <w:szCs w:val="20"/>
    </w:rPr>
  </w:style>
  <w:style w:type="character" w:customStyle="1" w:styleId="1d">
    <w:name w:val="Верхний колонтитул Знак1"/>
    <w:basedOn w:val="a1"/>
    <w:uiPriority w:val="99"/>
    <w:semiHidden/>
    <w:rsid w:val="00C51F10"/>
    <w:rPr>
      <w:rFonts w:asciiTheme="minorHAnsi" w:hAnsiTheme="minorHAnsi"/>
      <w:sz w:val="22"/>
    </w:rPr>
  </w:style>
  <w:style w:type="character" w:customStyle="1" w:styleId="1e">
    <w:name w:val="Нижний колонтитул Знак1"/>
    <w:basedOn w:val="a1"/>
    <w:uiPriority w:val="99"/>
    <w:semiHidden/>
    <w:rsid w:val="00C51F10"/>
    <w:rPr>
      <w:rFonts w:asciiTheme="minorHAnsi" w:hAnsiTheme="minorHAnsi"/>
      <w:sz w:val="22"/>
    </w:rPr>
  </w:style>
  <w:style w:type="character" w:customStyle="1" w:styleId="affd">
    <w:name w:val="Название Знак"/>
    <w:basedOn w:val="a1"/>
    <w:link w:val="affe"/>
    <w:uiPriority w:val="10"/>
    <w:rsid w:val="00C51F10"/>
    <w:rPr>
      <w:rFonts w:asciiTheme="majorHAnsi" w:eastAsiaTheme="majorEastAsia" w:hAnsiTheme="majorHAnsi" w:cstheme="majorBidi"/>
      <w:spacing w:val="-10"/>
      <w:kern w:val="28"/>
      <w:sz w:val="56"/>
      <w:szCs w:val="56"/>
    </w:rPr>
  </w:style>
  <w:style w:type="paragraph" w:styleId="affe">
    <w:name w:val="Title"/>
    <w:basedOn w:val="a0"/>
    <w:next w:val="a0"/>
    <w:link w:val="affd"/>
    <w:uiPriority w:val="10"/>
    <w:qFormat/>
    <w:rsid w:val="00C51F1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f">
    <w:name w:val="Название Знак1"/>
    <w:basedOn w:val="a1"/>
    <w:uiPriority w:val="10"/>
    <w:rsid w:val="00C51F10"/>
    <w:rPr>
      <w:rFonts w:asciiTheme="majorHAnsi" w:eastAsiaTheme="majorEastAsia" w:hAnsiTheme="majorHAnsi" w:cstheme="majorBidi"/>
      <w:color w:val="17365D" w:themeColor="text2" w:themeShade="BF"/>
      <w:spacing w:val="5"/>
      <w:kern w:val="28"/>
      <w:sz w:val="52"/>
      <w:szCs w:val="52"/>
    </w:rPr>
  </w:style>
  <w:style w:type="character" w:customStyle="1" w:styleId="afff">
    <w:name w:val="Подзаголовок Знак"/>
    <w:basedOn w:val="a1"/>
    <w:link w:val="afff0"/>
    <w:uiPriority w:val="11"/>
    <w:rsid w:val="00C51F10"/>
    <w:rPr>
      <w:rFonts w:eastAsiaTheme="minorEastAsia"/>
      <w:b/>
      <w:spacing w:val="15"/>
      <w:sz w:val="28"/>
      <w:u w:val="single"/>
      <w:lang w:eastAsia="zh-CN"/>
    </w:rPr>
  </w:style>
  <w:style w:type="paragraph" w:styleId="afff0">
    <w:name w:val="Subtitle"/>
    <w:basedOn w:val="a0"/>
    <w:next w:val="a0"/>
    <w:link w:val="afff"/>
    <w:uiPriority w:val="11"/>
    <w:qFormat/>
    <w:rsid w:val="00C51F10"/>
    <w:pPr>
      <w:spacing w:after="160"/>
      <w:jc w:val="center"/>
    </w:pPr>
    <w:rPr>
      <w:rFonts w:eastAsiaTheme="minorEastAsia"/>
      <w:b/>
      <w:spacing w:val="15"/>
      <w:sz w:val="28"/>
      <w:u w:val="single"/>
      <w:lang w:eastAsia="zh-CN"/>
    </w:rPr>
  </w:style>
  <w:style w:type="character" w:customStyle="1" w:styleId="1f0">
    <w:name w:val="Подзаголовок Знак1"/>
    <w:basedOn w:val="a1"/>
    <w:uiPriority w:val="11"/>
    <w:rsid w:val="00C51F10"/>
    <w:rPr>
      <w:rFonts w:asciiTheme="majorHAnsi" w:eastAsiaTheme="majorEastAsia" w:hAnsiTheme="majorHAnsi" w:cstheme="majorBidi"/>
      <w:i/>
      <w:iCs/>
      <w:color w:val="4F81BD" w:themeColor="accent1"/>
      <w:spacing w:val="15"/>
      <w:sz w:val="24"/>
      <w:szCs w:val="24"/>
    </w:rPr>
  </w:style>
  <w:style w:type="character" w:customStyle="1" w:styleId="1f1">
    <w:name w:val="Тема примечания Знак1"/>
    <w:basedOn w:val="1c"/>
    <w:uiPriority w:val="99"/>
    <w:semiHidden/>
    <w:rsid w:val="00C51F10"/>
    <w:rPr>
      <w:rFonts w:asciiTheme="minorHAnsi" w:hAnsiTheme="minorHAnsi"/>
      <w:b/>
      <w:bCs/>
      <w:sz w:val="20"/>
      <w:szCs w:val="20"/>
    </w:rPr>
  </w:style>
  <w:style w:type="character" w:customStyle="1" w:styleId="1f2">
    <w:name w:val="Текст выноски Знак1"/>
    <w:basedOn w:val="a1"/>
    <w:uiPriority w:val="99"/>
    <w:semiHidden/>
    <w:rsid w:val="00C51F10"/>
    <w:rPr>
      <w:rFonts w:ascii="Tahoma" w:hAnsi="Tahoma" w:cs="Tahoma"/>
      <w:sz w:val="16"/>
      <w:szCs w:val="16"/>
    </w:rPr>
  </w:style>
  <w:style w:type="character" w:customStyle="1" w:styleId="aff7">
    <w:name w:val="Без интервала Знак"/>
    <w:basedOn w:val="a1"/>
    <w:link w:val="aff6"/>
    <w:uiPriority w:val="1"/>
    <w:locked/>
    <w:rsid w:val="00C51F10"/>
  </w:style>
  <w:style w:type="paragraph" w:customStyle="1" w:styleId="m-6024239108707793103msolistparagraph">
    <w:name w:val="m_-6024239108707793103msolistparagraph"/>
    <w:basedOn w:val="a0"/>
    <w:rsid w:val="00C51F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inkbg">
    <w:name w:val="pinkbg"/>
    <w:basedOn w:val="a1"/>
    <w:rsid w:val="00C51F10"/>
  </w:style>
  <w:style w:type="paragraph" w:styleId="afff1">
    <w:name w:val="TOC Heading"/>
    <w:basedOn w:val="1"/>
    <w:next w:val="a0"/>
    <w:uiPriority w:val="39"/>
    <w:unhideWhenUsed/>
    <w:qFormat/>
    <w:rsid w:val="00C51F10"/>
    <w:pPr>
      <w:spacing w:before="240" w:line="259" w:lineRule="auto"/>
      <w:outlineLvl w:val="9"/>
    </w:pPr>
    <w:rPr>
      <w:b w:val="0"/>
      <w:bCs w:val="0"/>
      <w:sz w:val="32"/>
      <w:szCs w:val="32"/>
      <w:lang w:eastAsia="ru-RU"/>
    </w:rPr>
  </w:style>
  <w:style w:type="character" w:customStyle="1" w:styleId="1f3">
    <w:name w:val="Заголовок Знак1"/>
    <w:basedOn w:val="a1"/>
    <w:uiPriority w:val="10"/>
    <w:rsid w:val="00C51F10"/>
    <w:rPr>
      <w:rFonts w:asciiTheme="majorHAnsi" w:eastAsiaTheme="majorEastAsia" w:hAnsiTheme="majorHAnsi" w:cstheme="majorBidi"/>
      <w:spacing w:val="-10"/>
      <w:kern w:val="28"/>
      <w:sz w:val="56"/>
      <w:szCs w:val="56"/>
    </w:rPr>
  </w:style>
  <w:style w:type="paragraph" w:customStyle="1" w:styleId="113">
    <w:name w:val="Заголовок 11"/>
    <w:basedOn w:val="a0"/>
    <w:next w:val="a0"/>
    <w:uiPriority w:val="99"/>
    <w:qFormat/>
    <w:rsid w:val="00C51F10"/>
    <w:pPr>
      <w:keepNext/>
      <w:keepLines/>
      <w:spacing w:before="240" w:after="0"/>
      <w:jc w:val="both"/>
      <w:outlineLvl w:val="0"/>
    </w:pPr>
    <w:rPr>
      <w:rFonts w:ascii="Calibri Light" w:eastAsia="Times New Roman" w:hAnsi="Calibri Light" w:cs="Times New Roman"/>
      <w:color w:val="2F5496"/>
      <w:sz w:val="32"/>
      <w:szCs w:val="32"/>
      <w:lang w:eastAsia="zh-CN"/>
    </w:rPr>
  </w:style>
  <w:style w:type="paragraph" w:customStyle="1" w:styleId="211">
    <w:name w:val="Заголовок 21"/>
    <w:basedOn w:val="a0"/>
    <w:next w:val="a0"/>
    <w:unhideWhenUsed/>
    <w:qFormat/>
    <w:rsid w:val="00C51F10"/>
    <w:pPr>
      <w:keepNext/>
      <w:keepLines/>
      <w:spacing w:before="40" w:after="0"/>
      <w:jc w:val="center"/>
      <w:outlineLvl w:val="1"/>
    </w:pPr>
    <w:rPr>
      <w:rFonts w:ascii="Times New Roman" w:eastAsia="Times New Roman" w:hAnsi="Times New Roman" w:cs="Times New Roman"/>
      <w:b/>
      <w:sz w:val="28"/>
      <w:szCs w:val="26"/>
      <w:u w:val="single"/>
      <w:lang w:eastAsia="zh-CN"/>
    </w:rPr>
  </w:style>
  <w:style w:type="paragraph" w:customStyle="1" w:styleId="1f4">
    <w:name w:val="Заголовок1"/>
    <w:basedOn w:val="a0"/>
    <w:next w:val="a0"/>
    <w:uiPriority w:val="99"/>
    <w:qFormat/>
    <w:rsid w:val="00C51F10"/>
    <w:pPr>
      <w:spacing w:after="0" w:line="240" w:lineRule="auto"/>
      <w:contextualSpacing/>
    </w:pPr>
    <w:rPr>
      <w:rFonts w:ascii="Calibri Light" w:eastAsia="Times New Roman" w:hAnsi="Calibri Light" w:cs="Times New Roman"/>
      <w:spacing w:val="-10"/>
      <w:kern w:val="28"/>
      <w:sz w:val="56"/>
      <w:szCs w:val="56"/>
    </w:rPr>
  </w:style>
  <w:style w:type="paragraph" w:customStyle="1" w:styleId="1f5">
    <w:name w:val="Подзаголовок1"/>
    <w:basedOn w:val="a0"/>
    <w:next w:val="a0"/>
    <w:uiPriority w:val="11"/>
    <w:qFormat/>
    <w:rsid w:val="00C51F10"/>
    <w:pPr>
      <w:spacing w:after="160"/>
      <w:jc w:val="center"/>
    </w:pPr>
    <w:rPr>
      <w:rFonts w:ascii="Times New Roman" w:eastAsia="Times New Roman" w:hAnsi="Times New Roman" w:cs="Times New Roman"/>
      <w:b/>
      <w:spacing w:val="15"/>
      <w:sz w:val="28"/>
      <w:u w:val="single"/>
      <w:lang w:eastAsia="zh-CN"/>
    </w:rPr>
  </w:style>
  <w:style w:type="paragraph" w:customStyle="1" w:styleId="1f6">
    <w:name w:val="Текст выноски1"/>
    <w:basedOn w:val="a0"/>
    <w:next w:val="a8"/>
    <w:uiPriority w:val="99"/>
    <w:semiHidden/>
    <w:unhideWhenUsed/>
    <w:rsid w:val="00C51F10"/>
    <w:pPr>
      <w:spacing w:after="0" w:line="240" w:lineRule="auto"/>
      <w:jc w:val="both"/>
    </w:pPr>
    <w:rPr>
      <w:rFonts w:ascii="Tahoma" w:eastAsia="Times New Roman" w:hAnsi="Tahoma" w:cs="Tahoma"/>
      <w:sz w:val="16"/>
      <w:szCs w:val="16"/>
      <w:lang w:eastAsia="zh-CN"/>
    </w:rPr>
  </w:style>
  <w:style w:type="paragraph" w:customStyle="1" w:styleId="1f7">
    <w:name w:val="Без интервала1"/>
    <w:next w:val="aff6"/>
    <w:uiPriority w:val="1"/>
    <w:qFormat/>
    <w:rsid w:val="00C51F10"/>
    <w:pPr>
      <w:spacing w:after="0" w:line="240" w:lineRule="auto"/>
    </w:pPr>
    <w:rPr>
      <w:rFonts w:ascii="Times New Roman" w:eastAsia="Times New Roman" w:hAnsi="Times New Roman" w:cs="Times New Roman"/>
      <w:sz w:val="24"/>
      <w:lang w:eastAsia="ru-RU"/>
    </w:rPr>
  </w:style>
  <w:style w:type="character" w:customStyle="1" w:styleId="1f8">
    <w:name w:val="Гиперссылка1"/>
    <w:basedOn w:val="a1"/>
    <w:uiPriority w:val="99"/>
    <w:unhideWhenUsed/>
    <w:rsid w:val="00C51F10"/>
    <w:rPr>
      <w:color w:val="0563C1"/>
      <w:u w:val="single"/>
    </w:rPr>
  </w:style>
  <w:style w:type="character" w:customStyle="1" w:styleId="114">
    <w:name w:val="Заголовок 1 Знак1"/>
    <w:basedOn w:val="a1"/>
    <w:rsid w:val="00C51F10"/>
    <w:rPr>
      <w:rFonts w:ascii="Calibri Light" w:eastAsia="Times New Roman" w:hAnsi="Calibri Light" w:cs="Times New Roman"/>
      <w:color w:val="2F5496"/>
      <w:sz w:val="32"/>
      <w:szCs w:val="32"/>
    </w:rPr>
  </w:style>
  <w:style w:type="paragraph" w:customStyle="1" w:styleId="212">
    <w:name w:val="Оглавление 21"/>
    <w:basedOn w:val="a0"/>
    <w:next w:val="a0"/>
    <w:autoRedefine/>
    <w:uiPriority w:val="39"/>
    <w:unhideWhenUsed/>
    <w:qFormat/>
    <w:rsid w:val="00C51F10"/>
    <w:pPr>
      <w:spacing w:after="100"/>
      <w:ind w:left="280"/>
      <w:jc w:val="both"/>
    </w:pPr>
    <w:rPr>
      <w:rFonts w:ascii="Times New Roman" w:eastAsia="Times New Roman" w:hAnsi="Times New Roman" w:cs="Times New Roman"/>
      <w:sz w:val="28"/>
      <w:lang w:eastAsia="zh-CN"/>
    </w:rPr>
  </w:style>
  <w:style w:type="character" w:customStyle="1" w:styleId="213">
    <w:name w:val="Заголовок 2 Знак1"/>
    <w:basedOn w:val="a1"/>
    <w:uiPriority w:val="9"/>
    <w:semiHidden/>
    <w:rsid w:val="00C51F10"/>
    <w:rPr>
      <w:rFonts w:ascii="Calibri Light" w:eastAsia="Times New Roman" w:hAnsi="Calibri Light" w:cs="Times New Roman"/>
      <w:color w:val="2F5496"/>
      <w:sz w:val="26"/>
      <w:szCs w:val="26"/>
    </w:rPr>
  </w:style>
  <w:style w:type="character" w:customStyle="1" w:styleId="2a">
    <w:name w:val="Заголовок Знак2"/>
    <w:basedOn w:val="a1"/>
    <w:uiPriority w:val="10"/>
    <w:rsid w:val="00C51F10"/>
    <w:rPr>
      <w:rFonts w:ascii="Calibri Light" w:eastAsia="Times New Roman" w:hAnsi="Calibri Light" w:cs="Times New Roman"/>
      <w:spacing w:val="-10"/>
      <w:kern w:val="28"/>
      <w:sz w:val="56"/>
      <w:szCs w:val="56"/>
    </w:rPr>
  </w:style>
  <w:style w:type="character" w:customStyle="1" w:styleId="2b">
    <w:name w:val="Подзаголовок Знак2"/>
    <w:basedOn w:val="a1"/>
    <w:uiPriority w:val="11"/>
    <w:rsid w:val="00C51F10"/>
    <w:rPr>
      <w:rFonts w:ascii="Calibri" w:eastAsia="Times New Roman" w:hAnsi="Calibri" w:cs="Times New Roman"/>
      <w:color w:val="5A5A5A"/>
      <w:spacing w:val="15"/>
      <w:sz w:val="22"/>
      <w:szCs w:val="22"/>
    </w:rPr>
  </w:style>
  <w:style w:type="character" w:customStyle="1" w:styleId="2c">
    <w:name w:val="Текст выноски Знак2"/>
    <w:basedOn w:val="a1"/>
    <w:uiPriority w:val="99"/>
    <w:semiHidden/>
    <w:rsid w:val="00C51F10"/>
    <w:rPr>
      <w:rFonts w:ascii="Segoe UI" w:hAnsi="Segoe UI" w:cs="Segoe UI"/>
      <w:sz w:val="18"/>
      <w:szCs w:val="18"/>
    </w:rPr>
  </w:style>
  <w:style w:type="numbering" w:customStyle="1" w:styleId="121">
    <w:name w:val="Нет списка12"/>
    <w:next w:val="a3"/>
    <w:uiPriority w:val="99"/>
    <w:semiHidden/>
    <w:unhideWhenUsed/>
    <w:rsid w:val="00C51F10"/>
  </w:style>
  <w:style w:type="character" w:customStyle="1" w:styleId="UnresolvedMention">
    <w:name w:val="Unresolved Mention"/>
    <w:basedOn w:val="a1"/>
    <w:uiPriority w:val="99"/>
    <w:semiHidden/>
    <w:unhideWhenUsed/>
    <w:rsid w:val="00D7263D"/>
    <w:rPr>
      <w:color w:val="605E5C"/>
      <w:shd w:val="clear" w:color="auto" w:fill="E1DFDD"/>
    </w:rPr>
  </w:style>
  <w:style w:type="table" w:customStyle="1" w:styleId="140">
    <w:name w:val="Сетка таблицы14"/>
    <w:basedOn w:val="a2"/>
    <w:next w:val="a7"/>
    <w:uiPriority w:val="39"/>
    <w:rsid w:val="00720B81"/>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a1"/>
    <w:rsid w:val="00CA6047"/>
  </w:style>
  <w:style w:type="character" w:customStyle="1" w:styleId="2Tahoma7pt">
    <w:name w:val="Основной текст (2) + Tahoma;7 pt"/>
    <w:basedOn w:val="24"/>
    <w:rsid w:val="00CA6047"/>
    <w:rPr>
      <w:rFonts w:ascii="Tahoma" w:eastAsia="Tahoma" w:hAnsi="Tahoma" w:cs="Tahoma"/>
      <w:b w:val="0"/>
      <w:bCs w:val="0"/>
      <w:color w:val="000000"/>
      <w:spacing w:val="0"/>
      <w:w w:val="100"/>
      <w:position w:val="0"/>
      <w:sz w:val="14"/>
      <w:szCs w:val="14"/>
      <w:shd w:val="clear" w:color="auto" w:fill="FFFFFF"/>
      <w:lang w:val="ru-RU" w:eastAsia="ru-RU" w:bidi="ru-RU"/>
    </w:rPr>
  </w:style>
  <w:style w:type="character" w:customStyle="1" w:styleId="45">
    <w:name w:val="Заголовок №4"/>
    <w:basedOn w:val="a1"/>
    <w:rsid w:val="00CA6047"/>
    <w:rPr>
      <w:rFonts w:ascii="Tahoma" w:eastAsia="Tahoma" w:hAnsi="Tahoma" w:cs="Tahoma"/>
      <w:b w:val="0"/>
      <w:bCs w:val="0"/>
      <w:i w:val="0"/>
      <w:iCs w:val="0"/>
      <w:smallCaps w:val="0"/>
      <w:strike w:val="0"/>
      <w:color w:val="000000"/>
      <w:spacing w:val="0"/>
      <w:w w:val="100"/>
      <w:position w:val="0"/>
      <w:sz w:val="16"/>
      <w:szCs w:val="16"/>
      <w:u w:val="none"/>
      <w:lang w:val="ru-RU" w:eastAsia="ru-RU" w:bidi="ru-RU"/>
    </w:rPr>
  </w:style>
  <w:style w:type="character" w:customStyle="1" w:styleId="102">
    <w:name w:val="Основной текст (10)"/>
    <w:basedOn w:val="a1"/>
    <w:rsid w:val="00CA6047"/>
    <w:rPr>
      <w:rFonts w:ascii="Tahoma" w:eastAsia="Tahoma" w:hAnsi="Tahoma" w:cs="Tahoma"/>
      <w:b w:val="0"/>
      <w:bCs w:val="0"/>
      <w:i w:val="0"/>
      <w:iCs w:val="0"/>
      <w:smallCaps w:val="0"/>
      <w:strike w:val="0"/>
      <w:color w:val="000000"/>
      <w:spacing w:val="0"/>
      <w:w w:val="100"/>
      <w:position w:val="0"/>
      <w:sz w:val="14"/>
      <w:szCs w:val="14"/>
      <w:u w:val="none"/>
      <w:lang w:val="ru-RU" w:eastAsia="ru-RU" w:bidi="ru-RU"/>
    </w:rPr>
  </w:style>
  <w:style w:type="character" w:customStyle="1" w:styleId="40pt">
    <w:name w:val="Заголовок №4 + Курсив;Интервал 0 pt"/>
    <w:basedOn w:val="a1"/>
    <w:rsid w:val="00CA6047"/>
    <w:rPr>
      <w:rFonts w:ascii="Tahoma" w:eastAsia="Tahoma" w:hAnsi="Tahoma" w:cs="Tahoma"/>
      <w:b w:val="0"/>
      <w:bCs w:val="0"/>
      <w:i/>
      <w:iCs/>
      <w:smallCaps w:val="0"/>
      <w:strike w:val="0"/>
      <w:color w:val="000000"/>
      <w:spacing w:val="-10"/>
      <w:w w:val="100"/>
      <w:position w:val="0"/>
      <w:sz w:val="16"/>
      <w:szCs w:val="16"/>
      <w:u w:val="none"/>
      <w:lang w:val="ru-RU" w:eastAsia="ru-RU" w:bidi="ru-RU"/>
    </w:rPr>
  </w:style>
  <w:style w:type="character" w:customStyle="1" w:styleId="265pt">
    <w:name w:val="Основной текст (2) + 6;5 pt;Полужирный"/>
    <w:basedOn w:val="24"/>
    <w:rsid w:val="00CA6047"/>
    <w:rPr>
      <w:rFonts w:ascii="Microsoft Sans Serif" w:eastAsia="Microsoft Sans Serif" w:hAnsi="Microsoft Sans Serif" w:cs="Microsoft Sans Serif"/>
      <w:b/>
      <w:bCs/>
      <w:i w:val="0"/>
      <w:iCs w:val="0"/>
      <w:smallCaps w:val="0"/>
      <w:strike w:val="0"/>
      <w:color w:val="000000"/>
      <w:spacing w:val="0"/>
      <w:w w:val="100"/>
      <w:position w:val="0"/>
      <w:sz w:val="13"/>
      <w:szCs w:val="13"/>
      <w:u w:val="none"/>
      <w:shd w:val="clear" w:color="auto" w:fill="FFFFFF"/>
      <w:lang w:val="ru-RU" w:eastAsia="ru-RU" w:bidi="ru-RU"/>
    </w:rPr>
  </w:style>
  <w:style w:type="paragraph" w:customStyle="1" w:styleId="p65">
    <w:name w:val="p65"/>
    <w:basedOn w:val="a0"/>
    <w:rsid w:val="00CA60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18">
    <w:name w:val="t18"/>
    <w:basedOn w:val="a1"/>
    <w:rsid w:val="00CA6047"/>
  </w:style>
  <w:style w:type="paragraph" w:customStyle="1" w:styleId="p66">
    <w:name w:val="p66"/>
    <w:basedOn w:val="a0"/>
    <w:rsid w:val="00CA60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14">
    <w:name w:val="t14"/>
    <w:basedOn w:val="a1"/>
    <w:rsid w:val="00CA6047"/>
  </w:style>
  <w:style w:type="character" w:customStyle="1" w:styleId="t13">
    <w:name w:val="t13"/>
    <w:basedOn w:val="a1"/>
    <w:rsid w:val="00CA6047"/>
  </w:style>
  <w:style w:type="character" w:customStyle="1" w:styleId="46">
    <w:name w:val="Заголовок №4_"/>
    <w:basedOn w:val="a1"/>
    <w:rsid w:val="00CA6047"/>
    <w:rPr>
      <w:rFonts w:ascii="Tahoma" w:eastAsia="Tahoma" w:hAnsi="Tahoma" w:cs="Tahoma"/>
      <w:b w:val="0"/>
      <w:bCs w:val="0"/>
      <w:i w:val="0"/>
      <w:iCs w:val="0"/>
      <w:smallCaps w:val="0"/>
      <w:strike w:val="0"/>
      <w:sz w:val="16"/>
      <w:szCs w:val="16"/>
      <w:u w:val="none"/>
    </w:rPr>
  </w:style>
  <w:style w:type="character" w:customStyle="1" w:styleId="9Exact">
    <w:name w:val="Основной текст (9) Exact"/>
    <w:basedOn w:val="a1"/>
    <w:link w:val="92"/>
    <w:rsid w:val="00CA6047"/>
    <w:rPr>
      <w:rFonts w:ascii="Tahoma" w:eastAsia="Tahoma" w:hAnsi="Tahoma" w:cs="Tahoma"/>
      <w:sz w:val="16"/>
      <w:szCs w:val="16"/>
      <w:shd w:val="clear" w:color="auto" w:fill="FFFFFF"/>
    </w:rPr>
  </w:style>
  <w:style w:type="paragraph" w:customStyle="1" w:styleId="92">
    <w:name w:val="Основной текст (9)"/>
    <w:basedOn w:val="a0"/>
    <w:link w:val="9Exact"/>
    <w:rsid w:val="00CA6047"/>
    <w:pPr>
      <w:widowControl w:val="0"/>
      <w:shd w:val="clear" w:color="auto" w:fill="FFFFFF"/>
      <w:spacing w:after="0" w:line="197" w:lineRule="exact"/>
    </w:pPr>
    <w:rPr>
      <w:rFonts w:ascii="Tahoma" w:eastAsia="Tahoma" w:hAnsi="Tahoma" w:cs="Tahoma"/>
      <w:sz w:val="16"/>
      <w:szCs w:val="16"/>
    </w:rPr>
  </w:style>
  <w:style w:type="paragraph" w:customStyle="1" w:styleId="article-renderblock">
    <w:name w:val="article-render__block"/>
    <w:basedOn w:val="a0"/>
    <w:rsid w:val="00CA60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te">
    <w:name w:val="note"/>
    <w:basedOn w:val="a1"/>
    <w:rsid w:val="00CA6047"/>
  </w:style>
  <w:style w:type="paragraph" w:customStyle="1" w:styleId="afff2">
    <w:name w:val="Содержимое таблицы"/>
    <w:basedOn w:val="a0"/>
    <w:uiPriority w:val="99"/>
    <w:qFormat/>
    <w:rsid w:val="00976DAC"/>
    <w:pPr>
      <w:widowControl w:val="0"/>
      <w:suppressLineNumbers/>
      <w:suppressAutoHyphens/>
    </w:pPr>
  </w:style>
  <w:style w:type="table" w:customStyle="1" w:styleId="-311">
    <w:name w:val="Список-таблица 3 — акцент 11"/>
    <w:basedOn w:val="a2"/>
    <w:uiPriority w:val="48"/>
    <w:rsid w:val="00976DAC"/>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312">
    <w:name w:val="Список-таблица 3 — акцент 12"/>
    <w:basedOn w:val="a2"/>
    <w:uiPriority w:val="48"/>
    <w:rsid w:val="00976DAC"/>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731">
    <w:name w:val="Таблица-сетка 7 цветная — акцент 31"/>
    <w:basedOn w:val="a2"/>
    <w:uiPriority w:val="52"/>
    <w:rsid w:val="00976DAC"/>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411">
    <w:name w:val="Таблица-сетка 4 — акцент 11"/>
    <w:basedOn w:val="a2"/>
    <w:uiPriority w:val="49"/>
    <w:rsid w:val="00976DA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2-41">
    <w:name w:val="Средний список 2 - Акцент 41"/>
    <w:basedOn w:val="a0"/>
    <w:uiPriority w:val="99"/>
    <w:qFormat/>
    <w:rsid w:val="00976DAC"/>
    <w:pPr>
      <w:spacing w:after="160" w:line="259" w:lineRule="auto"/>
      <w:ind w:left="720"/>
      <w:contextualSpacing/>
    </w:pPr>
    <w:rPr>
      <w:rFonts w:ascii="Calibri" w:eastAsia="Calibri" w:hAnsi="Calibri" w:cs="Times New Roman"/>
    </w:rPr>
  </w:style>
  <w:style w:type="paragraph" w:customStyle="1" w:styleId="c1">
    <w:name w:val="c1"/>
    <w:basedOn w:val="a0"/>
    <w:uiPriority w:val="99"/>
    <w:qFormat/>
    <w:rsid w:val="00976D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1"/>
    <w:qFormat/>
    <w:rsid w:val="00976DAC"/>
  </w:style>
  <w:style w:type="character" w:customStyle="1" w:styleId="Bodytext3">
    <w:name w:val="Body text (3)_"/>
    <w:basedOn w:val="a1"/>
    <w:link w:val="Bodytext30"/>
    <w:qFormat/>
    <w:rsid w:val="00976DAC"/>
    <w:rPr>
      <w:rFonts w:ascii="Times New Roman" w:eastAsia="Times New Roman" w:hAnsi="Times New Roman" w:cs="Times New Roman"/>
      <w:i/>
      <w:iCs/>
      <w:shd w:val="clear" w:color="auto" w:fill="FFFFFF"/>
    </w:rPr>
  </w:style>
  <w:style w:type="character" w:customStyle="1" w:styleId="Bodytext8">
    <w:name w:val="Body text (8)_"/>
    <w:basedOn w:val="a1"/>
    <w:link w:val="Bodytext80"/>
    <w:qFormat/>
    <w:rsid w:val="00976DAC"/>
    <w:rPr>
      <w:rFonts w:ascii="Times New Roman" w:eastAsia="Times New Roman" w:hAnsi="Times New Roman" w:cs="Times New Roman"/>
      <w:i/>
      <w:iCs/>
      <w:shd w:val="clear" w:color="auto" w:fill="FFFFFF"/>
    </w:rPr>
  </w:style>
  <w:style w:type="paragraph" w:customStyle="1" w:styleId="Bodytext30">
    <w:name w:val="Body text (3)"/>
    <w:basedOn w:val="a0"/>
    <w:link w:val="Bodytext3"/>
    <w:qFormat/>
    <w:rsid w:val="00976DAC"/>
    <w:pPr>
      <w:widowControl w:val="0"/>
      <w:shd w:val="clear" w:color="auto" w:fill="FFFFFF"/>
      <w:spacing w:after="0" w:line="384" w:lineRule="exact"/>
    </w:pPr>
    <w:rPr>
      <w:rFonts w:ascii="Times New Roman" w:eastAsia="Times New Roman" w:hAnsi="Times New Roman" w:cs="Times New Roman"/>
      <w:i/>
      <w:iCs/>
    </w:rPr>
  </w:style>
  <w:style w:type="paragraph" w:customStyle="1" w:styleId="Bodytext80">
    <w:name w:val="Body text (8)"/>
    <w:basedOn w:val="a0"/>
    <w:link w:val="Bodytext8"/>
    <w:qFormat/>
    <w:rsid w:val="00976DAC"/>
    <w:pPr>
      <w:widowControl w:val="0"/>
      <w:shd w:val="clear" w:color="auto" w:fill="FFFFFF"/>
      <w:spacing w:before="180" w:after="300" w:line="0" w:lineRule="atLeast"/>
      <w:jc w:val="center"/>
    </w:pPr>
    <w:rPr>
      <w:rFonts w:ascii="Times New Roman" w:eastAsia="Times New Roman" w:hAnsi="Times New Roman" w:cs="Times New Roman"/>
      <w:i/>
      <w:iCs/>
    </w:rPr>
  </w:style>
  <w:style w:type="paragraph" w:customStyle="1" w:styleId="WRPropSectionTitle">
    <w:name w:val="WR PropSection Title"/>
    <w:basedOn w:val="a0"/>
    <w:uiPriority w:val="99"/>
    <w:qFormat/>
    <w:rsid w:val="00976DAC"/>
    <w:pPr>
      <w:shd w:val="pct40" w:color="auto" w:fill="FFFFFF"/>
      <w:spacing w:before="240" w:after="240" w:line="240" w:lineRule="auto"/>
      <w:ind w:firstLine="180"/>
    </w:pPr>
    <w:rPr>
      <w:rFonts w:ascii="Arial" w:eastAsia="Times New Roman" w:hAnsi="Arial" w:cs="Times New Roman"/>
      <w:b/>
      <w:noProof/>
      <w:color w:val="FFFFFF"/>
      <w:spacing w:val="40"/>
      <w:sz w:val="36"/>
      <w:szCs w:val="20"/>
      <w:lang w:val="en-US" w:eastAsia="ru-RU"/>
    </w:rPr>
  </w:style>
  <w:style w:type="paragraph" w:customStyle="1" w:styleId="Point">
    <w:name w:val="Point"/>
    <w:basedOn w:val="a0"/>
    <w:uiPriority w:val="99"/>
    <w:qFormat/>
    <w:rsid w:val="00976DAC"/>
    <w:pPr>
      <w:numPr>
        <w:numId w:val="12"/>
      </w:numPr>
      <w:spacing w:after="0" w:line="240" w:lineRule="auto"/>
      <w:jc w:val="both"/>
    </w:pPr>
    <w:rPr>
      <w:rFonts w:ascii="Arial" w:eastAsia="Times New Roman" w:hAnsi="Arial" w:cs="Arial"/>
      <w:sz w:val="24"/>
      <w:szCs w:val="20"/>
      <w:lang w:eastAsia="ru-RU"/>
    </w:rPr>
  </w:style>
  <w:style w:type="paragraph" w:customStyle="1" w:styleId="Text">
    <w:name w:val="Text"/>
    <w:basedOn w:val="a0"/>
    <w:uiPriority w:val="99"/>
    <w:rsid w:val="00976DAC"/>
    <w:pPr>
      <w:spacing w:after="0" w:line="240" w:lineRule="auto"/>
      <w:jc w:val="both"/>
    </w:pPr>
    <w:rPr>
      <w:rFonts w:ascii="Times New Roman" w:eastAsia="Times New Roman" w:hAnsi="Times New Roman" w:cs="Times New Roman"/>
      <w:sz w:val="24"/>
      <w:szCs w:val="20"/>
      <w:lang w:val="en-AU"/>
    </w:rPr>
  </w:style>
  <w:style w:type="paragraph" w:customStyle="1" w:styleId="Achievement">
    <w:name w:val="Achievement"/>
    <w:basedOn w:val="a0"/>
    <w:uiPriority w:val="99"/>
    <w:qFormat/>
    <w:rsid w:val="00976DAC"/>
    <w:pPr>
      <w:keepLines/>
      <w:spacing w:after="0" w:line="260" w:lineRule="exact"/>
      <w:ind w:left="-1080"/>
    </w:pPr>
    <w:rPr>
      <w:rFonts w:ascii="Arial" w:eastAsia="Times New Roman" w:hAnsi="Arial" w:cs="Times New Roman"/>
      <w:i/>
      <w:sz w:val="20"/>
      <w:szCs w:val="20"/>
      <w:lang w:val="en-US" w:eastAsia="ru-RU"/>
    </w:rPr>
  </w:style>
  <w:style w:type="paragraph" w:customStyle="1" w:styleId="Char">
    <w:name w:val="Char"/>
    <w:basedOn w:val="a0"/>
    <w:uiPriority w:val="99"/>
    <w:qFormat/>
    <w:rsid w:val="00976DAC"/>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CharChar">
    <w:name w:val="Char Char"/>
    <w:basedOn w:val="a0"/>
    <w:uiPriority w:val="99"/>
    <w:qFormat/>
    <w:rsid w:val="00976DAC"/>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2">
    <w:name w:val="Текст с булитами 2"/>
    <w:basedOn w:val="a0"/>
    <w:uiPriority w:val="99"/>
    <w:qFormat/>
    <w:rsid w:val="00976DAC"/>
    <w:pPr>
      <w:numPr>
        <w:ilvl w:val="2"/>
        <w:numId w:val="13"/>
      </w:numPr>
      <w:spacing w:after="0" w:line="240" w:lineRule="auto"/>
      <w:jc w:val="both"/>
    </w:pPr>
    <w:rPr>
      <w:rFonts w:ascii="Times New Roman" w:eastAsia="Times New Roman" w:hAnsi="Times New Roman" w:cs="Times New Roman"/>
      <w:sz w:val="24"/>
      <w:szCs w:val="24"/>
    </w:rPr>
  </w:style>
  <w:style w:type="paragraph" w:customStyle="1" w:styleId="CharChar1CharCharCharChar">
    <w:name w:val="Char Char1 Знак Знак Char Char Знак Знак Char Char"/>
    <w:basedOn w:val="a0"/>
    <w:uiPriority w:val="99"/>
    <w:qFormat/>
    <w:rsid w:val="00976DAC"/>
    <w:pPr>
      <w:spacing w:after="160" w:line="240" w:lineRule="exact"/>
    </w:pPr>
    <w:rPr>
      <w:rFonts w:ascii="Tahoma" w:eastAsia="Times New Roman" w:hAnsi="Tahoma" w:cs="Times New Roman"/>
      <w:sz w:val="20"/>
      <w:szCs w:val="20"/>
      <w:lang w:val="en-US"/>
    </w:rPr>
  </w:style>
  <w:style w:type="paragraph" w:customStyle="1" w:styleId="Brdtext">
    <w:name w:val="Brödtext"/>
    <w:basedOn w:val="a0"/>
    <w:uiPriority w:val="99"/>
    <w:qFormat/>
    <w:rsid w:val="00976DAC"/>
    <w:pPr>
      <w:spacing w:after="120" w:line="288" w:lineRule="auto"/>
    </w:pPr>
    <w:rPr>
      <w:rFonts w:ascii="Book Antiqua" w:eastAsia="Times New Roman" w:hAnsi="Book Antiqua" w:cs="Times New Roman"/>
      <w:szCs w:val="20"/>
      <w:lang w:val="en-US"/>
    </w:rPr>
  </w:style>
  <w:style w:type="paragraph" w:customStyle="1" w:styleId="CharChar1">
    <w:name w:val="Char Char1"/>
    <w:basedOn w:val="a0"/>
    <w:uiPriority w:val="99"/>
    <w:qFormat/>
    <w:rsid w:val="00976DAC"/>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f3">
    <w:name w:val="......."/>
    <w:basedOn w:val="a0"/>
    <w:next w:val="a0"/>
    <w:uiPriority w:val="99"/>
    <w:qFormat/>
    <w:rsid w:val="00976DAC"/>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1">
    <w:name w:val="Цветной список - Акцент 11"/>
    <w:basedOn w:val="a0"/>
    <w:uiPriority w:val="99"/>
    <w:qFormat/>
    <w:rsid w:val="00976DAC"/>
    <w:pPr>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1f9">
    <w:name w:val="Стиль1"/>
    <w:basedOn w:val="a0"/>
    <w:link w:val="1fa"/>
    <w:qFormat/>
    <w:rsid w:val="00976DAC"/>
    <w:pPr>
      <w:spacing w:after="0" w:line="360" w:lineRule="auto"/>
      <w:jc w:val="both"/>
    </w:pPr>
    <w:rPr>
      <w:rFonts w:ascii="Tahoma" w:eastAsia="Times New Roman" w:hAnsi="Tahoma" w:cs="Tahoma"/>
      <w:color w:val="808080"/>
      <w:sz w:val="24"/>
      <w:szCs w:val="24"/>
      <w:lang w:eastAsia="ru-RU"/>
    </w:rPr>
  </w:style>
  <w:style w:type="paragraph" w:customStyle="1" w:styleId="afff4">
    <w:name w:val="Заголовок диаграммы"/>
    <w:basedOn w:val="1f9"/>
    <w:link w:val="afff5"/>
    <w:qFormat/>
    <w:rsid w:val="00976DAC"/>
    <w:rPr>
      <w:b/>
      <w:i/>
      <w:snapToGrid w:val="0"/>
      <w:sz w:val="22"/>
    </w:rPr>
  </w:style>
  <w:style w:type="character" w:customStyle="1" w:styleId="1fa">
    <w:name w:val="Стиль1 Знак"/>
    <w:link w:val="1f9"/>
    <w:qFormat/>
    <w:rsid w:val="00976DAC"/>
    <w:rPr>
      <w:rFonts w:ascii="Tahoma" w:eastAsia="Times New Roman" w:hAnsi="Tahoma" w:cs="Tahoma"/>
      <w:color w:val="808080"/>
      <w:sz w:val="24"/>
      <w:szCs w:val="24"/>
      <w:lang w:eastAsia="ru-RU"/>
    </w:rPr>
  </w:style>
  <w:style w:type="paragraph" w:customStyle="1" w:styleId="-31">
    <w:name w:val="Таблица-сетка 31"/>
    <w:basedOn w:val="1"/>
    <w:next w:val="a0"/>
    <w:uiPriority w:val="39"/>
    <w:semiHidden/>
    <w:unhideWhenUsed/>
    <w:qFormat/>
    <w:rsid w:val="00976DAC"/>
    <w:pPr>
      <w:outlineLvl w:val="9"/>
    </w:pPr>
    <w:rPr>
      <w:rFonts w:ascii="Cambria" w:eastAsia="MS Gothic" w:hAnsi="Cambria" w:cs="Times New Roman"/>
      <w:color w:val="365F91"/>
      <w:lang w:val="en-US" w:eastAsia="ja-JP"/>
    </w:rPr>
  </w:style>
  <w:style w:type="character" w:customStyle="1" w:styleId="afff5">
    <w:name w:val="Заголовок диаграммы Знак"/>
    <w:link w:val="afff4"/>
    <w:qFormat/>
    <w:rsid w:val="00976DAC"/>
    <w:rPr>
      <w:rFonts w:ascii="Tahoma" w:eastAsia="Times New Roman" w:hAnsi="Tahoma" w:cs="Tahoma"/>
      <w:b/>
      <w:i/>
      <w:snapToGrid w:val="0"/>
      <w:color w:val="808080"/>
      <w:szCs w:val="24"/>
      <w:lang w:eastAsia="ru-RU"/>
    </w:rPr>
  </w:style>
  <w:style w:type="table" w:styleId="2d">
    <w:name w:val="Table Colorful 2"/>
    <w:basedOn w:val="a2"/>
    <w:rsid w:val="00976DAC"/>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2e">
    <w:name w:val="Стиль2"/>
    <w:basedOn w:val="a2"/>
    <w:rsid w:val="00976DAC"/>
    <w:pPr>
      <w:spacing w:after="0" w:line="240" w:lineRule="auto"/>
    </w:pPr>
    <w:rPr>
      <w:rFonts w:ascii="Times New Roman" w:eastAsia="Times New Roman" w:hAnsi="Times New Roman" w:cs="Times New Roman"/>
      <w:sz w:val="20"/>
      <w:szCs w:val="20"/>
      <w:lang w:eastAsia="ru-RU"/>
    </w:rPr>
    <w:tblPr/>
  </w:style>
  <w:style w:type="table" w:styleId="36">
    <w:name w:val="Table Columns 3"/>
    <w:basedOn w:val="a2"/>
    <w:rsid w:val="00976DAC"/>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2f">
    <w:name w:val="Table Columns 2"/>
    <w:basedOn w:val="a2"/>
    <w:rsid w:val="00976DAC"/>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otnoteTextChar1">
    <w:name w:val="Footnote Text Char1"/>
    <w:aliases w:val="Текст сноски Знак1 Знак Char,Текст сноски Знак Знак Знак Char,Footnote Text Char Знак Знак Char,Footnote Text Char Знак Char,FSR footnote Char,lábléc Char,Footnote Text Char Char Char Char Char Char Char,Footnote Text Char Char"/>
    <w:uiPriority w:val="99"/>
    <w:qFormat/>
    <w:rsid w:val="00976DAC"/>
    <w:rPr>
      <w:lang w:val="en-US"/>
    </w:rPr>
  </w:style>
  <w:style w:type="table" w:customStyle="1" w:styleId="-241">
    <w:name w:val="Список-таблица 2 — акцент 41"/>
    <w:basedOn w:val="a2"/>
    <w:uiPriority w:val="47"/>
    <w:rsid w:val="00976DAC"/>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37">
    <w:name w:val="toc 3"/>
    <w:basedOn w:val="a0"/>
    <w:next w:val="a0"/>
    <w:autoRedefine/>
    <w:uiPriority w:val="39"/>
    <w:unhideWhenUsed/>
    <w:rsid w:val="00976DAC"/>
    <w:pPr>
      <w:spacing w:after="100" w:line="240" w:lineRule="auto"/>
      <w:ind w:left="400"/>
    </w:pPr>
    <w:rPr>
      <w:rFonts w:ascii="Times New Roman" w:eastAsia="Times New Roman" w:hAnsi="Times New Roman" w:cs="Times New Roman"/>
      <w:sz w:val="20"/>
      <w:szCs w:val="20"/>
      <w:lang w:val="en-US" w:eastAsia="ru-RU"/>
    </w:rPr>
  </w:style>
  <w:style w:type="table" w:customStyle="1" w:styleId="-421">
    <w:name w:val="Таблица-сетка 4 — акцент 21"/>
    <w:basedOn w:val="a2"/>
    <w:uiPriority w:val="49"/>
    <w:rsid w:val="00976DAC"/>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441">
    <w:name w:val="Таблица-сетка 4 — акцент 41"/>
    <w:basedOn w:val="a2"/>
    <w:uiPriority w:val="49"/>
    <w:rsid w:val="00976DAC"/>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3111">
    <w:name w:val="Список-таблица 3 — акцент 111"/>
    <w:basedOn w:val="a2"/>
    <w:uiPriority w:val="48"/>
    <w:rsid w:val="00976DAC"/>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3121">
    <w:name w:val="Список-таблица 3 — акцент 121"/>
    <w:basedOn w:val="a2"/>
    <w:uiPriority w:val="48"/>
    <w:rsid w:val="00976DAC"/>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7311">
    <w:name w:val="Таблица-сетка 7 цветная — акцент 311"/>
    <w:basedOn w:val="a2"/>
    <w:uiPriority w:val="52"/>
    <w:rsid w:val="00976DAC"/>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1110">
    <w:name w:val="Сетка таблицы111"/>
    <w:basedOn w:val="a2"/>
    <w:next w:val="a7"/>
    <w:uiPriority w:val="39"/>
    <w:rsid w:val="00976D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Таблица-сетка 4 — акцент 111"/>
    <w:basedOn w:val="a2"/>
    <w:uiPriority w:val="49"/>
    <w:rsid w:val="00976DA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14">
    <w:name w:val="Цветная таблица 21"/>
    <w:basedOn w:val="a2"/>
    <w:next w:val="2d"/>
    <w:rsid w:val="00976DAC"/>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215">
    <w:name w:val="Стиль21"/>
    <w:basedOn w:val="a2"/>
    <w:rsid w:val="00976DAC"/>
    <w:pPr>
      <w:spacing w:after="0" w:line="240" w:lineRule="auto"/>
    </w:pPr>
    <w:rPr>
      <w:rFonts w:ascii="Times New Roman" w:eastAsia="Times New Roman" w:hAnsi="Times New Roman" w:cs="Times New Roman"/>
      <w:sz w:val="20"/>
      <w:szCs w:val="20"/>
      <w:lang w:eastAsia="ru-RU"/>
    </w:rPr>
    <w:tblPr/>
  </w:style>
  <w:style w:type="table" w:customStyle="1" w:styleId="311">
    <w:name w:val="Столбцы таблицы 31"/>
    <w:basedOn w:val="a2"/>
    <w:next w:val="36"/>
    <w:rsid w:val="00976DAC"/>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216">
    <w:name w:val="Столбцы таблицы 21"/>
    <w:basedOn w:val="a2"/>
    <w:next w:val="2f"/>
    <w:rsid w:val="00976DAC"/>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1">
    <w:name w:val="Список-таблица 2 — акцент 411"/>
    <w:basedOn w:val="a2"/>
    <w:uiPriority w:val="47"/>
    <w:rsid w:val="00976DAC"/>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afff6">
    <w:name w:val="Нет"/>
    <w:qFormat/>
    <w:rsid w:val="00976DAC"/>
  </w:style>
  <w:style w:type="numbering" w:customStyle="1" w:styleId="38">
    <w:name w:val="Нет списка3"/>
    <w:next w:val="a3"/>
    <w:uiPriority w:val="99"/>
    <w:semiHidden/>
    <w:unhideWhenUsed/>
    <w:rsid w:val="00976DAC"/>
  </w:style>
  <w:style w:type="numbering" w:customStyle="1" w:styleId="47">
    <w:name w:val="Нет списка4"/>
    <w:next w:val="a3"/>
    <w:uiPriority w:val="99"/>
    <w:semiHidden/>
    <w:unhideWhenUsed/>
    <w:rsid w:val="00976DAC"/>
  </w:style>
  <w:style w:type="table" w:customStyle="1" w:styleId="-3112">
    <w:name w:val="Список-таблица 3 — акцент 112"/>
    <w:basedOn w:val="a2"/>
    <w:uiPriority w:val="48"/>
    <w:rsid w:val="00976DAC"/>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3122">
    <w:name w:val="Список-таблица 3 — акцент 122"/>
    <w:basedOn w:val="a2"/>
    <w:uiPriority w:val="48"/>
    <w:rsid w:val="00976DAC"/>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7312">
    <w:name w:val="Таблица-сетка 7 цветная — акцент 312"/>
    <w:basedOn w:val="a2"/>
    <w:uiPriority w:val="52"/>
    <w:rsid w:val="00976DAC"/>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1120">
    <w:name w:val="Сетка таблицы112"/>
    <w:basedOn w:val="a2"/>
    <w:next w:val="a7"/>
    <w:uiPriority w:val="39"/>
    <w:rsid w:val="00976D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Таблица-сетка 4 — акцент 112"/>
    <w:basedOn w:val="a2"/>
    <w:uiPriority w:val="49"/>
    <w:rsid w:val="00976DA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20">
    <w:name w:val="Цветная таблица 22"/>
    <w:basedOn w:val="a2"/>
    <w:next w:val="2d"/>
    <w:rsid w:val="00976DAC"/>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221">
    <w:name w:val="Стиль22"/>
    <w:basedOn w:val="a2"/>
    <w:rsid w:val="00976DAC"/>
    <w:pPr>
      <w:spacing w:after="0" w:line="240" w:lineRule="auto"/>
    </w:pPr>
    <w:rPr>
      <w:rFonts w:ascii="Times New Roman" w:eastAsia="Times New Roman" w:hAnsi="Times New Roman" w:cs="Times New Roman"/>
      <w:sz w:val="20"/>
      <w:szCs w:val="20"/>
      <w:lang w:eastAsia="ru-RU"/>
    </w:rPr>
    <w:tblPr/>
  </w:style>
  <w:style w:type="table" w:customStyle="1" w:styleId="320">
    <w:name w:val="Столбцы таблицы 32"/>
    <w:basedOn w:val="a2"/>
    <w:next w:val="36"/>
    <w:rsid w:val="00976DAC"/>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222">
    <w:name w:val="Столбцы таблицы 22"/>
    <w:basedOn w:val="a2"/>
    <w:next w:val="2f"/>
    <w:rsid w:val="00976DAC"/>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2">
    <w:name w:val="Список-таблица 2 — акцент 412"/>
    <w:basedOn w:val="a2"/>
    <w:uiPriority w:val="47"/>
    <w:rsid w:val="00976DAC"/>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422">
    <w:name w:val="Таблица-сетка 4 — акцент 22"/>
    <w:basedOn w:val="a2"/>
    <w:next w:val="-421"/>
    <w:uiPriority w:val="49"/>
    <w:rsid w:val="00976DAC"/>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442">
    <w:name w:val="Таблица-сетка 4 — акцент 42"/>
    <w:basedOn w:val="a2"/>
    <w:next w:val="-441"/>
    <w:uiPriority w:val="49"/>
    <w:rsid w:val="00976DAC"/>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210">
    <w:name w:val="Сетка таблицы121"/>
    <w:basedOn w:val="a2"/>
    <w:next w:val="a7"/>
    <w:uiPriority w:val="39"/>
    <w:rsid w:val="00976D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писок-таблица 3 — акцент 1111"/>
    <w:basedOn w:val="a2"/>
    <w:uiPriority w:val="48"/>
    <w:rsid w:val="00976DAC"/>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31211">
    <w:name w:val="Список-таблица 3 — акцент 1211"/>
    <w:basedOn w:val="a2"/>
    <w:uiPriority w:val="48"/>
    <w:rsid w:val="00976DAC"/>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73111">
    <w:name w:val="Таблица-сетка 7 цветная — акцент 3111"/>
    <w:basedOn w:val="a2"/>
    <w:uiPriority w:val="52"/>
    <w:rsid w:val="00976DAC"/>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1111">
    <w:name w:val="Сетка таблицы1111"/>
    <w:basedOn w:val="a2"/>
    <w:next w:val="a7"/>
    <w:uiPriority w:val="39"/>
    <w:rsid w:val="00976D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Таблица-сетка 4 — акцент 1111"/>
    <w:basedOn w:val="a2"/>
    <w:uiPriority w:val="49"/>
    <w:rsid w:val="00976DA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110">
    <w:name w:val="Цветная таблица 211"/>
    <w:basedOn w:val="a2"/>
    <w:next w:val="2d"/>
    <w:rsid w:val="00976DAC"/>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2111">
    <w:name w:val="Стиль211"/>
    <w:basedOn w:val="a2"/>
    <w:rsid w:val="00976DAC"/>
    <w:pPr>
      <w:spacing w:after="0" w:line="240" w:lineRule="auto"/>
    </w:pPr>
    <w:rPr>
      <w:rFonts w:ascii="Times New Roman" w:eastAsia="Times New Roman" w:hAnsi="Times New Roman" w:cs="Times New Roman"/>
      <w:sz w:val="20"/>
      <w:szCs w:val="20"/>
      <w:lang w:eastAsia="ru-RU"/>
    </w:rPr>
    <w:tblPr/>
  </w:style>
  <w:style w:type="table" w:customStyle="1" w:styleId="3110">
    <w:name w:val="Столбцы таблицы 311"/>
    <w:basedOn w:val="a2"/>
    <w:next w:val="36"/>
    <w:rsid w:val="00976DAC"/>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2112">
    <w:name w:val="Столбцы таблицы 211"/>
    <w:basedOn w:val="a2"/>
    <w:next w:val="2f"/>
    <w:rsid w:val="00976DAC"/>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11">
    <w:name w:val="Список-таблица 2 — акцент 4111"/>
    <w:basedOn w:val="a2"/>
    <w:uiPriority w:val="47"/>
    <w:rsid w:val="00976DAC"/>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4211">
    <w:name w:val="Таблица-сетка 4 — акцент 211"/>
    <w:basedOn w:val="a2"/>
    <w:next w:val="-421"/>
    <w:uiPriority w:val="49"/>
    <w:rsid w:val="00976DAC"/>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4411">
    <w:name w:val="Таблица-сетка 4 — акцент 411"/>
    <w:basedOn w:val="a2"/>
    <w:next w:val="-441"/>
    <w:uiPriority w:val="49"/>
    <w:rsid w:val="00976DAC"/>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numbering" w:customStyle="1" w:styleId="217">
    <w:name w:val="Нет списка21"/>
    <w:next w:val="a3"/>
    <w:uiPriority w:val="99"/>
    <w:semiHidden/>
    <w:unhideWhenUsed/>
    <w:rsid w:val="00976DAC"/>
  </w:style>
  <w:style w:type="numbering" w:customStyle="1" w:styleId="312">
    <w:name w:val="Нет списка31"/>
    <w:next w:val="a3"/>
    <w:uiPriority w:val="99"/>
    <w:semiHidden/>
    <w:unhideWhenUsed/>
    <w:rsid w:val="00976DAC"/>
  </w:style>
  <w:style w:type="paragraph" w:styleId="1fb">
    <w:name w:val="index 1"/>
    <w:basedOn w:val="a0"/>
    <w:next w:val="a0"/>
    <w:autoRedefine/>
    <w:uiPriority w:val="99"/>
    <w:semiHidden/>
    <w:unhideWhenUsed/>
    <w:qFormat/>
    <w:rsid w:val="00976DAC"/>
    <w:pPr>
      <w:suppressAutoHyphens/>
      <w:spacing w:after="0" w:line="240" w:lineRule="auto"/>
      <w:ind w:left="220" w:hanging="220"/>
    </w:pPr>
  </w:style>
  <w:style w:type="paragraph" w:styleId="afff7">
    <w:name w:val="index heading"/>
    <w:basedOn w:val="a0"/>
    <w:uiPriority w:val="99"/>
    <w:semiHidden/>
    <w:unhideWhenUsed/>
    <w:qFormat/>
    <w:rsid w:val="00976DAC"/>
    <w:pPr>
      <w:suppressLineNumbers/>
      <w:suppressAutoHyphens/>
    </w:pPr>
    <w:rPr>
      <w:rFonts w:cs="Arial"/>
    </w:rPr>
  </w:style>
  <w:style w:type="paragraph" w:styleId="afff8">
    <w:name w:val="List"/>
    <w:basedOn w:val="aff2"/>
    <w:uiPriority w:val="99"/>
    <w:semiHidden/>
    <w:unhideWhenUsed/>
    <w:qFormat/>
    <w:rsid w:val="00976DAC"/>
    <w:pPr>
      <w:widowControl/>
      <w:suppressAutoHyphens/>
      <w:jc w:val="both"/>
    </w:pPr>
    <w:rPr>
      <w:rFonts w:ascii="Arial" w:hAnsi="Arial" w:cs="Arial"/>
      <w:b w:val="0"/>
      <w:bCs w:val="0"/>
      <w:lang w:val="ru-RU" w:eastAsia="ru-RU"/>
    </w:rPr>
  </w:style>
  <w:style w:type="paragraph" w:customStyle="1" w:styleId="313">
    <w:name w:val="Заголовок 31"/>
    <w:basedOn w:val="a0"/>
    <w:next w:val="a0"/>
    <w:qFormat/>
    <w:rsid w:val="00976DAC"/>
    <w:pPr>
      <w:keepNext/>
      <w:keepLines/>
      <w:suppressAutoHyphens/>
      <w:spacing w:before="40" w:after="0" w:line="240" w:lineRule="auto"/>
      <w:outlineLvl w:val="2"/>
    </w:pPr>
    <w:rPr>
      <w:rFonts w:asciiTheme="majorHAnsi" w:eastAsiaTheme="majorEastAsia" w:hAnsiTheme="majorHAnsi" w:cstheme="majorBidi"/>
      <w:color w:val="243F60" w:themeColor="accent1" w:themeShade="7F"/>
      <w:sz w:val="24"/>
      <w:szCs w:val="24"/>
      <w:lang w:val="en-US" w:eastAsia="ru-RU"/>
    </w:rPr>
  </w:style>
  <w:style w:type="paragraph" w:customStyle="1" w:styleId="1fc">
    <w:name w:val="Верхний колонтитул1"/>
    <w:basedOn w:val="a0"/>
    <w:uiPriority w:val="99"/>
    <w:qFormat/>
    <w:rsid w:val="00976DAC"/>
    <w:pPr>
      <w:tabs>
        <w:tab w:val="center" w:pos="4677"/>
        <w:tab w:val="right" w:pos="9355"/>
      </w:tabs>
      <w:suppressAutoHyphens/>
      <w:spacing w:after="0" w:line="240" w:lineRule="auto"/>
    </w:pPr>
  </w:style>
  <w:style w:type="paragraph" w:customStyle="1" w:styleId="1fd">
    <w:name w:val="Нижний колонтитул1"/>
    <w:basedOn w:val="a0"/>
    <w:uiPriority w:val="99"/>
    <w:qFormat/>
    <w:rsid w:val="00976DAC"/>
    <w:pPr>
      <w:tabs>
        <w:tab w:val="center" w:pos="4677"/>
        <w:tab w:val="right" w:pos="9355"/>
      </w:tabs>
      <w:suppressAutoHyphens/>
      <w:spacing w:after="0" w:line="240" w:lineRule="auto"/>
    </w:pPr>
  </w:style>
  <w:style w:type="paragraph" w:customStyle="1" w:styleId="1fe">
    <w:name w:val="Указатель1"/>
    <w:basedOn w:val="1f4"/>
    <w:uiPriority w:val="99"/>
    <w:qFormat/>
    <w:rsid w:val="00976DAC"/>
    <w:pPr>
      <w:keepNext/>
      <w:suppressAutoHyphens/>
      <w:spacing w:before="240" w:after="120" w:line="276" w:lineRule="auto"/>
      <w:contextualSpacing w:val="0"/>
    </w:pPr>
    <w:rPr>
      <w:rFonts w:ascii="Liberation Sans" w:eastAsia="Microsoft YaHei" w:hAnsi="Liberation Sans" w:cs="Arial"/>
      <w:spacing w:val="0"/>
      <w:kern w:val="0"/>
      <w:sz w:val="28"/>
      <w:szCs w:val="28"/>
    </w:rPr>
  </w:style>
  <w:style w:type="paragraph" w:customStyle="1" w:styleId="1ff">
    <w:name w:val="Текст сноски1"/>
    <w:basedOn w:val="a0"/>
    <w:uiPriority w:val="99"/>
    <w:qFormat/>
    <w:rsid w:val="00976DAC"/>
    <w:pPr>
      <w:suppressAutoHyphens/>
      <w:spacing w:after="0" w:line="240" w:lineRule="auto"/>
    </w:pPr>
    <w:rPr>
      <w:sz w:val="20"/>
      <w:szCs w:val="20"/>
    </w:rPr>
  </w:style>
  <w:style w:type="paragraph" w:customStyle="1" w:styleId="115">
    <w:name w:val="Оглавление 11"/>
    <w:basedOn w:val="a0"/>
    <w:next w:val="a0"/>
    <w:autoRedefine/>
    <w:uiPriority w:val="39"/>
    <w:qFormat/>
    <w:rsid w:val="00976DAC"/>
    <w:pPr>
      <w:tabs>
        <w:tab w:val="right" w:leader="dot" w:pos="9771"/>
      </w:tabs>
      <w:suppressAutoHyphens/>
      <w:spacing w:after="100" w:line="256" w:lineRule="auto"/>
    </w:pPr>
  </w:style>
  <w:style w:type="paragraph" w:customStyle="1" w:styleId="1ff0">
    <w:name w:val="Текст1"/>
    <w:basedOn w:val="a0"/>
    <w:uiPriority w:val="99"/>
    <w:qFormat/>
    <w:rsid w:val="00976DAC"/>
    <w:pPr>
      <w:suppressAutoHyphens/>
      <w:spacing w:after="0" w:line="240" w:lineRule="auto"/>
      <w:jc w:val="both"/>
    </w:pPr>
    <w:rPr>
      <w:rFonts w:ascii="Times New Roman" w:eastAsia="Times New Roman" w:hAnsi="Times New Roman" w:cs="Times New Roman"/>
      <w:sz w:val="24"/>
      <w:szCs w:val="20"/>
      <w:lang w:val="en-AU"/>
    </w:rPr>
  </w:style>
  <w:style w:type="paragraph" w:customStyle="1" w:styleId="314">
    <w:name w:val="Оглавление 31"/>
    <w:basedOn w:val="a0"/>
    <w:next w:val="a0"/>
    <w:autoRedefine/>
    <w:uiPriority w:val="39"/>
    <w:qFormat/>
    <w:rsid w:val="00976DAC"/>
    <w:pPr>
      <w:suppressAutoHyphens/>
      <w:spacing w:after="100" w:line="240" w:lineRule="auto"/>
      <w:ind w:left="400"/>
    </w:pPr>
    <w:rPr>
      <w:rFonts w:ascii="Times New Roman" w:eastAsia="Times New Roman" w:hAnsi="Times New Roman" w:cs="Times New Roman"/>
      <w:sz w:val="20"/>
      <w:szCs w:val="20"/>
      <w:lang w:val="en-US" w:eastAsia="ru-RU"/>
    </w:rPr>
  </w:style>
  <w:style w:type="paragraph" w:customStyle="1" w:styleId="afff9">
    <w:name w:val="Заголовок таблицы"/>
    <w:basedOn w:val="afff2"/>
    <w:uiPriority w:val="99"/>
    <w:qFormat/>
    <w:rsid w:val="00976DAC"/>
    <w:pPr>
      <w:jc w:val="center"/>
    </w:pPr>
    <w:rPr>
      <w:b/>
      <w:bCs/>
    </w:rPr>
  </w:style>
  <w:style w:type="character" w:customStyle="1" w:styleId="afffa">
    <w:name w:val="Привязка сноски"/>
    <w:rsid w:val="00976DAC"/>
    <w:rPr>
      <w:vertAlign w:val="superscript"/>
    </w:rPr>
  </w:style>
  <w:style w:type="character" w:customStyle="1" w:styleId="FootnoteCharacters">
    <w:name w:val="Footnote Characters"/>
    <w:basedOn w:val="a1"/>
    <w:uiPriority w:val="99"/>
    <w:qFormat/>
    <w:rsid w:val="00976DAC"/>
    <w:rPr>
      <w:vertAlign w:val="superscript"/>
    </w:rPr>
  </w:style>
  <w:style w:type="character" w:customStyle="1" w:styleId="-">
    <w:name w:val="Интернет-ссылка"/>
    <w:basedOn w:val="a1"/>
    <w:uiPriority w:val="99"/>
    <w:rsid w:val="00976DAC"/>
    <w:rPr>
      <w:color w:val="0000FF" w:themeColor="hyperlink"/>
      <w:u w:val="single"/>
    </w:rPr>
  </w:style>
  <w:style w:type="character" w:customStyle="1" w:styleId="afffb">
    <w:name w:val="Посещённая гиперссылка"/>
    <w:basedOn w:val="a1"/>
    <w:uiPriority w:val="99"/>
    <w:semiHidden/>
    <w:rsid w:val="00976DAC"/>
    <w:rPr>
      <w:color w:val="800080" w:themeColor="followedHyperlink"/>
      <w:u w:val="single"/>
    </w:rPr>
  </w:style>
  <w:style w:type="character" w:customStyle="1" w:styleId="1ff1">
    <w:name w:val="Основной текст Знак1"/>
    <w:basedOn w:val="a1"/>
    <w:uiPriority w:val="99"/>
    <w:semiHidden/>
    <w:locked/>
    <w:rsid w:val="00976DAC"/>
    <w:rPr>
      <w:rFonts w:ascii="Arial" w:eastAsia="Times New Roman" w:hAnsi="Arial" w:cs="Arial"/>
      <w:sz w:val="20"/>
      <w:szCs w:val="20"/>
      <w:lang w:eastAsia="ru-RU"/>
    </w:rPr>
  </w:style>
  <w:style w:type="character" w:customStyle="1" w:styleId="1ff2">
    <w:name w:val="Основной текст с отступом Знак1"/>
    <w:basedOn w:val="a1"/>
    <w:uiPriority w:val="99"/>
    <w:semiHidden/>
    <w:locked/>
    <w:rsid w:val="00976DAC"/>
    <w:rPr>
      <w:rFonts w:ascii="Times New Roman" w:eastAsia="Times New Roman" w:hAnsi="Times New Roman" w:cs="Times New Roman"/>
      <w:sz w:val="24"/>
      <w:szCs w:val="24"/>
      <w:lang w:eastAsia="ru-RU"/>
    </w:rPr>
  </w:style>
  <w:style w:type="character" w:customStyle="1" w:styleId="218">
    <w:name w:val="Основной текст 2 Знак1"/>
    <w:basedOn w:val="a1"/>
    <w:uiPriority w:val="99"/>
    <w:semiHidden/>
    <w:locked/>
    <w:rsid w:val="00976DAC"/>
    <w:rPr>
      <w:rFonts w:ascii="Times New Roman" w:eastAsia="Times New Roman" w:hAnsi="Times New Roman" w:cs="Times New Roman"/>
      <w:b/>
      <w:i/>
      <w:sz w:val="24"/>
      <w:szCs w:val="20"/>
      <w:lang w:eastAsia="ru-RU"/>
    </w:rPr>
  </w:style>
  <w:style w:type="character" w:customStyle="1" w:styleId="315">
    <w:name w:val="Основной текст 3 Знак1"/>
    <w:basedOn w:val="a1"/>
    <w:uiPriority w:val="99"/>
    <w:semiHidden/>
    <w:locked/>
    <w:rsid w:val="00976DAC"/>
    <w:rPr>
      <w:rFonts w:ascii="Times New Roman" w:eastAsia="Times New Roman" w:hAnsi="Times New Roman" w:cs="Times New Roman"/>
      <w:sz w:val="16"/>
      <w:szCs w:val="16"/>
      <w:lang w:val="en-US" w:eastAsia="ru-RU"/>
    </w:rPr>
  </w:style>
  <w:style w:type="character" w:customStyle="1" w:styleId="1ff3">
    <w:name w:val="Неразрешенное упоминание1"/>
    <w:basedOn w:val="a1"/>
    <w:uiPriority w:val="99"/>
    <w:semiHidden/>
    <w:unhideWhenUsed/>
    <w:rsid w:val="00976DAC"/>
    <w:rPr>
      <w:color w:val="605E5C"/>
      <w:shd w:val="clear" w:color="auto" w:fill="E1DFDD"/>
    </w:rPr>
  </w:style>
  <w:style w:type="paragraph" w:styleId="afffc">
    <w:name w:val="Document Map"/>
    <w:basedOn w:val="a0"/>
    <w:link w:val="afffd"/>
    <w:uiPriority w:val="99"/>
    <w:semiHidden/>
    <w:unhideWhenUsed/>
    <w:rsid w:val="00976DAC"/>
    <w:pPr>
      <w:spacing w:after="0" w:line="240" w:lineRule="auto"/>
      <w:ind w:right="-45" w:firstLine="283"/>
      <w:jc w:val="both"/>
    </w:pPr>
    <w:rPr>
      <w:rFonts w:ascii="Tahoma" w:eastAsia="Arial" w:hAnsi="Tahoma" w:cs="Tahoma"/>
      <w:sz w:val="16"/>
      <w:szCs w:val="16"/>
      <w:highlight w:val="white"/>
      <w:lang w:eastAsia="ru-RU"/>
    </w:rPr>
  </w:style>
  <w:style w:type="character" w:customStyle="1" w:styleId="afffd">
    <w:name w:val="Схема документа Знак"/>
    <w:basedOn w:val="a1"/>
    <w:link w:val="afffc"/>
    <w:uiPriority w:val="99"/>
    <w:semiHidden/>
    <w:rsid w:val="00976DAC"/>
    <w:rPr>
      <w:rFonts w:ascii="Tahoma" w:eastAsia="Arial" w:hAnsi="Tahoma" w:cs="Tahoma"/>
      <w:sz w:val="16"/>
      <w:szCs w:val="16"/>
      <w:highlight w:val="white"/>
      <w:lang w:eastAsia="ru-RU"/>
    </w:rPr>
  </w:style>
  <w:style w:type="paragraph" w:customStyle="1" w:styleId="afffe">
    <w:name w:val="Обыч без отступа"/>
    <w:basedOn w:val="a0"/>
    <w:link w:val="affff"/>
    <w:qFormat/>
    <w:rsid w:val="00976DAC"/>
    <w:pPr>
      <w:spacing w:before="120" w:after="120" w:line="240" w:lineRule="auto"/>
      <w:jc w:val="both"/>
    </w:pPr>
    <w:rPr>
      <w:rFonts w:ascii="Times New Roman" w:hAnsi="Times New Roman" w:cs="Times New Roman"/>
      <w:sz w:val="24"/>
      <w:szCs w:val="24"/>
    </w:rPr>
  </w:style>
  <w:style w:type="paragraph" w:customStyle="1" w:styleId="affff0">
    <w:name w:val="Обыч с отступом"/>
    <w:basedOn w:val="afffe"/>
    <w:link w:val="affff1"/>
    <w:qFormat/>
    <w:rsid w:val="00976DAC"/>
    <w:pPr>
      <w:spacing w:line="300" w:lineRule="auto"/>
      <w:ind w:firstLine="709"/>
    </w:pPr>
  </w:style>
  <w:style w:type="character" w:customStyle="1" w:styleId="affff">
    <w:name w:val="Обыч без отступа Знак"/>
    <w:basedOn w:val="a1"/>
    <w:link w:val="afffe"/>
    <w:rsid w:val="00976DAC"/>
    <w:rPr>
      <w:rFonts w:ascii="Times New Roman" w:hAnsi="Times New Roman" w:cs="Times New Roman"/>
      <w:sz w:val="24"/>
      <w:szCs w:val="24"/>
    </w:rPr>
  </w:style>
  <w:style w:type="paragraph" w:customStyle="1" w:styleId="affff2">
    <w:name w:val="Раздел"/>
    <w:basedOn w:val="afffe"/>
    <w:link w:val="affff3"/>
    <w:autoRedefine/>
    <w:qFormat/>
    <w:rsid w:val="00976DAC"/>
    <w:pPr>
      <w:keepNext/>
      <w:keepLines/>
      <w:pageBreakBefore/>
      <w:spacing w:before="360" w:after="240"/>
      <w:outlineLvl w:val="0"/>
    </w:pPr>
    <w:rPr>
      <w:rFonts w:eastAsia="Times New Roman"/>
      <w:b/>
      <w:sz w:val="32"/>
      <w:szCs w:val="32"/>
      <w:lang w:eastAsia="ru-RU"/>
    </w:rPr>
  </w:style>
  <w:style w:type="character" w:customStyle="1" w:styleId="affff1">
    <w:name w:val="Обыч с отступом Знак"/>
    <w:basedOn w:val="affff"/>
    <w:link w:val="affff0"/>
    <w:rsid w:val="00976DAC"/>
    <w:rPr>
      <w:rFonts w:ascii="Times New Roman" w:hAnsi="Times New Roman" w:cs="Times New Roman"/>
      <w:sz w:val="24"/>
      <w:szCs w:val="24"/>
    </w:rPr>
  </w:style>
  <w:style w:type="paragraph" w:customStyle="1" w:styleId="affff4">
    <w:name w:val="Пункт"/>
    <w:basedOn w:val="afffe"/>
    <w:link w:val="affff5"/>
    <w:qFormat/>
    <w:rsid w:val="00976DAC"/>
    <w:pPr>
      <w:spacing w:before="240"/>
      <w:outlineLvl w:val="1"/>
    </w:pPr>
    <w:rPr>
      <w:b/>
      <w:sz w:val="28"/>
      <w:szCs w:val="28"/>
    </w:rPr>
  </w:style>
  <w:style w:type="character" w:customStyle="1" w:styleId="affff3">
    <w:name w:val="Раздел Знак"/>
    <w:basedOn w:val="affff"/>
    <w:link w:val="affff2"/>
    <w:rsid w:val="00976DAC"/>
    <w:rPr>
      <w:rFonts w:ascii="Times New Roman" w:eastAsia="Times New Roman" w:hAnsi="Times New Roman" w:cs="Times New Roman"/>
      <w:b/>
      <w:sz w:val="32"/>
      <w:szCs w:val="32"/>
      <w:lang w:eastAsia="ru-RU"/>
    </w:rPr>
  </w:style>
  <w:style w:type="character" w:customStyle="1" w:styleId="affff5">
    <w:name w:val="Пункт Знак"/>
    <w:basedOn w:val="affff"/>
    <w:link w:val="affff4"/>
    <w:rsid w:val="00976DAC"/>
    <w:rPr>
      <w:rFonts w:ascii="Times New Roman" w:hAnsi="Times New Roman" w:cs="Times New Roman"/>
      <w:b/>
      <w:sz w:val="28"/>
      <w:szCs w:val="28"/>
    </w:rPr>
  </w:style>
  <w:style w:type="paragraph" w:customStyle="1" w:styleId="affff6">
    <w:name w:val="Диаг или Таблица"/>
    <w:basedOn w:val="afffe"/>
    <w:link w:val="affff7"/>
    <w:qFormat/>
    <w:rsid w:val="00976DAC"/>
    <w:pPr>
      <w:keepNext/>
      <w:keepLines/>
    </w:pPr>
  </w:style>
  <w:style w:type="character" w:customStyle="1" w:styleId="affff7">
    <w:name w:val="Диаг или Таблица Знак"/>
    <w:basedOn w:val="affff"/>
    <w:link w:val="affff6"/>
    <w:rsid w:val="00976DAC"/>
    <w:rPr>
      <w:rFonts w:ascii="Times New Roman" w:hAnsi="Times New Roman" w:cs="Times New Roman"/>
      <w:sz w:val="24"/>
      <w:szCs w:val="24"/>
    </w:rPr>
  </w:style>
  <w:style w:type="character" w:customStyle="1" w:styleId="2f0">
    <w:name w:val="Неразрешенное упоминание2"/>
    <w:basedOn w:val="a1"/>
    <w:uiPriority w:val="99"/>
    <w:semiHidden/>
    <w:unhideWhenUsed/>
    <w:rsid w:val="00976DAC"/>
    <w:rPr>
      <w:color w:val="605E5C"/>
      <w:shd w:val="clear" w:color="auto" w:fill="E1DFDD"/>
    </w:rPr>
  </w:style>
  <w:style w:type="table" w:customStyle="1" w:styleId="150">
    <w:name w:val="Сетка таблицы15"/>
    <w:basedOn w:val="a2"/>
    <w:next w:val="a7"/>
    <w:uiPriority w:val="39"/>
    <w:rsid w:val="00773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2"/>
    <w:next w:val="a7"/>
    <w:uiPriority w:val="39"/>
    <w:rsid w:val="00786D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2"/>
    <w:next w:val="a7"/>
    <w:uiPriority w:val="39"/>
    <w:rsid w:val="00786D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2"/>
    <w:next w:val="a7"/>
    <w:uiPriority w:val="39"/>
    <w:rsid w:val="00786D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2"/>
    <w:next w:val="a7"/>
    <w:uiPriority w:val="39"/>
    <w:rsid w:val="00984D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2"/>
    <w:next w:val="a7"/>
    <w:uiPriority w:val="39"/>
    <w:rsid w:val="00E36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
    <w:basedOn w:val="a2"/>
    <w:next w:val="a7"/>
    <w:uiPriority w:val="39"/>
    <w:rsid w:val="00BB34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2"/>
    <w:next w:val="a7"/>
    <w:uiPriority w:val="39"/>
    <w:rsid w:val="005923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2"/>
    <w:next w:val="a7"/>
    <w:uiPriority w:val="39"/>
    <w:rsid w:val="00B245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2"/>
    <w:next w:val="a7"/>
    <w:uiPriority w:val="59"/>
    <w:rsid w:val="00EF04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3"/>
    <w:uiPriority w:val="99"/>
    <w:semiHidden/>
    <w:unhideWhenUsed/>
    <w:rsid w:val="00851FF9"/>
  </w:style>
  <w:style w:type="table" w:customStyle="1" w:styleId="260">
    <w:name w:val="Сетка таблицы26"/>
    <w:basedOn w:val="a2"/>
    <w:next w:val="a7"/>
    <w:uiPriority w:val="39"/>
    <w:rsid w:val="00851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rsid w:val="00851FF9"/>
    <w:pPr>
      <w:spacing w:after="0"/>
    </w:pPr>
    <w:rPr>
      <w:rFonts w:ascii="Arial" w:eastAsia="Arial" w:hAnsi="Arial" w:cs="Arial"/>
      <w:lang w:val="ru" w:eastAsia="ru-RU"/>
    </w:rPr>
    <w:tblPr>
      <w:tblCellMar>
        <w:top w:w="0" w:type="dxa"/>
        <w:left w:w="0" w:type="dxa"/>
        <w:bottom w:w="0" w:type="dxa"/>
        <w:right w:w="0" w:type="dxa"/>
      </w:tblCellMar>
    </w:tblPr>
  </w:style>
  <w:style w:type="table" w:customStyle="1" w:styleId="1100">
    <w:name w:val="Сетка таблицы110"/>
    <w:basedOn w:val="a2"/>
    <w:next w:val="a7"/>
    <w:uiPriority w:val="39"/>
    <w:rsid w:val="00851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Список-таблица 3 — акцент 113"/>
    <w:basedOn w:val="a2"/>
    <w:uiPriority w:val="48"/>
    <w:rsid w:val="00851FF9"/>
    <w:pPr>
      <w:spacing w:after="0" w:line="240" w:lineRule="auto"/>
    </w:p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3123">
    <w:name w:val="Список-таблица 3 — акцент 123"/>
    <w:basedOn w:val="a2"/>
    <w:uiPriority w:val="48"/>
    <w:rsid w:val="00851FF9"/>
    <w:pPr>
      <w:spacing w:after="0" w:line="240" w:lineRule="auto"/>
    </w:p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7313">
    <w:name w:val="Таблица-сетка 7 цветная — акцент 313"/>
    <w:basedOn w:val="a2"/>
    <w:uiPriority w:val="52"/>
    <w:rsid w:val="00851FF9"/>
    <w:pPr>
      <w:spacing w:after="0" w:line="240" w:lineRule="auto"/>
    </w:pPr>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1130">
    <w:name w:val="Сетка таблицы113"/>
    <w:basedOn w:val="a2"/>
    <w:next w:val="a7"/>
    <w:uiPriority w:val="39"/>
    <w:rsid w:val="00851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Таблица-сетка 4 — акцент 113"/>
    <w:basedOn w:val="a2"/>
    <w:uiPriority w:val="49"/>
    <w:rsid w:val="00851FF9"/>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31">
    <w:name w:val="Цветная таблица 23"/>
    <w:basedOn w:val="a2"/>
    <w:next w:val="2d"/>
    <w:rsid w:val="00851FF9"/>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232">
    <w:name w:val="Стиль23"/>
    <w:basedOn w:val="a2"/>
    <w:rsid w:val="00851FF9"/>
    <w:pPr>
      <w:spacing w:after="0" w:line="240" w:lineRule="auto"/>
    </w:pPr>
    <w:rPr>
      <w:rFonts w:ascii="Times New Roman" w:eastAsia="Times New Roman" w:hAnsi="Times New Roman" w:cs="Times New Roman"/>
      <w:sz w:val="20"/>
      <w:szCs w:val="20"/>
      <w:lang w:eastAsia="ru-RU"/>
    </w:rPr>
    <w:tblPr/>
  </w:style>
  <w:style w:type="table" w:customStyle="1" w:styleId="330">
    <w:name w:val="Столбцы таблицы 33"/>
    <w:basedOn w:val="a2"/>
    <w:next w:val="36"/>
    <w:rsid w:val="00851FF9"/>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233">
    <w:name w:val="Столбцы таблицы 23"/>
    <w:basedOn w:val="a2"/>
    <w:next w:val="2f"/>
    <w:rsid w:val="00851FF9"/>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3">
    <w:name w:val="Список-таблица 2 — акцент 413"/>
    <w:basedOn w:val="a2"/>
    <w:uiPriority w:val="47"/>
    <w:rsid w:val="00851FF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4212">
    <w:name w:val="Таблица-сетка 4 — акцент 212"/>
    <w:basedOn w:val="a2"/>
    <w:uiPriority w:val="49"/>
    <w:rsid w:val="00851FF9"/>
    <w:pPr>
      <w:spacing w:after="0" w:line="240" w:lineRule="auto"/>
    </w:p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4412">
    <w:name w:val="Таблица-сетка 4 — акцент 412"/>
    <w:basedOn w:val="a2"/>
    <w:uiPriority w:val="49"/>
    <w:rsid w:val="00851FF9"/>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numbering" w:customStyle="1" w:styleId="131">
    <w:name w:val="Нет списка13"/>
    <w:next w:val="a3"/>
    <w:uiPriority w:val="99"/>
    <w:semiHidden/>
    <w:unhideWhenUsed/>
    <w:rsid w:val="00851FF9"/>
  </w:style>
  <w:style w:type="table" w:customStyle="1" w:styleId="122">
    <w:name w:val="Сетка таблицы122"/>
    <w:basedOn w:val="a2"/>
    <w:next w:val="a7"/>
    <w:uiPriority w:val="39"/>
    <w:rsid w:val="00851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Список-таблица 3 — акцент 1112"/>
    <w:basedOn w:val="a2"/>
    <w:uiPriority w:val="48"/>
    <w:rsid w:val="00851FF9"/>
    <w:pPr>
      <w:spacing w:after="0" w:line="240" w:lineRule="auto"/>
    </w:p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270">
    <w:name w:val="Сетка таблицы27"/>
    <w:basedOn w:val="a2"/>
    <w:next w:val="a7"/>
    <w:uiPriority w:val="39"/>
    <w:rsid w:val="00851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2">
    <w:name w:val="Список-таблица 3 — акцент 1212"/>
    <w:basedOn w:val="a2"/>
    <w:uiPriority w:val="48"/>
    <w:rsid w:val="00851FF9"/>
    <w:pPr>
      <w:spacing w:after="0" w:line="240" w:lineRule="auto"/>
    </w:p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73112">
    <w:name w:val="Таблица-сетка 7 цветная — акцент 3112"/>
    <w:basedOn w:val="a2"/>
    <w:uiPriority w:val="52"/>
    <w:rsid w:val="00851FF9"/>
    <w:pPr>
      <w:spacing w:after="0" w:line="240" w:lineRule="auto"/>
    </w:pPr>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1112">
    <w:name w:val="Сетка таблицы1112"/>
    <w:basedOn w:val="a2"/>
    <w:next w:val="a7"/>
    <w:uiPriority w:val="39"/>
    <w:rsid w:val="00851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Таблица-сетка 4 — акцент 1112"/>
    <w:basedOn w:val="a2"/>
    <w:uiPriority w:val="49"/>
    <w:rsid w:val="00851FF9"/>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120">
    <w:name w:val="Цветная таблица 212"/>
    <w:basedOn w:val="a2"/>
    <w:next w:val="2d"/>
    <w:rsid w:val="00851FF9"/>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2121">
    <w:name w:val="Стиль212"/>
    <w:basedOn w:val="a2"/>
    <w:rsid w:val="00851FF9"/>
    <w:pPr>
      <w:spacing w:after="0" w:line="240" w:lineRule="auto"/>
    </w:pPr>
    <w:rPr>
      <w:rFonts w:ascii="Times New Roman" w:eastAsia="Times New Roman" w:hAnsi="Times New Roman" w:cs="Times New Roman"/>
      <w:sz w:val="20"/>
      <w:szCs w:val="20"/>
      <w:lang w:eastAsia="ru-RU"/>
    </w:rPr>
    <w:tblPr/>
  </w:style>
  <w:style w:type="table" w:customStyle="1" w:styleId="3120">
    <w:name w:val="Столбцы таблицы 312"/>
    <w:basedOn w:val="a2"/>
    <w:next w:val="36"/>
    <w:rsid w:val="00851FF9"/>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2122">
    <w:name w:val="Столбцы таблицы 212"/>
    <w:basedOn w:val="a2"/>
    <w:next w:val="2f"/>
    <w:rsid w:val="00851FF9"/>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12">
    <w:name w:val="Список-таблица 2 — акцент 4112"/>
    <w:basedOn w:val="a2"/>
    <w:uiPriority w:val="47"/>
    <w:rsid w:val="00851FF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numbering" w:customStyle="1" w:styleId="224">
    <w:name w:val="Нет списка22"/>
    <w:next w:val="a3"/>
    <w:uiPriority w:val="99"/>
    <w:semiHidden/>
    <w:unhideWhenUsed/>
    <w:rsid w:val="00851FF9"/>
  </w:style>
  <w:style w:type="table" w:customStyle="1" w:styleId="321">
    <w:name w:val="Сетка таблицы32"/>
    <w:basedOn w:val="a2"/>
    <w:next w:val="a7"/>
    <w:uiPriority w:val="39"/>
    <w:rsid w:val="00851FF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
    <w:name w:val="Нет списка32"/>
    <w:next w:val="a3"/>
    <w:uiPriority w:val="99"/>
    <w:semiHidden/>
    <w:unhideWhenUsed/>
    <w:rsid w:val="00851FF9"/>
  </w:style>
  <w:style w:type="table" w:customStyle="1" w:styleId="420">
    <w:name w:val="Сетка таблицы42"/>
    <w:basedOn w:val="a2"/>
    <w:next w:val="a7"/>
    <w:uiPriority w:val="39"/>
    <w:rsid w:val="00851FF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3"/>
    <w:uiPriority w:val="99"/>
    <w:semiHidden/>
    <w:unhideWhenUsed/>
    <w:rsid w:val="00851FF9"/>
  </w:style>
  <w:style w:type="table" w:customStyle="1" w:styleId="1310">
    <w:name w:val="Сетка таблицы131"/>
    <w:basedOn w:val="a2"/>
    <w:next w:val="a7"/>
    <w:uiPriority w:val="39"/>
    <w:rsid w:val="00851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Список-таблица 3 — акцент 1121"/>
    <w:basedOn w:val="a2"/>
    <w:uiPriority w:val="48"/>
    <w:rsid w:val="00851FF9"/>
    <w:pPr>
      <w:spacing w:after="0" w:line="240" w:lineRule="auto"/>
    </w:p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520">
    <w:name w:val="Сетка таблицы52"/>
    <w:basedOn w:val="a2"/>
    <w:next w:val="a7"/>
    <w:uiPriority w:val="39"/>
    <w:rsid w:val="00851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1">
    <w:name w:val="Список-таблица 3 — акцент 1221"/>
    <w:basedOn w:val="a2"/>
    <w:uiPriority w:val="48"/>
    <w:rsid w:val="00851FF9"/>
    <w:pPr>
      <w:spacing w:after="0" w:line="240" w:lineRule="auto"/>
    </w:p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73121">
    <w:name w:val="Таблица-сетка 7 цветная — акцент 3121"/>
    <w:basedOn w:val="a2"/>
    <w:uiPriority w:val="52"/>
    <w:rsid w:val="00851FF9"/>
    <w:pPr>
      <w:spacing w:after="0" w:line="240" w:lineRule="auto"/>
    </w:pPr>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1121">
    <w:name w:val="Сетка таблицы1121"/>
    <w:basedOn w:val="a2"/>
    <w:next w:val="a7"/>
    <w:uiPriority w:val="39"/>
    <w:rsid w:val="00851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
    <w:name w:val="Таблица-сетка 4 — акцент 1121"/>
    <w:basedOn w:val="a2"/>
    <w:uiPriority w:val="49"/>
    <w:rsid w:val="00851FF9"/>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210">
    <w:name w:val="Цветная таблица 221"/>
    <w:basedOn w:val="a2"/>
    <w:next w:val="2d"/>
    <w:rsid w:val="00851FF9"/>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2211">
    <w:name w:val="Стиль221"/>
    <w:basedOn w:val="a2"/>
    <w:rsid w:val="00851FF9"/>
    <w:pPr>
      <w:spacing w:after="0" w:line="240" w:lineRule="auto"/>
    </w:pPr>
    <w:rPr>
      <w:rFonts w:ascii="Times New Roman" w:eastAsia="Times New Roman" w:hAnsi="Times New Roman" w:cs="Times New Roman"/>
      <w:sz w:val="20"/>
      <w:szCs w:val="20"/>
      <w:lang w:eastAsia="ru-RU"/>
    </w:rPr>
    <w:tblPr/>
  </w:style>
  <w:style w:type="table" w:customStyle="1" w:styleId="3210">
    <w:name w:val="Столбцы таблицы 321"/>
    <w:basedOn w:val="a2"/>
    <w:next w:val="36"/>
    <w:rsid w:val="00851FF9"/>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2212">
    <w:name w:val="Столбцы таблицы 221"/>
    <w:basedOn w:val="a2"/>
    <w:next w:val="2f"/>
    <w:rsid w:val="00851FF9"/>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21">
    <w:name w:val="Список-таблица 2 — акцент 4121"/>
    <w:basedOn w:val="a2"/>
    <w:uiPriority w:val="47"/>
    <w:rsid w:val="00851FF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4221">
    <w:name w:val="Таблица-сетка 4 — акцент 221"/>
    <w:basedOn w:val="a2"/>
    <w:next w:val="-421"/>
    <w:uiPriority w:val="49"/>
    <w:rsid w:val="00851FF9"/>
    <w:pPr>
      <w:spacing w:after="0" w:line="240" w:lineRule="auto"/>
    </w:p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4421">
    <w:name w:val="Таблица-сетка 4 — акцент 421"/>
    <w:basedOn w:val="a2"/>
    <w:next w:val="-441"/>
    <w:uiPriority w:val="49"/>
    <w:rsid w:val="00851FF9"/>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numbering" w:customStyle="1" w:styleId="1113">
    <w:name w:val="Нет списка111"/>
    <w:next w:val="a3"/>
    <w:uiPriority w:val="99"/>
    <w:semiHidden/>
    <w:unhideWhenUsed/>
    <w:rsid w:val="00851FF9"/>
  </w:style>
  <w:style w:type="table" w:customStyle="1" w:styleId="1211">
    <w:name w:val="Сетка таблицы1211"/>
    <w:basedOn w:val="a2"/>
    <w:next w:val="a7"/>
    <w:uiPriority w:val="39"/>
    <w:rsid w:val="00851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
    <w:name w:val="Список-таблица 3 — акцент 11111"/>
    <w:basedOn w:val="a2"/>
    <w:uiPriority w:val="48"/>
    <w:rsid w:val="00851FF9"/>
    <w:pPr>
      <w:spacing w:after="0" w:line="240" w:lineRule="auto"/>
    </w:p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2113">
    <w:name w:val="Сетка таблицы211"/>
    <w:basedOn w:val="a2"/>
    <w:next w:val="a7"/>
    <w:uiPriority w:val="39"/>
    <w:rsid w:val="00851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1">
    <w:name w:val="Список-таблица 3 — акцент 12111"/>
    <w:basedOn w:val="a2"/>
    <w:uiPriority w:val="48"/>
    <w:rsid w:val="00851FF9"/>
    <w:pPr>
      <w:spacing w:after="0" w:line="240" w:lineRule="auto"/>
    </w:p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731111">
    <w:name w:val="Таблица-сетка 7 цветная — акцент 31111"/>
    <w:basedOn w:val="a2"/>
    <w:uiPriority w:val="52"/>
    <w:rsid w:val="00851FF9"/>
    <w:pPr>
      <w:spacing w:after="0" w:line="240" w:lineRule="auto"/>
    </w:pPr>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11111">
    <w:name w:val="Сетка таблицы11111"/>
    <w:basedOn w:val="a2"/>
    <w:next w:val="a7"/>
    <w:uiPriority w:val="39"/>
    <w:rsid w:val="00851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
    <w:name w:val="Таблица-сетка 4 — акцент 11111"/>
    <w:basedOn w:val="a2"/>
    <w:uiPriority w:val="49"/>
    <w:rsid w:val="00851FF9"/>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1110">
    <w:name w:val="Цветная таблица 2111"/>
    <w:basedOn w:val="a2"/>
    <w:next w:val="2d"/>
    <w:rsid w:val="00851FF9"/>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21111">
    <w:name w:val="Стиль2111"/>
    <w:basedOn w:val="a2"/>
    <w:rsid w:val="00851FF9"/>
    <w:pPr>
      <w:spacing w:after="0" w:line="240" w:lineRule="auto"/>
    </w:pPr>
    <w:rPr>
      <w:rFonts w:ascii="Times New Roman" w:eastAsia="Times New Roman" w:hAnsi="Times New Roman" w:cs="Times New Roman"/>
      <w:sz w:val="20"/>
      <w:szCs w:val="20"/>
      <w:lang w:eastAsia="ru-RU"/>
    </w:rPr>
    <w:tblPr/>
  </w:style>
  <w:style w:type="table" w:customStyle="1" w:styleId="3111">
    <w:name w:val="Столбцы таблицы 3111"/>
    <w:basedOn w:val="a2"/>
    <w:next w:val="36"/>
    <w:rsid w:val="00851FF9"/>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21112">
    <w:name w:val="Столбцы таблицы 2111"/>
    <w:basedOn w:val="a2"/>
    <w:next w:val="2f"/>
    <w:rsid w:val="00851FF9"/>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111">
    <w:name w:val="Список-таблица 2 — акцент 41111"/>
    <w:basedOn w:val="a2"/>
    <w:uiPriority w:val="47"/>
    <w:rsid w:val="00851FF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42111">
    <w:name w:val="Таблица-сетка 4 — акцент 2111"/>
    <w:basedOn w:val="a2"/>
    <w:next w:val="-421"/>
    <w:uiPriority w:val="49"/>
    <w:rsid w:val="00851FF9"/>
    <w:pPr>
      <w:spacing w:after="0" w:line="240" w:lineRule="auto"/>
    </w:p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44111">
    <w:name w:val="Таблица-сетка 4 — акцент 4111"/>
    <w:basedOn w:val="a2"/>
    <w:next w:val="-441"/>
    <w:uiPriority w:val="49"/>
    <w:rsid w:val="00851FF9"/>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numbering" w:customStyle="1" w:styleId="2114">
    <w:name w:val="Нет списка211"/>
    <w:next w:val="a3"/>
    <w:uiPriority w:val="99"/>
    <w:semiHidden/>
    <w:unhideWhenUsed/>
    <w:rsid w:val="00851FF9"/>
  </w:style>
  <w:style w:type="table" w:customStyle="1" w:styleId="3112">
    <w:name w:val="Сетка таблицы311"/>
    <w:basedOn w:val="a2"/>
    <w:next w:val="a7"/>
    <w:uiPriority w:val="39"/>
    <w:rsid w:val="00851FF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3">
    <w:name w:val="Нет списка311"/>
    <w:next w:val="a3"/>
    <w:uiPriority w:val="99"/>
    <w:semiHidden/>
    <w:unhideWhenUsed/>
    <w:rsid w:val="00851FF9"/>
  </w:style>
  <w:style w:type="table" w:customStyle="1" w:styleId="4110">
    <w:name w:val="Сетка таблицы411"/>
    <w:basedOn w:val="a2"/>
    <w:next w:val="a7"/>
    <w:uiPriority w:val="39"/>
    <w:rsid w:val="00851FF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2"/>
    <w:basedOn w:val="a2"/>
    <w:next w:val="a7"/>
    <w:uiPriority w:val="39"/>
    <w:rsid w:val="00851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2"/>
    <w:next w:val="a7"/>
    <w:uiPriority w:val="39"/>
    <w:rsid w:val="00C351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2"/>
    <w:next w:val="a7"/>
    <w:uiPriority w:val="39"/>
    <w:rsid w:val="003A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2"/>
    <w:next w:val="a7"/>
    <w:uiPriority w:val="39"/>
    <w:rsid w:val="005007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index 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index heading" w:qFormat="1"/>
    <w:lsdException w:name="caption" w:uiPriority="35" w:qFormat="1"/>
    <w:lsdException w:name="annotation reference" w:qFormat="1"/>
    <w:lsdException w:name="page number" w:uiPriority="0"/>
    <w:lsdException w:name="List"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2" w:qFormat="1"/>
    <w:lsdException w:name="Body Text 3" w:qFormat="1"/>
    <w:lsdException w:name="Strong" w:semiHidden="0" w:uiPriority="22" w:unhideWhenUsed="0" w:qFormat="1"/>
    <w:lsdException w:name="Emphasis" w:semiHidden="0" w:uiPriority="20" w:unhideWhenUsed="0" w:qFormat="1"/>
    <w:lsdException w:name="Plain Text" w:uiPriority="0"/>
    <w:lsdException w:name="Normal (Web)" w:qFormat="1"/>
    <w:lsdException w:name="annotation subject" w:qFormat="1"/>
    <w:lsdException w:name="Table Colorful 2" w:uiPriority="0"/>
    <w:lsdException w:name="Table Columns 2" w:uiPriority="0"/>
    <w:lsdException w:name="Table Columns 3" w:uiPriority="0"/>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0824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0"/>
    <w:link w:val="21"/>
    <w:uiPriority w:val="9"/>
    <w:qFormat/>
    <w:rsid w:val="002237B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0"/>
    <w:next w:val="a0"/>
    <w:link w:val="30"/>
    <w:uiPriority w:val="9"/>
    <w:unhideWhenUsed/>
    <w:qFormat/>
    <w:rsid w:val="000824A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qFormat/>
    <w:rsid w:val="002237BB"/>
    <w:pPr>
      <w:keepNext/>
      <w:spacing w:after="0" w:line="240" w:lineRule="auto"/>
      <w:jc w:val="center"/>
      <w:outlineLvl w:val="3"/>
    </w:pPr>
    <w:rPr>
      <w:rFonts w:ascii="Times New Roman" w:eastAsia="Times New Roman" w:hAnsi="Times New Roman" w:cs="Times New Roman"/>
      <w:b/>
      <w:sz w:val="24"/>
      <w:szCs w:val="20"/>
      <w:lang w:eastAsia="ru-RU"/>
    </w:rPr>
  </w:style>
  <w:style w:type="paragraph" w:styleId="5">
    <w:name w:val="heading 5"/>
    <w:basedOn w:val="a0"/>
    <w:next w:val="a0"/>
    <w:link w:val="50"/>
    <w:uiPriority w:val="9"/>
    <w:qFormat/>
    <w:rsid w:val="002237BB"/>
    <w:pPr>
      <w:keepNext/>
      <w:spacing w:after="0" w:line="240" w:lineRule="auto"/>
      <w:outlineLvl w:val="4"/>
    </w:pPr>
    <w:rPr>
      <w:rFonts w:ascii="Times New Roman" w:eastAsia="Times New Roman" w:hAnsi="Times New Roman" w:cs="Times New Roman"/>
      <w:sz w:val="24"/>
      <w:szCs w:val="20"/>
      <w:lang w:eastAsia="ru-RU"/>
    </w:rPr>
  </w:style>
  <w:style w:type="paragraph" w:styleId="6">
    <w:name w:val="heading 6"/>
    <w:basedOn w:val="a0"/>
    <w:next w:val="a0"/>
    <w:link w:val="60"/>
    <w:uiPriority w:val="9"/>
    <w:qFormat/>
    <w:rsid w:val="002237BB"/>
    <w:pPr>
      <w:keepNext/>
      <w:spacing w:after="0" w:line="240" w:lineRule="auto"/>
      <w:outlineLvl w:val="5"/>
    </w:pPr>
    <w:rPr>
      <w:rFonts w:ascii="Times New Roman" w:eastAsia="Times New Roman" w:hAnsi="Times New Roman" w:cs="Times New Roman"/>
      <w:sz w:val="28"/>
      <w:szCs w:val="20"/>
      <w:lang w:eastAsia="ru-RU"/>
    </w:rPr>
  </w:style>
  <w:style w:type="paragraph" w:styleId="7">
    <w:name w:val="heading 7"/>
    <w:basedOn w:val="a0"/>
    <w:next w:val="a0"/>
    <w:link w:val="70"/>
    <w:qFormat/>
    <w:rsid w:val="002237BB"/>
    <w:pPr>
      <w:keepNext/>
      <w:spacing w:after="0" w:line="240" w:lineRule="auto"/>
      <w:jc w:val="center"/>
      <w:outlineLvl w:val="6"/>
    </w:pPr>
    <w:rPr>
      <w:rFonts w:ascii="Times New Roman" w:eastAsia="Times New Roman" w:hAnsi="Times New Roman" w:cs="Times New Roman"/>
      <w:b/>
      <w:color w:val="800000"/>
      <w:szCs w:val="20"/>
      <w:lang w:eastAsia="ru-RU"/>
    </w:rPr>
  </w:style>
  <w:style w:type="paragraph" w:styleId="8">
    <w:name w:val="heading 8"/>
    <w:basedOn w:val="a0"/>
    <w:next w:val="a0"/>
    <w:link w:val="80"/>
    <w:qFormat/>
    <w:rsid w:val="002237BB"/>
    <w:pPr>
      <w:keepNext/>
      <w:spacing w:after="0" w:line="240" w:lineRule="auto"/>
      <w:jc w:val="both"/>
      <w:outlineLvl w:val="7"/>
    </w:pPr>
    <w:rPr>
      <w:rFonts w:ascii="Times New Roman" w:eastAsia="Times New Roman" w:hAnsi="Times New Roman" w:cs="Times New Roman"/>
      <w:sz w:val="24"/>
      <w:szCs w:val="20"/>
      <w:lang w:eastAsia="ru-RU"/>
    </w:rPr>
  </w:style>
  <w:style w:type="paragraph" w:styleId="9">
    <w:name w:val="heading 9"/>
    <w:basedOn w:val="a0"/>
    <w:next w:val="a0"/>
    <w:link w:val="90"/>
    <w:qFormat/>
    <w:rsid w:val="002237BB"/>
    <w:pPr>
      <w:keepNext/>
      <w:spacing w:after="0" w:line="240" w:lineRule="auto"/>
      <w:jc w:val="center"/>
      <w:outlineLvl w:val="8"/>
    </w:pPr>
    <w:rPr>
      <w:rFonts w:ascii="Times New Roman" w:eastAsia="Times New Roman" w:hAnsi="Times New Roman" w:cs="Times New Roman"/>
      <w:b/>
      <w:snapToGrid w:val="0"/>
      <w:color w:val="00000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qFormat/>
    <w:rsid w:val="000824A7"/>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1"/>
    <w:link w:val="3"/>
    <w:uiPriority w:val="9"/>
    <w:qFormat/>
    <w:rsid w:val="000824A7"/>
    <w:rPr>
      <w:rFonts w:asciiTheme="majorHAnsi" w:eastAsiaTheme="majorEastAsia" w:hAnsiTheme="majorHAnsi" w:cstheme="majorBidi"/>
      <w:b/>
      <w:bCs/>
      <w:color w:val="4F81BD" w:themeColor="accent1"/>
    </w:rPr>
  </w:style>
  <w:style w:type="paragraph" w:styleId="a4">
    <w:name w:val="List Paragraph"/>
    <w:aliases w:val="Варианты ответов,Список нумерованный цифры,Абзац списка2,Bullet List,FooterText,numbered,Table-Normal,RSHB_Table-Normal,Paragraphe de liste1,lp1,ПАРАГРАФ,SL_Абзац списка,Нумерованый список,СпБезКС,Use Case List Paragraph,1,UL"/>
    <w:basedOn w:val="a0"/>
    <w:link w:val="a5"/>
    <w:uiPriority w:val="34"/>
    <w:qFormat/>
    <w:rsid w:val="000824A7"/>
    <w:pPr>
      <w:ind w:left="720"/>
      <w:contextualSpacing/>
    </w:pPr>
  </w:style>
  <w:style w:type="character" w:styleId="a6">
    <w:name w:val="Hyperlink"/>
    <w:basedOn w:val="a1"/>
    <w:uiPriority w:val="99"/>
    <w:unhideWhenUsed/>
    <w:rsid w:val="000824A7"/>
    <w:rPr>
      <w:color w:val="0000FF" w:themeColor="hyperlink"/>
      <w:u w:val="single"/>
    </w:rPr>
  </w:style>
  <w:style w:type="table" w:styleId="a7">
    <w:name w:val="Table Grid"/>
    <w:basedOn w:val="a2"/>
    <w:uiPriority w:val="59"/>
    <w:rsid w:val="00082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0"/>
    <w:link w:val="a9"/>
    <w:uiPriority w:val="99"/>
    <w:semiHidden/>
    <w:unhideWhenUsed/>
    <w:qFormat/>
    <w:rsid w:val="000824A7"/>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qFormat/>
    <w:rsid w:val="000824A7"/>
    <w:rPr>
      <w:rFonts w:ascii="Tahoma" w:hAnsi="Tahoma" w:cs="Tahoma"/>
      <w:sz w:val="16"/>
      <w:szCs w:val="16"/>
    </w:rPr>
  </w:style>
  <w:style w:type="paragraph" w:styleId="aa">
    <w:name w:val="Normal (Web)"/>
    <w:aliases w:val="Обычный (Web),Обычный (Web)1,Обычный (Web) Знак,Обычный (веб) Знак Знак Знак,Обычный (веб) Знак Знак,Обычный (Web)11,Обычный (веб)1,Обычный (веб)11,Обычный (веб)111 Знак Знак,Обычный (Web) Знак Знак Знак Знак,Обычный (We,Обычный (W,Знак"/>
    <w:basedOn w:val="a0"/>
    <w:uiPriority w:val="99"/>
    <w:unhideWhenUsed/>
    <w:qFormat/>
    <w:rsid w:val="000824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1"/>
    <w:qFormat/>
    <w:rsid w:val="000824A7"/>
  </w:style>
  <w:style w:type="character" w:styleId="ab">
    <w:name w:val="Strong"/>
    <w:basedOn w:val="a1"/>
    <w:uiPriority w:val="22"/>
    <w:qFormat/>
    <w:rsid w:val="000824A7"/>
    <w:rPr>
      <w:b/>
      <w:bCs/>
    </w:rPr>
  </w:style>
  <w:style w:type="paragraph" w:styleId="ac">
    <w:name w:val="header"/>
    <w:basedOn w:val="a0"/>
    <w:link w:val="ad"/>
    <w:uiPriority w:val="99"/>
    <w:unhideWhenUsed/>
    <w:rsid w:val="000824A7"/>
    <w:pPr>
      <w:tabs>
        <w:tab w:val="center" w:pos="4677"/>
        <w:tab w:val="right" w:pos="9355"/>
      </w:tabs>
      <w:spacing w:after="0" w:line="240" w:lineRule="auto"/>
    </w:pPr>
  </w:style>
  <w:style w:type="character" w:customStyle="1" w:styleId="ad">
    <w:name w:val="Верхний колонтитул Знак"/>
    <w:basedOn w:val="a1"/>
    <w:link w:val="ac"/>
    <w:uiPriority w:val="99"/>
    <w:qFormat/>
    <w:rsid w:val="000824A7"/>
  </w:style>
  <w:style w:type="paragraph" w:styleId="ae">
    <w:name w:val="footer"/>
    <w:basedOn w:val="a0"/>
    <w:link w:val="af"/>
    <w:uiPriority w:val="99"/>
    <w:unhideWhenUsed/>
    <w:rsid w:val="000824A7"/>
    <w:pPr>
      <w:tabs>
        <w:tab w:val="center" w:pos="4677"/>
        <w:tab w:val="right" w:pos="9355"/>
      </w:tabs>
      <w:spacing w:after="0" w:line="240" w:lineRule="auto"/>
    </w:pPr>
  </w:style>
  <w:style w:type="character" w:customStyle="1" w:styleId="af">
    <w:name w:val="Нижний колонтитул Знак"/>
    <w:basedOn w:val="a1"/>
    <w:link w:val="ae"/>
    <w:uiPriority w:val="99"/>
    <w:qFormat/>
    <w:rsid w:val="000824A7"/>
  </w:style>
  <w:style w:type="character" w:customStyle="1" w:styleId="ListParagraphChar">
    <w:name w:val="List Paragraph Char"/>
    <w:link w:val="11"/>
    <w:locked/>
    <w:rsid w:val="000824A7"/>
    <w:rPr>
      <w:rFonts w:ascii="Calibri" w:hAnsi="Calibri"/>
      <w:sz w:val="24"/>
    </w:rPr>
  </w:style>
  <w:style w:type="paragraph" w:customStyle="1" w:styleId="11">
    <w:name w:val="Абзац списка1"/>
    <w:basedOn w:val="a0"/>
    <w:link w:val="ListParagraphChar"/>
    <w:uiPriority w:val="99"/>
    <w:qFormat/>
    <w:rsid w:val="000824A7"/>
    <w:pPr>
      <w:spacing w:after="0" w:line="240" w:lineRule="auto"/>
      <w:ind w:left="720"/>
      <w:contextualSpacing/>
    </w:pPr>
    <w:rPr>
      <w:rFonts w:ascii="Calibri" w:hAnsi="Calibri"/>
      <w:sz w:val="24"/>
    </w:rPr>
  </w:style>
  <w:style w:type="paragraph" w:customStyle="1" w:styleId="a">
    <w:name w:val="Стиль для нумерованного списка"/>
    <w:basedOn w:val="a0"/>
    <w:next w:val="a0"/>
    <w:qFormat/>
    <w:rsid w:val="000824A7"/>
    <w:pPr>
      <w:numPr>
        <w:numId w:val="1"/>
      </w:numPr>
      <w:tabs>
        <w:tab w:val="left" w:pos="993"/>
      </w:tabs>
      <w:spacing w:after="0" w:line="240" w:lineRule="auto"/>
      <w:ind w:left="0" w:firstLine="709"/>
      <w:jc w:val="both"/>
    </w:pPr>
    <w:rPr>
      <w:rFonts w:ascii="Times New Roman" w:eastAsia="Calibri" w:hAnsi="Times New Roman" w:cs="Sylfaen"/>
      <w:sz w:val="28"/>
      <w:szCs w:val="28"/>
    </w:rPr>
  </w:style>
  <w:style w:type="table" w:customStyle="1" w:styleId="12">
    <w:name w:val="Сетка таблицы1"/>
    <w:basedOn w:val="a2"/>
    <w:next w:val="a7"/>
    <w:uiPriority w:val="39"/>
    <w:rsid w:val="00082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uiPriority w:val="99"/>
    <w:qFormat/>
    <w:rsid w:val="000824A7"/>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tyle01">
    <w:name w:val="fontstyle01"/>
    <w:basedOn w:val="a1"/>
    <w:rsid w:val="000824A7"/>
    <w:rPr>
      <w:rFonts w:ascii="TimesNewRomanPS-BoldMT" w:hAnsi="TimesNewRomanPS-BoldMT" w:hint="default"/>
      <w:b/>
      <w:bCs/>
      <w:i w:val="0"/>
      <w:iCs w:val="0"/>
      <w:color w:val="000000"/>
      <w:sz w:val="28"/>
      <w:szCs w:val="28"/>
    </w:rPr>
  </w:style>
  <w:style w:type="character" w:customStyle="1" w:styleId="a5">
    <w:name w:val="Абзац списка Знак"/>
    <w:aliases w:val="Варианты ответов Знак,Список нумерованный цифры Знак,Абзац списка2 Знак,Bullet List Знак,FooterText Знак,numbered Знак,Table-Normal Знак,RSHB_Table-Normal Знак,Paragraphe de liste1 Знак,lp1 Знак,ПАРАГРАФ Знак,SL_Абзац списка Знак"/>
    <w:link w:val="a4"/>
    <w:uiPriority w:val="34"/>
    <w:qFormat/>
    <w:locked/>
    <w:rsid w:val="000824A7"/>
  </w:style>
  <w:style w:type="paragraph" w:customStyle="1" w:styleId="ConsPlusNormal">
    <w:name w:val="ConsPlusNormal"/>
    <w:rsid w:val="000824A7"/>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styleId="af0">
    <w:name w:val="annotation reference"/>
    <w:basedOn w:val="a1"/>
    <w:uiPriority w:val="99"/>
    <w:semiHidden/>
    <w:unhideWhenUsed/>
    <w:qFormat/>
    <w:rsid w:val="000824A7"/>
    <w:rPr>
      <w:sz w:val="16"/>
      <w:szCs w:val="16"/>
    </w:rPr>
  </w:style>
  <w:style w:type="paragraph" w:styleId="af1">
    <w:name w:val="annotation text"/>
    <w:basedOn w:val="a0"/>
    <w:link w:val="af2"/>
    <w:uiPriority w:val="99"/>
    <w:unhideWhenUsed/>
    <w:qFormat/>
    <w:rsid w:val="000824A7"/>
    <w:pPr>
      <w:spacing w:line="240" w:lineRule="auto"/>
    </w:pPr>
    <w:rPr>
      <w:sz w:val="20"/>
      <w:szCs w:val="20"/>
    </w:rPr>
  </w:style>
  <w:style w:type="character" w:customStyle="1" w:styleId="af2">
    <w:name w:val="Текст примечания Знак"/>
    <w:basedOn w:val="a1"/>
    <w:link w:val="af1"/>
    <w:uiPriority w:val="99"/>
    <w:qFormat/>
    <w:rsid w:val="000824A7"/>
    <w:rPr>
      <w:sz w:val="20"/>
      <w:szCs w:val="20"/>
    </w:rPr>
  </w:style>
  <w:style w:type="paragraph" w:styleId="af3">
    <w:name w:val="annotation subject"/>
    <w:basedOn w:val="af1"/>
    <w:next w:val="af1"/>
    <w:link w:val="af4"/>
    <w:uiPriority w:val="99"/>
    <w:semiHidden/>
    <w:unhideWhenUsed/>
    <w:qFormat/>
    <w:rsid w:val="000824A7"/>
    <w:rPr>
      <w:b/>
      <w:bCs/>
    </w:rPr>
  </w:style>
  <w:style w:type="character" w:customStyle="1" w:styleId="af4">
    <w:name w:val="Тема примечания Знак"/>
    <w:basedOn w:val="af2"/>
    <w:link w:val="af3"/>
    <w:uiPriority w:val="99"/>
    <w:semiHidden/>
    <w:qFormat/>
    <w:rsid w:val="000824A7"/>
    <w:rPr>
      <w:b/>
      <w:bCs/>
      <w:sz w:val="20"/>
      <w:szCs w:val="20"/>
    </w:rPr>
  </w:style>
  <w:style w:type="paragraph" w:styleId="af5">
    <w:name w:val="endnote text"/>
    <w:basedOn w:val="a0"/>
    <w:link w:val="af6"/>
    <w:uiPriority w:val="99"/>
    <w:semiHidden/>
    <w:unhideWhenUsed/>
    <w:rsid w:val="000824A7"/>
    <w:pPr>
      <w:spacing w:after="0" w:line="240" w:lineRule="auto"/>
    </w:pPr>
    <w:rPr>
      <w:sz w:val="20"/>
      <w:szCs w:val="20"/>
    </w:rPr>
  </w:style>
  <w:style w:type="character" w:customStyle="1" w:styleId="af6">
    <w:name w:val="Текст концевой сноски Знак"/>
    <w:basedOn w:val="a1"/>
    <w:link w:val="af5"/>
    <w:uiPriority w:val="99"/>
    <w:semiHidden/>
    <w:rsid w:val="000824A7"/>
    <w:rPr>
      <w:sz w:val="20"/>
      <w:szCs w:val="20"/>
    </w:rPr>
  </w:style>
  <w:style w:type="character" w:styleId="af7">
    <w:name w:val="endnote reference"/>
    <w:basedOn w:val="a1"/>
    <w:uiPriority w:val="99"/>
    <w:semiHidden/>
    <w:unhideWhenUsed/>
    <w:rsid w:val="000824A7"/>
    <w:rPr>
      <w:vertAlign w:val="superscript"/>
    </w:rPr>
  </w:style>
  <w:style w:type="paragraph" w:styleId="af8">
    <w:name w:val="footnote text"/>
    <w:aliases w:val="Текст сноски Знак1 Знак,Текст сноски Знак Знак Знак,Footnote Text Char Знак Знак,Footnote Text Char Знак,FSR footnote,lábléc,Footnote Text Char Char Char Char Char Char,Footnote Text Char2 Char,Footnote Text Char1 Char"/>
    <w:basedOn w:val="a0"/>
    <w:link w:val="af9"/>
    <w:uiPriority w:val="99"/>
    <w:unhideWhenUsed/>
    <w:rsid w:val="000824A7"/>
    <w:pPr>
      <w:spacing w:after="0" w:line="240" w:lineRule="auto"/>
    </w:pPr>
    <w:rPr>
      <w:sz w:val="20"/>
      <w:szCs w:val="20"/>
    </w:rPr>
  </w:style>
  <w:style w:type="character" w:customStyle="1" w:styleId="af9">
    <w:name w:val="Текст сноски Знак"/>
    <w:aliases w:val="Текст сноски Знак1 Знак Знак,Текст сноски Знак Знак Знак Знак,Footnote Text Char Знак Знак Знак,Footnote Text Char Знак Знак1,FSR footnote Знак,lábléc Знак,Footnote Text Char Char Char Char Char Char Знак,Footnote Text Char2 Char Знак"/>
    <w:basedOn w:val="a1"/>
    <w:link w:val="af8"/>
    <w:uiPriority w:val="99"/>
    <w:qFormat/>
    <w:rsid w:val="000824A7"/>
    <w:rPr>
      <w:sz w:val="20"/>
      <w:szCs w:val="20"/>
    </w:rPr>
  </w:style>
  <w:style w:type="character" w:styleId="afa">
    <w:name w:val="footnote reference"/>
    <w:aliases w:val="Знак сноски 1,Ciae niinee 1"/>
    <w:basedOn w:val="a1"/>
    <w:uiPriority w:val="99"/>
    <w:unhideWhenUsed/>
    <w:rsid w:val="000824A7"/>
    <w:rPr>
      <w:vertAlign w:val="superscript"/>
    </w:rPr>
  </w:style>
  <w:style w:type="character" w:customStyle="1" w:styleId="41">
    <w:name w:val="Основной текст4"/>
    <w:basedOn w:val="a1"/>
    <w:rsid w:val="000824A7"/>
    <w:rPr>
      <w:rFonts w:ascii="Times New Roman" w:eastAsia="Times New Roman" w:hAnsi="Times New Roman" w:cs="Times New Roman"/>
      <w:b/>
      <w:bCs/>
      <w:color w:val="000000"/>
      <w:spacing w:val="0"/>
      <w:w w:val="100"/>
      <w:position w:val="0"/>
      <w:sz w:val="17"/>
      <w:szCs w:val="17"/>
      <w:shd w:val="clear" w:color="auto" w:fill="FFFFFF"/>
      <w:lang w:val="ru-RU" w:eastAsia="ru-RU" w:bidi="ru-RU"/>
    </w:rPr>
  </w:style>
  <w:style w:type="table" w:customStyle="1" w:styleId="22">
    <w:name w:val="Сетка таблицы2"/>
    <w:basedOn w:val="a2"/>
    <w:next w:val="a7"/>
    <w:uiPriority w:val="39"/>
    <w:rsid w:val="00082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2">
    <w:name w:val="Основной текст (4)_"/>
    <w:basedOn w:val="a1"/>
    <w:link w:val="43"/>
    <w:rsid w:val="000824A7"/>
    <w:rPr>
      <w:rFonts w:ascii="Times New Roman" w:eastAsia="Times New Roman" w:hAnsi="Times New Roman" w:cs="Times New Roman"/>
      <w:sz w:val="26"/>
      <w:szCs w:val="26"/>
      <w:shd w:val="clear" w:color="auto" w:fill="FFFFFF"/>
    </w:rPr>
  </w:style>
  <w:style w:type="character" w:customStyle="1" w:styleId="afb">
    <w:name w:val="Основной текст_"/>
    <w:basedOn w:val="a1"/>
    <w:link w:val="23"/>
    <w:rsid w:val="000824A7"/>
    <w:rPr>
      <w:rFonts w:ascii="Times New Roman" w:eastAsia="Times New Roman" w:hAnsi="Times New Roman" w:cs="Times New Roman"/>
      <w:i/>
      <w:iCs/>
      <w:sz w:val="26"/>
      <w:szCs w:val="26"/>
      <w:shd w:val="clear" w:color="auto" w:fill="FFFFFF"/>
    </w:rPr>
  </w:style>
  <w:style w:type="character" w:customStyle="1" w:styleId="13">
    <w:name w:val="Заголовок №1_"/>
    <w:basedOn w:val="a1"/>
    <w:link w:val="14"/>
    <w:rsid w:val="000824A7"/>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0824A7"/>
    <w:pPr>
      <w:widowControl w:val="0"/>
      <w:shd w:val="clear" w:color="auto" w:fill="FFFFFF"/>
      <w:spacing w:before="60" w:after="60" w:line="322" w:lineRule="exact"/>
      <w:ind w:hanging="360"/>
      <w:jc w:val="both"/>
    </w:pPr>
    <w:rPr>
      <w:rFonts w:ascii="Times New Roman" w:eastAsia="Times New Roman" w:hAnsi="Times New Roman" w:cs="Times New Roman"/>
      <w:sz w:val="26"/>
      <w:szCs w:val="26"/>
    </w:rPr>
  </w:style>
  <w:style w:type="paragraph" w:customStyle="1" w:styleId="23">
    <w:name w:val="Основной текст2"/>
    <w:basedOn w:val="a0"/>
    <w:link w:val="afb"/>
    <w:rsid w:val="000824A7"/>
    <w:pPr>
      <w:widowControl w:val="0"/>
      <w:shd w:val="clear" w:color="auto" w:fill="FFFFFF"/>
      <w:spacing w:before="60" w:after="360" w:line="322" w:lineRule="exact"/>
      <w:jc w:val="both"/>
    </w:pPr>
    <w:rPr>
      <w:rFonts w:ascii="Times New Roman" w:eastAsia="Times New Roman" w:hAnsi="Times New Roman" w:cs="Times New Roman"/>
      <w:i/>
      <w:iCs/>
      <w:sz w:val="26"/>
      <w:szCs w:val="26"/>
    </w:rPr>
  </w:style>
  <w:style w:type="paragraph" w:customStyle="1" w:styleId="14">
    <w:name w:val="Заголовок №1"/>
    <w:basedOn w:val="a0"/>
    <w:link w:val="13"/>
    <w:rsid w:val="000824A7"/>
    <w:pPr>
      <w:widowControl w:val="0"/>
      <w:shd w:val="clear" w:color="auto" w:fill="FFFFFF"/>
      <w:spacing w:before="480" w:after="360" w:line="0" w:lineRule="atLeast"/>
      <w:jc w:val="both"/>
      <w:outlineLvl w:val="0"/>
    </w:pPr>
    <w:rPr>
      <w:rFonts w:ascii="Times New Roman" w:eastAsia="Times New Roman" w:hAnsi="Times New Roman" w:cs="Times New Roman"/>
      <w:b/>
      <w:bCs/>
      <w:sz w:val="26"/>
      <w:szCs w:val="26"/>
    </w:rPr>
  </w:style>
  <w:style w:type="character" w:styleId="afc">
    <w:name w:val="FollowedHyperlink"/>
    <w:basedOn w:val="a1"/>
    <w:uiPriority w:val="99"/>
    <w:semiHidden/>
    <w:unhideWhenUsed/>
    <w:rsid w:val="000824A7"/>
    <w:rPr>
      <w:color w:val="800080" w:themeColor="followedHyperlink"/>
      <w:u w:val="single"/>
    </w:rPr>
  </w:style>
  <w:style w:type="table" w:customStyle="1" w:styleId="31">
    <w:name w:val="Сетка таблицы3"/>
    <w:basedOn w:val="a2"/>
    <w:next w:val="a7"/>
    <w:uiPriority w:val="39"/>
    <w:rsid w:val="00082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
    <w:name w:val="Нет списка1"/>
    <w:next w:val="a3"/>
    <w:uiPriority w:val="99"/>
    <w:semiHidden/>
    <w:unhideWhenUsed/>
    <w:rsid w:val="000824A7"/>
  </w:style>
  <w:style w:type="character" w:customStyle="1" w:styleId="afd">
    <w:name w:val="Сноска_"/>
    <w:basedOn w:val="a1"/>
    <w:link w:val="afe"/>
    <w:rsid w:val="000824A7"/>
    <w:rPr>
      <w:rFonts w:ascii="Times New Roman" w:eastAsia="Times New Roman" w:hAnsi="Times New Roman" w:cs="Times New Roman"/>
      <w:sz w:val="18"/>
      <w:szCs w:val="18"/>
      <w:shd w:val="clear" w:color="auto" w:fill="FFFFFF"/>
    </w:rPr>
  </w:style>
  <w:style w:type="character" w:customStyle="1" w:styleId="24">
    <w:name w:val="Основной текст (2)_"/>
    <w:basedOn w:val="a1"/>
    <w:link w:val="25"/>
    <w:rsid w:val="000824A7"/>
    <w:rPr>
      <w:rFonts w:ascii="Times New Roman" w:eastAsia="Times New Roman" w:hAnsi="Times New Roman" w:cs="Times New Roman"/>
      <w:b/>
      <w:bCs/>
      <w:sz w:val="30"/>
      <w:szCs w:val="30"/>
      <w:shd w:val="clear" w:color="auto" w:fill="FFFFFF"/>
    </w:rPr>
  </w:style>
  <w:style w:type="character" w:customStyle="1" w:styleId="aff">
    <w:name w:val="Колонтитул_"/>
    <w:basedOn w:val="a1"/>
    <w:rsid w:val="000824A7"/>
    <w:rPr>
      <w:rFonts w:ascii="Times New Roman" w:eastAsia="Times New Roman" w:hAnsi="Times New Roman" w:cs="Times New Roman"/>
      <w:b/>
      <w:bCs/>
      <w:i w:val="0"/>
      <w:iCs w:val="0"/>
      <w:smallCaps w:val="0"/>
      <w:strike w:val="0"/>
      <w:sz w:val="20"/>
      <w:szCs w:val="20"/>
      <w:u w:val="none"/>
    </w:rPr>
  </w:style>
  <w:style w:type="character" w:customStyle="1" w:styleId="aff0">
    <w:name w:val="Колонтитул"/>
    <w:basedOn w:val="aff"/>
    <w:rsid w:val="000824A7"/>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32">
    <w:name w:val="Основной текст (3)_"/>
    <w:basedOn w:val="a1"/>
    <w:link w:val="33"/>
    <w:rsid w:val="000824A7"/>
    <w:rPr>
      <w:rFonts w:ascii="Times New Roman" w:eastAsia="Times New Roman" w:hAnsi="Times New Roman" w:cs="Times New Roman"/>
      <w:b/>
      <w:bCs/>
      <w:sz w:val="26"/>
      <w:szCs w:val="26"/>
      <w:shd w:val="clear" w:color="auto" w:fill="FFFFFF"/>
    </w:rPr>
  </w:style>
  <w:style w:type="character" w:customStyle="1" w:styleId="aff1">
    <w:name w:val="Основной текст + Не курсив"/>
    <w:basedOn w:val="afb"/>
    <w:rsid w:val="000824A7"/>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51">
    <w:name w:val="Основной текст (5)_"/>
    <w:basedOn w:val="a1"/>
    <w:link w:val="52"/>
    <w:rsid w:val="000824A7"/>
    <w:rPr>
      <w:rFonts w:ascii="Times New Roman" w:eastAsia="Times New Roman" w:hAnsi="Times New Roman" w:cs="Times New Roman"/>
      <w:sz w:val="18"/>
      <w:szCs w:val="18"/>
      <w:shd w:val="clear" w:color="auto" w:fill="FFFFFF"/>
    </w:rPr>
  </w:style>
  <w:style w:type="character" w:customStyle="1" w:styleId="16">
    <w:name w:val="Основной текст1"/>
    <w:basedOn w:val="afb"/>
    <w:rsid w:val="000824A7"/>
    <w:rPr>
      <w:rFonts w:ascii="Times New Roman" w:eastAsia="Times New Roman" w:hAnsi="Times New Roman" w:cs="Times New Roman"/>
      <w:b w:val="0"/>
      <w:bCs w:val="0"/>
      <w:i/>
      <w:iCs/>
      <w:smallCaps w:val="0"/>
      <w:strike w:val="0"/>
      <w:color w:val="000000"/>
      <w:spacing w:val="0"/>
      <w:w w:val="100"/>
      <w:position w:val="0"/>
      <w:sz w:val="26"/>
      <w:szCs w:val="26"/>
      <w:u w:val="single"/>
      <w:shd w:val="clear" w:color="auto" w:fill="FFFFFF"/>
      <w:lang w:val="ru-RU" w:eastAsia="ru-RU" w:bidi="ru-RU"/>
    </w:rPr>
  </w:style>
  <w:style w:type="character" w:customStyle="1" w:styleId="85pt">
    <w:name w:val="Основной текст + 8;5 pt;Полужирный;Не курсив"/>
    <w:basedOn w:val="afb"/>
    <w:rsid w:val="000824A7"/>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ru-RU" w:eastAsia="ru-RU" w:bidi="ru-RU"/>
    </w:rPr>
  </w:style>
  <w:style w:type="character" w:customStyle="1" w:styleId="85pt0">
    <w:name w:val="Основной текст + 8;5 pt"/>
    <w:basedOn w:val="afb"/>
    <w:rsid w:val="000824A7"/>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115pt">
    <w:name w:val="Основной текст + 11;5 pt;Не курсив"/>
    <w:basedOn w:val="afb"/>
    <w:rsid w:val="000824A7"/>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115pt0">
    <w:name w:val="Основной текст + 11;5 pt"/>
    <w:basedOn w:val="afb"/>
    <w:rsid w:val="000824A7"/>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paragraph" w:customStyle="1" w:styleId="afe">
    <w:name w:val="Сноска"/>
    <w:basedOn w:val="a0"/>
    <w:link w:val="afd"/>
    <w:rsid w:val="000824A7"/>
    <w:pPr>
      <w:widowControl w:val="0"/>
      <w:shd w:val="clear" w:color="auto" w:fill="FFFFFF"/>
      <w:spacing w:after="0" w:line="245" w:lineRule="exact"/>
      <w:jc w:val="both"/>
    </w:pPr>
    <w:rPr>
      <w:rFonts w:ascii="Times New Roman" w:eastAsia="Times New Roman" w:hAnsi="Times New Roman" w:cs="Times New Roman"/>
      <w:sz w:val="18"/>
      <w:szCs w:val="18"/>
    </w:rPr>
  </w:style>
  <w:style w:type="paragraph" w:customStyle="1" w:styleId="25">
    <w:name w:val="Основной текст (2)"/>
    <w:basedOn w:val="a0"/>
    <w:link w:val="24"/>
    <w:rsid w:val="000824A7"/>
    <w:pPr>
      <w:widowControl w:val="0"/>
      <w:shd w:val="clear" w:color="auto" w:fill="FFFFFF"/>
      <w:spacing w:after="0" w:line="398" w:lineRule="exact"/>
      <w:jc w:val="center"/>
    </w:pPr>
    <w:rPr>
      <w:rFonts w:ascii="Times New Roman" w:eastAsia="Times New Roman" w:hAnsi="Times New Roman" w:cs="Times New Roman"/>
      <w:b/>
      <w:bCs/>
      <w:sz w:val="30"/>
      <w:szCs w:val="30"/>
    </w:rPr>
  </w:style>
  <w:style w:type="paragraph" w:customStyle="1" w:styleId="33">
    <w:name w:val="Основной текст (3)"/>
    <w:basedOn w:val="a0"/>
    <w:link w:val="32"/>
    <w:rsid w:val="000824A7"/>
    <w:pPr>
      <w:widowControl w:val="0"/>
      <w:shd w:val="clear" w:color="auto" w:fill="FFFFFF"/>
      <w:spacing w:before="60" w:after="60" w:line="336" w:lineRule="exact"/>
      <w:ind w:hanging="360"/>
      <w:jc w:val="both"/>
    </w:pPr>
    <w:rPr>
      <w:rFonts w:ascii="Times New Roman" w:eastAsia="Times New Roman" w:hAnsi="Times New Roman" w:cs="Times New Roman"/>
      <w:b/>
      <w:bCs/>
      <w:sz w:val="26"/>
      <w:szCs w:val="26"/>
    </w:rPr>
  </w:style>
  <w:style w:type="paragraph" w:customStyle="1" w:styleId="52">
    <w:name w:val="Основной текст (5)"/>
    <w:basedOn w:val="a0"/>
    <w:link w:val="51"/>
    <w:rsid w:val="000824A7"/>
    <w:pPr>
      <w:widowControl w:val="0"/>
      <w:shd w:val="clear" w:color="auto" w:fill="FFFFFF"/>
      <w:spacing w:before="480" w:after="0" w:line="250" w:lineRule="exact"/>
      <w:jc w:val="both"/>
    </w:pPr>
    <w:rPr>
      <w:rFonts w:ascii="Times New Roman" w:eastAsia="Times New Roman" w:hAnsi="Times New Roman" w:cs="Times New Roman"/>
      <w:sz w:val="18"/>
      <w:szCs w:val="18"/>
    </w:rPr>
  </w:style>
  <w:style w:type="paragraph" w:styleId="aff2">
    <w:name w:val="Body Text"/>
    <w:basedOn w:val="a0"/>
    <w:link w:val="aff3"/>
    <w:uiPriority w:val="99"/>
    <w:qFormat/>
    <w:rsid w:val="000824A7"/>
    <w:pPr>
      <w:widowControl w:val="0"/>
      <w:spacing w:after="0" w:line="240" w:lineRule="auto"/>
    </w:pPr>
    <w:rPr>
      <w:rFonts w:ascii="Times New Roman" w:eastAsia="Times New Roman" w:hAnsi="Times New Roman" w:cs="Times New Roman"/>
      <w:b/>
      <w:bCs/>
      <w:sz w:val="20"/>
      <w:szCs w:val="20"/>
      <w:lang w:val="en-US"/>
    </w:rPr>
  </w:style>
  <w:style w:type="character" w:customStyle="1" w:styleId="aff3">
    <w:name w:val="Основной текст Знак"/>
    <w:basedOn w:val="a1"/>
    <w:link w:val="aff2"/>
    <w:uiPriority w:val="99"/>
    <w:qFormat/>
    <w:rsid w:val="000824A7"/>
    <w:rPr>
      <w:rFonts w:ascii="Times New Roman" w:eastAsia="Times New Roman" w:hAnsi="Times New Roman" w:cs="Times New Roman"/>
      <w:b/>
      <w:bCs/>
      <w:sz w:val="20"/>
      <w:szCs w:val="20"/>
      <w:lang w:val="en-US"/>
    </w:rPr>
  </w:style>
  <w:style w:type="paragraph" w:customStyle="1" w:styleId="TableParagraph">
    <w:name w:val="Table Paragraph"/>
    <w:basedOn w:val="a0"/>
    <w:uiPriority w:val="1"/>
    <w:qFormat/>
    <w:rsid w:val="000824A7"/>
    <w:pPr>
      <w:widowControl w:val="0"/>
      <w:spacing w:after="0" w:line="223" w:lineRule="exact"/>
      <w:jc w:val="center"/>
    </w:pPr>
    <w:rPr>
      <w:rFonts w:ascii="Times New Roman" w:eastAsia="Times New Roman" w:hAnsi="Times New Roman" w:cs="Times New Roman"/>
      <w:lang w:val="en-US"/>
    </w:rPr>
  </w:style>
  <w:style w:type="paragraph" w:styleId="aff4">
    <w:name w:val="Body Text Indent"/>
    <w:basedOn w:val="a0"/>
    <w:link w:val="aff5"/>
    <w:uiPriority w:val="99"/>
    <w:unhideWhenUsed/>
    <w:qFormat/>
    <w:rsid w:val="000824A7"/>
    <w:pPr>
      <w:widowControl w:val="0"/>
      <w:spacing w:after="120" w:line="240" w:lineRule="auto"/>
      <w:ind w:left="283"/>
    </w:pPr>
    <w:rPr>
      <w:rFonts w:ascii="Courier New" w:eastAsia="Courier New" w:hAnsi="Courier New" w:cs="Courier New"/>
      <w:color w:val="000000"/>
      <w:sz w:val="24"/>
      <w:szCs w:val="24"/>
      <w:lang w:eastAsia="ru-RU" w:bidi="ru-RU"/>
    </w:rPr>
  </w:style>
  <w:style w:type="character" w:customStyle="1" w:styleId="aff5">
    <w:name w:val="Основной текст с отступом Знак"/>
    <w:basedOn w:val="a1"/>
    <w:link w:val="aff4"/>
    <w:uiPriority w:val="99"/>
    <w:qFormat/>
    <w:rsid w:val="000824A7"/>
    <w:rPr>
      <w:rFonts w:ascii="Courier New" w:eastAsia="Courier New" w:hAnsi="Courier New" w:cs="Courier New"/>
      <w:color w:val="000000"/>
      <w:sz w:val="24"/>
      <w:szCs w:val="24"/>
      <w:lang w:eastAsia="ru-RU" w:bidi="ru-RU"/>
    </w:rPr>
  </w:style>
  <w:style w:type="character" w:customStyle="1" w:styleId="A20">
    <w:name w:val="A20"/>
    <w:uiPriority w:val="99"/>
    <w:rsid w:val="000824A7"/>
    <w:rPr>
      <w:rFonts w:cs="Open Sans"/>
      <w:color w:val="000000"/>
      <w:sz w:val="10"/>
      <w:szCs w:val="10"/>
    </w:rPr>
  </w:style>
  <w:style w:type="table" w:customStyle="1" w:styleId="44">
    <w:name w:val="Сетка таблицы4"/>
    <w:basedOn w:val="a2"/>
    <w:next w:val="a7"/>
    <w:uiPriority w:val="39"/>
    <w:rsid w:val="00082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ветлая сетка1"/>
    <w:basedOn w:val="a2"/>
    <w:uiPriority w:val="62"/>
    <w:rsid w:val="000824A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aff6">
    <w:name w:val="No Spacing"/>
    <w:link w:val="aff7"/>
    <w:uiPriority w:val="1"/>
    <w:qFormat/>
    <w:rsid w:val="000824A7"/>
    <w:pPr>
      <w:spacing w:after="0" w:line="240" w:lineRule="auto"/>
    </w:pPr>
  </w:style>
  <w:style w:type="character" w:customStyle="1" w:styleId="21">
    <w:name w:val="Заголовок 2 Знак"/>
    <w:basedOn w:val="a1"/>
    <w:link w:val="20"/>
    <w:qFormat/>
    <w:rsid w:val="002237BB"/>
    <w:rPr>
      <w:rFonts w:ascii="Times New Roman" w:eastAsia="Times New Roman" w:hAnsi="Times New Roman" w:cs="Times New Roman"/>
      <w:b/>
      <w:bCs/>
      <w:sz w:val="36"/>
      <w:szCs w:val="36"/>
      <w:lang w:eastAsia="ru-RU"/>
    </w:rPr>
  </w:style>
  <w:style w:type="character" w:customStyle="1" w:styleId="40">
    <w:name w:val="Заголовок 4 Знак"/>
    <w:basedOn w:val="a1"/>
    <w:link w:val="4"/>
    <w:uiPriority w:val="9"/>
    <w:rsid w:val="002237BB"/>
    <w:rPr>
      <w:rFonts w:ascii="Times New Roman" w:eastAsia="Times New Roman" w:hAnsi="Times New Roman" w:cs="Times New Roman"/>
      <w:b/>
      <w:sz w:val="24"/>
      <w:szCs w:val="20"/>
      <w:lang w:eastAsia="ru-RU"/>
    </w:rPr>
  </w:style>
  <w:style w:type="character" w:customStyle="1" w:styleId="50">
    <w:name w:val="Заголовок 5 Знак"/>
    <w:basedOn w:val="a1"/>
    <w:link w:val="5"/>
    <w:uiPriority w:val="9"/>
    <w:rsid w:val="002237BB"/>
    <w:rPr>
      <w:rFonts w:ascii="Times New Roman" w:eastAsia="Times New Roman" w:hAnsi="Times New Roman" w:cs="Times New Roman"/>
      <w:sz w:val="24"/>
      <w:szCs w:val="20"/>
      <w:lang w:eastAsia="ru-RU"/>
    </w:rPr>
  </w:style>
  <w:style w:type="character" w:customStyle="1" w:styleId="60">
    <w:name w:val="Заголовок 6 Знак"/>
    <w:basedOn w:val="a1"/>
    <w:link w:val="6"/>
    <w:uiPriority w:val="9"/>
    <w:rsid w:val="002237BB"/>
    <w:rPr>
      <w:rFonts w:ascii="Times New Roman" w:eastAsia="Times New Roman" w:hAnsi="Times New Roman" w:cs="Times New Roman"/>
      <w:sz w:val="28"/>
      <w:szCs w:val="20"/>
      <w:lang w:eastAsia="ru-RU"/>
    </w:rPr>
  </w:style>
  <w:style w:type="character" w:customStyle="1" w:styleId="70">
    <w:name w:val="Заголовок 7 Знак"/>
    <w:basedOn w:val="a1"/>
    <w:link w:val="7"/>
    <w:rsid w:val="002237BB"/>
    <w:rPr>
      <w:rFonts w:ascii="Times New Roman" w:eastAsia="Times New Roman" w:hAnsi="Times New Roman" w:cs="Times New Roman"/>
      <w:b/>
      <w:color w:val="800000"/>
      <w:szCs w:val="20"/>
      <w:lang w:eastAsia="ru-RU"/>
    </w:rPr>
  </w:style>
  <w:style w:type="character" w:customStyle="1" w:styleId="80">
    <w:name w:val="Заголовок 8 Знак"/>
    <w:basedOn w:val="a1"/>
    <w:link w:val="8"/>
    <w:rsid w:val="002237BB"/>
    <w:rPr>
      <w:rFonts w:ascii="Times New Roman" w:eastAsia="Times New Roman" w:hAnsi="Times New Roman" w:cs="Times New Roman"/>
      <w:sz w:val="24"/>
      <w:szCs w:val="20"/>
      <w:lang w:eastAsia="ru-RU"/>
    </w:rPr>
  </w:style>
  <w:style w:type="character" w:customStyle="1" w:styleId="90">
    <w:name w:val="Заголовок 9 Знак"/>
    <w:basedOn w:val="a1"/>
    <w:link w:val="9"/>
    <w:rsid w:val="002237BB"/>
    <w:rPr>
      <w:rFonts w:ascii="Times New Roman" w:eastAsia="Times New Roman" w:hAnsi="Times New Roman" w:cs="Times New Roman"/>
      <w:b/>
      <w:snapToGrid w:val="0"/>
      <w:color w:val="000000"/>
      <w:sz w:val="20"/>
      <w:szCs w:val="20"/>
      <w:lang w:eastAsia="ru-RU"/>
    </w:rPr>
  </w:style>
  <w:style w:type="character" w:customStyle="1" w:styleId="freebirdanalyticsviewquestiontitle">
    <w:name w:val="freebirdanalyticsviewquestiontitle"/>
    <w:basedOn w:val="a1"/>
    <w:rsid w:val="002237BB"/>
  </w:style>
  <w:style w:type="table" w:customStyle="1" w:styleId="53">
    <w:name w:val="Сетка таблицы5"/>
    <w:basedOn w:val="a2"/>
    <w:next w:val="a7"/>
    <w:uiPriority w:val="39"/>
    <w:rsid w:val="002237BB"/>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nformat">
    <w:name w:val="ConsNonformat"/>
    <w:rsid w:val="002237B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PlainText1">
    <w:name w:val="Plain Text1"/>
    <w:basedOn w:val="a0"/>
    <w:rsid w:val="002237BB"/>
    <w:pPr>
      <w:widowControl w:val="0"/>
      <w:spacing w:after="0" w:line="240" w:lineRule="auto"/>
    </w:pPr>
    <w:rPr>
      <w:rFonts w:ascii="Courier New" w:eastAsia="Times New Roman" w:hAnsi="Courier New" w:cs="Times New Roman"/>
      <w:sz w:val="20"/>
      <w:szCs w:val="20"/>
      <w:lang w:eastAsia="ru-RU"/>
    </w:rPr>
  </w:style>
  <w:style w:type="character" w:customStyle="1" w:styleId="3Exact">
    <w:name w:val="Основной текст (3) Exact"/>
    <w:basedOn w:val="a1"/>
    <w:rsid w:val="002237BB"/>
    <w:rPr>
      <w:rFonts w:ascii="Times New Roman" w:eastAsia="Times New Roman" w:hAnsi="Times New Roman" w:cs="Times New Roman" w:hint="default"/>
      <w:b/>
      <w:bCs/>
      <w:sz w:val="28"/>
      <w:szCs w:val="28"/>
      <w:shd w:val="clear" w:color="auto" w:fill="FFFFFF"/>
    </w:rPr>
  </w:style>
  <w:style w:type="table" w:customStyle="1" w:styleId="TableNormal">
    <w:name w:val="Table Normal"/>
    <w:unhideWhenUsed/>
    <w:qFormat/>
    <w:rsid w:val="002237B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rtejustify">
    <w:name w:val="rtejustify"/>
    <w:basedOn w:val="a0"/>
    <w:rsid w:val="002237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lk">
    <w:name w:val="blk"/>
    <w:basedOn w:val="a1"/>
    <w:rsid w:val="002237BB"/>
  </w:style>
  <w:style w:type="character" w:styleId="aff8">
    <w:name w:val="page number"/>
    <w:basedOn w:val="a1"/>
    <w:rsid w:val="002237BB"/>
  </w:style>
  <w:style w:type="character" w:customStyle="1" w:styleId="freebirdanalyticsviewquestionresponsescount">
    <w:name w:val="freebirdanalyticsviewquestionresponsescount"/>
    <w:basedOn w:val="a1"/>
    <w:rsid w:val="002237BB"/>
  </w:style>
  <w:style w:type="table" w:customStyle="1" w:styleId="3-51">
    <w:name w:val="Средняя сетка 3 - Акцент 51"/>
    <w:basedOn w:val="a2"/>
    <w:next w:val="3-5"/>
    <w:uiPriority w:val="69"/>
    <w:rsid w:val="002237BB"/>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1-51">
    <w:name w:val="Средняя сетка 1 - Акцент 51"/>
    <w:basedOn w:val="a2"/>
    <w:next w:val="1-5"/>
    <w:uiPriority w:val="67"/>
    <w:rsid w:val="002237BB"/>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customStyle="1" w:styleId="18">
    <w:name w:val="Название объекта1"/>
    <w:basedOn w:val="a0"/>
    <w:next w:val="a0"/>
    <w:uiPriority w:val="99"/>
    <w:unhideWhenUsed/>
    <w:qFormat/>
    <w:rsid w:val="002237BB"/>
    <w:pPr>
      <w:spacing w:line="240" w:lineRule="auto"/>
    </w:pPr>
    <w:rPr>
      <w:b/>
      <w:bCs/>
      <w:color w:val="4F81BD"/>
      <w:sz w:val="18"/>
      <w:szCs w:val="18"/>
    </w:rPr>
  </w:style>
  <w:style w:type="paragraph" w:customStyle="1" w:styleId="Style10">
    <w:name w:val="Style10"/>
    <w:basedOn w:val="a0"/>
    <w:uiPriority w:val="99"/>
    <w:rsid w:val="002237BB"/>
    <w:pPr>
      <w:widowControl w:val="0"/>
      <w:autoSpaceDE w:val="0"/>
      <w:autoSpaceDN w:val="0"/>
      <w:adjustRightInd w:val="0"/>
      <w:spacing w:after="0" w:line="278" w:lineRule="exact"/>
      <w:ind w:hanging="360"/>
      <w:jc w:val="both"/>
    </w:pPr>
    <w:rPr>
      <w:rFonts w:ascii="Times New Roman" w:eastAsia="Times New Roman" w:hAnsi="Times New Roman" w:cs="Times New Roman"/>
      <w:sz w:val="24"/>
      <w:szCs w:val="24"/>
      <w:lang w:eastAsia="ru-RU"/>
    </w:rPr>
  </w:style>
  <w:style w:type="table" w:customStyle="1" w:styleId="-651">
    <w:name w:val="Таблица-сетка 6 цветная — акцент 51"/>
    <w:basedOn w:val="a2"/>
    <w:uiPriority w:val="51"/>
    <w:rsid w:val="002237BB"/>
    <w:pPr>
      <w:spacing w:after="0" w:line="240" w:lineRule="auto"/>
    </w:pPr>
    <w:rPr>
      <w:color w:val="31849B"/>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character" w:customStyle="1" w:styleId="CharStyle3">
    <w:name w:val="Char Style 3"/>
    <w:basedOn w:val="a1"/>
    <w:link w:val="Style2"/>
    <w:rsid w:val="002237BB"/>
    <w:rPr>
      <w:rFonts w:ascii="Arial" w:eastAsia="Arial" w:hAnsi="Arial" w:cs="Arial"/>
      <w:sz w:val="15"/>
      <w:szCs w:val="15"/>
      <w:shd w:val="clear" w:color="auto" w:fill="FFFFFF"/>
    </w:rPr>
  </w:style>
  <w:style w:type="paragraph" w:customStyle="1" w:styleId="Style2">
    <w:name w:val="Style 2"/>
    <w:basedOn w:val="a0"/>
    <w:link w:val="CharStyle3"/>
    <w:rsid w:val="002237BB"/>
    <w:pPr>
      <w:widowControl w:val="0"/>
      <w:shd w:val="clear" w:color="auto" w:fill="FFFFFF"/>
      <w:spacing w:after="0" w:line="182" w:lineRule="exact"/>
      <w:jc w:val="both"/>
    </w:pPr>
    <w:rPr>
      <w:rFonts w:ascii="Arial" w:eastAsia="Arial" w:hAnsi="Arial" w:cs="Arial"/>
      <w:sz w:val="15"/>
      <w:szCs w:val="15"/>
    </w:rPr>
  </w:style>
  <w:style w:type="character" w:customStyle="1" w:styleId="CharStyle27">
    <w:name w:val="Char Style 27"/>
    <w:basedOn w:val="a1"/>
    <w:link w:val="Style26"/>
    <w:rsid w:val="002237BB"/>
    <w:rPr>
      <w:rFonts w:ascii="Arial" w:eastAsia="Arial" w:hAnsi="Arial" w:cs="Arial"/>
      <w:sz w:val="15"/>
      <w:szCs w:val="15"/>
      <w:shd w:val="clear" w:color="auto" w:fill="FFFFFF"/>
    </w:rPr>
  </w:style>
  <w:style w:type="paragraph" w:customStyle="1" w:styleId="Style26">
    <w:name w:val="Style 26"/>
    <w:basedOn w:val="a0"/>
    <w:link w:val="CharStyle27"/>
    <w:rsid w:val="002237BB"/>
    <w:pPr>
      <w:widowControl w:val="0"/>
      <w:shd w:val="clear" w:color="auto" w:fill="FFFFFF"/>
      <w:spacing w:after="0" w:line="0" w:lineRule="atLeast"/>
    </w:pPr>
    <w:rPr>
      <w:rFonts w:ascii="Arial" w:eastAsia="Arial" w:hAnsi="Arial" w:cs="Arial"/>
      <w:sz w:val="15"/>
      <w:szCs w:val="15"/>
    </w:rPr>
  </w:style>
  <w:style w:type="character" w:customStyle="1" w:styleId="CharStyle28">
    <w:name w:val="Char Style 28"/>
    <w:basedOn w:val="CharStyle27"/>
    <w:rsid w:val="002237BB"/>
    <w:rPr>
      <w:rFonts w:ascii="Arial" w:eastAsia="Arial" w:hAnsi="Arial" w:cs="Arial"/>
      <w:color w:val="000000"/>
      <w:spacing w:val="0"/>
      <w:w w:val="100"/>
      <w:position w:val="0"/>
      <w:sz w:val="15"/>
      <w:szCs w:val="15"/>
      <w:shd w:val="clear" w:color="auto" w:fill="FFFFFF"/>
      <w:lang w:val="ru-RU"/>
    </w:rPr>
  </w:style>
  <w:style w:type="table" w:customStyle="1" w:styleId="3-61">
    <w:name w:val="Средняя сетка 3 - Акцент 61"/>
    <w:basedOn w:val="a2"/>
    <w:next w:val="3-6"/>
    <w:uiPriority w:val="69"/>
    <w:rsid w:val="002237BB"/>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1">
    <w:name w:val="Светлая сетка - Акцент 61"/>
    <w:basedOn w:val="a2"/>
    <w:next w:val="-6"/>
    <w:uiPriority w:val="62"/>
    <w:rsid w:val="002237BB"/>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26">
    <w:name w:val="Body Text 2"/>
    <w:basedOn w:val="a0"/>
    <w:link w:val="27"/>
    <w:uiPriority w:val="99"/>
    <w:qFormat/>
    <w:rsid w:val="002237BB"/>
    <w:pPr>
      <w:spacing w:after="0" w:line="240" w:lineRule="auto"/>
      <w:jc w:val="both"/>
    </w:pPr>
    <w:rPr>
      <w:rFonts w:ascii="Times New Roman" w:eastAsia="Times New Roman" w:hAnsi="Times New Roman" w:cs="Times New Roman"/>
      <w:b/>
      <w:color w:val="800000"/>
      <w:sz w:val="16"/>
      <w:szCs w:val="20"/>
      <w:lang w:eastAsia="ru-RU"/>
    </w:rPr>
  </w:style>
  <w:style w:type="character" w:customStyle="1" w:styleId="27">
    <w:name w:val="Основной текст 2 Знак"/>
    <w:basedOn w:val="a1"/>
    <w:link w:val="26"/>
    <w:uiPriority w:val="99"/>
    <w:qFormat/>
    <w:rsid w:val="002237BB"/>
    <w:rPr>
      <w:rFonts w:ascii="Times New Roman" w:eastAsia="Times New Roman" w:hAnsi="Times New Roman" w:cs="Times New Roman"/>
      <w:b/>
      <w:color w:val="800000"/>
      <w:sz w:val="16"/>
      <w:szCs w:val="20"/>
      <w:lang w:eastAsia="ru-RU"/>
    </w:rPr>
  </w:style>
  <w:style w:type="paragraph" w:styleId="34">
    <w:name w:val="Body Text 3"/>
    <w:basedOn w:val="a0"/>
    <w:link w:val="35"/>
    <w:uiPriority w:val="99"/>
    <w:qFormat/>
    <w:rsid w:val="002237BB"/>
    <w:pPr>
      <w:spacing w:after="0" w:line="240" w:lineRule="auto"/>
      <w:jc w:val="both"/>
    </w:pPr>
    <w:rPr>
      <w:rFonts w:ascii="Times New Roman" w:eastAsia="Times New Roman" w:hAnsi="Times New Roman" w:cs="Times New Roman"/>
      <w:sz w:val="20"/>
      <w:szCs w:val="20"/>
      <w:lang w:eastAsia="ru-RU"/>
    </w:rPr>
  </w:style>
  <w:style w:type="character" w:customStyle="1" w:styleId="35">
    <w:name w:val="Основной текст 3 Знак"/>
    <w:basedOn w:val="a1"/>
    <w:link w:val="34"/>
    <w:uiPriority w:val="99"/>
    <w:qFormat/>
    <w:rsid w:val="002237BB"/>
    <w:rPr>
      <w:rFonts w:ascii="Times New Roman" w:eastAsia="Times New Roman" w:hAnsi="Times New Roman" w:cs="Times New Roman"/>
      <w:sz w:val="20"/>
      <w:szCs w:val="20"/>
      <w:lang w:eastAsia="ru-RU"/>
    </w:rPr>
  </w:style>
  <w:style w:type="paragraph" w:styleId="aff9">
    <w:name w:val="Plain Text"/>
    <w:basedOn w:val="a0"/>
    <w:link w:val="affa"/>
    <w:rsid w:val="002237BB"/>
    <w:pPr>
      <w:spacing w:after="0" w:line="240" w:lineRule="auto"/>
    </w:pPr>
    <w:rPr>
      <w:rFonts w:ascii="Courier New" w:eastAsia="Times New Roman" w:hAnsi="Courier New" w:cs="Times New Roman"/>
      <w:sz w:val="20"/>
      <w:szCs w:val="20"/>
      <w:lang w:eastAsia="ru-RU"/>
    </w:rPr>
  </w:style>
  <w:style w:type="character" w:customStyle="1" w:styleId="affa">
    <w:name w:val="Текст Знак"/>
    <w:basedOn w:val="a1"/>
    <w:link w:val="aff9"/>
    <w:rsid w:val="002237BB"/>
    <w:rPr>
      <w:rFonts w:ascii="Courier New" w:eastAsia="Times New Roman" w:hAnsi="Courier New" w:cs="Times New Roman"/>
      <w:sz w:val="20"/>
      <w:szCs w:val="20"/>
      <w:lang w:eastAsia="ru-RU"/>
    </w:rPr>
  </w:style>
  <w:style w:type="paragraph" w:customStyle="1" w:styleId="19">
    <w:name w:val="Обычный1"/>
    <w:rsid w:val="002237BB"/>
    <w:pPr>
      <w:widowControl w:val="0"/>
      <w:spacing w:after="0" w:line="240" w:lineRule="auto"/>
    </w:pPr>
    <w:rPr>
      <w:rFonts w:ascii="Arial" w:eastAsia="Times New Roman" w:hAnsi="Arial" w:cs="Times New Roman"/>
      <w:snapToGrid w:val="0"/>
      <w:sz w:val="18"/>
      <w:szCs w:val="20"/>
      <w:lang w:eastAsia="ru-RU"/>
    </w:rPr>
  </w:style>
  <w:style w:type="paragraph" w:styleId="1a">
    <w:name w:val="toc 1"/>
    <w:basedOn w:val="a0"/>
    <w:next w:val="a0"/>
    <w:autoRedefine/>
    <w:uiPriority w:val="39"/>
    <w:unhideWhenUsed/>
    <w:rsid w:val="002237BB"/>
    <w:pPr>
      <w:tabs>
        <w:tab w:val="right" w:leader="dot" w:pos="10026"/>
      </w:tabs>
      <w:spacing w:after="0" w:line="240" w:lineRule="auto"/>
    </w:pPr>
    <w:rPr>
      <w:rFonts w:ascii="Times New Roman" w:eastAsia="Times New Roman" w:hAnsi="Times New Roman" w:cs="Times New Roman"/>
      <w:noProof/>
      <w:sz w:val="24"/>
      <w:szCs w:val="24"/>
      <w:lang w:eastAsia="ru-RU"/>
    </w:rPr>
  </w:style>
  <w:style w:type="paragraph" w:styleId="28">
    <w:name w:val="toc 2"/>
    <w:basedOn w:val="a0"/>
    <w:next w:val="a0"/>
    <w:autoRedefine/>
    <w:uiPriority w:val="39"/>
    <w:unhideWhenUsed/>
    <w:rsid w:val="002237BB"/>
    <w:pPr>
      <w:spacing w:after="0" w:line="240" w:lineRule="auto"/>
      <w:ind w:left="200"/>
    </w:pPr>
    <w:rPr>
      <w:rFonts w:ascii="Times New Roman" w:eastAsia="Times New Roman" w:hAnsi="Times New Roman" w:cs="Times New Roman"/>
      <w:sz w:val="20"/>
      <w:szCs w:val="20"/>
      <w:lang w:eastAsia="ru-RU"/>
    </w:rPr>
  </w:style>
  <w:style w:type="paragraph" w:customStyle="1" w:styleId="formattext">
    <w:name w:val="formattext"/>
    <w:basedOn w:val="a0"/>
    <w:rsid w:val="002237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elle">
    <w:name w:val="spelle"/>
    <w:basedOn w:val="a1"/>
    <w:rsid w:val="002237BB"/>
  </w:style>
  <w:style w:type="character" w:customStyle="1" w:styleId="grame">
    <w:name w:val="grame"/>
    <w:basedOn w:val="a1"/>
    <w:rsid w:val="002237BB"/>
  </w:style>
  <w:style w:type="character" w:styleId="affb">
    <w:name w:val="Emphasis"/>
    <w:basedOn w:val="a1"/>
    <w:uiPriority w:val="20"/>
    <w:qFormat/>
    <w:rsid w:val="002237BB"/>
    <w:rPr>
      <w:i/>
      <w:iCs/>
    </w:rPr>
  </w:style>
  <w:style w:type="paragraph" w:customStyle="1" w:styleId="b-articletext">
    <w:name w:val="b-article__text"/>
    <w:basedOn w:val="a0"/>
    <w:rsid w:val="002237B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3-5">
    <w:name w:val="Medium Grid 3 Accent 5"/>
    <w:basedOn w:val="a2"/>
    <w:uiPriority w:val="69"/>
    <w:rsid w:val="002237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1-5">
    <w:name w:val="Medium Grid 1 Accent 5"/>
    <w:basedOn w:val="a2"/>
    <w:uiPriority w:val="67"/>
    <w:rsid w:val="002237BB"/>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3-6">
    <w:name w:val="Medium Grid 3 Accent 6"/>
    <w:basedOn w:val="a2"/>
    <w:uiPriority w:val="69"/>
    <w:rsid w:val="002237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6">
    <w:name w:val="Light Grid Accent 6"/>
    <w:basedOn w:val="a2"/>
    <w:uiPriority w:val="62"/>
    <w:rsid w:val="002237BB"/>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customStyle="1" w:styleId="Default">
    <w:name w:val="Default"/>
    <w:rsid w:val="00091BC4"/>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61">
    <w:name w:val="Сетка таблицы6"/>
    <w:basedOn w:val="a2"/>
    <w:next w:val="a7"/>
    <w:uiPriority w:val="39"/>
    <w:rsid w:val="003C6AE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caption"/>
    <w:basedOn w:val="a0"/>
    <w:next w:val="a0"/>
    <w:uiPriority w:val="35"/>
    <w:unhideWhenUsed/>
    <w:qFormat/>
    <w:rsid w:val="001B3FDF"/>
    <w:pPr>
      <w:spacing w:line="240" w:lineRule="auto"/>
    </w:pPr>
    <w:rPr>
      <w:b/>
      <w:bCs/>
      <w:color w:val="4F81BD" w:themeColor="accent1"/>
      <w:sz w:val="18"/>
      <w:szCs w:val="18"/>
    </w:rPr>
  </w:style>
  <w:style w:type="table" w:customStyle="1" w:styleId="71">
    <w:name w:val="Сетка таблицы7"/>
    <w:basedOn w:val="a2"/>
    <w:next w:val="a7"/>
    <w:uiPriority w:val="59"/>
    <w:rsid w:val="003337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2"/>
    <w:next w:val="a7"/>
    <w:uiPriority w:val="59"/>
    <w:rsid w:val="00D77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2"/>
    <w:next w:val="a7"/>
    <w:uiPriority w:val="59"/>
    <w:rsid w:val="00D77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7"/>
    <w:uiPriority w:val="59"/>
    <w:rsid w:val="00B712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
    <w:name w:val="Нет списка2"/>
    <w:next w:val="a3"/>
    <w:uiPriority w:val="99"/>
    <w:semiHidden/>
    <w:unhideWhenUsed/>
    <w:rsid w:val="00051D4C"/>
  </w:style>
  <w:style w:type="table" w:customStyle="1" w:styleId="110">
    <w:name w:val="Сетка таблицы11"/>
    <w:basedOn w:val="a2"/>
    <w:next w:val="a7"/>
    <w:uiPriority w:val="39"/>
    <w:rsid w:val="00051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next w:val="a7"/>
    <w:uiPriority w:val="39"/>
    <w:rsid w:val="00051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2"/>
    <w:next w:val="a7"/>
    <w:uiPriority w:val="39"/>
    <w:rsid w:val="00051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2"/>
    <w:next w:val="a7"/>
    <w:uiPriority w:val="39"/>
    <w:rsid w:val="00051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3"/>
    <w:uiPriority w:val="99"/>
    <w:semiHidden/>
    <w:unhideWhenUsed/>
    <w:rsid w:val="00051D4C"/>
  </w:style>
  <w:style w:type="table" w:customStyle="1" w:styleId="410">
    <w:name w:val="Сетка таблицы41"/>
    <w:basedOn w:val="a2"/>
    <w:next w:val="a7"/>
    <w:uiPriority w:val="39"/>
    <w:rsid w:val="00051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ветлая сетка11"/>
    <w:basedOn w:val="a2"/>
    <w:uiPriority w:val="62"/>
    <w:rsid w:val="00051D4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510">
    <w:name w:val="Сетка таблицы51"/>
    <w:basedOn w:val="a2"/>
    <w:next w:val="a7"/>
    <w:uiPriority w:val="59"/>
    <w:rsid w:val="00051D4C"/>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051D4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3-511">
    <w:name w:val="Средняя сетка 3 - Акцент 511"/>
    <w:basedOn w:val="a2"/>
    <w:next w:val="3-5"/>
    <w:uiPriority w:val="69"/>
    <w:rsid w:val="00051D4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1-511">
    <w:name w:val="Средняя сетка 1 - Акцент 511"/>
    <w:basedOn w:val="a2"/>
    <w:next w:val="1-5"/>
    <w:uiPriority w:val="67"/>
    <w:rsid w:val="00051D4C"/>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6511">
    <w:name w:val="Таблица-сетка 6 цветная — акцент 511"/>
    <w:basedOn w:val="a2"/>
    <w:uiPriority w:val="51"/>
    <w:rsid w:val="00051D4C"/>
    <w:pPr>
      <w:spacing w:after="0" w:line="240" w:lineRule="auto"/>
    </w:pPr>
    <w:rPr>
      <w:color w:val="31849B"/>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3-611">
    <w:name w:val="Средняя сетка 3 - Акцент 611"/>
    <w:basedOn w:val="a2"/>
    <w:next w:val="3-6"/>
    <w:uiPriority w:val="69"/>
    <w:rsid w:val="00051D4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11">
    <w:name w:val="Светлая сетка - Акцент 611"/>
    <w:basedOn w:val="a2"/>
    <w:next w:val="-6"/>
    <w:uiPriority w:val="62"/>
    <w:rsid w:val="00051D4C"/>
    <w:pPr>
      <w:spacing w:after="0" w:line="240" w:lineRule="auto"/>
    </w:p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3-52">
    <w:name w:val="Средняя сетка 3 - Акцент 52"/>
    <w:basedOn w:val="a2"/>
    <w:next w:val="3-5"/>
    <w:uiPriority w:val="69"/>
    <w:rsid w:val="00051D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1-52">
    <w:name w:val="Средняя сетка 1 - Акцент 52"/>
    <w:basedOn w:val="a2"/>
    <w:next w:val="1-5"/>
    <w:uiPriority w:val="67"/>
    <w:rsid w:val="00051D4C"/>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3-62">
    <w:name w:val="Средняя сетка 3 - Акцент 62"/>
    <w:basedOn w:val="a2"/>
    <w:next w:val="3-6"/>
    <w:uiPriority w:val="69"/>
    <w:rsid w:val="00051D4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62">
    <w:name w:val="Светлая сетка - Акцент 62"/>
    <w:basedOn w:val="a2"/>
    <w:next w:val="-6"/>
    <w:uiPriority w:val="62"/>
    <w:rsid w:val="00051D4C"/>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610">
    <w:name w:val="Сетка таблицы61"/>
    <w:basedOn w:val="a2"/>
    <w:next w:val="a7"/>
    <w:uiPriority w:val="39"/>
    <w:rsid w:val="00051D4C"/>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2"/>
    <w:next w:val="a7"/>
    <w:uiPriority w:val="59"/>
    <w:rsid w:val="00051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2"/>
    <w:next w:val="a7"/>
    <w:uiPriority w:val="59"/>
    <w:rsid w:val="00051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2"/>
    <w:next w:val="a7"/>
    <w:uiPriority w:val="59"/>
    <w:rsid w:val="00051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2"/>
    <w:next w:val="a7"/>
    <w:uiPriority w:val="59"/>
    <w:rsid w:val="00051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2">
    <w:name w:val="Основной текст7"/>
    <w:basedOn w:val="a0"/>
    <w:rsid w:val="00530C08"/>
    <w:pPr>
      <w:widowControl w:val="0"/>
      <w:shd w:val="clear" w:color="auto" w:fill="FFFFFF"/>
      <w:spacing w:after="240" w:line="322" w:lineRule="exact"/>
      <w:jc w:val="both"/>
    </w:pPr>
    <w:rPr>
      <w:rFonts w:ascii="Times New Roman" w:eastAsia="Times New Roman" w:hAnsi="Times New Roman" w:cs="Times New Roman"/>
      <w:color w:val="000000"/>
      <w:sz w:val="26"/>
      <w:szCs w:val="26"/>
      <w:lang w:eastAsia="ru-RU" w:bidi="ru-RU"/>
    </w:rPr>
  </w:style>
  <w:style w:type="character" w:customStyle="1" w:styleId="il">
    <w:name w:val="il"/>
    <w:basedOn w:val="a1"/>
    <w:rsid w:val="0009145D"/>
  </w:style>
  <w:style w:type="paragraph" w:customStyle="1" w:styleId="m-6024239108707793103consplusnormal">
    <w:name w:val="m_-6024239108707793103consplusnormal"/>
    <w:basedOn w:val="a0"/>
    <w:rsid w:val="0009145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30">
    <w:name w:val="Сетка таблицы13"/>
    <w:basedOn w:val="a2"/>
    <w:next w:val="a7"/>
    <w:uiPriority w:val="39"/>
    <w:rsid w:val="002912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Текст сноски Знак1"/>
    <w:aliases w:val="Текст сноски Знак1 Знак Знак1,Текст сноски Знак Знак Знак Знак1,Footnote Text Char Знак Знак Знак1,Footnote Text Char Знак Знак2,FSR footnote Знак1,lábléc Знак1,Footnote Text Char Char Char Char Char Char Знак1"/>
    <w:basedOn w:val="a1"/>
    <w:uiPriority w:val="99"/>
    <w:semiHidden/>
    <w:qFormat/>
    <w:rsid w:val="00C51F10"/>
    <w:rPr>
      <w:rFonts w:asciiTheme="minorHAnsi" w:hAnsiTheme="minorHAnsi"/>
      <w:sz w:val="20"/>
      <w:szCs w:val="20"/>
    </w:rPr>
  </w:style>
  <w:style w:type="character" w:customStyle="1" w:styleId="1c">
    <w:name w:val="Текст примечания Знак1"/>
    <w:basedOn w:val="a1"/>
    <w:uiPriority w:val="99"/>
    <w:semiHidden/>
    <w:rsid w:val="00C51F10"/>
    <w:rPr>
      <w:rFonts w:asciiTheme="minorHAnsi" w:hAnsiTheme="minorHAnsi"/>
      <w:sz w:val="20"/>
      <w:szCs w:val="20"/>
    </w:rPr>
  </w:style>
  <w:style w:type="character" w:customStyle="1" w:styleId="1d">
    <w:name w:val="Верхний колонтитул Знак1"/>
    <w:basedOn w:val="a1"/>
    <w:uiPriority w:val="99"/>
    <w:semiHidden/>
    <w:rsid w:val="00C51F10"/>
    <w:rPr>
      <w:rFonts w:asciiTheme="minorHAnsi" w:hAnsiTheme="minorHAnsi"/>
      <w:sz w:val="22"/>
    </w:rPr>
  </w:style>
  <w:style w:type="character" w:customStyle="1" w:styleId="1e">
    <w:name w:val="Нижний колонтитул Знак1"/>
    <w:basedOn w:val="a1"/>
    <w:uiPriority w:val="99"/>
    <w:semiHidden/>
    <w:rsid w:val="00C51F10"/>
    <w:rPr>
      <w:rFonts w:asciiTheme="minorHAnsi" w:hAnsiTheme="minorHAnsi"/>
      <w:sz w:val="22"/>
    </w:rPr>
  </w:style>
  <w:style w:type="character" w:customStyle="1" w:styleId="affd">
    <w:name w:val="Название Знак"/>
    <w:basedOn w:val="a1"/>
    <w:link w:val="affe"/>
    <w:uiPriority w:val="10"/>
    <w:rsid w:val="00C51F10"/>
    <w:rPr>
      <w:rFonts w:asciiTheme="majorHAnsi" w:eastAsiaTheme="majorEastAsia" w:hAnsiTheme="majorHAnsi" w:cstheme="majorBidi"/>
      <w:spacing w:val="-10"/>
      <w:kern w:val="28"/>
      <w:sz w:val="56"/>
      <w:szCs w:val="56"/>
    </w:rPr>
  </w:style>
  <w:style w:type="paragraph" w:styleId="affe">
    <w:name w:val="Title"/>
    <w:basedOn w:val="a0"/>
    <w:next w:val="a0"/>
    <w:link w:val="affd"/>
    <w:uiPriority w:val="10"/>
    <w:qFormat/>
    <w:rsid w:val="00C51F1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f">
    <w:name w:val="Название Знак1"/>
    <w:basedOn w:val="a1"/>
    <w:uiPriority w:val="10"/>
    <w:rsid w:val="00C51F10"/>
    <w:rPr>
      <w:rFonts w:asciiTheme="majorHAnsi" w:eastAsiaTheme="majorEastAsia" w:hAnsiTheme="majorHAnsi" w:cstheme="majorBidi"/>
      <w:color w:val="17365D" w:themeColor="text2" w:themeShade="BF"/>
      <w:spacing w:val="5"/>
      <w:kern w:val="28"/>
      <w:sz w:val="52"/>
      <w:szCs w:val="52"/>
    </w:rPr>
  </w:style>
  <w:style w:type="character" w:customStyle="1" w:styleId="afff">
    <w:name w:val="Подзаголовок Знак"/>
    <w:basedOn w:val="a1"/>
    <w:link w:val="afff0"/>
    <w:uiPriority w:val="11"/>
    <w:rsid w:val="00C51F10"/>
    <w:rPr>
      <w:rFonts w:eastAsiaTheme="minorEastAsia"/>
      <w:b/>
      <w:spacing w:val="15"/>
      <w:sz w:val="28"/>
      <w:u w:val="single"/>
      <w:lang w:eastAsia="zh-CN"/>
    </w:rPr>
  </w:style>
  <w:style w:type="paragraph" w:styleId="afff0">
    <w:name w:val="Subtitle"/>
    <w:basedOn w:val="a0"/>
    <w:next w:val="a0"/>
    <w:link w:val="afff"/>
    <w:uiPriority w:val="11"/>
    <w:qFormat/>
    <w:rsid w:val="00C51F10"/>
    <w:pPr>
      <w:spacing w:after="160"/>
      <w:jc w:val="center"/>
    </w:pPr>
    <w:rPr>
      <w:rFonts w:eastAsiaTheme="minorEastAsia"/>
      <w:b/>
      <w:spacing w:val="15"/>
      <w:sz w:val="28"/>
      <w:u w:val="single"/>
      <w:lang w:eastAsia="zh-CN"/>
    </w:rPr>
  </w:style>
  <w:style w:type="character" w:customStyle="1" w:styleId="1f0">
    <w:name w:val="Подзаголовок Знак1"/>
    <w:basedOn w:val="a1"/>
    <w:uiPriority w:val="11"/>
    <w:rsid w:val="00C51F10"/>
    <w:rPr>
      <w:rFonts w:asciiTheme="majorHAnsi" w:eastAsiaTheme="majorEastAsia" w:hAnsiTheme="majorHAnsi" w:cstheme="majorBidi"/>
      <w:i/>
      <w:iCs/>
      <w:color w:val="4F81BD" w:themeColor="accent1"/>
      <w:spacing w:val="15"/>
      <w:sz w:val="24"/>
      <w:szCs w:val="24"/>
    </w:rPr>
  </w:style>
  <w:style w:type="character" w:customStyle="1" w:styleId="1f1">
    <w:name w:val="Тема примечания Знак1"/>
    <w:basedOn w:val="1c"/>
    <w:uiPriority w:val="99"/>
    <w:semiHidden/>
    <w:rsid w:val="00C51F10"/>
    <w:rPr>
      <w:rFonts w:asciiTheme="minorHAnsi" w:hAnsiTheme="minorHAnsi"/>
      <w:b/>
      <w:bCs/>
      <w:sz w:val="20"/>
      <w:szCs w:val="20"/>
    </w:rPr>
  </w:style>
  <w:style w:type="character" w:customStyle="1" w:styleId="1f2">
    <w:name w:val="Текст выноски Знак1"/>
    <w:basedOn w:val="a1"/>
    <w:uiPriority w:val="99"/>
    <w:semiHidden/>
    <w:rsid w:val="00C51F10"/>
    <w:rPr>
      <w:rFonts w:ascii="Tahoma" w:hAnsi="Tahoma" w:cs="Tahoma"/>
      <w:sz w:val="16"/>
      <w:szCs w:val="16"/>
    </w:rPr>
  </w:style>
  <w:style w:type="character" w:customStyle="1" w:styleId="aff7">
    <w:name w:val="Без интервала Знак"/>
    <w:basedOn w:val="a1"/>
    <w:link w:val="aff6"/>
    <w:uiPriority w:val="1"/>
    <w:locked/>
    <w:rsid w:val="00C51F10"/>
  </w:style>
  <w:style w:type="paragraph" w:customStyle="1" w:styleId="m-6024239108707793103msolistparagraph">
    <w:name w:val="m_-6024239108707793103msolistparagraph"/>
    <w:basedOn w:val="a0"/>
    <w:rsid w:val="00C51F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inkbg">
    <w:name w:val="pinkbg"/>
    <w:basedOn w:val="a1"/>
    <w:rsid w:val="00C51F10"/>
  </w:style>
  <w:style w:type="paragraph" w:styleId="afff1">
    <w:name w:val="TOC Heading"/>
    <w:basedOn w:val="1"/>
    <w:next w:val="a0"/>
    <w:uiPriority w:val="39"/>
    <w:unhideWhenUsed/>
    <w:qFormat/>
    <w:rsid w:val="00C51F10"/>
    <w:pPr>
      <w:spacing w:before="240" w:line="259" w:lineRule="auto"/>
      <w:outlineLvl w:val="9"/>
    </w:pPr>
    <w:rPr>
      <w:b w:val="0"/>
      <w:bCs w:val="0"/>
      <w:sz w:val="32"/>
      <w:szCs w:val="32"/>
      <w:lang w:eastAsia="ru-RU"/>
    </w:rPr>
  </w:style>
  <w:style w:type="character" w:customStyle="1" w:styleId="1f3">
    <w:name w:val="Заголовок Знак1"/>
    <w:basedOn w:val="a1"/>
    <w:uiPriority w:val="10"/>
    <w:rsid w:val="00C51F10"/>
    <w:rPr>
      <w:rFonts w:asciiTheme="majorHAnsi" w:eastAsiaTheme="majorEastAsia" w:hAnsiTheme="majorHAnsi" w:cstheme="majorBidi"/>
      <w:spacing w:val="-10"/>
      <w:kern w:val="28"/>
      <w:sz w:val="56"/>
      <w:szCs w:val="56"/>
    </w:rPr>
  </w:style>
  <w:style w:type="paragraph" w:customStyle="1" w:styleId="113">
    <w:name w:val="Заголовок 11"/>
    <w:basedOn w:val="a0"/>
    <w:next w:val="a0"/>
    <w:uiPriority w:val="99"/>
    <w:qFormat/>
    <w:rsid w:val="00C51F10"/>
    <w:pPr>
      <w:keepNext/>
      <w:keepLines/>
      <w:spacing w:before="240" w:after="0"/>
      <w:jc w:val="both"/>
      <w:outlineLvl w:val="0"/>
    </w:pPr>
    <w:rPr>
      <w:rFonts w:ascii="Calibri Light" w:eastAsia="Times New Roman" w:hAnsi="Calibri Light" w:cs="Times New Roman"/>
      <w:color w:val="2F5496"/>
      <w:sz w:val="32"/>
      <w:szCs w:val="32"/>
      <w:lang w:eastAsia="zh-CN"/>
    </w:rPr>
  </w:style>
  <w:style w:type="paragraph" w:customStyle="1" w:styleId="211">
    <w:name w:val="Заголовок 21"/>
    <w:basedOn w:val="a0"/>
    <w:next w:val="a0"/>
    <w:unhideWhenUsed/>
    <w:qFormat/>
    <w:rsid w:val="00C51F10"/>
    <w:pPr>
      <w:keepNext/>
      <w:keepLines/>
      <w:spacing w:before="40" w:after="0"/>
      <w:jc w:val="center"/>
      <w:outlineLvl w:val="1"/>
    </w:pPr>
    <w:rPr>
      <w:rFonts w:ascii="Times New Roman" w:eastAsia="Times New Roman" w:hAnsi="Times New Roman" w:cs="Times New Roman"/>
      <w:b/>
      <w:sz w:val="28"/>
      <w:szCs w:val="26"/>
      <w:u w:val="single"/>
      <w:lang w:eastAsia="zh-CN"/>
    </w:rPr>
  </w:style>
  <w:style w:type="paragraph" w:customStyle="1" w:styleId="1f4">
    <w:name w:val="Заголовок1"/>
    <w:basedOn w:val="a0"/>
    <w:next w:val="a0"/>
    <w:uiPriority w:val="99"/>
    <w:qFormat/>
    <w:rsid w:val="00C51F10"/>
    <w:pPr>
      <w:spacing w:after="0" w:line="240" w:lineRule="auto"/>
      <w:contextualSpacing/>
    </w:pPr>
    <w:rPr>
      <w:rFonts w:ascii="Calibri Light" w:eastAsia="Times New Roman" w:hAnsi="Calibri Light" w:cs="Times New Roman"/>
      <w:spacing w:val="-10"/>
      <w:kern w:val="28"/>
      <w:sz w:val="56"/>
      <w:szCs w:val="56"/>
    </w:rPr>
  </w:style>
  <w:style w:type="paragraph" w:customStyle="1" w:styleId="1f5">
    <w:name w:val="Подзаголовок1"/>
    <w:basedOn w:val="a0"/>
    <w:next w:val="a0"/>
    <w:uiPriority w:val="11"/>
    <w:qFormat/>
    <w:rsid w:val="00C51F10"/>
    <w:pPr>
      <w:spacing w:after="160"/>
      <w:jc w:val="center"/>
    </w:pPr>
    <w:rPr>
      <w:rFonts w:ascii="Times New Roman" w:eastAsia="Times New Roman" w:hAnsi="Times New Roman" w:cs="Times New Roman"/>
      <w:b/>
      <w:spacing w:val="15"/>
      <w:sz w:val="28"/>
      <w:u w:val="single"/>
      <w:lang w:eastAsia="zh-CN"/>
    </w:rPr>
  </w:style>
  <w:style w:type="paragraph" w:customStyle="1" w:styleId="1f6">
    <w:name w:val="Текст выноски1"/>
    <w:basedOn w:val="a0"/>
    <w:next w:val="a8"/>
    <w:uiPriority w:val="99"/>
    <w:semiHidden/>
    <w:unhideWhenUsed/>
    <w:rsid w:val="00C51F10"/>
    <w:pPr>
      <w:spacing w:after="0" w:line="240" w:lineRule="auto"/>
      <w:jc w:val="both"/>
    </w:pPr>
    <w:rPr>
      <w:rFonts w:ascii="Tahoma" w:eastAsia="Times New Roman" w:hAnsi="Tahoma" w:cs="Tahoma"/>
      <w:sz w:val="16"/>
      <w:szCs w:val="16"/>
      <w:lang w:eastAsia="zh-CN"/>
    </w:rPr>
  </w:style>
  <w:style w:type="paragraph" w:customStyle="1" w:styleId="1f7">
    <w:name w:val="Без интервала1"/>
    <w:next w:val="aff6"/>
    <w:uiPriority w:val="1"/>
    <w:qFormat/>
    <w:rsid w:val="00C51F10"/>
    <w:pPr>
      <w:spacing w:after="0" w:line="240" w:lineRule="auto"/>
    </w:pPr>
    <w:rPr>
      <w:rFonts w:ascii="Times New Roman" w:eastAsia="Times New Roman" w:hAnsi="Times New Roman" w:cs="Times New Roman"/>
      <w:sz w:val="24"/>
      <w:lang w:eastAsia="ru-RU"/>
    </w:rPr>
  </w:style>
  <w:style w:type="character" w:customStyle="1" w:styleId="1f8">
    <w:name w:val="Гиперссылка1"/>
    <w:basedOn w:val="a1"/>
    <w:uiPriority w:val="99"/>
    <w:unhideWhenUsed/>
    <w:rsid w:val="00C51F10"/>
    <w:rPr>
      <w:color w:val="0563C1"/>
      <w:u w:val="single"/>
    </w:rPr>
  </w:style>
  <w:style w:type="character" w:customStyle="1" w:styleId="114">
    <w:name w:val="Заголовок 1 Знак1"/>
    <w:basedOn w:val="a1"/>
    <w:rsid w:val="00C51F10"/>
    <w:rPr>
      <w:rFonts w:ascii="Calibri Light" w:eastAsia="Times New Roman" w:hAnsi="Calibri Light" w:cs="Times New Roman"/>
      <w:color w:val="2F5496"/>
      <w:sz w:val="32"/>
      <w:szCs w:val="32"/>
    </w:rPr>
  </w:style>
  <w:style w:type="paragraph" w:customStyle="1" w:styleId="212">
    <w:name w:val="Оглавление 21"/>
    <w:basedOn w:val="a0"/>
    <w:next w:val="a0"/>
    <w:autoRedefine/>
    <w:uiPriority w:val="39"/>
    <w:unhideWhenUsed/>
    <w:qFormat/>
    <w:rsid w:val="00C51F10"/>
    <w:pPr>
      <w:spacing w:after="100"/>
      <w:ind w:left="280"/>
      <w:jc w:val="both"/>
    </w:pPr>
    <w:rPr>
      <w:rFonts w:ascii="Times New Roman" w:eastAsia="Times New Roman" w:hAnsi="Times New Roman" w:cs="Times New Roman"/>
      <w:sz w:val="28"/>
      <w:lang w:eastAsia="zh-CN"/>
    </w:rPr>
  </w:style>
  <w:style w:type="character" w:customStyle="1" w:styleId="213">
    <w:name w:val="Заголовок 2 Знак1"/>
    <w:basedOn w:val="a1"/>
    <w:uiPriority w:val="9"/>
    <w:semiHidden/>
    <w:rsid w:val="00C51F10"/>
    <w:rPr>
      <w:rFonts w:ascii="Calibri Light" w:eastAsia="Times New Roman" w:hAnsi="Calibri Light" w:cs="Times New Roman"/>
      <w:color w:val="2F5496"/>
      <w:sz w:val="26"/>
      <w:szCs w:val="26"/>
    </w:rPr>
  </w:style>
  <w:style w:type="character" w:customStyle="1" w:styleId="2a">
    <w:name w:val="Заголовок Знак2"/>
    <w:basedOn w:val="a1"/>
    <w:uiPriority w:val="10"/>
    <w:rsid w:val="00C51F10"/>
    <w:rPr>
      <w:rFonts w:ascii="Calibri Light" w:eastAsia="Times New Roman" w:hAnsi="Calibri Light" w:cs="Times New Roman"/>
      <w:spacing w:val="-10"/>
      <w:kern w:val="28"/>
      <w:sz w:val="56"/>
      <w:szCs w:val="56"/>
    </w:rPr>
  </w:style>
  <w:style w:type="character" w:customStyle="1" w:styleId="2b">
    <w:name w:val="Подзаголовок Знак2"/>
    <w:basedOn w:val="a1"/>
    <w:uiPriority w:val="11"/>
    <w:rsid w:val="00C51F10"/>
    <w:rPr>
      <w:rFonts w:ascii="Calibri" w:eastAsia="Times New Roman" w:hAnsi="Calibri" w:cs="Times New Roman"/>
      <w:color w:val="5A5A5A"/>
      <w:spacing w:val="15"/>
      <w:sz w:val="22"/>
      <w:szCs w:val="22"/>
    </w:rPr>
  </w:style>
  <w:style w:type="character" w:customStyle="1" w:styleId="2c">
    <w:name w:val="Текст выноски Знак2"/>
    <w:basedOn w:val="a1"/>
    <w:uiPriority w:val="99"/>
    <w:semiHidden/>
    <w:rsid w:val="00C51F10"/>
    <w:rPr>
      <w:rFonts w:ascii="Segoe UI" w:hAnsi="Segoe UI" w:cs="Segoe UI"/>
      <w:sz w:val="18"/>
      <w:szCs w:val="18"/>
    </w:rPr>
  </w:style>
  <w:style w:type="numbering" w:customStyle="1" w:styleId="121">
    <w:name w:val="Нет списка12"/>
    <w:next w:val="a3"/>
    <w:uiPriority w:val="99"/>
    <w:semiHidden/>
    <w:unhideWhenUsed/>
    <w:rsid w:val="00C51F10"/>
  </w:style>
  <w:style w:type="character" w:customStyle="1" w:styleId="UnresolvedMention">
    <w:name w:val="Unresolved Mention"/>
    <w:basedOn w:val="a1"/>
    <w:uiPriority w:val="99"/>
    <w:semiHidden/>
    <w:unhideWhenUsed/>
    <w:rsid w:val="00D7263D"/>
    <w:rPr>
      <w:color w:val="605E5C"/>
      <w:shd w:val="clear" w:color="auto" w:fill="E1DFDD"/>
    </w:rPr>
  </w:style>
  <w:style w:type="table" w:customStyle="1" w:styleId="140">
    <w:name w:val="Сетка таблицы14"/>
    <w:basedOn w:val="a2"/>
    <w:next w:val="a7"/>
    <w:uiPriority w:val="39"/>
    <w:rsid w:val="00720B81"/>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a1"/>
    <w:rsid w:val="00CA6047"/>
  </w:style>
  <w:style w:type="character" w:customStyle="1" w:styleId="2Tahoma7pt">
    <w:name w:val="Основной текст (2) + Tahoma;7 pt"/>
    <w:basedOn w:val="24"/>
    <w:rsid w:val="00CA6047"/>
    <w:rPr>
      <w:rFonts w:ascii="Tahoma" w:eastAsia="Tahoma" w:hAnsi="Tahoma" w:cs="Tahoma"/>
      <w:b w:val="0"/>
      <w:bCs w:val="0"/>
      <w:color w:val="000000"/>
      <w:spacing w:val="0"/>
      <w:w w:val="100"/>
      <w:position w:val="0"/>
      <w:sz w:val="14"/>
      <w:szCs w:val="14"/>
      <w:shd w:val="clear" w:color="auto" w:fill="FFFFFF"/>
      <w:lang w:val="ru-RU" w:eastAsia="ru-RU" w:bidi="ru-RU"/>
    </w:rPr>
  </w:style>
  <w:style w:type="character" w:customStyle="1" w:styleId="45">
    <w:name w:val="Заголовок №4"/>
    <w:basedOn w:val="a1"/>
    <w:rsid w:val="00CA6047"/>
    <w:rPr>
      <w:rFonts w:ascii="Tahoma" w:eastAsia="Tahoma" w:hAnsi="Tahoma" w:cs="Tahoma"/>
      <w:b w:val="0"/>
      <w:bCs w:val="0"/>
      <w:i w:val="0"/>
      <w:iCs w:val="0"/>
      <w:smallCaps w:val="0"/>
      <w:strike w:val="0"/>
      <w:color w:val="000000"/>
      <w:spacing w:val="0"/>
      <w:w w:val="100"/>
      <w:position w:val="0"/>
      <w:sz w:val="16"/>
      <w:szCs w:val="16"/>
      <w:u w:val="none"/>
      <w:lang w:val="ru-RU" w:eastAsia="ru-RU" w:bidi="ru-RU"/>
    </w:rPr>
  </w:style>
  <w:style w:type="character" w:customStyle="1" w:styleId="102">
    <w:name w:val="Основной текст (10)"/>
    <w:basedOn w:val="a1"/>
    <w:rsid w:val="00CA6047"/>
    <w:rPr>
      <w:rFonts w:ascii="Tahoma" w:eastAsia="Tahoma" w:hAnsi="Tahoma" w:cs="Tahoma"/>
      <w:b w:val="0"/>
      <w:bCs w:val="0"/>
      <w:i w:val="0"/>
      <w:iCs w:val="0"/>
      <w:smallCaps w:val="0"/>
      <w:strike w:val="0"/>
      <w:color w:val="000000"/>
      <w:spacing w:val="0"/>
      <w:w w:val="100"/>
      <w:position w:val="0"/>
      <w:sz w:val="14"/>
      <w:szCs w:val="14"/>
      <w:u w:val="none"/>
      <w:lang w:val="ru-RU" w:eastAsia="ru-RU" w:bidi="ru-RU"/>
    </w:rPr>
  </w:style>
  <w:style w:type="character" w:customStyle="1" w:styleId="40pt">
    <w:name w:val="Заголовок №4 + Курсив;Интервал 0 pt"/>
    <w:basedOn w:val="a1"/>
    <w:rsid w:val="00CA6047"/>
    <w:rPr>
      <w:rFonts w:ascii="Tahoma" w:eastAsia="Tahoma" w:hAnsi="Tahoma" w:cs="Tahoma"/>
      <w:b w:val="0"/>
      <w:bCs w:val="0"/>
      <w:i/>
      <w:iCs/>
      <w:smallCaps w:val="0"/>
      <w:strike w:val="0"/>
      <w:color w:val="000000"/>
      <w:spacing w:val="-10"/>
      <w:w w:val="100"/>
      <w:position w:val="0"/>
      <w:sz w:val="16"/>
      <w:szCs w:val="16"/>
      <w:u w:val="none"/>
      <w:lang w:val="ru-RU" w:eastAsia="ru-RU" w:bidi="ru-RU"/>
    </w:rPr>
  </w:style>
  <w:style w:type="character" w:customStyle="1" w:styleId="265pt">
    <w:name w:val="Основной текст (2) + 6;5 pt;Полужирный"/>
    <w:basedOn w:val="24"/>
    <w:rsid w:val="00CA6047"/>
    <w:rPr>
      <w:rFonts w:ascii="Microsoft Sans Serif" w:eastAsia="Microsoft Sans Serif" w:hAnsi="Microsoft Sans Serif" w:cs="Microsoft Sans Serif"/>
      <w:b/>
      <w:bCs/>
      <w:i w:val="0"/>
      <w:iCs w:val="0"/>
      <w:smallCaps w:val="0"/>
      <w:strike w:val="0"/>
      <w:color w:val="000000"/>
      <w:spacing w:val="0"/>
      <w:w w:val="100"/>
      <w:position w:val="0"/>
      <w:sz w:val="13"/>
      <w:szCs w:val="13"/>
      <w:u w:val="none"/>
      <w:shd w:val="clear" w:color="auto" w:fill="FFFFFF"/>
      <w:lang w:val="ru-RU" w:eastAsia="ru-RU" w:bidi="ru-RU"/>
    </w:rPr>
  </w:style>
  <w:style w:type="paragraph" w:customStyle="1" w:styleId="p65">
    <w:name w:val="p65"/>
    <w:basedOn w:val="a0"/>
    <w:rsid w:val="00CA60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18">
    <w:name w:val="t18"/>
    <w:basedOn w:val="a1"/>
    <w:rsid w:val="00CA6047"/>
  </w:style>
  <w:style w:type="paragraph" w:customStyle="1" w:styleId="p66">
    <w:name w:val="p66"/>
    <w:basedOn w:val="a0"/>
    <w:rsid w:val="00CA60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14">
    <w:name w:val="t14"/>
    <w:basedOn w:val="a1"/>
    <w:rsid w:val="00CA6047"/>
  </w:style>
  <w:style w:type="character" w:customStyle="1" w:styleId="t13">
    <w:name w:val="t13"/>
    <w:basedOn w:val="a1"/>
    <w:rsid w:val="00CA6047"/>
  </w:style>
  <w:style w:type="character" w:customStyle="1" w:styleId="46">
    <w:name w:val="Заголовок №4_"/>
    <w:basedOn w:val="a1"/>
    <w:rsid w:val="00CA6047"/>
    <w:rPr>
      <w:rFonts w:ascii="Tahoma" w:eastAsia="Tahoma" w:hAnsi="Tahoma" w:cs="Tahoma"/>
      <w:b w:val="0"/>
      <w:bCs w:val="0"/>
      <w:i w:val="0"/>
      <w:iCs w:val="0"/>
      <w:smallCaps w:val="0"/>
      <w:strike w:val="0"/>
      <w:sz w:val="16"/>
      <w:szCs w:val="16"/>
      <w:u w:val="none"/>
    </w:rPr>
  </w:style>
  <w:style w:type="character" w:customStyle="1" w:styleId="9Exact">
    <w:name w:val="Основной текст (9) Exact"/>
    <w:basedOn w:val="a1"/>
    <w:link w:val="92"/>
    <w:rsid w:val="00CA6047"/>
    <w:rPr>
      <w:rFonts w:ascii="Tahoma" w:eastAsia="Tahoma" w:hAnsi="Tahoma" w:cs="Tahoma"/>
      <w:sz w:val="16"/>
      <w:szCs w:val="16"/>
      <w:shd w:val="clear" w:color="auto" w:fill="FFFFFF"/>
    </w:rPr>
  </w:style>
  <w:style w:type="paragraph" w:customStyle="1" w:styleId="92">
    <w:name w:val="Основной текст (9)"/>
    <w:basedOn w:val="a0"/>
    <w:link w:val="9Exact"/>
    <w:rsid w:val="00CA6047"/>
    <w:pPr>
      <w:widowControl w:val="0"/>
      <w:shd w:val="clear" w:color="auto" w:fill="FFFFFF"/>
      <w:spacing w:after="0" w:line="197" w:lineRule="exact"/>
    </w:pPr>
    <w:rPr>
      <w:rFonts w:ascii="Tahoma" w:eastAsia="Tahoma" w:hAnsi="Tahoma" w:cs="Tahoma"/>
      <w:sz w:val="16"/>
      <w:szCs w:val="16"/>
    </w:rPr>
  </w:style>
  <w:style w:type="paragraph" w:customStyle="1" w:styleId="article-renderblock">
    <w:name w:val="article-render__block"/>
    <w:basedOn w:val="a0"/>
    <w:rsid w:val="00CA60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te">
    <w:name w:val="note"/>
    <w:basedOn w:val="a1"/>
    <w:rsid w:val="00CA6047"/>
  </w:style>
  <w:style w:type="paragraph" w:customStyle="1" w:styleId="afff2">
    <w:name w:val="Содержимое таблицы"/>
    <w:basedOn w:val="a0"/>
    <w:uiPriority w:val="99"/>
    <w:qFormat/>
    <w:rsid w:val="00976DAC"/>
    <w:pPr>
      <w:widowControl w:val="0"/>
      <w:suppressLineNumbers/>
      <w:suppressAutoHyphens/>
    </w:pPr>
  </w:style>
  <w:style w:type="table" w:customStyle="1" w:styleId="-311">
    <w:name w:val="Список-таблица 3 — акцент 11"/>
    <w:basedOn w:val="a2"/>
    <w:uiPriority w:val="48"/>
    <w:rsid w:val="00976DAC"/>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312">
    <w:name w:val="Список-таблица 3 — акцент 12"/>
    <w:basedOn w:val="a2"/>
    <w:uiPriority w:val="48"/>
    <w:rsid w:val="00976DAC"/>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731">
    <w:name w:val="Таблица-сетка 7 цветная — акцент 31"/>
    <w:basedOn w:val="a2"/>
    <w:uiPriority w:val="52"/>
    <w:rsid w:val="00976DAC"/>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411">
    <w:name w:val="Таблица-сетка 4 — акцент 11"/>
    <w:basedOn w:val="a2"/>
    <w:uiPriority w:val="49"/>
    <w:rsid w:val="00976DA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2-41">
    <w:name w:val="Средний список 2 - Акцент 41"/>
    <w:basedOn w:val="a0"/>
    <w:uiPriority w:val="99"/>
    <w:qFormat/>
    <w:rsid w:val="00976DAC"/>
    <w:pPr>
      <w:spacing w:after="160" w:line="259" w:lineRule="auto"/>
      <w:ind w:left="720"/>
      <w:contextualSpacing/>
    </w:pPr>
    <w:rPr>
      <w:rFonts w:ascii="Calibri" w:eastAsia="Calibri" w:hAnsi="Calibri" w:cs="Times New Roman"/>
    </w:rPr>
  </w:style>
  <w:style w:type="paragraph" w:customStyle="1" w:styleId="c1">
    <w:name w:val="c1"/>
    <w:basedOn w:val="a0"/>
    <w:uiPriority w:val="99"/>
    <w:qFormat/>
    <w:rsid w:val="00976D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1"/>
    <w:qFormat/>
    <w:rsid w:val="00976DAC"/>
  </w:style>
  <w:style w:type="character" w:customStyle="1" w:styleId="Bodytext3">
    <w:name w:val="Body text (3)_"/>
    <w:basedOn w:val="a1"/>
    <w:link w:val="Bodytext30"/>
    <w:qFormat/>
    <w:rsid w:val="00976DAC"/>
    <w:rPr>
      <w:rFonts w:ascii="Times New Roman" w:eastAsia="Times New Roman" w:hAnsi="Times New Roman" w:cs="Times New Roman"/>
      <w:i/>
      <w:iCs/>
      <w:shd w:val="clear" w:color="auto" w:fill="FFFFFF"/>
    </w:rPr>
  </w:style>
  <w:style w:type="character" w:customStyle="1" w:styleId="Bodytext8">
    <w:name w:val="Body text (8)_"/>
    <w:basedOn w:val="a1"/>
    <w:link w:val="Bodytext80"/>
    <w:qFormat/>
    <w:rsid w:val="00976DAC"/>
    <w:rPr>
      <w:rFonts w:ascii="Times New Roman" w:eastAsia="Times New Roman" w:hAnsi="Times New Roman" w:cs="Times New Roman"/>
      <w:i/>
      <w:iCs/>
      <w:shd w:val="clear" w:color="auto" w:fill="FFFFFF"/>
    </w:rPr>
  </w:style>
  <w:style w:type="paragraph" w:customStyle="1" w:styleId="Bodytext30">
    <w:name w:val="Body text (3)"/>
    <w:basedOn w:val="a0"/>
    <w:link w:val="Bodytext3"/>
    <w:qFormat/>
    <w:rsid w:val="00976DAC"/>
    <w:pPr>
      <w:widowControl w:val="0"/>
      <w:shd w:val="clear" w:color="auto" w:fill="FFFFFF"/>
      <w:spacing w:after="0" w:line="384" w:lineRule="exact"/>
    </w:pPr>
    <w:rPr>
      <w:rFonts w:ascii="Times New Roman" w:eastAsia="Times New Roman" w:hAnsi="Times New Roman" w:cs="Times New Roman"/>
      <w:i/>
      <w:iCs/>
    </w:rPr>
  </w:style>
  <w:style w:type="paragraph" w:customStyle="1" w:styleId="Bodytext80">
    <w:name w:val="Body text (8)"/>
    <w:basedOn w:val="a0"/>
    <w:link w:val="Bodytext8"/>
    <w:qFormat/>
    <w:rsid w:val="00976DAC"/>
    <w:pPr>
      <w:widowControl w:val="0"/>
      <w:shd w:val="clear" w:color="auto" w:fill="FFFFFF"/>
      <w:spacing w:before="180" w:after="300" w:line="0" w:lineRule="atLeast"/>
      <w:jc w:val="center"/>
    </w:pPr>
    <w:rPr>
      <w:rFonts w:ascii="Times New Roman" w:eastAsia="Times New Roman" w:hAnsi="Times New Roman" w:cs="Times New Roman"/>
      <w:i/>
      <w:iCs/>
    </w:rPr>
  </w:style>
  <w:style w:type="paragraph" w:customStyle="1" w:styleId="WRPropSectionTitle">
    <w:name w:val="WR PropSection Title"/>
    <w:basedOn w:val="a0"/>
    <w:uiPriority w:val="99"/>
    <w:qFormat/>
    <w:rsid w:val="00976DAC"/>
    <w:pPr>
      <w:shd w:val="pct40" w:color="auto" w:fill="FFFFFF"/>
      <w:spacing w:before="240" w:after="240" w:line="240" w:lineRule="auto"/>
      <w:ind w:firstLine="180"/>
    </w:pPr>
    <w:rPr>
      <w:rFonts w:ascii="Arial" w:eastAsia="Times New Roman" w:hAnsi="Arial" w:cs="Times New Roman"/>
      <w:b/>
      <w:noProof/>
      <w:color w:val="FFFFFF"/>
      <w:spacing w:val="40"/>
      <w:sz w:val="36"/>
      <w:szCs w:val="20"/>
      <w:lang w:val="en-US" w:eastAsia="ru-RU"/>
    </w:rPr>
  </w:style>
  <w:style w:type="paragraph" w:customStyle="1" w:styleId="Point">
    <w:name w:val="Point"/>
    <w:basedOn w:val="a0"/>
    <w:uiPriority w:val="99"/>
    <w:qFormat/>
    <w:rsid w:val="00976DAC"/>
    <w:pPr>
      <w:numPr>
        <w:numId w:val="12"/>
      </w:numPr>
      <w:spacing w:after="0" w:line="240" w:lineRule="auto"/>
      <w:jc w:val="both"/>
    </w:pPr>
    <w:rPr>
      <w:rFonts w:ascii="Arial" w:eastAsia="Times New Roman" w:hAnsi="Arial" w:cs="Arial"/>
      <w:sz w:val="24"/>
      <w:szCs w:val="20"/>
      <w:lang w:eastAsia="ru-RU"/>
    </w:rPr>
  </w:style>
  <w:style w:type="paragraph" w:customStyle="1" w:styleId="Text">
    <w:name w:val="Text"/>
    <w:basedOn w:val="a0"/>
    <w:uiPriority w:val="99"/>
    <w:rsid w:val="00976DAC"/>
    <w:pPr>
      <w:spacing w:after="0" w:line="240" w:lineRule="auto"/>
      <w:jc w:val="both"/>
    </w:pPr>
    <w:rPr>
      <w:rFonts w:ascii="Times New Roman" w:eastAsia="Times New Roman" w:hAnsi="Times New Roman" w:cs="Times New Roman"/>
      <w:sz w:val="24"/>
      <w:szCs w:val="20"/>
      <w:lang w:val="en-AU"/>
    </w:rPr>
  </w:style>
  <w:style w:type="paragraph" w:customStyle="1" w:styleId="Achievement">
    <w:name w:val="Achievement"/>
    <w:basedOn w:val="a0"/>
    <w:uiPriority w:val="99"/>
    <w:qFormat/>
    <w:rsid w:val="00976DAC"/>
    <w:pPr>
      <w:keepLines/>
      <w:spacing w:after="0" w:line="260" w:lineRule="exact"/>
      <w:ind w:left="-1080"/>
    </w:pPr>
    <w:rPr>
      <w:rFonts w:ascii="Arial" w:eastAsia="Times New Roman" w:hAnsi="Arial" w:cs="Times New Roman"/>
      <w:i/>
      <w:sz w:val="20"/>
      <w:szCs w:val="20"/>
      <w:lang w:val="en-US" w:eastAsia="ru-RU"/>
    </w:rPr>
  </w:style>
  <w:style w:type="paragraph" w:customStyle="1" w:styleId="Char">
    <w:name w:val="Char"/>
    <w:basedOn w:val="a0"/>
    <w:uiPriority w:val="99"/>
    <w:qFormat/>
    <w:rsid w:val="00976DAC"/>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CharChar">
    <w:name w:val="Char Char"/>
    <w:basedOn w:val="a0"/>
    <w:uiPriority w:val="99"/>
    <w:qFormat/>
    <w:rsid w:val="00976DAC"/>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2">
    <w:name w:val="Текст с булитами 2"/>
    <w:basedOn w:val="a0"/>
    <w:uiPriority w:val="99"/>
    <w:qFormat/>
    <w:rsid w:val="00976DAC"/>
    <w:pPr>
      <w:numPr>
        <w:ilvl w:val="2"/>
        <w:numId w:val="13"/>
      </w:numPr>
      <w:spacing w:after="0" w:line="240" w:lineRule="auto"/>
      <w:jc w:val="both"/>
    </w:pPr>
    <w:rPr>
      <w:rFonts w:ascii="Times New Roman" w:eastAsia="Times New Roman" w:hAnsi="Times New Roman" w:cs="Times New Roman"/>
      <w:sz w:val="24"/>
      <w:szCs w:val="24"/>
    </w:rPr>
  </w:style>
  <w:style w:type="paragraph" w:customStyle="1" w:styleId="CharChar1CharCharCharChar">
    <w:name w:val="Char Char1 Знак Знак Char Char Знак Знак Char Char"/>
    <w:basedOn w:val="a0"/>
    <w:uiPriority w:val="99"/>
    <w:qFormat/>
    <w:rsid w:val="00976DAC"/>
    <w:pPr>
      <w:spacing w:after="160" w:line="240" w:lineRule="exact"/>
    </w:pPr>
    <w:rPr>
      <w:rFonts w:ascii="Tahoma" w:eastAsia="Times New Roman" w:hAnsi="Tahoma" w:cs="Times New Roman"/>
      <w:sz w:val="20"/>
      <w:szCs w:val="20"/>
      <w:lang w:val="en-US"/>
    </w:rPr>
  </w:style>
  <w:style w:type="paragraph" w:customStyle="1" w:styleId="Brdtext">
    <w:name w:val="Brödtext"/>
    <w:basedOn w:val="a0"/>
    <w:uiPriority w:val="99"/>
    <w:qFormat/>
    <w:rsid w:val="00976DAC"/>
    <w:pPr>
      <w:spacing w:after="120" w:line="288" w:lineRule="auto"/>
    </w:pPr>
    <w:rPr>
      <w:rFonts w:ascii="Book Antiqua" w:eastAsia="Times New Roman" w:hAnsi="Book Antiqua" w:cs="Times New Roman"/>
      <w:szCs w:val="20"/>
      <w:lang w:val="en-US"/>
    </w:rPr>
  </w:style>
  <w:style w:type="paragraph" w:customStyle="1" w:styleId="CharChar1">
    <w:name w:val="Char Char1"/>
    <w:basedOn w:val="a0"/>
    <w:uiPriority w:val="99"/>
    <w:qFormat/>
    <w:rsid w:val="00976DAC"/>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f3">
    <w:name w:val="......."/>
    <w:basedOn w:val="a0"/>
    <w:next w:val="a0"/>
    <w:uiPriority w:val="99"/>
    <w:qFormat/>
    <w:rsid w:val="00976DAC"/>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1">
    <w:name w:val="Цветной список - Акцент 11"/>
    <w:basedOn w:val="a0"/>
    <w:uiPriority w:val="99"/>
    <w:qFormat/>
    <w:rsid w:val="00976DAC"/>
    <w:pPr>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1f9">
    <w:name w:val="Стиль1"/>
    <w:basedOn w:val="a0"/>
    <w:link w:val="1fa"/>
    <w:qFormat/>
    <w:rsid w:val="00976DAC"/>
    <w:pPr>
      <w:spacing w:after="0" w:line="360" w:lineRule="auto"/>
      <w:jc w:val="both"/>
    </w:pPr>
    <w:rPr>
      <w:rFonts w:ascii="Tahoma" w:eastAsia="Times New Roman" w:hAnsi="Tahoma" w:cs="Tahoma"/>
      <w:color w:val="808080"/>
      <w:sz w:val="24"/>
      <w:szCs w:val="24"/>
      <w:lang w:eastAsia="ru-RU"/>
    </w:rPr>
  </w:style>
  <w:style w:type="paragraph" w:customStyle="1" w:styleId="afff4">
    <w:name w:val="Заголовок диаграммы"/>
    <w:basedOn w:val="1f9"/>
    <w:link w:val="afff5"/>
    <w:qFormat/>
    <w:rsid w:val="00976DAC"/>
    <w:rPr>
      <w:b/>
      <w:i/>
      <w:snapToGrid w:val="0"/>
      <w:sz w:val="22"/>
    </w:rPr>
  </w:style>
  <w:style w:type="character" w:customStyle="1" w:styleId="1fa">
    <w:name w:val="Стиль1 Знак"/>
    <w:link w:val="1f9"/>
    <w:qFormat/>
    <w:rsid w:val="00976DAC"/>
    <w:rPr>
      <w:rFonts w:ascii="Tahoma" w:eastAsia="Times New Roman" w:hAnsi="Tahoma" w:cs="Tahoma"/>
      <w:color w:val="808080"/>
      <w:sz w:val="24"/>
      <w:szCs w:val="24"/>
      <w:lang w:eastAsia="ru-RU"/>
    </w:rPr>
  </w:style>
  <w:style w:type="paragraph" w:customStyle="1" w:styleId="-31">
    <w:name w:val="Таблица-сетка 31"/>
    <w:basedOn w:val="1"/>
    <w:next w:val="a0"/>
    <w:uiPriority w:val="39"/>
    <w:semiHidden/>
    <w:unhideWhenUsed/>
    <w:qFormat/>
    <w:rsid w:val="00976DAC"/>
    <w:pPr>
      <w:outlineLvl w:val="9"/>
    </w:pPr>
    <w:rPr>
      <w:rFonts w:ascii="Cambria" w:eastAsia="MS Gothic" w:hAnsi="Cambria" w:cs="Times New Roman"/>
      <w:color w:val="365F91"/>
      <w:lang w:val="en-US" w:eastAsia="ja-JP"/>
    </w:rPr>
  </w:style>
  <w:style w:type="character" w:customStyle="1" w:styleId="afff5">
    <w:name w:val="Заголовок диаграммы Знак"/>
    <w:link w:val="afff4"/>
    <w:qFormat/>
    <w:rsid w:val="00976DAC"/>
    <w:rPr>
      <w:rFonts w:ascii="Tahoma" w:eastAsia="Times New Roman" w:hAnsi="Tahoma" w:cs="Tahoma"/>
      <w:b/>
      <w:i/>
      <w:snapToGrid w:val="0"/>
      <w:color w:val="808080"/>
      <w:szCs w:val="24"/>
      <w:lang w:eastAsia="ru-RU"/>
    </w:rPr>
  </w:style>
  <w:style w:type="table" w:styleId="2d">
    <w:name w:val="Table Colorful 2"/>
    <w:basedOn w:val="a2"/>
    <w:rsid w:val="00976DAC"/>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2e">
    <w:name w:val="Стиль2"/>
    <w:basedOn w:val="a2"/>
    <w:rsid w:val="00976DAC"/>
    <w:pPr>
      <w:spacing w:after="0" w:line="240" w:lineRule="auto"/>
    </w:pPr>
    <w:rPr>
      <w:rFonts w:ascii="Times New Roman" w:eastAsia="Times New Roman" w:hAnsi="Times New Roman" w:cs="Times New Roman"/>
      <w:sz w:val="20"/>
      <w:szCs w:val="20"/>
      <w:lang w:eastAsia="ru-RU"/>
    </w:rPr>
    <w:tblPr/>
  </w:style>
  <w:style w:type="table" w:styleId="36">
    <w:name w:val="Table Columns 3"/>
    <w:basedOn w:val="a2"/>
    <w:rsid w:val="00976DAC"/>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2f">
    <w:name w:val="Table Columns 2"/>
    <w:basedOn w:val="a2"/>
    <w:rsid w:val="00976DAC"/>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otnoteTextChar1">
    <w:name w:val="Footnote Text Char1"/>
    <w:aliases w:val="Текст сноски Знак1 Знак Char,Текст сноски Знак Знак Знак Char,Footnote Text Char Знак Знак Char,Footnote Text Char Знак Char,FSR footnote Char,lábléc Char,Footnote Text Char Char Char Char Char Char Char,Footnote Text Char Char"/>
    <w:uiPriority w:val="99"/>
    <w:qFormat/>
    <w:rsid w:val="00976DAC"/>
    <w:rPr>
      <w:lang w:val="en-US"/>
    </w:rPr>
  </w:style>
  <w:style w:type="table" w:customStyle="1" w:styleId="-241">
    <w:name w:val="Список-таблица 2 — акцент 41"/>
    <w:basedOn w:val="a2"/>
    <w:uiPriority w:val="47"/>
    <w:rsid w:val="00976DAC"/>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37">
    <w:name w:val="toc 3"/>
    <w:basedOn w:val="a0"/>
    <w:next w:val="a0"/>
    <w:autoRedefine/>
    <w:uiPriority w:val="39"/>
    <w:unhideWhenUsed/>
    <w:rsid w:val="00976DAC"/>
    <w:pPr>
      <w:spacing w:after="100" w:line="240" w:lineRule="auto"/>
      <w:ind w:left="400"/>
    </w:pPr>
    <w:rPr>
      <w:rFonts w:ascii="Times New Roman" w:eastAsia="Times New Roman" w:hAnsi="Times New Roman" w:cs="Times New Roman"/>
      <w:sz w:val="20"/>
      <w:szCs w:val="20"/>
      <w:lang w:val="en-US" w:eastAsia="ru-RU"/>
    </w:rPr>
  </w:style>
  <w:style w:type="table" w:customStyle="1" w:styleId="-421">
    <w:name w:val="Таблица-сетка 4 — акцент 21"/>
    <w:basedOn w:val="a2"/>
    <w:uiPriority w:val="49"/>
    <w:rsid w:val="00976DAC"/>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441">
    <w:name w:val="Таблица-сетка 4 — акцент 41"/>
    <w:basedOn w:val="a2"/>
    <w:uiPriority w:val="49"/>
    <w:rsid w:val="00976DAC"/>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3111">
    <w:name w:val="Список-таблица 3 — акцент 111"/>
    <w:basedOn w:val="a2"/>
    <w:uiPriority w:val="48"/>
    <w:rsid w:val="00976DAC"/>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3121">
    <w:name w:val="Список-таблица 3 — акцент 121"/>
    <w:basedOn w:val="a2"/>
    <w:uiPriority w:val="48"/>
    <w:rsid w:val="00976DAC"/>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7311">
    <w:name w:val="Таблица-сетка 7 цветная — акцент 311"/>
    <w:basedOn w:val="a2"/>
    <w:uiPriority w:val="52"/>
    <w:rsid w:val="00976DAC"/>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1110">
    <w:name w:val="Сетка таблицы111"/>
    <w:basedOn w:val="a2"/>
    <w:next w:val="a7"/>
    <w:uiPriority w:val="39"/>
    <w:rsid w:val="00976D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Таблица-сетка 4 — акцент 111"/>
    <w:basedOn w:val="a2"/>
    <w:uiPriority w:val="49"/>
    <w:rsid w:val="00976DA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14">
    <w:name w:val="Цветная таблица 21"/>
    <w:basedOn w:val="a2"/>
    <w:next w:val="2d"/>
    <w:rsid w:val="00976DAC"/>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215">
    <w:name w:val="Стиль21"/>
    <w:basedOn w:val="a2"/>
    <w:rsid w:val="00976DAC"/>
    <w:pPr>
      <w:spacing w:after="0" w:line="240" w:lineRule="auto"/>
    </w:pPr>
    <w:rPr>
      <w:rFonts w:ascii="Times New Roman" w:eastAsia="Times New Roman" w:hAnsi="Times New Roman" w:cs="Times New Roman"/>
      <w:sz w:val="20"/>
      <w:szCs w:val="20"/>
      <w:lang w:eastAsia="ru-RU"/>
    </w:rPr>
    <w:tblPr/>
  </w:style>
  <w:style w:type="table" w:customStyle="1" w:styleId="311">
    <w:name w:val="Столбцы таблицы 31"/>
    <w:basedOn w:val="a2"/>
    <w:next w:val="36"/>
    <w:rsid w:val="00976DAC"/>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216">
    <w:name w:val="Столбцы таблицы 21"/>
    <w:basedOn w:val="a2"/>
    <w:next w:val="2f"/>
    <w:rsid w:val="00976DAC"/>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1">
    <w:name w:val="Список-таблица 2 — акцент 411"/>
    <w:basedOn w:val="a2"/>
    <w:uiPriority w:val="47"/>
    <w:rsid w:val="00976DAC"/>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afff6">
    <w:name w:val="Нет"/>
    <w:qFormat/>
    <w:rsid w:val="00976DAC"/>
  </w:style>
  <w:style w:type="numbering" w:customStyle="1" w:styleId="38">
    <w:name w:val="Нет списка3"/>
    <w:next w:val="a3"/>
    <w:uiPriority w:val="99"/>
    <w:semiHidden/>
    <w:unhideWhenUsed/>
    <w:rsid w:val="00976DAC"/>
  </w:style>
  <w:style w:type="numbering" w:customStyle="1" w:styleId="47">
    <w:name w:val="Нет списка4"/>
    <w:next w:val="a3"/>
    <w:uiPriority w:val="99"/>
    <w:semiHidden/>
    <w:unhideWhenUsed/>
    <w:rsid w:val="00976DAC"/>
  </w:style>
  <w:style w:type="table" w:customStyle="1" w:styleId="-3112">
    <w:name w:val="Список-таблица 3 — акцент 112"/>
    <w:basedOn w:val="a2"/>
    <w:uiPriority w:val="48"/>
    <w:rsid w:val="00976DAC"/>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3122">
    <w:name w:val="Список-таблица 3 — акцент 122"/>
    <w:basedOn w:val="a2"/>
    <w:uiPriority w:val="48"/>
    <w:rsid w:val="00976DAC"/>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7312">
    <w:name w:val="Таблица-сетка 7 цветная — акцент 312"/>
    <w:basedOn w:val="a2"/>
    <w:uiPriority w:val="52"/>
    <w:rsid w:val="00976DAC"/>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1120">
    <w:name w:val="Сетка таблицы112"/>
    <w:basedOn w:val="a2"/>
    <w:next w:val="a7"/>
    <w:uiPriority w:val="39"/>
    <w:rsid w:val="00976D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Таблица-сетка 4 — акцент 112"/>
    <w:basedOn w:val="a2"/>
    <w:uiPriority w:val="49"/>
    <w:rsid w:val="00976DA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20">
    <w:name w:val="Цветная таблица 22"/>
    <w:basedOn w:val="a2"/>
    <w:next w:val="2d"/>
    <w:rsid w:val="00976DAC"/>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221">
    <w:name w:val="Стиль22"/>
    <w:basedOn w:val="a2"/>
    <w:rsid w:val="00976DAC"/>
    <w:pPr>
      <w:spacing w:after="0" w:line="240" w:lineRule="auto"/>
    </w:pPr>
    <w:rPr>
      <w:rFonts w:ascii="Times New Roman" w:eastAsia="Times New Roman" w:hAnsi="Times New Roman" w:cs="Times New Roman"/>
      <w:sz w:val="20"/>
      <w:szCs w:val="20"/>
      <w:lang w:eastAsia="ru-RU"/>
    </w:rPr>
    <w:tblPr/>
  </w:style>
  <w:style w:type="table" w:customStyle="1" w:styleId="320">
    <w:name w:val="Столбцы таблицы 32"/>
    <w:basedOn w:val="a2"/>
    <w:next w:val="36"/>
    <w:rsid w:val="00976DAC"/>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222">
    <w:name w:val="Столбцы таблицы 22"/>
    <w:basedOn w:val="a2"/>
    <w:next w:val="2f"/>
    <w:rsid w:val="00976DAC"/>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2">
    <w:name w:val="Список-таблица 2 — акцент 412"/>
    <w:basedOn w:val="a2"/>
    <w:uiPriority w:val="47"/>
    <w:rsid w:val="00976DAC"/>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422">
    <w:name w:val="Таблица-сетка 4 — акцент 22"/>
    <w:basedOn w:val="a2"/>
    <w:next w:val="-421"/>
    <w:uiPriority w:val="49"/>
    <w:rsid w:val="00976DAC"/>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442">
    <w:name w:val="Таблица-сетка 4 — акцент 42"/>
    <w:basedOn w:val="a2"/>
    <w:next w:val="-441"/>
    <w:uiPriority w:val="49"/>
    <w:rsid w:val="00976DAC"/>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210">
    <w:name w:val="Сетка таблицы121"/>
    <w:basedOn w:val="a2"/>
    <w:next w:val="a7"/>
    <w:uiPriority w:val="39"/>
    <w:rsid w:val="00976D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писок-таблица 3 — акцент 1111"/>
    <w:basedOn w:val="a2"/>
    <w:uiPriority w:val="48"/>
    <w:rsid w:val="00976DAC"/>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31211">
    <w:name w:val="Список-таблица 3 — акцент 1211"/>
    <w:basedOn w:val="a2"/>
    <w:uiPriority w:val="48"/>
    <w:rsid w:val="00976DAC"/>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73111">
    <w:name w:val="Таблица-сетка 7 цветная — акцент 3111"/>
    <w:basedOn w:val="a2"/>
    <w:uiPriority w:val="52"/>
    <w:rsid w:val="00976DAC"/>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1111">
    <w:name w:val="Сетка таблицы1111"/>
    <w:basedOn w:val="a2"/>
    <w:next w:val="a7"/>
    <w:uiPriority w:val="39"/>
    <w:rsid w:val="00976D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Таблица-сетка 4 — акцент 1111"/>
    <w:basedOn w:val="a2"/>
    <w:uiPriority w:val="49"/>
    <w:rsid w:val="00976DA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110">
    <w:name w:val="Цветная таблица 211"/>
    <w:basedOn w:val="a2"/>
    <w:next w:val="2d"/>
    <w:rsid w:val="00976DAC"/>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2111">
    <w:name w:val="Стиль211"/>
    <w:basedOn w:val="a2"/>
    <w:rsid w:val="00976DAC"/>
    <w:pPr>
      <w:spacing w:after="0" w:line="240" w:lineRule="auto"/>
    </w:pPr>
    <w:rPr>
      <w:rFonts w:ascii="Times New Roman" w:eastAsia="Times New Roman" w:hAnsi="Times New Roman" w:cs="Times New Roman"/>
      <w:sz w:val="20"/>
      <w:szCs w:val="20"/>
      <w:lang w:eastAsia="ru-RU"/>
    </w:rPr>
    <w:tblPr/>
  </w:style>
  <w:style w:type="table" w:customStyle="1" w:styleId="3110">
    <w:name w:val="Столбцы таблицы 311"/>
    <w:basedOn w:val="a2"/>
    <w:next w:val="36"/>
    <w:rsid w:val="00976DAC"/>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2112">
    <w:name w:val="Столбцы таблицы 211"/>
    <w:basedOn w:val="a2"/>
    <w:next w:val="2f"/>
    <w:rsid w:val="00976DAC"/>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11">
    <w:name w:val="Список-таблица 2 — акцент 4111"/>
    <w:basedOn w:val="a2"/>
    <w:uiPriority w:val="47"/>
    <w:rsid w:val="00976DAC"/>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4211">
    <w:name w:val="Таблица-сетка 4 — акцент 211"/>
    <w:basedOn w:val="a2"/>
    <w:next w:val="-421"/>
    <w:uiPriority w:val="49"/>
    <w:rsid w:val="00976DAC"/>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4411">
    <w:name w:val="Таблица-сетка 4 — акцент 411"/>
    <w:basedOn w:val="a2"/>
    <w:next w:val="-441"/>
    <w:uiPriority w:val="49"/>
    <w:rsid w:val="00976DAC"/>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numbering" w:customStyle="1" w:styleId="217">
    <w:name w:val="Нет списка21"/>
    <w:next w:val="a3"/>
    <w:uiPriority w:val="99"/>
    <w:semiHidden/>
    <w:unhideWhenUsed/>
    <w:rsid w:val="00976DAC"/>
  </w:style>
  <w:style w:type="numbering" w:customStyle="1" w:styleId="312">
    <w:name w:val="Нет списка31"/>
    <w:next w:val="a3"/>
    <w:uiPriority w:val="99"/>
    <w:semiHidden/>
    <w:unhideWhenUsed/>
    <w:rsid w:val="00976DAC"/>
  </w:style>
  <w:style w:type="paragraph" w:styleId="1fb">
    <w:name w:val="index 1"/>
    <w:basedOn w:val="a0"/>
    <w:next w:val="a0"/>
    <w:autoRedefine/>
    <w:uiPriority w:val="99"/>
    <w:semiHidden/>
    <w:unhideWhenUsed/>
    <w:qFormat/>
    <w:rsid w:val="00976DAC"/>
    <w:pPr>
      <w:suppressAutoHyphens/>
      <w:spacing w:after="0" w:line="240" w:lineRule="auto"/>
      <w:ind w:left="220" w:hanging="220"/>
    </w:pPr>
  </w:style>
  <w:style w:type="paragraph" w:styleId="afff7">
    <w:name w:val="index heading"/>
    <w:basedOn w:val="a0"/>
    <w:uiPriority w:val="99"/>
    <w:semiHidden/>
    <w:unhideWhenUsed/>
    <w:qFormat/>
    <w:rsid w:val="00976DAC"/>
    <w:pPr>
      <w:suppressLineNumbers/>
      <w:suppressAutoHyphens/>
    </w:pPr>
    <w:rPr>
      <w:rFonts w:cs="Arial"/>
    </w:rPr>
  </w:style>
  <w:style w:type="paragraph" w:styleId="afff8">
    <w:name w:val="List"/>
    <w:basedOn w:val="aff2"/>
    <w:uiPriority w:val="99"/>
    <w:semiHidden/>
    <w:unhideWhenUsed/>
    <w:qFormat/>
    <w:rsid w:val="00976DAC"/>
    <w:pPr>
      <w:widowControl/>
      <w:suppressAutoHyphens/>
      <w:jc w:val="both"/>
    </w:pPr>
    <w:rPr>
      <w:rFonts w:ascii="Arial" w:hAnsi="Arial" w:cs="Arial"/>
      <w:b w:val="0"/>
      <w:bCs w:val="0"/>
      <w:lang w:val="ru-RU" w:eastAsia="ru-RU"/>
    </w:rPr>
  </w:style>
  <w:style w:type="paragraph" w:customStyle="1" w:styleId="313">
    <w:name w:val="Заголовок 31"/>
    <w:basedOn w:val="a0"/>
    <w:next w:val="a0"/>
    <w:qFormat/>
    <w:rsid w:val="00976DAC"/>
    <w:pPr>
      <w:keepNext/>
      <w:keepLines/>
      <w:suppressAutoHyphens/>
      <w:spacing w:before="40" w:after="0" w:line="240" w:lineRule="auto"/>
      <w:outlineLvl w:val="2"/>
    </w:pPr>
    <w:rPr>
      <w:rFonts w:asciiTheme="majorHAnsi" w:eastAsiaTheme="majorEastAsia" w:hAnsiTheme="majorHAnsi" w:cstheme="majorBidi"/>
      <w:color w:val="243F60" w:themeColor="accent1" w:themeShade="7F"/>
      <w:sz w:val="24"/>
      <w:szCs w:val="24"/>
      <w:lang w:val="en-US" w:eastAsia="ru-RU"/>
    </w:rPr>
  </w:style>
  <w:style w:type="paragraph" w:customStyle="1" w:styleId="1fc">
    <w:name w:val="Верхний колонтитул1"/>
    <w:basedOn w:val="a0"/>
    <w:uiPriority w:val="99"/>
    <w:qFormat/>
    <w:rsid w:val="00976DAC"/>
    <w:pPr>
      <w:tabs>
        <w:tab w:val="center" w:pos="4677"/>
        <w:tab w:val="right" w:pos="9355"/>
      </w:tabs>
      <w:suppressAutoHyphens/>
      <w:spacing w:after="0" w:line="240" w:lineRule="auto"/>
    </w:pPr>
  </w:style>
  <w:style w:type="paragraph" w:customStyle="1" w:styleId="1fd">
    <w:name w:val="Нижний колонтитул1"/>
    <w:basedOn w:val="a0"/>
    <w:uiPriority w:val="99"/>
    <w:qFormat/>
    <w:rsid w:val="00976DAC"/>
    <w:pPr>
      <w:tabs>
        <w:tab w:val="center" w:pos="4677"/>
        <w:tab w:val="right" w:pos="9355"/>
      </w:tabs>
      <w:suppressAutoHyphens/>
      <w:spacing w:after="0" w:line="240" w:lineRule="auto"/>
    </w:pPr>
  </w:style>
  <w:style w:type="paragraph" w:customStyle="1" w:styleId="1fe">
    <w:name w:val="Указатель1"/>
    <w:basedOn w:val="1f4"/>
    <w:uiPriority w:val="99"/>
    <w:qFormat/>
    <w:rsid w:val="00976DAC"/>
    <w:pPr>
      <w:keepNext/>
      <w:suppressAutoHyphens/>
      <w:spacing w:before="240" w:after="120" w:line="276" w:lineRule="auto"/>
      <w:contextualSpacing w:val="0"/>
    </w:pPr>
    <w:rPr>
      <w:rFonts w:ascii="Liberation Sans" w:eastAsia="Microsoft YaHei" w:hAnsi="Liberation Sans" w:cs="Arial"/>
      <w:spacing w:val="0"/>
      <w:kern w:val="0"/>
      <w:sz w:val="28"/>
      <w:szCs w:val="28"/>
    </w:rPr>
  </w:style>
  <w:style w:type="paragraph" w:customStyle="1" w:styleId="1ff">
    <w:name w:val="Текст сноски1"/>
    <w:basedOn w:val="a0"/>
    <w:uiPriority w:val="99"/>
    <w:qFormat/>
    <w:rsid w:val="00976DAC"/>
    <w:pPr>
      <w:suppressAutoHyphens/>
      <w:spacing w:after="0" w:line="240" w:lineRule="auto"/>
    </w:pPr>
    <w:rPr>
      <w:sz w:val="20"/>
      <w:szCs w:val="20"/>
    </w:rPr>
  </w:style>
  <w:style w:type="paragraph" w:customStyle="1" w:styleId="115">
    <w:name w:val="Оглавление 11"/>
    <w:basedOn w:val="a0"/>
    <w:next w:val="a0"/>
    <w:autoRedefine/>
    <w:uiPriority w:val="39"/>
    <w:qFormat/>
    <w:rsid w:val="00976DAC"/>
    <w:pPr>
      <w:tabs>
        <w:tab w:val="right" w:leader="dot" w:pos="9771"/>
      </w:tabs>
      <w:suppressAutoHyphens/>
      <w:spacing w:after="100" w:line="256" w:lineRule="auto"/>
    </w:pPr>
  </w:style>
  <w:style w:type="paragraph" w:customStyle="1" w:styleId="1ff0">
    <w:name w:val="Текст1"/>
    <w:basedOn w:val="a0"/>
    <w:uiPriority w:val="99"/>
    <w:qFormat/>
    <w:rsid w:val="00976DAC"/>
    <w:pPr>
      <w:suppressAutoHyphens/>
      <w:spacing w:after="0" w:line="240" w:lineRule="auto"/>
      <w:jc w:val="both"/>
    </w:pPr>
    <w:rPr>
      <w:rFonts w:ascii="Times New Roman" w:eastAsia="Times New Roman" w:hAnsi="Times New Roman" w:cs="Times New Roman"/>
      <w:sz w:val="24"/>
      <w:szCs w:val="20"/>
      <w:lang w:val="en-AU"/>
    </w:rPr>
  </w:style>
  <w:style w:type="paragraph" w:customStyle="1" w:styleId="314">
    <w:name w:val="Оглавление 31"/>
    <w:basedOn w:val="a0"/>
    <w:next w:val="a0"/>
    <w:autoRedefine/>
    <w:uiPriority w:val="39"/>
    <w:qFormat/>
    <w:rsid w:val="00976DAC"/>
    <w:pPr>
      <w:suppressAutoHyphens/>
      <w:spacing w:after="100" w:line="240" w:lineRule="auto"/>
      <w:ind w:left="400"/>
    </w:pPr>
    <w:rPr>
      <w:rFonts w:ascii="Times New Roman" w:eastAsia="Times New Roman" w:hAnsi="Times New Roman" w:cs="Times New Roman"/>
      <w:sz w:val="20"/>
      <w:szCs w:val="20"/>
      <w:lang w:val="en-US" w:eastAsia="ru-RU"/>
    </w:rPr>
  </w:style>
  <w:style w:type="paragraph" w:customStyle="1" w:styleId="afff9">
    <w:name w:val="Заголовок таблицы"/>
    <w:basedOn w:val="afff2"/>
    <w:uiPriority w:val="99"/>
    <w:qFormat/>
    <w:rsid w:val="00976DAC"/>
    <w:pPr>
      <w:jc w:val="center"/>
    </w:pPr>
    <w:rPr>
      <w:b/>
      <w:bCs/>
    </w:rPr>
  </w:style>
  <w:style w:type="character" w:customStyle="1" w:styleId="afffa">
    <w:name w:val="Привязка сноски"/>
    <w:rsid w:val="00976DAC"/>
    <w:rPr>
      <w:vertAlign w:val="superscript"/>
    </w:rPr>
  </w:style>
  <w:style w:type="character" w:customStyle="1" w:styleId="FootnoteCharacters">
    <w:name w:val="Footnote Characters"/>
    <w:basedOn w:val="a1"/>
    <w:uiPriority w:val="99"/>
    <w:qFormat/>
    <w:rsid w:val="00976DAC"/>
    <w:rPr>
      <w:vertAlign w:val="superscript"/>
    </w:rPr>
  </w:style>
  <w:style w:type="character" w:customStyle="1" w:styleId="-">
    <w:name w:val="Интернет-ссылка"/>
    <w:basedOn w:val="a1"/>
    <w:uiPriority w:val="99"/>
    <w:rsid w:val="00976DAC"/>
    <w:rPr>
      <w:color w:val="0000FF" w:themeColor="hyperlink"/>
      <w:u w:val="single"/>
    </w:rPr>
  </w:style>
  <w:style w:type="character" w:customStyle="1" w:styleId="afffb">
    <w:name w:val="Посещённая гиперссылка"/>
    <w:basedOn w:val="a1"/>
    <w:uiPriority w:val="99"/>
    <w:semiHidden/>
    <w:rsid w:val="00976DAC"/>
    <w:rPr>
      <w:color w:val="800080" w:themeColor="followedHyperlink"/>
      <w:u w:val="single"/>
    </w:rPr>
  </w:style>
  <w:style w:type="character" w:customStyle="1" w:styleId="1ff1">
    <w:name w:val="Основной текст Знак1"/>
    <w:basedOn w:val="a1"/>
    <w:uiPriority w:val="99"/>
    <w:semiHidden/>
    <w:locked/>
    <w:rsid w:val="00976DAC"/>
    <w:rPr>
      <w:rFonts w:ascii="Arial" w:eastAsia="Times New Roman" w:hAnsi="Arial" w:cs="Arial"/>
      <w:sz w:val="20"/>
      <w:szCs w:val="20"/>
      <w:lang w:eastAsia="ru-RU"/>
    </w:rPr>
  </w:style>
  <w:style w:type="character" w:customStyle="1" w:styleId="1ff2">
    <w:name w:val="Основной текст с отступом Знак1"/>
    <w:basedOn w:val="a1"/>
    <w:uiPriority w:val="99"/>
    <w:semiHidden/>
    <w:locked/>
    <w:rsid w:val="00976DAC"/>
    <w:rPr>
      <w:rFonts w:ascii="Times New Roman" w:eastAsia="Times New Roman" w:hAnsi="Times New Roman" w:cs="Times New Roman"/>
      <w:sz w:val="24"/>
      <w:szCs w:val="24"/>
      <w:lang w:eastAsia="ru-RU"/>
    </w:rPr>
  </w:style>
  <w:style w:type="character" w:customStyle="1" w:styleId="218">
    <w:name w:val="Основной текст 2 Знак1"/>
    <w:basedOn w:val="a1"/>
    <w:uiPriority w:val="99"/>
    <w:semiHidden/>
    <w:locked/>
    <w:rsid w:val="00976DAC"/>
    <w:rPr>
      <w:rFonts w:ascii="Times New Roman" w:eastAsia="Times New Roman" w:hAnsi="Times New Roman" w:cs="Times New Roman"/>
      <w:b/>
      <w:i/>
      <w:sz w:val="24"/>
      <w:szCs w:val="20"/>
      <w:lang w:eastAsia="ru-RU"/>
    </w:rPr>
  </w:style>
  <w:style w:type="character" w:customStyle="1" w:styleId="315">
    <w:name w:val="Основной текст 3 Знак1"/>
    <w:basedOn w:val="a1"/>
    <w:uiPriority w:val="99"/>
    <w:semiHidden/>
    <w:locked/>
    <w:rsid w:val="00976DAC"/>
    <w:rPr>
      <w:rFonts w:ascii="Times New Roman" w:eastAsia="Times New Roman" w:hAnsi="Times New Roman" w:cs="Times New Roman"/>
      <w:sz w:val="16"/>
      <w:szCs w:val="16"/>
      <w:lang w:val="en-US" w:eastAsia="ru-RU"/>
    </w:rPr>
  </w:style>
  <w:style w:type="character" w:customStyle="1" w:styleId="1ff3">
    <w:name w:val="Неразрешенное упоминание1"/>
    <w:basedOn w:val="a1"/>
    <w:uiPriority w:val="99"/>
    <w:semiHidden/>
    <w:unhideWhenUsed/>
    <w:rsid w:val="00976DAC"/>
    <w:rPr>
      <w:color w:val="605E5C"/>
      <w:shd w:val="clear" w:color="auto" w:fill="E1DFDD"/>
    </w:rPr>
  </w:style>
  <w:style w:type="paragraph" w:styleId="afffc">
    <w:name w:val="Document Map"/>
    <w:basedOn w:val="a0"/>
    <w:link w:val="afffd"/>
    <w:uiPriority w:val="99"/>
    <w:semiHidden/>
    <w:unhideWhenUsed/>
    <w:rsid w:val="00976DAC"/>
    <w:pPr>
      <w:spacing w:after="0" w:line="240" w:lineRule="auto"/>
      <w:ind w:right="-45" w:firstLine="283"/>
      <w:jc w:val="both"/>
    </w:pPr>
    <w:rPr>
      <w:rFonts w:ascii="Tahoma" w:eastAsia="Arial" w:hAnsi="Tahoma" w:cs="Tahoma"/>
      <w:sz w:val="16"/>
      <w:szCs w:val="16"/>
      <w:highlight w:val="white"/>
      <w:lang w:eastAsia="ru-RU"/>
    </w:rPr>
  </w:style>
  <w:style w:type="character" w:customStyle="1" w:styleId="afffd">
    <w:name w:val="Схема документа Знак"/>
    <w:basedOn w:val="a1"/>
    <w:link w:val="afffc"/>
    <w:uiPriority w:val="99"/>
    <w:semiHidden/>
    <w:rsid w:val="00976DAC"/>
    <w:rPr>
      <w:rFonts w:ascii="Tahoma" w:eastAsia="Arial" w:hAnsi="Tahoma" w:cs="Tahoma"/>
      <w:sz w:val="16"/>
      <w:szCs w:val="16"/>
      <w:highlight w:val="white"/>
      <w:lang w:eastAsia="ru-RU"/>
    </w:rPr>
  </w:style>
  <w:style w:type="paragraph" w:customStyle="1" w:styleId="afffe">
    <w:name w:val="Обыч без отступа"/>
    <w:basedOn w:val="a0"/>
    <w:link w:val="affff"/>
    <w:qFormat/>
    <w:rsid w:val="00976DAC"/>
    <w:pPr>
      <w:spacing w:before="120" w:after="120" w:line="240" w:lineRule="auto"/>
      <w:jc w:val="both"/>
    </w:pPr>
    <w:rPr>
      <w:rFonts w:ascii="Times New Roman" w:hAnsi="Times New Roman" w:cs="Times New Roman"/>
      <w:sz w:val="24"/>
      <w:szCs w:val="24"/>
    </w:rPr>
  </w:style>
  <w:style w:type="paragraph" w:customStyle="1" w:styleId="affff0">
    <w:name w:val="Обыч с отступом"/>
    <w:basedOn w:val="afffe"/>
    <w:link w:val="affff1"/>
    <w:qFormat/>
    <w:rsid w:val="00976DAC"/>
    <w:pPr>
      <w:spacing w:line="300" w:lineRule="auto"/>
      <w:ind w:firstLine="709"/>
    </w:pPr>
  </w:style>
  <w:style w:type="character" w:customStyle="1" w:styleId="affff">
    <w:name w:val="Обыч без отступа Знак"/>
    <w:basedOn w:val="a1"/>
    <w:link w:val="afffe"/>
    <w:rsid w:val="00976DAC"/>
    <w:rPr>
      <w:rFonts w:ascii="Times New Roman" w:hAnsi="Times New Roman" w:cs="Times New Roman"/>
      <w:sz w:val="24"/>
      <w:szCs w:val="24"/>
    </w:rPr>
  </w:style>
  <w:style w:type="paragraph" w:customStyle="1" w:styleId="affff2">
    <w:name w:val="Раздел"/>
    <w:basedOn w:val="afffe"/>
    <w:link w:val="affff3"/>
    <w:autoRedefine/>
    <w:qFormat/>
    <w:rsid w:val="00976DAC"/>
    <w:pPr>
      <w:keepNext/>
      <w:keepLines/>
      <w:pageBreakBefore/>
      <w:spacing w:before="360" w:after="240"/>
      <w:outlineLvl w:val="0"/>
    </w:pPr>
    <w:rPr>
      <w:rFonts w:eastAsia="Times New Roman"/>
      <w:b/>
      <w:sz w:val="32"/>
      <w:szCs w:val="32"/>
      <w:lang w:eastAsia="ru-RU"/>
    </w:rPr>
  </w:style>
  <w:style w:type="character" w:customStyle="1" w:styleId="affff1">
    <w:name w:val="Обыч с отступом Знак"/>
    <w:basedOn w:val="affff"/>
    <w:link w:val="affff0"/>
    <w:rsid w:val="00976DAC"/>
    <w:rPr>
      <w:rFonts w:ascii="Times New Roman" w:hAnsi="Times New Roman" w:cs="Times New Roman"/>
      <w:sz w:val="24"/>
      <w:szCs w:val="24"/>
    </w:rPr>
  </w:style>
  <w:style w:type="paragraph" w:customStyle="1" w:styleId="affff4">
    <w:name w:val="Пункт"/>
    <w:basedOn w:val="afffe"/>
    <w:link w:val="affff5"/>
    <w:qFormat/>
    <w:rsid w:val="00976DAC"/>
    <w:pPr>
      <w:spacing w:before="240"/>
      <w:outlineLvl w:val="1"/>
    </w:pPr>
    <w:rPr>
      <w:b/>
      <w:sz w:val="28"/>
      <w:szCs w:val="28"/>
    </w:rPr>
  </w:style>
  <w:style w:type="character" w:customStyle="1" w:styleId="affff3">
    <w:name w:val="Раздел Знак"/>
    <w:basedOn w:val="affff"/>
    <w:link w:val="affff2"/>
    <w:rsid w:val="00976DAC"/>
    <w:rPr>
      <w:rFonts w:ascii="Times New Roman" w:eastAsia="Times New Roman" w:hAnsi="Times New Roman" w:cs="Times New Roman"/>
      <w:b/>
      <w:sz w:val="32"/>
      <w:szCs w:val="32"/>
      <w:lang w:eastAsia="ru-RU"/>
    </w:rPr>
  </w:style>
  <w:style w:type="character" w:customStyle="1" w:styleId="affff5">
    <w:name w:val="Пункт Знак"/>
    <w:basedOn w:val="affff"/>
    <w:link w:val="affff4"/>
    <w:rsid w:val="00976DAC"/>
    <w:rPr>
      <w:rFonts w:ascii="Times New Roman" w:hAnsi="Times New Roman" w:cs="Times New Roman"/>
      <w:b/>
      <w:sz w:val="28"/>
      <w:szCs w:val="28"/>
    </w:rPr>
  </w:style>
  <w:style w:type="paragraph" w:customStyle="1" w:styleId="affff6">
    <w:name w:val="Диаг или Таблица"/>
    <w:basedOn w:val="afffe"/>
    <w:link w:val="affff7"/>
    <w:qFormat/>
    <w:rsid w:val="00976DAC"/>
    <w:pPr>
      <w:keepNext/>
      <w:keepLines/>
    </w:pPr>
  </w:style>
  <w:style w:type="character" w:customStyle="1" w:styleId="affff7">
    <w:name w:val="Диаг или Таблица Знак"/>
    <w:basedOn w:val="affff"/>
    <w:link w:val="affff6"/>
    <w:rsid w:val="00976DAC"/>
    <w:rPr>
      <w:rFonts w:ascii="Times New Roman" w:hAnsi="Times New Roman" w:cs="Times New Roman"/>
      <w:sz w:val="24"/>
      <w:szCs w:val="24"/>
    </w:rPr>
  </w:style>
  <w:style w:type="character" w:customStyle="1" w:styleId="2f0">
    <w:name w:val="Неразрешенное упоминание2"/>
    <w:basedOn w:val="a1"/>
    <w:uiPriority w:val="99"/>
    <w:semiHidden/>
    <w:unhideWhenUsed/>
    <w:rsid w:val="00976DAC"/>
    <w:rPr>
      <w:color w:val="605E5C"/>
      <w:shd w:val="clear" w:color="auto" w:fill="E1DFDD"/>
    </w:rPr>
  </w:style>
  <w:style w:type="table" w:customStyle="1" w:styleId="150">
    <w:name w:val="Сетка таблицы15"/>
    <w:basedOn w:val="a2"/>
    <w:next w:val="a7"/>
    <w:uiPriority w:val="39"/>
    <w:rsid w:val="00773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2"/>
    <w:next w:val="a7"/>
    <w:uiPriority w:val="39"/>
    <w:rsid w:val="00786D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2"/>
    <w:next w:val="a7"/>
    <w:uiPriority w:val="39"/>
    <w:rsid w:val="00786D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2"/>
    <w:next w:val="a7"/>
    <w:uiPriority w:val="39"/>
    <w:rsid w:val="00786D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2"/>
    <w:next w:val="a7"/>
    <w:uiPriority w:val="39"/>
    <w:rsid w:val="00984D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2"/>
    <w:next w:val="a7"/>
    <w:uiPriority w:val="39"/>
    <w:rsid w:val="00E36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
    <w:basedOn w:val="a2"/>
    <w:next w:val="a7"/>
    <w:uiPriority w:val="39"/>
    <w:rsid w:val="00BB34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2"/>
    <w:next w:val="a7"/>
    <w:uiPriority w:val="39"/>
    <w:rsid w:val="005923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2"/>
    <w:next w:val="a7"/>
    <w:uiPriority w:val="39"/>
    <w:rsid w:val="00B245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2"/>
    <w:next w:val="a7"/>
    <w:uiPriority w:val="59"/>
    <w:rsid w:val="00EF04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3"/>
    <w:uiPriority w:val="99"/>
    <w:semiHidden/>
    <w:unhideWhenUsed/>
    <w:rsid w:val="00851FF9"/>
  </w:style>
  <w:style w:type="table" w:customStyle="1" w:styleId="260">
    <w:name w:val="Сетка таблицы26"/>
    <w:basedOn w:val="a2"/>
    <w:next w:val="a7"/>
    <w:uiPriority w:val="39"/>
    <w:rsid w:val="00851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rsid w:val="00851FF9"/>
    <w:pPr>
      <w:spacing w:after="0"/>
    </w:pPr>
    <w:rPr>
      <w:rFonts w:ascii="Arial" w:eastAsia="Arial" w:hAnsi="Arial" w:cs="Arial"/>
      <w:lang w:val="ru" w:eastAsia="ru-RU"/>
    </w:rPr>
    <w:tblPr>
      <w:tblCellMar>
        <w:top w:w="0" w:type="dxa"/>
        <w:left w:w="0" w:type="dxa"/>
        <w:bottom w:w="0" w:type="dxa"/>
        <w:right w:w="0" w:type="dxa"/>
      </w:tblCellMar>
    </w:tblPr>
  </w:style>
  <w:style w:type="table" w:customStyle="1" w:styleId="1100">
    <w:name w:val="Сетка таблицы110"/>
    <w:basedOn w:val="a2"/>
    <w:next w:val="a7"/>
    <w:uiPriority w:val="39"/>
    <w:rsid w:val="00851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Список-таблица 3 — акцент 113"/>
    <w:basedOn w:val="a2"/>
    <w:uiPriority w:val="48"/>
    <w:rsid w:val="00851FF9"/>
    <w:pPr>
      <w:spacing w:after="0" w:line="240" w:lineRule="auto"/>
    </w:p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3123">
    <w:name w:val="Список-таблица 3 — акцент 123"/>
    <w:basedOn w:val="a2"/>
    <w:uiPriority w:val="48"/>
    <w:rsid w:val="00851FF9"/>
    <w:pPr>
      <w:spacing w:after="0" w:line="240" w:lineRule="auto"/>
    </w:p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7313">
    <w:name w:val="Таблица-сетка 7 цветная — акцент 313"/>
    <w:basedOn w:val="a2"/>
    <w:uiPriority w:val="52"/>
    <w:rsid w:val="00851FF9"/>
    <w:pPr>
      <w:spacing w:after="0" w:line="240" w:lineRule="auto"/>
    </w:pPr>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1130">
    <w:name w:val="Сетка таблицы113"/>
    <w:basedOn w:val="a2"/>
    <w:next w:val="a7"/>
    <w:uiPriority w:val="39"/>
    <w:rsid w:val="00851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Таблица-сетка 4 — акцент 113"/>
    <w:basedOn w:val="a2"/>
    <w:uiPriority w:val="49"/>
    <w:rsid w:val="00851FF9"/>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31">
    <w:name w:val="Цветная таблица 23"/>
    <w:basedOn w:val="a2"/>
    <w:next w:val="2d"/>
    <w:rsid w:val="00851FF9"/>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232">
    <w:name w:val="Стиль23"/>
    <w:basedOn w:val="a2"/>
    <w:rsid w:val="00851FF9"/>
    <w:pPr>
      <w:spacing w:after="0" w:line="240" w:lineRule="auto"/>
    </w:pPr>
    <w:rPr>
      <w:rFonts w:ascii="Times New Roman" w:eastAsia="Times New Roman" w:hAnsi="Times New Roman" w:cs="Times New Roman"/>
      <w:sz w:val="20"/>
      <w:szCs w:val="20"/>
      <w:lang w:eastAsia="ru-RU"/>
    </w:rPr>
    <w:tblPr/>
  </w:style>
  <w:style w:type="table" w:customStyle="1" w:styleId="330">
    <w:name w:val="Столбцы таблицы 33"/>
    <w:basedOn w:val="a2"/>
    <w:next w:val="36"/>
    <w:rsid w:val="00851FF9"/>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233">
    <w:name w:val="Столбцы таблицы 23"/>
    <w:basedOn w:val="a2"/>
    <w:next w:val="2f"/>
    <w:rsid w:val="00851FF9"/>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3">
    <w:name w:val="Список-таблица 2 — акцент 413"/>
    <w:basedOn w:val="a2"/>
    <w:uiPriority w:val="47"/>
    <w:rsid w:val="00851FF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4212">
    <w:name w:val="Таблица-сетка 4 — акцент 212"/>
    <w:basedOn w:val="a2"/>
    <w:uiPriority w:val="49"/>
    <w:rsid w:val="00851FF9"/>
    <w:pPr>
      <w:spacing w:after="0" w:line="240" w:lineRule="auto"/>
    </w:p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4412">
    <w:name w:val="Таблица-сетка 4 — акцент 412"/>
    <w:basedOn w:val="a2"/>
    <w:uiPriority w:val="49"/>
    <w:rsid w:val="00851FF9"/>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numbering" w:customStyle="1" w:styleId="131">
    <w:name w:val="Нет списка13"/>
    <w:next w:val="a3"/>
    <w:uiPriority w:val="99"/>
    <w:semiHidden/>
    <w:unhideWhenUsed/>
    <w:rsid w:val="00851FF9"/>
  </w:style>
  <w:style w:type="table" w:customStyle="1" w:styleId="122">
    <w:name w:val="Сетка таблицы122"/>
    <w:basedOn w:val="a2"/>
    <w:next w:val="a7"/>
    <w:uiPriority w:val="39"/>
    <w:rsid w:val="00851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Список-таблица 3 — акцент 1112"/>
    <w:basedOn w:val="a2"/>
    <w:uiPriority w:val="48"/>
    <w:rsid w:val="00851FF9"/>
    <w:pPr>
      <w:spacing w:after="0" w:line="240" w:lineRule="auto"/>
    </w:p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270">
    <w:name w:val="Сетка таблицы27"/>
    <w:basedOn w:val="a2"/>
    <w:next w:val="a7"/>
    <w:uiPriority w:val="39"/>
    <w:rsid w:val="00851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2">
    <w:name w:val="Список-таблица 3 — акцент 1212"/>
    <w:basedOn w:val="a2"/>
    <w:uiPriority w:val="48"/>
    <w:rsid w:val="00851FF9"/>
    <w:pPr>
      <w:spacing w:after="0" w:line="240" w:lineRule="auto"/>
    </w:p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73112">
    <w:name w:val="Таблица-сетка 7 цветная — акцент 3112"/>
    <w:basedOn w:val="a2"/>
    <w:uiPriority w:val="52"/>
    <w:rsid w:val="00851FF9"/>
    <w:pPr>
      <w:spacing w:after="0" w:line="240" w:lineRule="auto"/>
    </w:pPr>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1112">
    <w:name w:val="Сетка таблицы1112"/>
    <w:basedOn w:val="a2"/>
    <w:next w:val="a7"/>
    <w:uiPriority w:val="39"/>
    <w:rsid w:val="00851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Таблица-сетка 4 — акцент 1112"/>
    <w:basedOn w:val="a2"/>
    <w:uiPriority w:val="49"/>
    <w:rsid w:val="00851FF9"/>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120">
    <w:name w:val="Цветная таблица 212"/>
    <w:basedOn w:val="a2"/>
    <w:next w:val="2d"/>
    <w:rsid w:val="00851FF9"/>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2121">
    <w:name w:val="Стиль212"/>
    <w:basedOn w:val="a2"/>
    <w:rsid w:val="00851FF9"/>
    <w:pPr>
      <w:spacing w:after="0" w:line="240" w:lineRule="auto"/>
    </w:pPr>
    <w:rPr>
      <w:rFonts w:ascii="Times New Roman" w:eastAsia="Times New Roman" w:hAnsi="Times New Roman" w:cs="Times New Roman"/>
      <w:sz w:val="20"/>
      <w:szCs w:val="20"/>
      <w:lang w:eastAsia="ru-RU"/>
    </w:rPr>
    <w:tblPr/>
  </w:style>
  <w:style w:type="table" w:customStyle="1" w:styleId="3120">
    <w:name w:val="Столбцы таблицы 312"/>
    <w:basedOn w:val="a2"/>
    <w:next w:val="36"/>
    <w:rsid w:val="00851FF9"/>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2122">
    <w:name w:val="Столбцы таблицы 212"/>
    <w:basedOn w:val="a2"/>
    <w:next w:val="2f"/>
    <w:rsid w:val="00851FF9"/>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12">
    <w:name w:val="Список-таблица 2 — акцент 4112"/>
    <w:basedOn w:val="a2"/>
    <w:uiPriority w:val="47"/>
    <w:rsid w:val="00851FF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numbering" w:customStyle="1" w:styleId="224">
    <w:name w:val="Нет списка22"/>
    <w:next w:val="a3"/>
    <w:uiPriority w:val="99"/>
    <w:semiHidden/>
    <w:unhideWhenUsed/>
    <w:rsid w:val="00851FF9"/>
  </w:style>
  <w:style w:type="table" w:customStyle="1" w:styleId="321">
    <w:name w:val="Сетка таблицы32"/>
    <w:basedOn w:val="a2"/>
    <w:next w:val="a7"/>
    <w:uiPriority w:val="39"/>
    <w:rsid w:val="00851FF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
    <w:name w:val="Нет списка32"/>
    <w:next w:val="a3"/>
    <w:uiPriority w:val="99"/>
    <w:semiHidden/>
    <w:unhideWhenUsed/>
    <w:rsid w:val="00851FF9"/>
  </w:style>
  <w:style w:type="table" w:customStyle="1" w:styleId="420">
    <w:name w:val="Сетка таблицы42"/>
    <w:basedOn w:val="a2"/>
    <w:next w:val="a7"/>
    <w:uiPriority w:val="39"/>
    <w:rsid w:val="00851FF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3"/>
    <w:uiPriority w:val="99"/>
    <w:semiHidden/>
    <w:unhideWhenUsed/>
    <w:rsid w:val="00851FF9"/>
  </w:style>
  <w:style w:type="table" w:customStyle="1" w:styleId="1310">
    <w:name w:val="Сетка таблицы131"/>
    <w:basedOn w:val="a2"/>
    <w:next w:val="a7"/>
    <w:uiPriority w:val="39"/>
    <w:rsid w:val="00851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Список-таблица 3 — акцент 1121"/>
    <w:basedOn w:val="a2"/>
    <w:uiPriority w:val="48"/>
    <w:rsid w:val="00851FF9"/>
    <w:pPr>
      <w:spacing w:after="0" w:line="240" w:lineRule="auto"/>
    </w:p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520">
    <w:name w:val="Сетка таблицы52"/>
    <w:basedOn w:val="a2"/>
    <w:next w:val="a7"/>
    <w:uiPriority w:val="39"/>
    <w:rsid w:val="00851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1">
    <w:name w:val="Список-таблица 3 — акцент 1221"/>
    <w:basedOn w:val="a2"/>
    <w:uiPriority w:val="48"/>
    <w:rsid w:val="00851FF9"/>
    <w:pPr>
      <w:spacing w:after="0" w:line="240" w:lineRule="auto"/>
    </w:p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73121">
    <w:name w:val="Таблица-сетка 7 цветная — акцент 3121"/>
    <w:basedOn w:val="a2"/>
    <w:uiPriority w:val="52"/>
    <w:rsid w:val="00851FF9"/>
    <w:pPr>
      <w:spacing w:after="0" w:line="240" w:lineRule="auto"/>
    </w:pPr>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1121">
    <w:name w:val="Сетка таблицы1121"/>
    <w:basedOn w:val="a2"/>
    <w:next w:val="a7"/>
    <w:uiPriority w:val="39"/>
    <w:rsid w:val="00851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
    <w:name w:val="Таблица-сетка 4 — акцент 1121"/>
    <w:basedOn w:val="a2"/>
    <w:uiPriority w:val="49"/>
    <w:rsid w:val="00851FF9"/>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210">
    <w:name w:val="Цветная таблица 221"/>
    <w:basedOn w:val="a2"/>
    <w:next w:val="2d"/>
    <w:rsid w:val="00851FF9"/>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2211">
    <w:name w:val="Стиль221"/>
    <w:basedOn w:val="a2"/>
    <w:rsid w:val="00851FF9"/>
    <w:pPr>
      <w:spacing w:after="0" w:line="240" w:lineRule="auto"/>
    </w:pPr>
    <w:rPr>
      <w:rFonts w:ascii="Times New Roman" w:eastAsia="Times New Roman" w:hAnsi="Times New Roman" w:cs="Times New Roman"/>
      <w:sz w:val="20"/>
      <w:szCs w:val="20"/>
      <w:lang w:eastAsia="ru-RU"/>
    </w:rPr>
    <w:tblPr/>
  </w:style>
  <w:style w:type="table" w:customStyle="1" w:styleId="3210">
    <w:name w:val="Столбцы таблицы 321"/>
    <w:basedOn w:val="a2"/>
    <w:next w:val="36"/>
    <w:rsid w:val="00851FF9"/>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2212">
    <w:name w:val="Столбцы таблицы 221"/>
    <w:basedOn w:val="a2"/>
    <w:next w:val="2f"/>
    <w:rsid w:val="00851FF9"/>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21">
    <w:name w:val="Список-таблица 2 — акцент 4121"/>
    <w:basedOn w:val="a2"/>
    <w:uiPriority w:val="47"/>
    <w:rsid w:val="00851FF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4221">
    <w:name w:val="Таблица-сетка 4 — акцент 221"/>
    <w:basedOn w:val="a2"/>
    <w:next w:val="-421"/>
    <w:uiPriority w:val="49"/>
    <w:rsid w:val="00851FF9"/>
    <w:pPr>
      <w:spacing w:after="0" w:line="240" w:lineRule="auto"/>
    </w:p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4421">
    <w:name w:val="Таблица-сетка 4 — акцент 421"/>
    <w:basedOn w:val="a2"/>
    <w:next w:val="-441"/>
    <w:uiPriority w:val="49"/>
    <w:rsid w:val="00851FF9"/>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numbering" w:customStyle="1" w:styleId="1113">
    <w:name w:val="Нет списка111"/>
    <w:next w:val="a3"/>
    <w:uiPriority w:val="99"/>
    <w:semiHidden/>
    <w:unhideWhenUsed/>
    <w:rsid w:val="00851FF9"/>
  </w:style>
  <w:style w:type="table" w:customStyle="1" w:styleId="1211">
    <w:name w:val="Сетка таблицы1211"/>
    <w:basedOn w:val="a2"/>
    <w:next w:val="a7"/>
    <w:uiPriority w:val="39"/>
    <w:rsid w:val="00851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
    <w:name w:val="Список-таблица 3 — акцент 11111"/>
    <w:basedOn w:val="a2"/>
    <w:uiPriority w:val="48"/>
    <w:rsid w:val="00851FF9"/>
    <w:pPr>
      <w:spacing w:after="0" w:line="240" w:lineRule="auto"/>
    </w:p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2113">
    <w:name w:val="Сетка таблицы211"/>
    <w:basedOn w:val="a2"/>
    <w:next w:val="a7"/>
    <w:uiPriority w:val="39"/>
    <w:rsid w:val="00851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1">
    <w:name w:val="Список-таблица 3 — акцент 12111"/>
    <w:basedOn w:val="a2"/>
    <w:uiPriority w:val="48"/>
    <w:rsid w:val="00851FF9"/>
    <w:pPr>
      <w:spacing w:after="0" w:line="240" w:lineRule="auto"/>
    </w:p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731111">
    <w:name w:val="Таблица-сетка 7 цветная — акцент 31111"/>
    <w:basedOn w:val="a2"/>
    <w:uiPriority w:val="52"/>
    <w:rsid w:val="00851FF9"/>
    <w:pPr>
      <w:spacing w:after="0" w:line="240" w:lineRule="auto"/>
    </w:pPr>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11111">
    <w:name w:val="Сетка таблицы11111"/>
    <w:basedOn w:val="a2"/>
    <w:next w:val="a7"/>
    <w:uiPriority w:val="39"/>
    <w:rsid w:val="00851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
    <w:name w:val="Таблица-сетка 4 — акцент 11111"/>
    <w:basedOn w:val="a2"/>
    <w:uiPriority w:val="49"/>
    <w:rsid w:val="00851FF9"/>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1110">
    <w:name w:val="Цветная таблица 2111"/>
    <w:basedOn w:val="a2"/>
    <w:next w:val="2d"/>
    <w:rsid w:val="00851FF9"/>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21111">
    <w:name w:val="Стиль2111"/>
    <w:basedOn w:val="a2"/>
    <w:rsid w:val="00851FF9"/>
    <w:pPr>
      <w:spacing w:after="0" w:line="240" w:lineRule="auto"/>
    </w:pPr>
    <w:rPr>
      <w:rFonts w:ascii="Times New Roman" w:eastAsia="Times New Roman" w:hAnsi="Times New Roman" w:cs="Times New Roman"/>
      <w:sz w:val="20"/>
      <w:szCs w:val="20"/>
      <w:lang w:eastAsia="ru-RU"/>
    </w:rPr>
    <w:tblPr/>
  </w:style>
  <w:style w:type="table" w:customStyle="1" w:styleId="3111">
    <w:name w:val="Столбцы таблицы 3111"/>
    <w:basedOn w:val="a2"/>
    <w:next w:val="36"/>
    <w:rsid w:val="00851FF9"/>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21112">
    <w:name w:val="Столбцы таблицы 2111"/>
    <w:basedOn w:val="a2"/>
    <w:next w:val="2f"/>
    <w:rsid w:val="00851FF9"/>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111">
    <w:name w:val="Список-таблица 2 — акцент 41111"/>
    <w:basedOn w:val="a2"/>
    <w:uiPriority w:val="47"/>
    <w:rsid w:val="00851FF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42111">
    <w:name w:val="Таблица-сетка 4 — акцент 2111"/>
    <w:basedOn w:val="a2"/>
    <w:next w:val="-421"/>
    <w:uiPriority w:val="49"/>
    <w:rsid w:val="00851FF9"/>
    <w:pPr>
      <w:spacing w:after="0" w:line="240" w:lineRule="auto"/>
    </w:p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44111">
    <w:name w:val="Таблица-сетка 4 — акцент 4111"/>
    <w:basedOn w:val="a2"/>
    <w:next w:val="-441"/>
    <w:uiPriority w:val="49"/>
    <w:rsid w:val="00851FF9"/>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numbering" w:customStyle="1" w:styleId="2114">
    <w:name w:val="Нет списка211"/>
    <w:next w:val="a3"/>
    <w:uiPriority w:val="99"/>
    <w:semiHidden/>
    <w:unhideWhenUsed/>
    <w:rsid w:val="00851FF9"/>
  </w:style>
  <w:style w:type="table" w:customStyle="1" w:styleId="3112">
    <w:name w:val="Сетка таблицы311"/>
    <w:basedOn w:val="a2"/>
    <w:next w:val="a7"/>
    <w:uiPriority w:val="39"/>
    <w:rsid w:val="00851FF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3">
    <w:name w:val="Нет списка311"/>
    <w:next w:val="a3"/>
    <w:uiPriority w:val="99"/>
    <w:semiHidden/>
    <w:unhideWhenUsed/>
    <w:rsid w:val="00851FF9"/>
  </w:style>
  <w:style w:type="table" w:customStyle="1" w:styleId="4110">
    <w:name w:val="Сетка таблицы411"/>
    <w:basedOn w:val="a2"/>
    <w:next w:val="a7"/>
    <w:uiPriority w:val="39"/>
    <w:rsid w:val="00851FF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2"/>
    <w:basedOn w:val="a2"/>
    <w:next w:val="a7"/>
    <w:uiPriority w:val="39"/>
    <w:rsid w:val="00851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2"/>
    <w:next w:val="a7"/>
    <w:uiPriority w:val="39"/>
    <w:rsid w:val="00C351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2"/>
    <w:next w:val="a7"/>
    <w:uiPriority w:val="39"/>
    <w:rsid w:val="003A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2"/>
    <w:next w:val="a7"/>
    <w:uiPriority w:val="39"/>
    <w:rsid w:val="005007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4335">
      <w:bodyDiv w:val="1"/>
      <w:marLeft w:val="0"/>
      <w:marRight w:val="0"/>
      <w:marTop w:val="0"/>
      <w:marBottom w:val="0"/>
      <w:divBdr>
        <w:top w:val="none" w:sz="0" w:space="0" w:color="auto"/>
        <w:left w:val="none" w:sz="0" w:space="0" w:color="auto"/>
        <w:bottom w:val="none" w:sz="0" w:space="0" w:color="auto"/>
        <w:right w:val="none" w:sz="0" w:space="0" w:color="auto"/>
      </w:divBdr>
    </w:div>
    <w:div w:id="55670194">
      <w:bodyDiv w:val="1"/>
      <w:marLeft w:val="0"/>
      <w:marRight w:val="0"/>
      <w:marTop w:val="0"/>
      <w:marBottom w:val="0"/>
      <w:divBdr>
        <w:top w:val="none" w:sz="0" w:space="0" w:color="auto"/>
        <w:left w:val="none" w:sz="0" w:space="0" w:color="auto"/>
        <w:bottom w:val="none" w:sz="0" w:space="0" w:color="auto"/>
        <w:right w:val="none" w:sz="0" w:space="0" w:color="auto"/>
      </w:divBdr>
    </w:div>
    <w:div w:id="522286646">
      <w:bodyDiv w:val="1"/>
      <w:marLeft w:val="0"/>
      <w:marRight w:val="0"/>
      <w:marTop w:val="0"/>
      <w:marBottom w:val="0"/>
      <w:divBdr>
        <w:top w:val="none" w:sz="0" w:space="0" w:color="auto"/>
        <w:left w:val="none" w:sz="0" w:space="0" w:color="auto"/>
        <w:bottom w:val="none" w:sz="0" w:space="0" w:color="auto"/>
        <w:right w:val="none" w:sz="0" w:space="0" w:color="auto"/>
      </w:divBdr>
    </w:div>
    <w:div w:id="1908034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tn-pravda.ru/2022/01/11/zhiteli-oblasti-povishajut-finansovuju-gramotnost.html" TargetMode="External"/><Relationship Id="rId21" Type="http://schemas.openxmlformats.org/officeDocument/2006/relationships/hyperlink" Target="https://assistentus.ru/okved/razdel-q/" TargetMode="External"/><Relationship Id="rId42" Type="http://schemas.openxmlformats.org/officeDocument/2006/relationships/chart" Target="charts/chart21.xml"/><Relationship Id="rId63" Type="http://schemas.openxmlformats.org/officeDocument/2006/relationships/chart" Target="charts/chart38.xml"/><Relationship Id="rId84" Type="http://schemas.openxmlformats.org/officeDocument/2006/relationships/hyperlink" Target="http://vodokanal.gtn.ru/object/54601" TargetMode="External"/><Relationship Id="rId16" Type="http://schemas.openxmlformats.org/officeDocument/2006/relationships/hyperlink" Target="https://assistentus.ru/okved/razdel-c/" TargetMode="External"/><Relationship Id="rId107" Type="http://schemas.openxmlformats.org/officeDocument/2006/relationships/chart" Target="charts/chart68.xml"/><Relationship Id="rId11" Type="http://schemas.openxmlformats.org/officeDocument/2006/relationships/hyperlink" Target="https://econ.lenobl.ru/ru/budget/competition/standard/pasport-proekta-sodejstvie-razvitiyu-konkurencii-na-rynkah-tovarov-rab/" TargetMode="External"/><Relationship Id="rId32" Type="http://schemas.openxmlformats.org/officeDocument/2006/relationships/chart" Target="charts/chart11.xml"/><Relationship Id="rId37" Type="http://schemas.openxmlformats.org/officeDocument/2006/relationships/chart" Target="charts/chart16.xml"/><Relationship Id="rId53" Type="http://schemas.openxmlformats.org/officeDocument/2006/relationships/chart" Target="charts/chart28.xml"/><Relationship Id="rId58" Type="http://schemas.openxmlformats.org/officeDocument/2006/relationships/chart" Target="charts/chart33.xml"/><Relationship Id="rId74" Type="http://schemas.openxmlformats.org/officeDocument/2006/relationships/chart" Target="charts/chart47.xml"/><Relationship Id="rId79" Type="http://schemas.openxmlformats.org/officeDocument/2006/relationships/hyperlink" Target="https://tarif.lenreg.ru/RI2/Discl/PublicDisclosureInfo.aspx?reg=RU.4.47&amp;razdel=Plan&amp;sphere=TS&amp;year=2022" TargetMode="External"/><Relationship Id="rId102" Type="http://schemas.openxmlformats.org/officeDocument/2006/relationships/chart" Target="charts/chart63.xml"/><Relationship Id="rId123" Type="http://schemas.openxmlformats.org/officeDocument/2006/relationships/chart" Target="charts/chart81.xml"/><Relationship Id="rId128" Type="http://schemas.openxmlformats.org/officeDocument/2006/relationships/hyperlink" Target="https://rosstat.gov.ru/statistics/price\" TargetMode="External"/><Relationship Id="rId5" Type="http://schemas.openxmlformats.org/officeDocument/2006/relationships/settings" Target="settings.xml"/><Relationship Id="rId90" Type="http://schemas.openxmlformats.org/officeDocument/2006/relationships/chart" Target="charts/chart51.xml"/><Relationship Id="rId95" Type="http://schemas.openxmlformats.org/officeDocument/2006/relationships/chart" Target="charts/chart56.xml"/><Relationship Id="rId22" Type="http://schemas.openxmlformats.org/officeDocument/2006/relationships/chart" Target="charts/chart1.xml"/><Relationship Id="rId27" Type="http://schemas.openxmlformats.org/officeDocument/2006/relationships/chart" Target="charts/chart6.xml"/><Relationship Id="rId43" Type="http://schemas.openxmlformats.org/officeDocument/2006/relationships/chart" Target="charts/chart22.xml"/><Relationship Id="rId48" Type="http://schemas.openxmlformats.org/officeDocument/2006/relationships/hyperlink" Target="https://rulaws.ru/apk/" TargetMode="External"/><Relationship Id="rId64" Type="http://schemas.openxmlformats.org/officeDocument/2006/relationships/chart" Target="charts/chart39.xml"/><Relationship Id="rId69" Type="http://schemas.openxmlformats.org/officeDocument/2006/relationships/chart" Target="charts/chart42.xml"/><Relationship Id="rId113" Type="http://schemas.openxmlformats.org/officeDocument/2006/relationships/chart" Target="charts/chart74.xml"/><Relationship Id="rId118" Type="http://schemas.openxmlformats.org/officeDocument/2006/relationships/hyperlink" Target="https://www.dni-fg.ru" TargetMode="External"/><Relationship Id="rId134" Type="http://schemas.openxmlformats.org/officeDocument/2006/relationships/fontTable" Target="fontTable.xml"/><Relationship Id="rId80" Type="http://schemas.openxmlformats.org/officeDocument/2006/relationships/chart" Target="charts/chart50.xml"/><Relationship Id="rId85" Type="http://schemas.openxmlformats.org/officeDocument/2006/relationships/hyperlink" Target="http://kirvoda.ru/index.php/features/overview/zony-dejstviya-istochnikov-vodosnabzheniya-i-zony-dejstviya-sistemy-vodootvedeniya" TargetMode="External"/><Relationship Id="rId12" Type="http://schemas.openxmlformats.org/officeDocument/2006/relationships/hyperlink" Target="https://lenobl.ru/ru/informaciya/rating47/" TargetMode="External"/><Relationship Id="rId17" Type="http://schemas.openxmlformats.org/officeDocument/2006/relationships/hyperlink" Target="https://assistentus.ru/okved/razdel-i/" TargetMode="External"/><Relationship Id="rId33" Type="http://schemas.openxmlformats.org/officeDocument/2006/relationships/chart" Target="charts/chart12.xml"/><Relationship Id="rId38" Type="http://schemas.openxmlformats.org/officeDocument/2006/relationships/chart" Target="charts/chart17.xml"/><Relationship Id="rId59" Type="http://schemas.openxmlformats.org/officeDocument/2006/relationships/chart" Target="charts/chart34.xml"/><Relationship Id="rId103" Type="http://schemas.openxmlformats.org/officeDocument/2006/relationships/chart" Target="charts/chart64.xml"/><Relationship Id="rId108" Type="http://schemas.openxmlformats.org/officeDocument/2006/relationships/chart" Target="charts/chart69.xml"/><Relationship Id="rId124" Type="http://schemas.openxmlformats.org/officeDocument/2006/relationships/chart" Target="charts/chart82.xml"/><Relationship Id="rId129" Type="http://schemas.openxmlformats.org/officeDocument/2006/relationships/chart" Target="charts/chart84.xml"/><Relationship Id="rId54" Type="http://schemas.openxmlformats.org/officeDocument/2006/relationships/chart" Target="charts/chart29.xml"/><Relationship Id="rId70" Type="http://schemas.openxmlformats.org/officeDocument/2006/relationships/chart" Target="charts/chart43.xml"/><Relationship Id="rId75" Type="http://schemas.openxmlformats.org/officeDocument/2006/relationships/chart" Target="charts/chart48.xml"/><Relationship Id="rId91" Type="http://schemas.openxmlformats.org/officeDocument/2006/relationships/chart" Target="charts/chart52.xml"/><Relationship Id="rId96" Type="http://schemas.openxmlformats.org/officeDocument/2006/relationships/chart" Target="charts/chart57.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chart" Target="charts/chart2.xml"/><Relationship Id="rId28" Type="http://schemas.openxmlformats.org/officeDocument/2006/relationships/chart" Target="charts/chart7.xml"/><Relationship Id="rId49" Type="http://schemas.openxmlformats.org/officeDocument/2006/relationships/chart" Target="charts/chart24.xml"/><Relationship Id="rId114" Type="http://schemas.openxmlformats.org/officeDocument/2006/relationships/chart" Target="charts/chart75.xml"/><Relationship Id="rId119" Type="http://schemas.openxmlformats.org/officeDocument/2006/relationships/chart" Target="charts/chart77.xml"/><Relationship Id="rId44" Type="http://schemas.openxmlformats.org/officeDocument/2006/relationships/chart" Target="charts/chart23.xml"/><Relationship Id="rId60" Type="http://schemas.openxmlformats.org/officeDocument/2006/relationships/chart" Target="charts/chart35.xml"/><Relationship Id="rId65" Type="http://schemas.openxmlformats.org/officeDocument/2006/relationships/chart" Target="charts/chart40.xml"/><Relationship Id="rId81" Type="http://schemas.openxmlformats.org/officeDocument/2006/relationships/hyperlink" Target="https://gkh.lenobl.ru/ru/deiatelnost/osnovnye-napravleniya/podklyuchenie-k-setyam/" TargetMode="External"/><Relationship Id="rId86" Type="http://schemas.openxmlformats.org/officeDocument/2006/relationships/hyperlink" Target="http://www.vodokanal.sbor.ru/web/html/index-8.html" TargetMode="External"/><Relationship Id="rId130" Type="http://schemas.openxmlformats.org/officeDocument/2006/relationships/hyperlink" Target="http://www.at47.ru/" TargetMode="External"/><Relationship Id="rId135" Type="http://schemas.openxmlformats.org/officeDocument/2006/relationships/theme" Target="theme/theme1.xml"/><Relationship Id="rId13" Type="http://schemas.openxmlformats.org/officeDocument/2006/relationships/hyperlink" Target="https://econ.lenobl.ru/ru/budget/competition/standard/monitoringa-sostoyaniya-i-razvitiya-konkurentnoj-sredy-na-rynkah-tovar/" TargetMode="External"/><Relationship Id="rId18" Type="http://schemas.openxmlformats.org/officeDocument/2006/relationships/hyperlink" Target="https://assistentus.ru/okved/razdel-j/" TargetMode="External"/><Relationship Id="rId39" Type="http://schemas.openxmlformats.org/officeDocument/2006/relationships/chart" Target="charts/chart18.xml"/><Relationship Id="rId109" Type="http://schemas.openxmlformats.org/officeDocument/2006/relationships/chart" Target="charts/chart70.xml"/><Relationship Id="rId34" Type="http://schemas.openxmlformats.org/officeDocument/2006/relationships/chart" Target="charts/chart13.xml"/><Relationship Id="rId50" Type="http://schemas.openxmlformats.org/officeDocument/2006/relationships/chart" Target="charts/chart25.xml"/><Relationship Id="rId55" Type="http://schemas.openxmlformats.org/officeDocument/2006/relationships/chart" Target="charts/chart30.xml"/><Relationship Id="rId76" Type="http://schemas.openxmlformats.org/officeDocument/2006/relationships/hyperlink" Target="https://power.lenobl.ru/ru/deiatelnost/osnovnye_napravleniya/elektroenergetika-i-tehnologicheskoe-prisoedinenie-k-elektricheskim-se/investicionnye-programmy-subektov-elektroenergetiki/provedenie-obshestvennyh-obsuzhdenij-proektov-ipr/" TargetMode="External"/><Relationship Id="rId97" Type="http://schemas.openxmlformats.org/officeDocument/2006/relationships/chart" Target="charts/chart58.xml"/><Relationship Id="rId104" Type="http://schemas.openxmlformats.org/officeDocument/2006/relationships/chart" Target="charts/chart65.xml"/><Relationship Id="rId120" Type="http://schemas.openxmlformats.org/officeDocument/2006/relationships/chart" Target="charts/chart78.xml"/><Relationship Id="rId125" Type="http://schemas.openxmlformats.org/officeDocument/2006/relationships/image" Target="media/image1.png"/><Relationship Id="rId7" Type="http://schemas.openxmlformats.org/officeDocument/2006/relationships/footnotes" Target="footnotes.xml"/><Relationship Id="rId71" Type="http://schemas.openxmlformats.org/officeDocument/2006/relationships/chart" Target="charts/chart44.xml"/><Relationship Id="rId92" Type="http://schemas.openxmlformats.org/officeDocument/2006/relationships/chart" Target="charts/chart53.xml"/><Relationship Id="rId2" Type="http://schemas.openxmlformats.org/officeDocument/2006/relationships/numbering" Target="numbering.xml"/><Relationship Id="rId29" Type="http://schemas.openxmlformats.org/officeDocument/2006/relationships/chart" Target="charts/chart8.xml"/><Relationship Id="rId24" Type="http://schemas.openxmlformats.org/officeDocument/2006/relationships/chart" Target="charts/chart3.xml"/><Relationship Id="rId40" Type="http://schemas.openxmlformats.org/officeDocument/2006/relationships/chart" Target="charts/chart19.xml"/><Relationship Id="rId45" Type="http://schemas.openxmlformats.org/officeDocument/2006/relationships/hyperlink" Target="https://813.ru" TargetMode="External"/><Relationship Id="rId66" Type="http://schemas.openxmlformats.org/officeDocument/2006/relationships/chart" Target="charts/chart41.xml"/><Relationship Id="rId87" Type="http://schemas.openxmlformats.org/officeDocument/2006/relationships/hyperlink" Target="http://www.sertolovo-ks.ru/podklyuchenie/opredelit-vozmozhnost-podklyucheniya/" TargetMode="External"/><Relationship Id="rId110" Type="http://schemas.openxmlformats.org/officeDocument/2006/relationships/chart" Target="charts/chart71.xml"/><Relationship Id="rId115" Type="http://schemas.openxmlformats.org/officeDocument/2006/relationships/chart" Target="charts/chart76.xml"/><Relationship Id="rId131" Type="http://schemas.openxmlformats.org/officeDocument/2006/relationships/hyperlink" Target="http://www.gkulot.ru/" TargetMode="External"/><Relationship Id="rId61" Type="http://schemas.openxmlformats.org/officeDocument/2006/relationships/chart" Target="charts/chart36.xml"/><Relationship Id="rId82" Type="http://schemas.openxmlformats.org/officeDocument/2006/relationships/hyperlink" Target="http://www.vodokanal-lo.ru/uslugi/podklyuchenie-k-seti/istochniki-vodosnabzheniya/" TargetMode="External"/><Relationship Id="rId19" Type="http://schemas.openxmlformats.org/officeDocument/2006/relationships/hyperlink" Target="https://assistentus.ru/okved/razdel-r/" TargetMode="External"/><Relationship Id="rId14" Type="http://schemas.openxmlformats.org/officeDocument/2006/relationships/hyperlink" Target="https://assistentus.ru/okved/razdel-f/" TargetMode="External"/><Relationship Id="rId30" Type="http://schemas.openxmlformats.org/officeDocument/2006/relationships/chart" Target="charts/chart9.xml"/><Relationship Id="rId35" Type="http://schemas.openxmlformats.org/officeDocument/2006/relationships/chart" Target="charts/chart14.xml"/><Relationship Id="rId56" Type="http://schemas.openxmlformats.org/officeDocument/2006/relationships/chart" Target="charts/chart31.xml"/><Relationship Id="rId77" Type="http://schemas.openxmlformats.org/officeDocument/2006/relationships/chart" Target="charts/chart49.xml"/><Relationship Id="rId100" Type="http://schemas.openxmlformats.org/officeDocument/2006/relationships/chart" Target="charts/chart61.xml"/><Relationship Id="rId105" Type="http://schemas.openxmlformats.org/officeDocument/2006/relationships/chart" Target="charts/chart66.xml"/><Relationship Id="rId126" Type="http://schemas.openxmlformats.org/officeDocument/2006/relationships/hyperlink" Target="https://cbr.ru/press/reginfl/?id=26195" TargetMode="External"/><Relationship Id="rId8" Type="http://schemas.openxmlformats.org/officeDocument/2006/relationships/endnotes" Target="endnotes.xml"/><Relationship Id="rId51" Type="http://schemas.openxmlformats.org/officeDocument/2006/relationships/chart" Target="charts/chart26.xml"/><Relationship Id="rId72" Type="http://schemas.openxmlformats.org/officeDocument/2006/relationships/chart" Target="charts/chart45.xml"/><Relationship Id="rId93" Type="http://schemas.openxmlformats.org/officeDocument/2006/relationships/chart" Target="charts/chart54.xml"/><Relationship Id="rId98" Type="http://schemas.openxmlformats.org/officeDocument/2006/relationships/chart" Target="charts/chart59.xml"/><Relationship Id="rId121" Type="http://schemas.openxmlformats.org/officeDocument/2006/relationships/chart" Target="charts/chart79.xml"/><Relationship Id="rId3" Type="http://schemas.openxmlformats.org/officeDocument/2006/relationships/styles" Target="styles.xml"/><Relationship Id="rId25" Type="http://schemas.openxmlformats.org/officeDocument/2006/relationships/chart" Target="charts/chart4.xml"/><Relationship Id="rId46" Type="http://schemas.openxmlformats.org/officeDocument/2006/relationships/hyperlink" Target="https://crplo.ru" TargetMode="External"/><Relationship Id="rId67" Type="http://schemas.openxmlformats.org/officeDocument/2006/relationships/hyperlink" Target="https://fas.gov.ru/documents/b-n-57ddb068-19e7-4f34-9b64-7dbe7540594a" TargetMode="External"/><Relationship Id="rId116" Type="http://schemas.openxmlformats.org/officeDocument/2006/relationships/hyperlink" Target="https://lenobl.ru/fingram/" TargetMode="External"/><Relationship Id="rId20" Type="http://schemas.openxmlformats.org/officeDocument/2006/relationships/hyperlink" Target="https://assistentus.ru/okved/razdel-a/" TargetMode="External"/><Relationship Id="rId41" Type="http://schemas.openxmlformats.org/officeDocument/2006/relationships/chart" Target="charts/chart20.xml"/><Relationship Id="rId62" Type="http://schemas.openxmlformats.org/officeDocument/2006/relationships/chart" Target="charts/chart37.xml"/><Relationship Id="rId83" Type="http://schemas.openxmlformats.org/officeDocument/2006/relationships/hyperlink" Target="https://v-ts.org/index.php/informatsiya-o-dostupnoj-moshchnosti/ob-ekty-vodosnabzheniya-i-vodootvedeniya" TargetMode="External"/><Relationship Id="rId88" Type="http://schemas.openxmlformats.org/officeDocument/2006/relationships/hyperlink" Target="http://sze-lo.ru/abonentam/podkljuchenie/" TargetMode="External"/><Relationship Id="rId111" Type="http://schemas.openxmlformats.org/officeDocument/2006/relationships/chart" Target="charts/chart72.xml"/><Relationship Id="rId132" Type="http://schemas.openxmlformats.org/officeDocument/2006/relationships/chart" Target="charts/chart85.xml"/><Relationship Id="rId15" Type="http://schemas.openxmlformats.org/officeDocument/2006/relationships/hyperlink" Target="https://assistentus.ru/okved/razdel-h/" TargetMode="External"/><Relationship Id="rId36" Type="http://schemas.openxmlformats.org/officeDocument/2006/relationships/chart" Target="charts/chart15.xml"/><Relationship Id="rId57" Type="http://schemas.openxmlformats.org/officeDocument/2006/relationships/chart" Target="charts/chart32.xml"/><Relationship Id="rId106" Type="http://schemas.openxmlformats.org/officeDocument/2006/relationships/chart" Target="charts/chart67.xml"/><Relationship Id="rId127" Type="http://schemas.openxmlformats.org/officeDocument/2006/relationships/chart" Target="charts/chart83.xml"/><Relationship Id="rId10" Type="http://schemas.openxmlformats.org/officeDocument/2006/relationships/hyperlink" Target="https://econ.lenobl.ru/ru/budget/projects/" TargetMode="External"/><Relationship Id="rId31" Type="http://schemas.openxmlformats.org/officeDocument/2006/relationships/chart" Target="charts/chart10.xml"/><Relationship Id="rId52" Type="http://schemas.openxmlformats.org/officeDocument/2006/relationships/chart" Target="charts/chart27.xml"/><Relationship Id="rId73" Type="http://schemas.openxmlformats.org/officeDocument/2006/relationships/chart" Target="charts/chart46.xml"/><Relationship Id="rId78" Type="http://schemas.openxmlformats.org/officeDocument/2006/relationships/hyperlink" Target="https://tarif.lenreg.ru/RI2/" TargetMode="External"/><Relationship Id="rId94" Type="http://schemas.openxmlformats.org/officeDocument/2006/relationships/chart" Target="charts/chart55.xml"/><Relationship Id="rId99" Type="http://schemas.openxmlformats.org/officeDocument/2006/relationships/chart" Target="charts/chart60.xml"/><Relationship Id="rId101" Type="http://schemas.openxmlformats.org/officeDocument/2006/relationships/chart" Target="charts/chart62.xml"/><Relationship Id="rId122" Type="http://schemas.openxmlformats.org/officeDocument/2006/relationships/chart" Target="charts/chart80.xml"/><Relationship Id="rId4" Type="http://schemas.microsoft.com/office/2007/relationships/stylesWithEffects" Target="stylesWithEffects.xml"/><Relationship Id="rId9" Type="http://schemas.openxmlformats.org/officeDocument/2006/relationships/hyperlink" Target="https://econ.lenobl.ru/ru/budget/competition/standard/monitoringa-sostoyaniya-i-razvitiya-konkurentnoj-sredy-na-rynkah-tovar/" TargetMode="External"/><Relationship Id="rId26" Type="http://schemas.openxmlformats.org/officeDocument/2006/relationships/chart" Target="charts/chart5.xml"/><Relationship Id="rId47" Type="http://schemas.openxmlformats.org/officeDocument/2006/relationships/hyperlink" Target="https://rulaws.ru/apk/" TargetMode="External"/><Relationship Id="rId68" Type="http://schemas.openxmlformats.org/officeDocument/2006/relationships/hyperlink" Target="https://tarif.lenobl.ru/ru/programmy-i-plany/monitoring-soblyudeniya-predelnyh-indeksov-izmeneniya-razmera-platy-gr/informaciya-o-rezultatah-monitoringa/2022-god/" TargetMode="External"/><Relationship Id="rId89" Type="http://schemas.openxmlformats.org/officeDocument/2006/relationships/hyperlink" Target="https://econ.lenobl.ru/ru/budget/competition/standard/monitoringa-sostoyaniya-i-razvitiya-konkurentnoj-sredy-na-rynkah-tovar/" TargetMode="External"/><Relationship Id="rId112" Type="http://schemas.openxmlformats.org/officeDocument/2006/relationships/chart" Target="charts/chart73.xml"/><Relationship Id="rId133"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2.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3.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4.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5.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6.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7.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28.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29.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0.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1.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2.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3.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4.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5.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36.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37.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38.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39.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40.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41.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42.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43.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44.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7.xlsx"/><Relationship Id="rId1" Type="http://schemas.openxmlformats.org/officeDocument/2006/relationships/themeOverride" Target="../theme/themeOverride45.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48.xlsx"/><Relationship Id="rId1" Type="http://schemas.openxmlformats.org/officeDocument/2006/relationships/themeOverride" Target="../theme/themeOverride46.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49.xlsx"/><Relationship Id="rId1" Type="http://schemas.openxmlformats.org/officeDocument/2006/relationships/themeOverride" Target="../theme/themeOverride47.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50.xlsx"/><Relationship Id="rId1" Type="http://schemas.openxmlformats.org/officeDocument/2006/relationships/themeOverride" Target="../theme/themeOverride48.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51.xlsx"/><Relationship Id="rId1" Type="http://schemas.openxmlformats.org/officeDocument/2006/relationships/themeOverride" Target="../theme/themeOverride49.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52.xlsx"/><Relationship Id="rId1" Type="http://schemas.openxmlformats.org/officeDocument/2006/relationships/themeOverride" Target="../theme/themeOverride50.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53.xlsx"/><Relationship Id="rId1" Type="http://schemas.openxmlformats.org/officeDocument/2006/relationships/themeOverride" Target="../theme/themeOverride51.xml"/></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Excel_Worksheet54.xlsx"/><Relationship Id="rId1" Type="http://schemas.openxmlformats.org/officeDocument/2006/relationships/themeOverride" Target="../theme/themeOverride52.xml"/></Relationships>
</file>

<file path=word/charts/_rels/chart55.xml.rels><?xml version="1.0" encoding="UTF-8" standalone="yes"?>
<Relationships xmlns="http://schemas.openxmlformats.org/package/2006/relationships"><Relationship Id="rId2" Type="http://schemas.openxmlformats.org/officeDocument/2006/relationships/package" Target="../embeddings/Microsoft_Excel_Worksheet55.xlsx"/><Relationship Id="rId1" Type="http://schemas.openxmlformats.org/officeDocument/2006/relationships/themeOverride" Target="../theme/themeOverride53.xml"/></Relationships>
</file>

<file path=word/charts/_rels/chart56.xml.rels><?xml version="1.0" encoding="UTF-8" standalone="yes"?>
<Relationships xmlns="http://schemas.openxmlformats.org/package/2006/relationships"><Relationship Id="rId2" Type="http://schemas.openxmlformats.org/officeDocument/2006/relationships/package" Target="../embeddings/Microsoft_Excel_Worksheet56.xlsx"/><Relationship Id="rId1" Type="http://schemas.openxmlformats.org/officeDocument/2006/relationships/themeOverride" Target="../theme/themeOverride54.xml"/></Relationships>
</file>

<file path=word/charts/_rels/chart57.xml.rels><?xml version="1.0" encoding="UTF-8" standalone="yes"?>
<Relationships xmlns="http://schemas.openxmlformats.org/package/2006/relationships"><Relationship Id="rId2" Type="http://schemas.openxmlformats.org/officeDocument/2006/relationships/package" Target="../embeddings/Microsoft_Excel_Worksheet57.xlsx"/><Relationship Id="rId1" Type="http://schemas.openxmlformats.org/officeDocument/2006/relationships/themeOverride" Target="../theme/themeOverride55.xml"/></Relationships>
</file>

<file path=word/charts/_rels/chart58.xml.rels><?xml version="1.0" encoding="UTF-8" standalone="yes"?>
<Relationships xmlns="http://schemas.openxmlformats.org/package/2006/relationships"><Relationship Id="rId2" Type="http://schemas.openxmlformats.org/officeDocument/2006/relationships/package" Target="../embeddings/Microsoft_Excel_Worksheet58.xlsx"/><Relationship Id="rId1" Type="http://schemas.openxmlformats.org/officeDocument/2006/relationships/themeOverride" Target="../theme/themeOverride56.xml"/></Relationships>
</file>

<file path=word/charts/_rels/chart59.xml.rels><?xml version="1.0" encoding="UTF-8" standalone="yes"?>
<Relationships xmlns="http://schemas.openxmlformats.org/package/2006/relationships"><Relationship Id="rId2" Type="http://schemas.openxmlformats.org/officeDocument/2006/relationships/package" Target="../embeddings/Microsoft_Excel_Worksheet59.xlsx"/><Relationship Id="rId1" Type="http://schemas.openxmlformats.org/officeDocument/2006/relationships/themeOverride" Target="../theme/themeOverride57.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package" Target="../embeddings/Microsoft_Excel_Worksheet60.xlsx"/><Relationship Id="rId1" Type="http://schemas.openxmlformats.org/officeDocument/2006/relationships/themeOverride" Target="../theme/themeOverride58.xml"/></Relationships>
</file>

<file path=word/charts/_rels/chart61.xml.rels><?xml version="1.0" encoding="UTF-8" standalone="yes"?>
<Relationships xmlns="http://schemas.openxmlformats.org/package/2006/relationships"><Relationship Id="rId2" Type="http://schemas.openxmlformats.org/officeDocument/2006/relationships/package" Target="../embeddings/Microsoft_Excel_Worksheet61.xlsx"/><Relationship Id="rId1" Type="http://schemas.openxmlformats.org/officeDocument/2006/relationships/themeOverride" Target="../theme/themeOverride59.xml"/></Relationships>
</file>

<file path=word/charts/_rels/chart62.xml.rels><?xml version="1.0" encoding="UTF-8" standalone="yes"?>
<Relationships xmlns="http://schemas.openxmlformats.org/package/2006/relationships"><Relationship Id="rId2" Type="http://schemas.openxmlformats.org/officeDocument/2006/relationships/package" Target="../embeddings/Microsoft_Excel_Worksheet62.xlsx"/><Relationship Id="rId1" Type="http://schemas.openxmlformats.org/officeDocument/2006/relationships/themeOverride" Target="../theme/themeOverride60.xml"/></Relationships>
</file>

<file path=word/charts/_rels/chart63.xml.rels><?xml version="1.0" encoding="UTF-8" standalone="yes"?>
<Relationships xmlns="http://schemas.openxmlformats.org/package/2006/relationships"><Relationship Id="rId2" Type="http://schemas.openxmlformats.org/officeDocument/2006/relationships/package" Target="../embeddings/Microsoft_Excel_Worksheet63.xlsx"/><Relationship Id="rId1" Type="http://schemas.openxmlformats.org/officeDocument/2006/relationships/themeOverride" Target="../theme/themeOverride61.xml"/></Relationships>
</file>

<file path=word/charts/_rels/chart64.xml.rels><?xml version="1.0" encoding="UTF-8" standalone="yes"?>
<Relationships xmlns="http://schemas.openxmlformats.org/package/2006/relationships"><Relationship Id="rId2" Type="http://schemas.openxmlformats.org/officeDocument/2006/relationships/package" Target="../embeddings/Microsoft_Excel_Worksheet64.xlsx"/><Relationship Id="rId1" Type="http://schemas.openxmlformats.org/officeDocument/2006/relationships/themeOverride" Target="../theme/themeOverride62.xml"/></Relationships>
</file>

<file path=word/charts/_rels/chart65.xml.rels><?xml version="1.0" encoding="UTF-8" standalone="yes"?>
<Relationships xmlns="http://schemas.openxmlformats.org/package/2006/relationships"><Relationship Id="rId2" Type="http://schemas.openxmlformats.org/officeDocument/2006/relationships/package" Target="../embeddings/Microsoft_Excel_Worksheet65.xlsx"/><Relationship Id="rId1" Type="http://schemas.openxmlformats.org/officeDocument/2006/relationships/themeOverride" Target="../theme/themeOverride63.xml"/></Relationships>
</file>

<file path=word/charts/_rels/chart66.xml.rels><?xml version="1.0" encoding="UTF-8" standalone="yes"?>
<Relationships xmlns="http://schemas.openxmlformats.org/package/2006/relationships"><Relationship Id="rId2" Type="http://schemas.openxmlformats.org/officeDocument/2006/relationships/package" Target="../embeddings/Microsoft_Excel_Worksheet66.xlsx"/><Relationship Id="rId1" Type="http://schemas.openxmlformats.org/officeDocument/2006/relationships/themeOverride" Target="../theme/themeOverride64.xml"/></Relationships>
</file>

<file path=word/charts/_rels/chart67.xml.rels><?xml version="1.0" encoding="UTF-8" standalone="yes"?>
<Relationships xmlns="http://schemas.openxmlformats.org/package/2006/relationships"><Relationship Id="rId2" Type="http://schemas.openxmlformats.org/officeDocument/2006/relationships/package" Target="../embeddings/Microsoft_Excel_Worksheet67.xlsx"/><Relationship Id="rId1" Type="http://schemas.openxmlformats.org/officeDocument/2006/relationships/themeOverride" Target="../theme/themeOverride65.xml"/></Relationships>
</file>

<file path=word/charts/_rels/chart68.xml.rels><?xml version="1.0" encoding="UTF-8" standalone="yes"?>
<Relationships xmlns="http://schemas.openxmlformats.org/package/2006/relationships"><Relationship Id="rId2" Type="http://schemas.openxmlformats.org/officeDocument/2006/relationships/package" Target="../embeddings/Microsoft_Excel_Worksheet68.xlsx"/><Relationship Id="rId1" Type="http://schemas.openxmlformats.org/officeDocument/2006/relationships/themeOverride" Target="../theme/themeOverride66.xml"/></Relationships>
</file>

<file path=word/charts/_rels/chart69.xml.rels><?xml version="1.0" encoding="UTF-8" standalone="yes"?>
<Relationships xmlns="http://schemas.openxmlformats.org/package/2006/relationships"><Relationship Id="rId2" Type="http://schemas.openxmlformats.org/officeDocument/2006/relationships/package" Target="../embeddings/Microsoft_Excel_Worksheet69.xlsx"/><Relationship Id="rId1" Type="http://schemas.openxmlformats.org/officeDocument/2006/relationships/themeOverride" Target="../theme/themeOverride67.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70.xml.rels><?xml version="1.0" encoding="UTF-8" standalone="yes"?>
<Relationships xmlns="http://schemas.openxmlformats.org/package/2006/relationships"><Relationship Id="rId2" Type="http://schemas.openxmlformats.org/officeDocument/2006/relationships/package" Target="../embeddings/Microsoft_Excel_Worksheet70.xlsx"/><Relationship Id="rId1" Type="http://schemas.openxmlformats.org/officeDocument/2006/relationships/themeOverride" Target="../theme/themeOverride68.xml"/></Relationships>
</file>

<file path=word/charts/_rels/chart71.xml.rels><?xml version="1.0" encoding="UTF-8" standalone="yes"?>
<Relationships xmlns="http://schemas.openxmlformats.org/package/2006/relationships"><Relationship Id="rId2" Type="http://schemas.openxmlformats.org/officeDocument/2006/relationships/package" Target="../embeddings/Microsoft_Excel_Worksheet71.xlsx"/><Relationship Id="rId1" Type="http://schemas.openxmlformats.org/officeDocument/2006/relationships/themeOverride" Target="../theme/themeOverride69.xml"/></Relationships>
</file>

<file path=word/charts/_rels/chart72.xml.rels><?xml version="1.0" encoding="UTF-8" standalone="yes"?>
<Relationships xmlns="http://schemas.openxmlformats.org/package/2006/relationships"><Relationship Id="rId2" Type="http://schemas.openxmlformats.org/officeDocument/2006/relationships/package" Target="../embeddings/Microsoft_Excel_Worksheet72.xlsx"/><Relationship Id="rId1" Type="http://schemas.openxmlformats.org/officeDocument/2006/relationships/themeOverride" Target="../theme/themeOverride70.xml"/></Relationships>
</file>

<file path=word/charts/_rels/chart73.xml.rels><?xml version="1.0" encoding="UTF-8" standalone="yes"?>
<Relationships xmlns="http://schemas.openxmlformats.org/package/2006/relationships"><Relationship Id="rId2" Type="http://schemas.openxmlformats.org/officeDocument/2006/relationships/package" Target="../embeddings/Microsoft_Excel_Worksheet73.xlsx"/><Relationship Id="rId1" Type="http://schemas.openxmlformats.org/officeDocument/2006/relationships/themeOverride" Target="../theme/themeOverride71.xml"/></Relationships>
</file>

<file path=word/charts/_rels/chart74.xml.rels><?xml version="1.0" encoding="UTF-8" standalone="yes"?>
<Relationships xmlns="http://schemas.openxmlformats.org/package/2006/relationships"><Relationship Id="rId2" Type="http://schemas.openxmlformats.org/officeDocument/2006/relationships/package" Target="../embeddings/Microsoft_Excel_Worksheet74.xlsx"/><Relationship Id="rId1" Type="http://schemas.openxmlformats.org/officeDocument/2006/relationships/themeOverride" Target="../theme/themeOverride72.xml"/></Relationships>
</file>

<file path=word/charts/_rels/chart75.xml.rels><?xml version="1.0" encoding="UTF-8" standalone="yes"?>
<Relationships xmlns="http://schemas.openxmlformats.org/package/2006/relationships"><Relationship Id="rId2" Type="http://schemas.openxmlformats.org/officeDocument/2006/relationships/package" Target="../embeddings/Microsoft_Excel_Worksheet75.xlsx"/><Relationship Id="rId1" Type="http://schemas.openxmlformats.org/officeDocument/2006/relationships/themeOverride" Target="../theme/themeOverride73.xml"/></Relationships>
</file>

<file path=word/charts/_rels/chart76.xml.rels><?xml version="1.0" encoding="UTF-8" standalone="yes"?>
<Relationships xmlns="http://schemas.openxmlformats.org/package/2006/relationships"><Relationship Id="rId2" Type="http://schemas.openxmlformats.org/officeDocument/2006/relationships/package" Target="../embeddings/Microsoft_Excel_Worksheet76.xlsx"/><Relationship Id="rId1" Type="http://schemas.openxmlformats.org/officeDocument/2006/relationships/themeOverride" Target="../theme/themeOverride74.xml"/></Relationships>
</file>

<file path=word/charts/_rels/chart77.xml.rels><?xml version="1.0" encoding="UTF-8" standalone="yes"?>
<Relationships xmlns="http://schemas.openxmlformats.org/package/2006/relationships"><Relationship Id="rId2" Type="http://schemas.openxmlformats.org/officeDocument/2006/relationships/package" Target="../embeddings/Microsoft_Excel_Worksheet77.xlsx"/><Relationship Id="rId1" Type="http://schemas.openxmlformats.org/officeDocument/2006/relationships/themeOverride" Target="../theme/themeOverride75.xml"/></Relationships>
</file>

<file path=word/charts/_rels/chart78.xml.rels><?xml version="1.0" encoding="UTF-8" standalone="yes"?>
<Relationships xmlns="http://schemas.openxmlformats.org/package/2006/relationships"><Relationship Id="rId2" Type="http://schemas.openxmlformats.org/officeDocument/2006/relationships/package" Target="../embeddings/Microsoft_Excel_Worksheet78.xlsx"/><Relationship Id="rId1" Type="http://schemas.openxmlformats.org/officeDocument/2006/relationships/themeOverride" Target="../theme/themeOverride76.xml"/></Relationships>
</file>

<file path=word/charts/_rels/chart79.xml.rels><?xml version="1.0" encoding="UTF-8" standalone="yes"?>
<Relationships xmlns="http://schemas.openxmlformats.org/package/2006/relationships"><Relationship Id="rId2" Type="http://schemas.openxmlformats.org/officeDocument/2006/relationships/package" Target="../embeddings/Microsoft_Excel_Worksheet79.xlsx"/><Relationship Id="rId1" Type="http://schemas.openxmlformats.org/officeDocument/2006/relationships/themeOverride" Target="../theme/themeOverride7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80.xml.rels><?xml version="1.0" encoding="UTF-8" standalone="yes"?>
<Relationships xmlns="http://schemas.openxmlformats.org/package/2006/relationships"><Relationship Id="rId2" Type="http://schemas.openxmlformats.org/officeDocument/2006/relationships/package" Target="../embeddings/Microsoft_Excel_Worksheet80.xlsx"/><Relationship Id="rId1" Type="http://schemas.openxmlformats.org/officeDocument/2006/relationships/themeOverride" Target="../theme/themeOverride78.xml"/></Relationships>
</file>

<file path=word/charts/_rels/chart81.xml.rels><?xml version="1.0" encoding="UTF-8" standalone="yes"?>
<Relationships xmlns="http://schemas.openxmlformats.org/package/2006/relationships"><Relationship Id="rId2" Type="http://schemas.openxmlformats.org/officeDocument/2006/relationships/package" Target="../embeddings/Microsoft_Excel_Worksheet81.xlsx"/><Relationship Id="rId1" Type="http://schemas.openxmlformats.org/officeDocument/2006/relationships/themeOverride" Target="../theme/themeOverride79.xml"/></Relationships>
</file>

<file path=word/charts/_rels/chart82.xml.rels><?xml version="1.0" encoding="UTF-8" standalone="yes"?>
<Relationships xmlns="http://schemas.openxmlformats.org/package/2006/relationships"><Relationship Id="rId2" Type="http://schemas.openxmlformats.org/officeDocument/2006/relationships/package" Target="../embeddings/Microsoft_Excel_Worksheet82.xlsx"/><Relationship Id="rId1" Type="http://schemas.openxmlformats.org/officeDocument/2006/relationships/themeOverride" Target="../theme/themeOverride80.xml"/></Relationships>
</file>

<file path=word/charts/_rels/chart83.xml.rels><?xml version="1.0" encoding="UTF-8" standalone="yes"?>
<Relationships xmlns="http://schemas.openxmlformats.org/package/2006/relationships"><Relationship Id="rId2" Type="http://schemas.openxmlformats.org/officeDocument/2006/relationships/package" Target="../embeddings/Microsoft_Excel_Worksheet83.xlsx"/><Relationship Id="rId1" Type="http://schemas.openxmlformats.org/officeDocument/2006/relationships/themeOverride" Target="../theme/themeOverride81.xml"/></Relationships>
</file>

<file path=word/charts/_rels/chart84.xml.rels><?xml version="1.0" encoding="UTF-8" standalone="yes"?>
<Relationships xmlns="http://schemas.openxmlformats.org/package/2006/relationships"><Relationship Id="rId2" Type="http://schemas.openxmlformats.org/officeDocument/2006/relationships/package" Target="../embeddings/Microsoft_Excel_Worksheet84.xlsx"/><Relationship Id="rId1" Type="http://schemas.openxmlformats.org/officeDocument/2006/relationships/themeOverride" Target="../theme/themeOverride82.xml"/></Relationships>
</file>

<file path=word/charts/_rels/chart85.xml.rels><?xml version="1.0" encoding="UTF-8" standalone="yes"?>
<Relationships xmlns="http://schemas.openxmlformats.org/package/2006/relationships"><Relationship Id="rId1" Type="http://schemas.openxmlformats.org/officeDocument/2006/relationships/package" Target="../embeddings/Microsoft_Excel_Worksheet85.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974716570532698"/>
          <c:y val="0.11551834740780764"/>
          <c:w val="0.30090975800799769"/>
          <c:h val="0.83006591247151296"/>
        </c:manualLayout>
      </c:layout>
      <c:doughnutChart>
        <c:varyColors val="1"/>
        <c:ser>
          <c:idx val="0"/>
          <c:order val="0"/>
          <c:tx>
            <c:strRef>
              <c:f>Лист1!$B$1</c:f>
              <c:strCache>
                <c:ptCount val="1"/>
                <c:pt idx="0">
                  <c:v>Продажи</c:v>
                </c:pt>
              </c:strCache>
            </c:strRef>
          </c:tx>
          <c:dPt>
            <c:idx val="0"/>
            <c:bubble3D val="0"/>
            <c:spPr>
              <a:solidFill>
                <a:srgbClr val="548235"/>
              </a:solidFill>
              <a:ln w="19050">
                <a:solidFill>
                  <a:schemeClr val="lt1"/>
                </a:solidFill>
              </a:ln>
              <a:effectLst/>
            </c:spPr>
            <c:extLst xmlns:c16r2="http://schemas.microsoft.com/office/drawing/2015/06/chart">
              <c:ext xmlns:c16="http://schemas.microsoft.com/office/drawing/2014/chart" uri="{C3380CC4-5D6E-409C-BE32-E72D297353CC}">
                <c16:uniqueId val="{00000001-30DE-453C-BF23-62E1CBD69932}"/>
              </c:ext>
            </c:extLst>
          </c:dPt>
          <c:dPt>
            <c:idx val="1"/>
            <c:bubble3D val="0"/>
            <c:spPr>
              <a:solidFill>
                <a:srgbClr val="A9D1A2"/>
              </a:solidFill>
              <a:ln w="19050">
                <a:solidFill>
                  <a:schemeClr val="lt1"/>
                </a:solidFill>
              </a:ln>
              <a:effectLst/>
            </c:spPr>
            <c:extLst xmlns:c16r2="http://schemas.microsoft.com/office/drawing/2015/06/chart">
              <c:ext xmlns:c16="http://schemas.microsoft.com/office/drawing/2014/chart" uri="{C3380CC4-5D6E-409C-BE32-E72D297353CC}">
                <c16:uniqueId val="{00000003-30DE-453C-BF23-62E1CBD69932}"/>
              </c:ext>
            </c:extLst>
          </c:dPt>
          <c:dPt>
            <c:idx val="2"/>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5-30DE-453C-BF23-62E1CBD69932}"/>
              </c:ext>
            </c:extLst>
          </c:dPt>
          <c:dPt>
            <c:idx val="3"/>
            <c:bubble3D val="0"/>
            <c:spPr>
              <a:solidFill>
                <a:srgbClr val="D97A8D"/>
              </a:solidFill>
              <a:ln w="19050">
                <a:solidFill>
                  <a:schemeClr val="lt1"/>
                </a:solidFill>
              </a:ln>
              <a:effectLst/>
            </c:spPr>
            <c:extLst xmlns:c16r2="http://schemas.microsoft.com/office/drawing/2015/06/chart">
              <c:ext xmlns:c16="http://schemas.microsoft.com/office/drawing/2014/chart" uri="{C3380CC4-5D6E-409C-BE32-E72D297353CC}">
                <c16:uniqueId val="{00000007-30DE-453C-BF23-62E1CBD69932}"/>
              </c:ext>
            </c:extLst>
          </c:dPt>
          <c:dPt>
            <c:idx val="4"/>
            <c:bubble3D val="0"/>
            <c:spPr>
              <a:solidFill>
                <a:srgbClr val="59221B"/>
              </a:solidFill>
              <a:ln w="19050">
                <a:solidFill>
                  <a:schemeClr val="lt1"/>
                </a:solidFill>
              </a:ln>
              <a:effectLst/>
            </c:spPr>
            <c:extLst xmlns:c16r2="http://schemas.microsoft.com/office/drawing/2015/06/chart">
              <c:ext xmlns:c16="http://schemas.microsoft.com/office/drawing/2014/chart" uri="{C3380CC4-5D6E-409C-BE32-E72D297353CC}">
                <c16:uniqueId val="{00000009-30DE-453C-BF23-62E1CBD69932}"/>
              </c:ext>
            </c:extLst>
          </c:dPt>
          <c:dPt>
            <c:idx val="5"/>
            <c:bubble3D val="0"/>
            <c:spPr>
              <a:solidFill>
                <a:srgbClr val="E7E6E6">
                  <a:lumMod val="75000"/>
                </a:srgbClr>
              </a:solidFill>
              <a:ln w="19050">
                <a:solidFill>
                  <a:schemeClr val="lt1"/>
                </a:solidFill>
              </a:ln>
              <a:effectLst/>
            </c:spPr>
            <c:extLst xmlns:c16r2="http://schemas.microsoft.com/office/drawing/2015/06/chart">
              <c:ext xmlns:c16="http://schemas.microsoft.com/office/drawing/2014/chart" uri="{C3380CC4-5D6E-409C-BE32-E72D297353CC}">
                <c16:uniqueId val="{0000000B-30DE-453C-BF23-62E1CBD69932}"/>
              </c:ext>
            </c:extLst>
          </c:dPt>
          <c:dLbls>
            <c:dLbl>
              <c:idx val="0"/>
              <c:layout>
                <c:manualLayout>
                  <c:x val="5.548860627190926E-4"/>
                  <c:y val="3.5284332712073054E-3"/>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0DE-453C-BF23-62E1CBD69932}"/>
                </c:ext>
              </c:extLst>
            </c:dLbl>
            <c:dLbl>
              <c:idx val="1"/>
              <c:layout>
                <c:manualLayout>
                  <c:x val="-1.8950677227753663E-3"/>
                  <c:y val="-4.862422266607623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0DE-453C-BF23-62E1CBD69932}"/>
                </c:ext>
              </c:extLst>
            </c:dLbl>
            <c:dLbl>
              <c:idx val="2"/>
              <c:layout>
                <c:manualLayout>
                  <c:x val="1.543636888320897E-3"/>
                  <c:y val="-1.49166094286071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0DE-453C-BF23-62E1CBD69932}"/>
                </c:ext>
              </c:extLst>
            </c:dLbl>
            <c:dLbl>
              <c:idx val="3"/>
              <c:layout>
                <c:manualLayout>
                  <c:x val="2.0023458510595843E-3"/>
                  <c:y val="5.1097854645425168E-3"/>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0DE-453C-BF23-62E1CBD69932}"/>
                </c:ext>
              </c:extLst>
            </c:dLbl>
            <c:dLbl>
              <c:idx val="4"/>
              <c:layout>
                <c:manualLayout>
                  <c:x val="-6.5737696606646303E-4"/>
                  <c:y val="-7.641296187244135E-4"/>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0DE-453C-BF23-62E1CBD69932}"/>
                </c:ext>
              </c:extLst>
            </c:dLbl>
            <c:dLbl>
              <c:idx val="5"/>
              <c:layout>
                <c:manualLayout>
                  <c:x val="3.0006278932815417E-3"/>
                  <c:y val="-2.362002359573981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30DE-453C-BF23-62E1CBD69932}"/>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Лист1!$A$2:$A$7</c:f>
              <c:strCache>
                <c:ptCount val="6"/>
                <c:pt idx="0">
                  <c:v>Большое число поставщиков</c:v>
                </c:pt>
                <c:pt idx="1">
                  <c:v>4 и более поставщика</c:v>
                </c:pt>
                <c:pt idx="2">
                  <c:v>2-3 поставщика</c:v>
                </c:pt>
                <c:pt idx="3">
                  <c:v>Единственный поставщик</c:v>
                </c:pt>
                <c:pt idx="4">
                  <c:v>Не пользуемся услугами поставщиков</c:v>
                </c:pt>
                <c:pt idx="5">
                  <c:v>Затрудняюсь ответить</c:v>
                </c:pt>
              </c:strCache>
            </c:strRef>
          </c:cat>
          <c:val>
            <c:numRef>
              <c:f>Лист1!$B$2:$B$7</c:f>
              <c:numCache>
                <c:formatCode>0%</c:formatCode>
                <c:ptCount val="6"/>
                <c:pt idx="0">
                  <c:v>0.28199999999999997</c:v>
                </c:pt>
                <c:pt idx="1">
                  <c:v>0.27600000000000002</c:v>
                </c:pt>
                <c:pt idx="2">
                  <c:v>0.22</c:v>
                </c:pt>
                <c:pt idx="3">
                  <c:v>0.04</c:v>
                </c:pt>
                <c:pt idx="4">
                  <c:v>0.114</c:v>
                </c:pt>
                <c:pt idx="5">
                  <c:v>6.8000000000000005E-2</c:v>
                </c:pt>
              </c:numCache>
            </c:numRef>
          </c:val>
          <c:extLst xmlns:c16r2="http://schemas.microsoft.com/office/drawing/2015/06/chart">
            <c:ext xmlns:c16="http://schemas.microsoft.com/office/drawing/2014/chart" uri="{C3380CC4-5D6E-409C-BE32-E72D297353CC}">
              <c16:uniqueId val="{0000000C-30DE-453C-BF23-62E1CBD69932}"/>
            </c:ext>
          </c:extLst>
        </c:ser>
        <c:dLbls>
          <c:showLegendKey val="0"/>
          <c:showVal val="0"/>
          <c:showCatName val="0"/>
          <c:showSerName val="0"/>
          <c:showPercent val="0"/>
          <c:showBubbleSize val="0"/>
          <c:showLeaderLines val="0"/>
        </c:dLbls>
        <c:firstSliceAng val="0"/>
        <c:holeSize val="70"/>
      </c:doughnutChart>
      <c:spPr>
        <a:noFill/>
        <a:ln>
          <a:noFill/>
        </a:ln>
        <a:effectLst/>
      </c:spPr>
    </c:plotArea>
    <c:legend>
      <c:legendPos val="r"/>
      <c:layout>
        <c:manualLayout>
          <c:xMode val="edge"/>
          <c:yMode val="edge"/>
          <c:x val="0.51687207746877117"/>
          <c:y val="0.18286964129483815"/>
          <c:w val="0.47265684657174167"/>
          <c:h val="0.69082569000027305"/>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b="0">
          <a:solidFill>
            <a:sysClr val="windowText" lastClr="000000"/>
          </a:solidFill>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974716570532698"/>
          <c:y val="0.11551834740780764"/>
          <c:w val="0.30090975800799769"/>
          <c:h val="0.83006591247151296"/>
        </c:manualLayout>
      </c:layout>
      <c:doughnutChart>
        <c:varyColors val="1"/>
        <c:ser>
          <c:idx val="0"/>
          <c:order val="0"/>
          <c:tx>
            <c:strRef>
              <c:f>Лист1!$B$1</c:f>
              <c:strCache>
                <c:ptCount val="1"/>
                <c:pt idx="0">
                  <c:v>Продажи</c:v>
                </c:pt>
              </c:strCache>
            </c:strRef>
          </c:tx>
          <c:dPt>
            <c:idx val="0"/>
            <c:bubble3D val="0"/>
            <c:spPr>
              <a:solidFill>
                <a:srgbClr val="548235"/>
              </a:solidFill>
              <a:ln w="19050">
                <a:solidFill>
                  <a:schemeClr val="lt1"/>
                </a:solidFill>
              </a:ln>
              <a:effectLst/>
            </c:spPr>
            <c:extLst xmlns:c16r2="http://schemas.microsoft.com/office/drawing/2015/06/chart">
              <c:ext xmlns:c16="http://schemas.microsoft.com/office/drawing/2014/chart" uri="{C3380CC4-5D6E-409C-BE32-E72D297353CC}">
                <c16:uniqueId val="{00000001-B58C-4E45-865A-5BCE3DC33792}"/>
              </c:ext>
            </c:extLst>
          </c:dPt>
          <c:dPt>
            <c:idx val="1"/>
            <c:bubble3D val="0"/>
            <c:spPr>
              <a:solidFill>
                <a:srgbClr val="A9D18E"/>
              </a:solidFill>
              <a:ln w="19050">
                <a:solidFill>
                  <a:schemeClr val="lt1"/>
                </a:solidFill>
              </a:ln>
              <a:effectLst/>
            </c:spPr>
            <c:extLst xmlns:c16r2="http://schemas.microsoft.com/office/drawing/2015/06/chart">
              <c:ext xmlns:c16="http://schemas.microsoft.com/office/drawing/2014/chart" uri="{C3380CC4-5D6E-409C-BE32-E72D297353CC}">
                <c16:uniqueId val="{00000003-B58C-4E45-865A-5BCE3DC33792}"/>
              </c:ext>
            </c:extLst>
          </c:dPt>
          <c:dPt>
            <c:idx val="2"/>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5-B58C-4E45-865A-5BCE3DC33792}"/>
              </c:ext>
            </c:extLst>
          </c:dPt>
          <c:dPt>
            <c:idx val="3"/>
            <c:bubble3D val="0"/>
            <c:spPr>
              <a:solidFill>
                <a:srgbClr val="D97A8D"/>
              </a:solidFill>
              <a:ln w="19050">
                <a:solidFill>
                  <a:schemeClr val="lt1"/>
                </a:solidFill>
              </a:ln>
              <a:effectLst/>
            </c:spPr>
            <c:extLst xmlns:c16r2="http://schemas.microsoft.com/office/drawing/2015/06/chart">
              <c:ext xmlns:c16="http://schemas.microsoft.com/office/drawing/2014/chart" uri="{C3380CC4-5D6E-409C-BE32-E72D297353CC}">
                <c16:uniqueId val="{00000007-B58C-4E45-865A-5BCE3DC33792}"/>
              </c:ext>
            </c:extLst>
          </c:dPt>
          <c:dPt>
            <c:idx val="4"/>
            <c:bubble3D val="0"/>
            <c:spPr>
              <a:solidFill>
                <a:srgbClr val="59221B"/>
              </a:solidFill>
              <a:ln w="19050">
                <a:solidFill>
                  <a:schemeClr val="lt1"/>
                </a:solidFill>
              </a:ln>
              <a:effectLst/>
            </c:spPr>
            <c:extLst xmlns:c16r2="http://schemas.microsoft.com/office/drawing/2015/06/chart">
              <c:ext xmlns:c16="http://schemas.microsoft.com/office/drawing/2014/chart" uri="{C3380CC4-5D6E-409C-BE32-E72D297353CC}">
                <c16:uniqueId val="{00000009-B58C-4E45-865A-5BCE3DC33792}"/>
              </c:ext>
            </c:extLst>
          </c:dPt>
          <c:dPt>
            <c:idx val="5"/>
            <c:bubble3D val="0"/>
            <c:spPr>
              <a:solidFill>
                <a:srgbClr val="E7E6E6">
                  <a:lumMod val="75000"/>
                </a:srgbClr>
              </a:solidFill>
              <a:ln w="19050">
                <a:solidFill>
                  <a:schemeClr val="lt1"/>
                </a:solidFill>
              </a:ln>
              <a:effectLst/>
            </c:spPr>
            <c:extLst xmlns:c16r2="http://schemas.microsoft.com/office/drawing/2015/06/chart">
              <c:ext xmlns:c16="http://schemas.microsoft.com/office/drawing/2014/chart" uri="{C3380CC4-5D6E-409C-BE32-E72D297353CC}">
                <c16:uniqueId val="{0000000B-B58C-4E45-865A-5BCE3DC33792}"/>
              </c:ext>
            </c:extLst>
          </c:dPt>
          <c:dLbls>
            <c:dLbl>
              <c:idx val="0"/>
              <c:layout>
                <c:manualLayout>
                  <c:x val="5.548860627190926E-4"/>
                  <c:y val="3.5284332712073054E-3"/>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58C-4E45-865A-5BCE3DC33792}"/>
                </c:ext>
              </c:extLst>
            </c:dLbl>
            <c:dLbl>
              <c:idx val="1"/>
              <c:layout>
                <c:manualLayout>
                  <c:x val="-1.8950677227753663E-3"/>
                  <c:y val="-4.862422266607623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58C-4E45-865A-5BCE3DC33792}"/>
                </c:ext>
              </c:extLst>
            </c:dLbl>
            <c:dLbl>
              <c:idx val="2"/>
              <c:layout>
                <c:manualLayout>
                  <c:x val="1.543636888320897E-3"/>
                  <c:y val="-1.49166094286071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58C-4E45-865A-5BCE3DC33792}"/>
                </c:ext>
              </c:extLst>
            </c:dLbl>
            <c:dLbl>
              <c:idx val="3"/>
              <c:layout>
                <c:manualLayout>
                  <c:x val="1.4819841427696724E-5"/>
                  <c:y val="2.05817179560341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58C-4E45-865A-5BCE3DC33792}"/>
                </c:ext>
              </c:extLst>
            </c:dLbl>
            <c:dLbl>
              <c:idx val="4"/>
              <c:layout>
                <c:manualLayout>
                  <c:x val="-6.5737696606646303E-4"/>
                  <c:y val="-7.641296187244135E-4"/>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58C-4E45-865A-5BCE3DC33792}"/>
                </c:ext>
              </c:extLst>
            </c:dLbl>
            <c:dLbl>
              <c:idx val="5"/>
              <c:layout>
                <c:manualLayout>
                  <c:x val="3.0006278932815417E-3"/>
                  <c:y val="-2.362002359573981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58C-4E45-865A-5BCE3DC33792}"/>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Лист1!$A$2:$A$7</c:f>
              <c:strCache>
                <c:ptCount val="6"/>
                <c:pt idx="0">
                  <c:v>Увеличилось более чем на 4 конкурента</c:v>
                </c:pt>
                <c:pt idx="1">
                  <c:v>Увеличилось на 1-3 конкурента</c:v>
                </c:pt>
                <c:pt idx="2">
                  <c:v>Не изменилось</c:v>
                </c:pt>
                <c:pt idx="3">
                  <c:v>Сократилось на 1-3 конкурента</c:v>
                </c:pt>
                <c:pt idx="4">
                  <c:v>Сократилось более чем на 4 конкурента</c:v>
                </c:pt>
                <c:pt idx="5">
                  <c:v>Затрудняюсь ответить</c:v>
                </c:pt>
              </c:strCache>
            </c:strRef>
          </c:cat>
          <c:val>
            <c:numRef>
              <c:f>Лист1!$B$2:$B$7</c:f>
              <c:numCache>
                <c:formatCode>0%</c:formatCode>
                <c:ptCount val="6"/>
                <c:pt idx="0">
                  <c:v>0.114</c:v>
                </c:pt>
                <c:pt idx="1">
                  <c:v>0.184</c:v>
                </c:pt>
                <c:pt idx="2">
                  <c:v>0.41399999999999998</c:v>
                </c:pt>
                <c:pt idx="3">
                  <c:v>0.114</c:v>
                </c:pt>
                <c:pt idx="4">
                  <c:v>3.4000000000000002E-2</c:v>
                </c:pt>
                <c:pt idx="5">
                  <c:v>0.14000000000000001</c:v>
                </c:pt>
              </c:numCache>
            </c:numRef>
          </c:val>
          <c:extLst xmlns:c16r2="http://schemas.microsoft.com/office/drawing/2015/06/chart">
            <c:ext xmlns:c16="http://schemas.microsoft.com/office/drawing/2014/chart" uri="{C3380CC4-5D6E-409C-BE32-E72D297353CC}">
              <c16:uniqueId val="{0000000C-B58C-4E45-865A-5BCE3DC33792}"/>
            </c:ext>
          </c:extLst>
        </c:ser>
        <c:dLbls>
          <c:showLegendKey val="0"/>
          <c:showVal val="0"/>
          <c:showCatName val="0"/>
          <c:showSerName val="0"/>
          <c:showPercent val="0"/>
          <c:showBubbleSize val="0"/>
          <c:showLeaderLines val="0"/>
        </c:dLbls>
        <c:firstSliceAng val="0"/>
        <c:holeSize val="70"/>
      </c:doughnutChart>
      <c:spPr>
        <a:noFill/>
        <a:ln>
          <a:noFill/>
        </a:ln>
        <a:effectLst/>
      </c:spPr>
    </c:plotArea>
    <c:legend>
      <c:legendPos val="r"/>
      <c:layout>
        <c:manualLayout>
          <c:xMode val="edge"/>
          <c:yMode val="edge"/>
          <c:x val="0.51687207746877117"/>
          <c:y val="0.18286964129483815"/>
          <c:w val="0.47265684657174167"/>
          <c:h val="0.69082569000027305"/>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b="0">
          <a:solidFill>
            <a:sysClr val="windowText" lastClr="000000"/>
          </a:solidFill>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456455041897463"/>
          <c:y val="9.5414160186498426E-3"/>
          <c:w val="0.49206096082866913"/>
          <c:h val="0.92509442417258814"/>
        </c:manualLayout>
      </c:layout>
      <c:barChart>
        <c:barDir val="bar"/>
        <c:grouping val="percentStacked"/>
        <c:varyColors val="0"/>
        <c:ser>
          <c:idx val="0"/>
          <c:order val="0"/>
          <c:tx>
            <c:strRef>
              <c:f>Sheet1!$A$2</c:f>
              <c:strCache>
                <c:ptCount val="1"/>
                <c:pt idx="0">
                  <c:v>Увеличилось более чем на 4 конкурента</c:v>
                </c:pt>
              </c:strCache>
            </c:strRef>
          </c:tx>
          <c:spPr>
            <a:solidFill>
              <a:srgbClr val="548235"/>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Sheet1!$B$1:$S$1</c:f>
              <c:strCache>
                <c:ptCount val="18"/>
                <c:pt idx="0">
                  <c:v>Рынок медицинских услуг</c:v>
                </c:pt>
                <c:pt idx="1">
                  <c:v>Рынок услуг детского отдыха и оздоровления</c:v>
                </c:pt>
                <c:pt idx="2">
                  <c:v>Рынок услуг розничной торговли лекарственными препаратами, медицинскими изделиями и сопутствующими товарами</c:v>
                </c:pt>
                <c:pt idx="3">
                  <c:v>Рынок услуг жилищно-коммунального хозяйства</c:v>
                </c:pt>
                <c:pt idx="4">
                  <c:v>Рынок ритуальных услуг</c:v>
                </c:pt>
                <c:pt idx="5">
                  <c:v>Рынок услуг по сбору и транспортированию твердых коммунальных отходов</c:v>
                </c:pt>
                <c:pt idx="6">
                  <c:v>Рынок обработки древесины и производства изделий из дерева</c:v>
                </c:pt>
                <c:pt idx="7">
                  <c:v>Рынок выполнения работ по содержанию и текущему ремонту общего имущества собственников помещений в многоквартирном доме</c:v>
                </c:pt>
                <c:pt idx="8">
                  <c:v>Сфера наружной рекламы</c:v>
                </c:pt>
                <c:pt idx="9">
                  <c:v>Рынок социальных услуг</c:v>
                </c:pt>
                <c:pt idx="10">
                  <c:v>Рынок услуг связи, в том числе услуг по предоставлению широкополосного доступа к информационно-телекоммуникационной сети «Интернет»</c:v>
                </c:pt>
                <c:pt idx="11">
                  <c:v>Рынок оказания услуг по ремонту автотранспортных средств</c:v>
                </c:pt>
                <c:pt idx="12">
                  <c:v>Рынок товарной аквакультуры</c:v>
                </c:pt>
                <c:pt idx="13">
                  <c:v>Рынок услуг общего образования</c:v>
                </c:pt>
                <c:pt idx="14">
                  <c:v>Рынок строительства объектов капитального строительства, за исключением жилищного и дорожного строительства</c:v>
                </c:pt>
                <c:pt idx="15">
                  <c:v>Рынок оказания услуг по перевозке пассажиров и багажа легковым такси на территории Ленинградской области</c:v>
                </c:pt>
                <c:pt idx="16">
                  <c:v>Рынок добычи общераспространенных полезных ископаемых на участках недр местного значения</c:v>
                </c:pt>
                <c:pt idx="17">
                  <c:v>Рынок теплоснабжения (производство тепловой энергии)</c:v>
                </c:pt>
              </c:strCache>
            </c:strRef>
          </c:cat>
          <c:val>
            <c:numRef>
              <c:f>Sheet1!$B$2:$S$2</c:f>
              <c:numCache>
                <c:formatCode>0%</c:formatCode>
                <c:ptCount val="18"/>
                <c:pt idx="0">
                  <c:v>0.266666666666667</c:v>
                </c:pt>
                <c:pt idx="1">
                  <c:v>0.1</c:v>
                </c:pt>
                <c:pt idx="2">
                  <c:v>0.27272727272727298</c:v>
                </c:pt>
                <c:pt idx="4">
                  <c:v>0.2</c:v>
                </c:pt>
                <c:pt idx="6">
                  <c:v>0.17142857142857099</c:v>
                </c:pt>
                <c:pt idx="7">
                  <c:v>0.22222222222222199</c:v>
                </c:pt>
                <c:pt idx="8">
                  <c:v>0.18181818181818202</c:v>
                </c:pt>
                <c:pt idx="9">
                  <c:v>0.11111111111111099</c:v>
                </c:pt>
                <c:pt idx="10">
                  <c:v>0.269230769230769</c:v>
                </c:pt>
                <c:pt idx="11">
                  <c:v>0.125</c:v>
                </c:pt>
                <c:pt idx="12">
                  <c:v>8.3333333333333301E-2</c:v>
                </c:pt>
                <c:pt idx="13">
                  <c:v>0.1</c:v>
                </c:pt>
                <c:pt idx="14">
                  <c:v>0.10638297872340401</c:v>
                </c:pt>
                <c:pt idx="15">
                  <c:v>0.18181818181818202</c:v>
                </c:pt>
                <c:pt idx="16">
                  <c:v>0.18181818181818202</c:v>
                </c:pt>
                <c:pt idx="17">
                  <c:v>9.0909090909090898E-2</c:v>
                </c:pt>
              </c:numCache>
            </c:numRef>
          </c:val>
          <c:extLst xmlns:c16r2="http://schemas.microsoft.com/office/drawing/2015/06/chart">
            <c:ext xmlns:c16="http://schemas.microsoft.com/office/drawing/2014/chart" uri="{C3380CC4-5D6E-409C-BE32-E72D297353CC}">
              <c16:uniqueId val="{00000000-6E8E-40F7-B06A-9015250581E7}"/>
            </c:ext>
          </c:extLst>
        </c:ser>
        <c:ser>
          <c:idx val="1"/>
          <c:order val="1"/>
          <c:tx>
            <c:strRef>
              <c:f>Sheet1!$A$3</c:f>
              <c:strCache>
                <c:ptCount val="1"/>
                <c:pt idx="0">
                  <c:v>Увеличилось на 1-3 конкурента</c:v>
                </c:pt>
              </c:strCache>
            </c:strRef>
          </c:tx>
          <c:spPr>
            <a:solidFill>
              <a:srgbClr val="A9D18E"/>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Sheet1!$B$1:$S$1</c:f>
              <c:strCache>
                <c:ptCount val="18"/>
                <c:pt idx="0">
                  <c:v>Рынок медицинских услуг</c:v>
                </c:pt>
                <c:pt idx="1">
                  <c:v>Рынок услуг детского отдыха и оздоровления</c:v>
                </c:pt>
                <c:pt idx="2">
                  <c:v>Рынок услуг розничной торговли лекарственными препаратами, медицинскими изделиями и сопутствующими товарами</c:v>
                </c:pt>
                <c:pt idx="3">
                  <c:v>Рынок услуг жилищно-коммунального хозяйства</c:v>
                </c:pt>
                <c:pt idx="4">
                  <c:v>Рынок ритуальных услуг</c:v>
                </c:pt>
                <c:pt idx="5">
                  <c:v>Рынок услуг по сбору и транспортированию твердых коммунальных отходов</c:v>
                </c:pt>
                <c:pt idx="6">
                  <c:v>Рынок обработки древесины и производства изделий из дерева</c:v>
                </c:pt>
                <c:pt idx="7">
                  <c:v>Рынок выполнения работ по содержанию и текущему ремонту общего имущества собственников помещений в многоквартирном доме</c:v>
                </c:pt>
                <c:pt idx="8">
                  <c:v>Сфера наружной рекламы</c:v>
                </c:pt>
                <c:pt idx="9">
                  <c:v>Рынок социальных услуг</c:v>
                </c:pt>
                <c:pt idx="10">
                  <c:v>Рынок услуг связи, в том числе услуг по предоставлению широкополосного доступа к информационно-телекоммуникационной сети «Интернет»</c:v>
                </c:pt>
                <c:pt idx="11">
                  <c:v>Рынок оказания услуг по ремонту автотранспортных средств</c:v>
                </c:pt>
                <c:pt idx="12">
                  <c:v>Рынок товарной аквакультуры</c:v>
                </c:pt>
                <c:pt idx="13">
                  <c:v>Рынок услуг общего образования</c:v>
                </c:pt>
                <c:pt idx="14">
                  <c:v>Рынок строительства объектов капитального строительства, за исключением жилищного и дорожного строительства</c:v>
                </c:pt>
                <c:pt idx="15">
                  <c:v>Рынок оказания услуг по перевозке пассажиров и багажа легковым такси на территории Ленинградской области</c:v>
                </c:pt>
                <c:pt idx="16">
                  <c:v>Рынок добычи общераспространенных полезных ископаемых на участках недр местного значения</c:v>
                </c:pt>
                <c:pt idx="17">
                  <c:v>Рынок теплоснабжения (производство тепловой энергии)</c:v>
                </c:pt>
              </c:strCache>
            </c:strRef>
          </c:cat>
          <c:val>
            <c:numRef>
              <c:f>Sheet1!$B$3:$S$3</c:f>
              <c:numCache>
                <c:formatCode>0%</c:formatCode>
                <c:ptCount val="18"/>
                <c:pt idx="0">
                  <c:v>0.33333333333333298</c:v>
                </c:pt>
                <c:pt idx="1">
                  <c:v>0.4</c:v>
                </c:pt>
                <c:pt idx="2">
                  <c:v>0.22727272727272702</c:v>
                </c:pt>
                <c:pt idx="3">
                  <c:v>0.4</c:v>
                </c:pt>
                <c:pt idx="4">
                  <c:v>0.2</c:v>
                </c:pt>
                <c:pt idx="5">
                  <c:v>0.4</c:v>
                </c:pt>
                <c:pt idx="6">
                  <c:v>0.2</c:v>
                </c:pt>
                <c:pt idx="7">
                  <c:v>0.148148148148148</c:v>
                </c:pt>
                <c:pt idx="8">
                  <c:v>0.18181818181818202</c:v>
                </c:pt>
                <c:pt idx="9">
                  <c:v>0.25</c:v>
                </c:pt>
                <c:pt idx="10">
                  <c:v>7.69230769230769E-2</c:v>
                </c:pt>
                <c:pt idx="11">
                  <c:v>0.21875</c:v>
                </c:pt>
                <c:pt idx="12">
                  <c:v>0.25</c:v>
                </c:pt>
                <c:pt idx="13">
                  <c:v>0.2</c:v>
                </c:pt>
                <c:pt idx="14">
                  <c:v>0.17021276595744697</c:v>
                </c:pt>
                <c:pt idx="15">
                  <c:v>9.0909090909090898E-2</c:v>
                </c:pt>
                <c:pt idx="16">
                  <c:v>9.0909090909090898E-2</c:v>
                </c:pt>
                <c:pt idx="17">
                  <c:v>0.18181818181818202</c:v>
                </c:pt>
              </c:numCache>
            </c:numRef>
          </c:val>
          <c:extLst xmlns:c16r2="http://schemas.microsoft.com/office/drawing/2015/06/chart">
            <c:ext xmlns:c16="http://schemas.microsoft.com/office/drawing/2014/chart" uri="{C3380CC4-5D6E-409C-BE32-E72D297353CC}">
              <c16:uniqueId val="{00000001-6E8E-40F7-B06A-9015250581E7}"/>
            </c:ext>
          </c:extLst>
        </c:ser>
        <c:ser>
          <c:idx val="2"/>
          <c:order val="2"/>
          <c:tx>
            <c:strRef>
              <c:f>Sheet1!$A$4</c:f>
              <c:strCache>
                <c:ptCount val="1"/>
                <c:pt idx="0">
                  <c:v>Не изменилось</c:v>
                </c:pt>
              </c:strCache>
            </c:strRef>
          </c:tx>
          <c:spPr>
            <a:solidFill>
              <a:srgbClr val="FFC000"/>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Sheet1!$B$1:$S$1</c:f>
              <c:strCache>
                <c:ptCount val="18"/>
                <c:pt idx="0">
                  <c:v>Рынок медицинских услуг</c:v>
                </c:pt>
                <c:pt idx="1">
                  <c:v>Рынок услуг детского отдыха и оздоровления</c:v>
                </c:pt>
                <c:pt idx="2">
                  <c:v>Рынок услуг розничной торговли лекарственными препаратами, медицинскими изделиями и сопутствующими товарами</c:v>
                </c:pt>
                <c:pt idx="3">
                  <c:v>Рынок услуг жилищно-коммунального хозяйства</c:v>
                </c:pt>
                <c:pt idx="4">
                  <c:v>Рынок ритуальных услуг</c:v>
                </c:pt>
                <c:pt idx="5">
                  <c:v>Рынок услуг по сбору и транспортированию твердых коммунальных отходов</c:v>
                </c:pt>
                <c:pt idx="6">
                  <c:v>Рынок обработки древесины и производства изделий из дерева</c:v>
                </c:pt>
                <c:pt idx="7">
                  <c:v>Рынок выполнения работ по содержанию и текущему ремонту общего имущества собственников помещений в многоквартирном доме</c:v>
                </c:pt>
                <c:pt idx="8">
                  <c:v>Сфера наружной рекламы</c:v>
                </c:pt>
                <c:pt idx="9">
                  <c:v>Рынок социальных услуг</c:v>
                </c:pt>
                <c:pt idx="10">
                  <c:v>Рынок услуг связи, в том числе услуг по предоставлению широкополосного доступа к информационно-телекоммуникационной сети «Интернет»</c:v>
                </c:pt>
                <c:pt idx="11">
                  <c:v>Рынок оказания услуг по ремонту автотранспортных средств</c:v>
                </c:pt>
                <c:pt idx="12">
                  <c:v>Рынок товарной аквакультуры</c:v>
                </c:pt>
                <c:pt idx="13">
                  <c:v>Рынок услуг общего образования</c:v>
                </c:pt>
                <c:pt idx="14">
                  <c:v>Рынок строительства объектов капитального строительства, за исключением жилищного и дорожного строительства</c:v>
                </c:pt>
                <c:pt idx="15">
                  <c:v>Рынок оказания услуг по перевозке пассажиров и багажа легковым такси на территории Ленинградской области</c:v>
                </c:pt>
                <c:pt idx="16">
                  <c:v>Рынок добычи общераспространенных полезных ископаемых на участках недр местного значения</c:v>
                </c:pt>
                <c:pt idx="17">
                  <c:v>Рынок теплоснабжения (производство тепловой энергии)</c:v>
                </c:pt>
              </c:strCache>
            </c:strRef>
          </c:cat>
          <c:val>
            <c:numRef>
              <c:f>Sheet1!$B$4:$S$4</c:f>
              <c:numCache>
                <c:formatCode>0%</c:formatCode>
                <c:ptCount val="18"/>
                <c:pt idx="0">
                  <c:v>0.266666666666667</c:v>
                </c:pt>
                <c:pt idx="1">
                  <c:v>0.3</c:v>
                </c:pt>
                <c:pt idx="2">
                  <c:v>0.36363636363636404</c:v>
                </c:pt>
                <c:pt idx="3">
                  <c:v>0.4</c:v>
                </c:pt>
                <c:pt idx="4">
                  <c:v>0.6</c:v>
                </c:pt>
                <c:pt idx="5">
                  <c:v>0.5</c:v>
                </c:pt>
                <c:pt idx="6">
                  <c:v>0.4</c:v>
                </c:pt>
                <c:pt idx="7">
                  <c:v>0.37037037037037002</c:v>
                </c:pt>
                <c:pt idx="8">
                  <c:v>0.45454545454545503</c:v>
                </c:pt>
                <c:pt idx="9">
                  <c:v>0.41666666666666702</c:v>
                </c:pt>
                <c:pt idx="10">
                  <c:v>0.42307692307692302</c:v>
                </c:pt>
                <c:pt idx="11">
                  <c:v>0.3125</c:v>
                </c:pt>
                <c:pt idx="12">
                  <c:v>0.41666666666666702</c:v>
                </c:pt>
                <c:pt idx="13">
                  <c:v>0.5</c:v>
                </c:pt>
                <c:pt idx="14">
                  <c:v>0.42553191489361702</c:v>
                </c:pt>
                <c:pt idx="15">
                  <c:v>0.45454545454545503</c:v>
                </c:pt>
                <c:pt idx="16">
                  <c:v>0.45454545454545503</c:v>
                </c:pt>
                <c:pt idx="17">
                  <c:v>0.63636363636363602</c:v>
                </c:pt>
              </c:numCache>
            </c:numRef>
          </c:val>
          <c:extLst xmlns:c16r2="http://schemas.microsoft.com/office/drawing/2015/06/chart">
            <c:ext xmlns:c16="http://schemas.microsoft.com/office/drawing/2014/chart" uri="{C3380CC4-5D6E-409C-BE32-E72D297353CC}">
              <c16:uniqueId val="{00000002-6E8E-40F7-B06A-9015250581E7}"/>
            </c:ext>
          </c:extLst>
        </c:ser>
        <c:ser>
          <c:idx val="3"/>
          <c:order val="3"/>
          <c:tx>
            <c:strRef>
              <c:f>Sheet1!$A$5</c:f>
              <c:strCache>
                <c:ptCount val="1"/>
                <c:pt idx="0">
                  <c:v>Сократилось на 1-3 конкурента</c:v>
                </c:pt>
              </c:strCache>
            </c:strRef>
          </c:tx>
          <c:spPr>
            <a:solidFill>
              <a:srgbClr val="D97A8D"/>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Sheet1!$B$1:$S$1</c:f>
              <c:strCache>
                <c:ptCount val="18"/>
                <c:pt idx="0">
                  <c:v>Рынок медицинских услуг</c:v>
                </c:pt>
                <c:pt idx="1">
                  <c:v>Рынок услуг детского отдыха и оздоровления</c:v>
                </c:pt>
                <c:pt idx="2">
                  <c:v>Рынок услуг розничной торговли лекарственными препаратами, медицинскими изделиями и сопутствующими товарами</c:v>
                </c:pt>
                <c:pt idx="3">
                  <c:v>Рынок услуг жилищно-коммунального хозяйства</c:v>
                </c:pt>
                <c:pt idx="4">
                  <c:v>Рынок ритуальных услуг</c:v>
                </c:pt>
                <c:pt idx="5">
                  <c:v>Рынок услуг по сбору и транспортированию твердых коммунальных отходов</c:v>
                </c:pt>
                <c:pt idx="6">
                  <c:v>Рынок обработки древесины и производства изделий из дерева</c:v>
                </c:pt>
                <c:pt idx="7">
                  <c:v>Рынок выполнения работ по содержанию и текущему ремонту общего имущества собственников помещений в многоквартирном доме</c:v>
                </c:pt>
                <c:pt idx="8">
                  <c:v>Сфера наружной рекламы</c:v>
                </c:pt>
                <c:pt idx="9">
                  <c:v>Рынок социальных услуг</c:v>
                </c:pt>
                <c:pt idx="10">
                  <c:v>Рынок услуг связи, в том числе услуг по предоставлению широкополосного доступа к информационно-телекоммуникационной сети «Интернет»</c:v>
                </c:pt>
                <c:pt idx="11">
                  <c:v>Рынок оказания услуг по ремонту автотранспортных средств</c:v>
                </c:pt>
                <c:pt idx="12">
                  <c:v>Рынок товарной аквакультуры</c:v>
                </c:pt>
                <c:pt idx="13">
                  <c:v>Рынок услуг общего образования</c:v>
                </c:pt>
                <c:pt idx="14">
                  <c:v>Рынок строительства объектов капитального строительства, за исключением жилищного и дорожного строительства</c:v>
                </c:pt>
                <c:pt idx="15">
                  <c:v>Рынок оказания услуг по перевозке пассажиров и багажа легковым такси на территории Ленинградской области</c:v>
                </c:pt>
                <c:pt idx="16">
                  <c:v>Рынок добычи общераспространенных полезных ископаемых на участках недр местного значения</c:v>
                </c:pt>
                <c:pt idx="17">
                  <c:v>Рынок теплоснабжения (производство тепловой энергии)</c:v>
                </c:pt>
              </c:strCache>
            </c:strRef>
          </c:cat>
          <c:val>
            <c:numRef>
              <c:f>Sheet1!$B$5:$S$5</c:f>
              <c:numCache>
                <c:formatCode>0%</c:formatCode>
                <c:ptCount val="18"/>
                <c:pt idx="1">
                  <c:v>0.1</c:v>
                </c:pt>
                <c:pt idx="2">
                  <c:v>9.0909090909090898E-2</c:v>
                </c:pt>
                <c:pt idx="3">
                  <c:v>0.133333333333333</c:v>
                </c:pt>
                <c:pt idx="5">
                  <c:v>0.1</c:v>
                </c:pt>
                <c:pt idx="6">
                  <c:v>8.5714285714285687E-2</c:v>
                </c:pt>
                <c:pt idx="7">
                  <c:v>0.18518518518518501</c:v>
                </c:pt>
                <c:pt idx="8">
                  <c:v>9.0909090909090898E-2</c:v>
                </c:pt>
                <c:pt idx="9">
                  <c:v>0.16666666666666699</c:v>
                </c:pt>
                <c:pt idx="10">
                  <c:v>0.11538461538461499</c:v>
                </c:pt>
                <c:pt idx="11">
                  <c:v>0.125</c:v>
                </c:pt>
                <c:pt idx="12">
                  <c:v>8.3333333333333301E-2</c:v>
                </c:pt>
                <c:pt idx="13">
                  <c:v>0.1</c:v>
                </c:pt>
                <c:pt idx="14">
                  <c:v>0.21276595744680901</c:v>
                </c:pt>
                <c:pt idx="16">
                  <c:v>0.18181818181818202</c:v>
                </c:pt>
              </c:numCache>
            </c:numRef>
          </c:val>
          <c:extLst xmlns:c16r2="http://schemas.microsoft.com/office/drawing/2015/06/chart">
            <c:ext xmlns:c16="http://schemas.microsoft.com/office/drawing/2014/chart" uri="{C3380CC4-5D6E-409C-BE32-E72D297353CC}">
              <c16:uniqueId val="{00000003-6E8E-40F7-B06A-9015250581E7}"/>
            </c:ext>
          </c:extLst>
        </c:ser>
        <c:ser>
          <c:idx val="4"/>
          <c:order val="4"/>
          <c:tx>
            <c:strRef>
              <c:f>Sheet1!$A$6</c:f>
              <c:strCache>
                <c:ptCount val="1"/>
                <c:pt idx="0">
                  <c:v>Сократилось более чем на 4 конкурента</c:v>
                </c:pt>
              </c:strCache>
            </c:strRef>
          </c:tx>
          <c:spPr>
            <a:solidFill>
              <a:srgbClr val="59221B"/>
            </a:solidFill>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Sheet1!$B$1:$S$1</c:f>
              <c:strCache>
                <c:ptCount val="18"/>
                <c:pt idx="0">
                  <c:v>Рынок медицинских услуг</c:v>
                </c:pt>
                <c:pt idx="1">
                  <c:v>Рынок услуг детского отдыха и оздоровления</c:v>
                </c:pt>
                <c:pt idx="2">
                  <c:v>Рынок услуг розничной торговли лекарственными препаратами, медицинскими изделиями и сопутствующими товарами</c:v>
                </c:pt>
                <c:pt idx="3">
                  <c:v>Рынок услуг жилищно-коммунального хозяйства</c:v>
                </c:pt>
                <c:pt idx="4">
                  <c:v>Рынок ритуальных услуг</c:v>
                </c:pt>
                <c:pt idx="5">
                  <c:v>Рынок услуг по сбору и транспортированию твердых коммунальных отходов</c:v>
                </c:pt>
                <c:pt idx="6">
                  <c:v>Рынок обработки древесины и производства изделий из дерева</c:v>
                </c:pt>
                <c:pt idx="7">
                  <c:v>Рынок выполнения работ по содержанию и текущему ремонту общего имущества собственников помещений в многоквартирном доме</c:v>
                </c:pt>
                <c:pt idx="8">
                  <c:v>Сфера наружной рекламы</c:v>
                </c:pt>
                <c:pt idx="9">
                  <c:v>Рынок социальных услуг</c:v>
                </c:pt>
                <c:pt idx="10">
                  <c:v>Рынок услуг связи, в том числе услуг по предоставлению широкополосного доступа к информационно-телекоммуникационной сети «Интернет»</c:v>
                </c:pt>
                <c:pt idx="11">
                  <c:v>Рынок оказания услуг по ремонту автотранспортных средств</c:v>
                </c:pt>
                <c:pt idx="12">
                  <c:v>Рынок товарной аквакультуры</c:v>
                </c:pt>
                <c:pt idx="13">
                  <c:v>Рынок услуг общего образования</c:v>
                </c:pt>
                <c:pt idx="14">
                  <c:v>Рынок строительства объектов капитального строительства, за исключением жилищного и дорожного строительства</c:v>
                </c:pt>
                <c:pt idx="15">
                  <c:v>Рынок оказания услуг по перевозке пассажиров и багажа легковым такси на территории Ленинградской области</c:v>
                </c:pt>
                <c:pt idx="16">
                  <c:v>Рынок добычи общераспространенных полезных ископаемых на участках недр местного значения</c:v>
                </c:pt>
                <c:pt idx="17">
                  <c:v>Рынок теплоснабжения (производство тепловой энергии)</c:v>
                </c:pt>
              </c:strCache>
            </c:strRef>
          </c:cat>
          <c:val>
            <c:numRef>
              <c:f>Sheet1!$B$6:$S$6</c:f>
              <c:numCache>
                <c:formatCode>General</c:formatCode>
                <c:ptCount val="18"/>
                <c:pt idx="0" formatCode="0%">
                  <c:v>6.6666666666666693E-2</c:v>
                </c:pt>
                <c:pt idx="6" formatCode="0%">
                  <c:v>2.8571428571428598E-2</c:v>
                </c:pt>
                <c:pt idx="9" formatCode="0%">
                  <c:v>2.7777777777777801E-2</c:v>
                </c:pt>
                <c:pt idx="10" formatCode="0%">
                  <c:v>3.8461538461538498E-2</c:v>
                </c:pt>
                <c:pt idx="14" formatCode="0%">
                  <c:v>2.1276595744680899E-2</c:v>
                </c:pt>
              </c:numCache>
            </c:numRef>
          </c:val>
          <c:extLst xmlns:c16r2="http://schemas.microsoft.com/office/drawing/2015/06/chart">
            <c:ext xmlns:c16="http://schemas.microsoft.com/office/drawing/2014/chart" uri="{C3380CC4-5D6E-409C-BE32-E72D297353CC}">
              <c16:uniqueId val="{00000004-6E8E-40F7-B06A-9015250581E7}"/>
            </c:ext>
          </c:extLst>
        </c:ser>
        <c:ser>
          <c:idx val="5"/>
          <c:order val="5"/>
          <c:tx>
            <c:strRef>
              <c:f>Sheet1!$A$7</c:f>
              <c:strCache>
                <c:ptCount val="1"/>
                <c:pt idx="0">
                  <c:v>Затрудняюсь ответить</c:v>
                </c:pt>
              </c:strCache>
            </c:strRef>
          </c:tx>
          <c:spPr>
            <a:solidFill>
              <a:srgbClr val="E7E6E6">
                <a:lumMod val="75000"/>
              </a:srgbClr>
            </a:solidFill>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Sheet1!$B$1:$S$1</c:f>
              <c:strCache>
                <c:ptCount val="18"/>
                <c:pt idx="0">
                  <c:v>Рынок медицинских услуг</c:v>
                </c:pt>
                <c:pt idx="1">
                  <c:v>Рынок услуг детского отдыха и оздоровления</c:v>
                </c:pt>
                <c:pt idx="2">
                  <c:v>Рынок услуг розничной торговли лекарственными препаратами, медицинскими изделиями и сопутствующими товарами</c:v>
                </c:pt>
                <c:pt idx="3">
                  <c:v>Рынок услуг жилищно-коммунального хозяйства</c:v>
                </c:pt>
                <c:pt idx="4">
                  <c:v>Рынок ритуальных услуг</c:v>
                </c:pt>
                <c:pt idx="5">
                  <c:v>Рынок услуг по сбору и транспортированию твердых коммунальных отходов</c:v>
                </c:pt>
                <c:pt idx="6">
                  <c:v>Рынок обработки древесины и производства изделий из дерева</c:v>
                </c:pt>
                <c:pt idx="7">
                  <c:v>Рынок выполнения работ по содержанию и текущему ремонту общего имущества собственников помещений в многоквартирном доме</c:v>
                </c:pt>
                <c:pt idx="8">
                  <c:v>Сфера наружной рекламы</c:v>
                </c:pt>
                <c:pt idx="9">
                  <c:v>Рынок социальных услуг</c:v>
                </c:pt>
                <c:pt idx="10">
                  <c:v>Рынок услуг связи, в том числе услуг по предоставлению широкополосного доступа к информационно-телекоммуникационной сети «Интернет»</c:v>
                </c:pt>
                <c:pt idx="11">
                  <c:v>Рынок оказания услуг по ремонту автотранспортных средств</c:v>
                </c:pt>
                <c:pt idx="12">
                  <c:v>Рынок товарной аквакультуры</c:v>
                </c:pt>
                <c:pt idx="13">
                  <c:v>Рынок услуг общего образования</c:v>
                </c:pt>
                <c:pt idx="14">
                  <c:v>Рынок строительства объектов капитального строительства, за исключением жилищного и дорожного строительства</c:v>
                </c:pt>
                <c:pt idx="15">
                  <c:v>Рынок оказания услуг по перевозке пассажиров и багажа легковым такси на территории Ленинградской области</c:v>
                </c:pt>
                <c:pt idx="16">
                  <c:v>Рынок добычи общераспространенных полезных ископаемых на участках недр местного значения</c:v>
                </c:pt>
                <c:pt idx="17">
                  <c:v>Рынок теплоснабжения (производство тепловой энергии)</c:v>
                </c:pt>
              </c:strCache>
            </c:strRef>
          </c:cat>
          <c:val>
            <c:numRef>
              <c:f>Sheet1!$B$7:$S$7</c:f>
              <c:numCache>
                <c:formatCode>0%</c:formatCode>
                <c:ptCount val="18"/>
                <c:pt idx="0">
                  <c:v>6.6666666666666693E-2</c:v>
                </c:pt>
                <c:pt idx="1">
                  <c:v>0.1</c:v>
                </c:pt>
                <c:pt idx="2">
                  <c:v>4.5454545454545504E-2</c:v>
                </c:pt>
                <c:pt idx="3">
                  <c:v>6.6666666666666693E-2</c:v>
                </c:pt>
                <c:pt idx="6">
                  <c:v>0.114285714285714</c:v>
                </c:pt>
                <c:pt idx="7">
                  <c:v>7.4074074074074098E-2</c:v>
                </c:pt>
                <c:pt idx="8">
                  <c:v>9.0909090909090898E-2</c:v>
                </c:pt>
                <c:pt idx="9">
                  <c:v>2.7777777777777801E-2</c:v>
                </c:pt>
                <c:pt idx="10">
                  <c:v>7.69230769230769E-2</c:v>
                </c:pt>
                <c:pt idx="11">
                  <c:v>0.21875</c:v>
                </c:pt>
                <c:pt idx="12">
                  <c:v>0.16666666666666699</c:v>
                </c:pt>
                <c:pt idx="13">
                  <c:v>0.1</c:v>
                </c:pt>
                <c:pt idx="14">
                  <c:v>6.382978723404259E-2</c:v>
                </c:pt>
                <c:pt idx="15">
                  <c:v>0.27272727272727298</c:v>
                </c:pt>
                <c:pt idx="16">
                  <c:v>9.0909090909090898E-2</c:v>
                </c:pt>
                <c:pt idx="17">
                  <c:v>9.0909090909090898E-2</c:v>
                </c:pt>
              </c:numCache>
            </c:numRef>
          </c:val>
          <c:extLst xmlns:c16r2="http://schemas.microsoft.com/office/drawing/2015/06/chart">
            <c:ext xmlns:c16="http://schemas.microsoft.com/office/drawing/2014/chart" uri="{C3380CC4-5D6E-409C-BE32-E72D297353CC}">
              <c16:uniqueId val="{00000005-6E8E-40F7-B06A-9015250581E7}"/>
            </c:ext>
          </c:extLst>
        </c:ser>
        <c:dLbls>
          <c:showLegendKey val="0"/>
          <c:showVal val="0"/>
          <c:showCatName val="0"/>
          <c:showSerName val="0"/>
          <c:showPercent val="0"/>
          <c:showBubbleSize val="0"/>
        </c:dLbls>
        <c:gapWidth val="105"/>
        <c:overlap val="100"/>
        <c:axId val="122048512"/>
        <c:axId val="119806144"/>
      </c:barChart>
      <c:catAx>
        <c:axId val="122048512"/>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950">
                <a:latin typeface="Times New Roman" panose="02020603050405020304" pitchFamily="18" charset="0"/>
                <a:cs typeface="Times New Roman" panose="02020603050405020304" pitchFamily="18" charset="0"/>
              </a:defRPr>
            </a:pPr>
            <a:endParaRPr lang="ru-RU"/>
          </a:p>
        </c:txPr>
        <c:crossAx val="119806144"/>
        <c:crosses val="autoZero"/>
        <c:auto val="1"/>
        <c:lblAlgn val="ctr"/>
        <c:lblOffset val="100"/>
        <c:noMultiLvlLbl val="1"/>
      </c:catAx>
      <c:valAx>
        <c:axId val="119806144"/>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122048512"/>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2.6945518821972748E-2"/>
          <c:y val="0.95206301540467086"/>
          <c:w val="0.89153513964386566"/>
          <c:h val="4.7936984595329128E-2"/>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456455041897463"/>
          <c:y val="9.5414160186498426E-3"/>
          <c:w val="0.49206096082866913"/>
          <c:h val="0.92509442417258814"/>
        </c:manualLayout>
      </c:layout>
      <c:barChart>
        <c:barDir val="bar"/>
        <c:grouping val="percentStacked"/>
        <c:varyColors val="0"/>
        <c:ser>
          <c:idx val="0"/>
          <c:order val="0"/>
          <c:tx>
            <c:strRef>
              <c:f>Sheet1!$A$2</c:f>
              <c:strCache>
                <c:ptCount val="1"/>
                <c:pt idx="0">
                  <c:v>Увеличилось более чем на 4 конкурента</c:v>
                </c:pt>
              </c:strCache>
            </c:strRef>
          </c:tx>
          <c:spPr>
            <a:solidFill>
              <a:srgbClr val="548235"/>
            </a:solidFill>
            <a:ln w="9525" cap="flat">
              <a:noFill/>
              <a:prstDash val="solid"/>
              <a:round/>
            </a:ln>
            <a:effectLst/>
          </c:spPr>
          <c:invertIfNegative val="0"/>
          <c:dLbls>
            <c:dLbl>
              <c:idx val="2"/>
              <c:layout>
                <c:manualLayout>
                  <c:x val="5.9624366491105307E-3"/>
                  <c:y val="2.7099957941683354E-1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06A-4A54-A4A3-1E4BECE49EB5}"/>
                </c:ext>
              </c:extLst>
            </c:dLbl>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Sheet1!$B$1:$S$1</c:f>
              <c:strCache>
                <c:ptCount val="18"/>
                <c:pt idx="0">
                  <c:v>Рынок племенного животноводства</c:v>
                </c:pt>
                <c:pt idx="1">
                  <c:v>Рынок жилищного строительства</c:v>
                </c:pt>
                <c:pt idx="2">
                  <c:v>Рынок архитектурно-строительного проектирования</c:v>
                </c:pt>
                <c:pt idx="3">
                  <c:v>Рынок легкой промышленности</c:v>
                </c:pt>
                <c:pt idx="4">
                  <c:v>Рынок семеноводства</c:v>
                </c:pt>
                <c:pt idx="5">
                  <c:v>Рынок вылова водных биоресурсов</c:v>
                </c:pt>
                <c:pt idx="6">
                  <c:v>Рынок переработки водных биоресурсов</c:v>
                </c:pt>
                <c:pt idx="7">
                  <c:v>Рынок услуг среднего профессионального образования</c:v>
                </c:pt>
                <c:pt idx="8">
                  <c:v>Рынок услуг дошкольного образования</c:v>
                </c:pt>
                <c:pt idx="9">
                  <c:v>Рынок кадастровых и землеустроительных работ</c:v>
                </c:pt>
                <c:pt idx="10">
                  <c:v>Рынок нефтепродуктов</c:v>
                </c:pt>
                <c:pt idx="11">
                  <c:v>Рынок купли-продажи электрической энергии (мощности) на розничном рынке электрической энергии (мощности)</c:v>
                </c:pt>
                <c:pt idx="12">
                  <c:v>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c:v>
                </c:pt>
                <c:pt idx="13">
                  <c:v>Рынок оказания услуг по перевозке пассажиров автомобильным транспортом по межмуниципальным маршрутам регулярных перевозок</c:v>
                </c:pt>
                <c:pt idx="14">
                  <c:v>Рынок оказания услуг по перевозке пассажиров автомобильным транспортом по муниципальным маршрутам регулярных перевозок</c:v>
                </c:pt>
                <c:pt idx="15">
                  <c:v>Рынок производства кирпича</c:v>
                </c:pt>
                <c:pt idx="16">
                  <c:v>Рынок производства бетона</c:v>
                </c:pt>
                <c:pt idx="17">
                  <c:v>Рынок услуг дополнительного образования детей</c:v>
                </c:pt>
              </c:strCache>
            </c:strRef>
          </c:cat>
          <c:val>
            <c:numRef>
              <c:f>Sheet1!$B$2:$S$2</c:f>
              <c:numCache>
                <c:formatCode>0%</c:formatCode>
                <c:ptCount val="18"/>
                <c:pt idx="0">
                  <c:v>6.25E-2</c:v>
                </c:pt>
                <c:pt idx="1">
                  <c:v>6.5217391304347797E-2</c:v>
                </c:pt>
                <c:pt idx="2">
                  <c:v>2.9411764705882401E-2</c:v>
                </c:pt>
                <c:pt idx="3">
                  <c:v>9.7560975609756101E-2</c:v>
                </c:pt>
                <c:pt idx="4">
                  <c:v>0.14285714285714302</c:v>
                </c:pt>
                <c:pt idx="10">
                  <c:v>9.0909090909090898E-2</c:v>
                </c:pt>
                <c:pt idx="17">
                  <c:v>8.3333333333333301E-2</c:v>
                </c:pt>
              </c:numCache>
            </c:numRef>
          </c:val>
          <c:extLst xmlns:c16r2="http://schemas.microsoft.com/office/drawing/2015/06/chart">
            <c:ext xmlns:c16="http://schemas.microsoft.com/office/drawing/2014/chart" uri="{C3380CC4-5D6E-409C-BE32-E72D297353CC}">
              <c16:uniqueId val="{00000000-106A-4A54-A4A3-1E4BECE49EB5}"/>
            </c:ext>
          </c:extLst>
        </c:ser>
        <c:ser>
          <c:idx val="1"/>
          <c:order val="1"/>
          <c:tx>
            <c:strRef>
              <c:f>Sheet1!$A$3</c:f>
              <c:strCache>
                <c:ptCount val="1"/>
                <c:pt idx="0">
                  <c:v>Увеличилось на 1-3 конкурента</c:v>
                </c:pt>
              </c:strCache>
            </c:strRef>
          </c:tx>
          <c:spPr>
            <a:solidFill>
              <a:srgbClr val="A9D18E"/>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Sheet1!$B$1:$S$1</c:f>
              <c:strCache>
                <c:ptCount val="18"/>
                <c:pt idx="0">
                  <c:v>Рынок племенного животноводства</c:v>
                </c:pt>
                <c:pt idx="1">
                  <c:v>Рынок жилищного строительства</c:v>
                </c:pt>
                <c:pt idx="2">
                  <c:v>Рынок архитектурно-строительного проектирования</c:v>
                </c:pt>
                <c:pt idx="3">
                  <c:v>Рынок легкой промышленности</c:v>
                </c:pt>
                <c:pt idx="4">
                  <c:v>Рынок семеноводства</c:v>
                </c:pt>
                <c:pt idx="5">
                  <c:v>Рынок вылова водных биоресурсов</c:v>
                </c:pt>
                <c:pt idx="6">
                  <c:v>Рынок переработки водных биоресурсов</c:v>
                </c:pt>
                <c:pt idx="7">
                  <c:v>Рынок услуг среднего профессионального образования</c:v>
                </c:pt>
                <c:pt idx="8">
                  <c:v>Рынок услуг дошкольного образования</c:v>
                </c:pt>
                <c:pt idx="9">
                  <c:v>Рынок кадастровых и землеустроительных работ</c:v>
                </c:pt>
                <c:pt idx="10">
                  <c:v>Рынок нефтепродуктов</c:v>
                </c:pt>
                <c:pt idx="11">
                  <c:v>Рынок купли-продажи электрической энергии (мощности) на розничном рынке электрической энергии (мощности)</c:v>
                </c:pt>
                <c:pt idx="12">
                  <c:v>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c:v>
                </c:pt>
                <c:pt idx="13">
                  <c:v>Рынок оказания услуг по перевозке пассажиров автомобильным транспортом по межмуниципальным маршрутам регулярных перевозок</c:v>
                </c:pt>
                <c:pt idx="14">
                  <c:v>Рынок оказания услуг по перевозке пассажиров автомобильным транспортом по муниципальным маршрутам регулярных перевозок</c:v>
                </c:pt>
                <c:pt idx="15">
                  <c:v>Рынок производства кирпича</c:v>
                </c:pt>
                <c:pt idx="16">
                  <c:v>Рынок производства бетона</c:v>
                </c:pt>
                <c:pt idx="17">
                  <c:v>Рынок услуг дополнительного образования детей</c:v>
                </c:pt>
              </c:strCache>
            </c:strRef>
          </c:cat>
          <c:val>
            <c:numRef>
              <c:f>Sheet1!$B$3:$S$3</c:f>
              <c:numCache>
                <c:formatCode>0%</c:formatCode>
                <c:ptCount val="18"/>
                <c:pt idx="0">
                  <c:v>0.1875</c:v>
                </c:pt>
                <c:pt idx="1">
                  <c:v>0.173913043478261</c:v>
                </c:pt>
                <c:pt idx="2">
                  <c:v>0.20588235294117599</c:v>
                </c:pt>
                <c:pt idx="3">
                  <c:v>0.12195121951219499</c:v>
                </c:pt>
                <c:pt idx="4">
                  <c:v>7.1428571428571397E-2</c:v>
                </c:pt>
                <c:pt idx="5">
                  <c:v>0.2</c:v>
                </c:pt>
                <c:pt idx="6">
                  <c:v>0.2</c:v>
                </c:pt>
                <c:pt idx="7">
                  <c:v>0.2</c:v>
                </c:pt>
                <c:pt idx="8">
                  <c:v>0.18181818181818202</c:v>
                </c:pt>
                <c:pt idx="9">
                  <c:v>0.18181818181818202</c:v>
                </c:pt>
                <c:pt idx="10">
                  <c:v>9.0909090909090898E-2</c:v>
                </c:pt>
                <c:pt idx="11">
                  <c:v>0.1</c:v>
                </c:pt>
                <c:pt idx="12">
                  <c:v>0.1</c:v>
                </c:pt>
                <c:pt idx="13">
                  <c:v>0.1</c:v>
                </c:pt>
                <c:pt idx="14">
                  <c:v>9.0909090909090898E-2</c:v>
                </c:pt>
                <c:pt idx="15">
                  <c:v>8.3333333333333301E-2</c:v>
                </c:pt>
                <c:pt idx="16">
                  <c:v>8.3333333333333301E-2</c:v>
                </c:pt>
              </c:numCache>
            </c:numRef>
          </c:val>
          <c:extLst xmlns:c16r2="http://schemas.microsoft.com/office/drawing/2015/06/chart">
            <c:ext xmlns:c16="http://schemas.microsoft.com/office/drawing/2014/chart" uri="{C3380CC4-5D6E-409C-BE32-E72D297353CC}">
              <c16:uniqueId val="{00000001-106A-4A54-A4A3-1E4BECE49EB5}"/>
            </c:ext>
          </c:extLst>
        </c:ser>
        <c:ser>
          <c:idx val="2"/>
          <c:order val="2"/>
          <c:tx>
            <c:strRef>
              <c:f>Sheet1!$A$4</c:f>
              <c:strCache>
                <c:ptCount val="1"/>
                <c:pt idx="0">
                  <c:v>Не изменилось</c:v>
                </c:pt>
              </c:strCache>
            </c:strRef>
          </c:tx>
          <c:spPr>
            <a:solidFill>
              <a:srgbClr val="FFC000"/>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Sheet1!$B$1:$S$1</c:f>
              <c:strCache>
                <c:ptCount val="18"/>
                <c:pt idx="0">
                  <c:v>Рынок племенного животноводства</c:v>
                </c:pt>
                <c:pt idx="1">
                  <c:v>Рынок жилищного строительства</c:v>
                </c:pt>
                <c:pt idx="2">
                  <c:v>Рынок архитектурно-строительного проектирования</c:v>
                </c:pt>
                <c:pt idx="3">
                  <c:v>Рынок легкой промышленности</c:v>
                </c:pt>
                <c:pt idx="4">
                  <c:v>Рынок семеноводства</c:v>
                </c:pt>
                <c:pt idx="5">
                  <c:v>Рынок вылова водных биоресурсов</c:v>
                </c:pt>
                <c:pt idx="6">
                  <c:v>Рынок переработки водных биоресурсов</c:v>
                </c:pt>
                <c:pt idx="7">
                  <c:v>Рынок услуг среднего профессионального образования</c:v>
                </c:pt>
                <c:pt idx="8">
                  <c:v>Рынок услуг дошкольного образования</c:v>
                </c:pt>
                <c:pt idx="9">
                  <c:v>Рынок кадастровых и землеустроительных работ</c:v>
                </c:pt>
                <c:pt idx="10">
                  <c:v>Рынок нефтепродуктов</c:v>
                </c:pt>
                <c:pt idx="11">
                  <c:v>Рынок купли-продажи электрической энергии (мощности) на розничном рынке электрической энергии (мощности)</c:v>
                </c:pt>
                <c:pt idx="12">
                  <c:v>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c:v>
                </c:pt>
                <c:pt idx="13">
                  <c:v>Рынок оказания услуг по перевозке пассажиров автомобильным транспортом по межмуниципальным маршрутам регулярных перевозок</c:v>
                </c:pt>
                <c:pt idx="14">
                  <c:v>Рынок оказания услуг по перевозке пассажиров автомобильным транспортом по муниципальным маршрутам регулярных перевозок</c:v>
                </c:pt>
                <c:pt idx="15">
                  <c:v>Рынок производства кирпича</c:v>
                </c:pt>
                <c:pt idx="16">
                  <c:v>Рынок производства бетона</c:v>
                </c:pt>
                <c:pt idx="17">
                  <c:v>Рынок услуг дополнительного образования детей</c:v>
                </c:pt>
              </c:strCache>
            </c:strRef>
          </c:cat>
          <c:val>
            <c:numRef>
              <c:f>Sheet1!$B$4:$S$4</c:f>
              <c:numCache>
                <c:formatCode>0%</c:formatCode>
                <c:ptCount val="18"/>
                <c:pt idx="0">
                  <c:v>0.5625</c:v>
                </c:pt>
                <c:pt idx="1">
                  <c:v>0.36956521739130399</c:v>
                </c:pt>
                <c:pt idx="2">
                  <c:v>0.38235294117647101</c:v>
                </c:pt>
                <c:pt idx="3">
                  <c:v>0.36585365853658502</c:v>
                </c:pt>
                <c:pt idx="4">
                  <c:v>0.35714285714285698</c:v>
                </c:pt>
                <c:pt idx="5">
                  <c:v>0.4</c:v>
                </c:pt>
                <c:pt idx="6">
                  <c:v>0.5</c:v>
                </c:pt>
                <c:pt idx="7">
                  <c:v>0.5</c:v>
                </c:pt>
                <c:pt idx="8">
                  <c:v>0.45454545454545503</c:v>
                </c:pt>
                <c:pt idx="9">
                  <c:v>0.18181818181818202</c:v>
                </c:pt>
                <c:pt idx="10">
                  <c:v>0.45454545454545503</c:v>
                </c:pt>
                <c:pt idx="11">
                  <c:v>0.7</c:v>
                </c:pt>
                <c:pt idx="12">
                  <c:v>0.7</c:v>
                </c:pt>
                <c:pt idx="13">
                  <c:v>0.8</c:v>
                </c:pt>
                <c:pt idx="14">
                  <c:v>0.54545454545454497</c:v>
                </c:pt>
                <c:pt idx="15">
                  <c:v>0.33333333333333298</c:v>
                </c:pt>
                <c:pt idx="16">
                  <c:v>0.33333333333333298</c:v>
                </c:pt>
                <c:pt idx="17">
                  <c:v>0.58333333333333304</c:v>
                </c:pt>
              </c:numCache>
            </c:numRef>
          </c:val>
          <c:extLst xmlns:c16r2="http://schemas.microsoft.com/office/drawing/2015/06/chart">
            <c:ext xmlns:c16="http://schemas.microsoft.com/office/drawing/2014/chart" uri="{C3380CC4-5D6E-409C-BE32-E72D297353CC}">
              <c16:uniqueId val="{00000002-106A-4A54-A4A3-1E4BECE49EB5}"/>
            </c:ext>
          </c:extLst>
        </c:ser>
        <c:ser>
          <c:idx val="3"/>
          <c:order val="3"/>
          <c:tx>
            <c:strRef>
              <c:f>Sheet1!$A$5</c:f>
              <c:strCache>
                <c:ptCount val="1"/>
                <c:pt idx="0">
                  <c:v>Сократилось на 1-3 конкурента</c:v>
                </c:pt>
              </c:strCache>
            </c:strRef>
          </c:tx>
          <c:spPr>
            <a:solidFill>
              <a:srgbClr val="D97A8D"/>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Sheet1!$B$1:$S$1</c:f>
              <c:strCache>
                <c:ptCount val="18"/>
                <c:pt idx="0">
                  <c:v>Рынок племенного животноводства</c:v>
                </c:pt>
                <c:pt idx="1">
                  <c:v>Рынок жилищного строительства</c:v>
                </c:pt>
                <c:pt idx="2">
                  <c:v>Рынок архитектурно-строительного проектирования</c:v>
                </c:pt>
                <c:pt idx="3">
                  <c:v>Рынок легкой промышленности</c:v>
                </c:pt>
                <c:pt idx="4">
                  <c:v>Рынок семеноводства</c:v>
                </c:pt>
                <c:pt idx="5">
                  <c:v>Рынок вылова водных биоресурсов</c:v>
                </c:pt>
                <c:pt idx="6">
                  <c:v>Рынок переработки водных биоресурсов</c:v>
                </c:pt>
                <c:pt idx="7">
                  <c:v>Рынок услуг среднего профессионального образования</c:v>
                </c:pt>
                <c:pt idx="8">
                  <c:v>Рынок услуг дошкольного образования</c:v>
                </c:pt>
                <c:pt idx="9">
                  <c:v>Рынок кадастровых и землеустроительных работ</c:v>
                </c:pt>
                <c:pt idx="10">
                  <c:v>Рынок нефтепродуктов</c:v>
                </c:pt>
                <c:pt idx="11">
                  <c:v>Рынок купли-продажи электрической энергии (мощности) на розничном рынке электрической энергии (мощности)</c:v>
                </c:pt>
                <c:pt idx="12">
                  <c:v>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c:v>
                </c:pt>
                <c:pt idx="13">
                  <c:v>Рынок оказания услуг по перевозке пассажиров автомобильным транспортом по межмуниципальным маршрутам регулярных перевозок</c:v>
                </c:pt>
                <c:pt idx="14">
                  <c:v>Рынок оказания услуг по перевозке пассажиров автомобильным транспортом по муниципальным маршрутам регулярных перевозок</c:v>
                </c:pt>
                <c:pt idx="15">
                  <c:v>Рынок производства кирпича</c:v>
                </c:pt>
                <c:pt idx="16">
                  <c:v>Рынок производства бетона</c:v>
                </c:pt>
                <c:pt idx="17">
                  <c:v>Рынок услуг дополнительного образования детей</c:v>
                </c:pt>
              </c:strCache>
            </c:strRef>
          </c:cat>
          <c:val>
            <c:numRef>
              <c:f>Sheet1!$B$5:$S$5</c:f>
              <c:numCache>
                <c:formatCode>0%</c:formatCode>
                <c:ptCount val="18"/>
                <c:pt idx="0">
                  <c:v>6.25E-2</c:v>
                </c:pt>
                <c:pt idx="1">
                  <c:v>0.19565217391304301</c:v>
                </c:pt>
                <c:pt idx="2">
                  <c:v>0.26470588235294101</c:v>
                </c:pt>
                <c:pt idx="3">
                  <c:v>0.146341463414634</c:v>
                </c:pt>
                <c:pt idx="4">
                  <c:v>0.214285714285714</c:v>
                </c:pt>
                <c:pt idx="8">
                  <c:v>9.0909090909090898E-2</c:v>
                </c:pt>
                <c:pt idx="9">
                  <c:v>0.27272727272727298</c:v>
                </c:pt>
                <c:pt idx="10">
                  <c:v>9.0909090909090898E-2</c:v>
                </c:pt>
                <c:pt idx="12">
                  <c:v>0.1</c:v>
                </c:pt>
                <c:pt idx="14">
                  <c:v>9.0909090909090898E-2</c:v>
                </c:pt>
                <c:pt idx="15">
                  <c:v>8.3333333333333301E-2</c:v>
                </c:pt>
                <c:pt idx="16">
                  <c:v>8.3333333333333301E-2</c:v>
                </c:pt>
                <c:pt idx="17">
                  <c:v>8.3333333333333301E-2</c:v>
                </c:pt>
              </c:numCache>
            </c:numRef>
          </c:val>
          <c:extLst xmlns:c16r2="http://schemas.microsoft.com/office/drawing/2015/06/chart">
            <c:ext xmlns:c16="http://schemas.microsoft.com/office/drawing/2014/chart" uri="{C3380CC4-5D6E-409C-BE32-E72D297353CC}">
              <c16:uniqueId val="{00000003-106A-4A54-A4A3-1E4BECE49EB5}"/>
            </c:ext>
          </c:extLst>
        </c:ser>
        <c:ser>
          <c:idx val="4"/>
          <c:order val="4"/>
          <c:tx>
            <c:strRef>
              <c:f>Sheet1!$A$6</c:f>
              <c:strCache>
                <c:ptCount val="1"/>
                <c:pt idx="0">
                  <c:v>Сократилось более чем на 4 конкурента</c:v>
                </c:pt>
              </c:strCache>
            </c:strRef>
          </c:tx>
          <c:spPr>
            <a:solidFill>
              <a:srgbClr val="59221B"/>
            </a:solidFill>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Sheet1!$B$1:$S$1</c:f>
              <c:strCache>
                <c:ptCount val="18"/>
                <c:pt idx="0">
                  <c:v>Рынок племенного животноводства</c:v>
                </c:pt>
                <c:pt idx="1">
                  <c:v>Рынок жилищного строительства</c:v>
                </c:pt>
                <c:pt idx="2">
                  <c:v>Рынок архитектурно-строительного проектирования</c:v>
                </c:pt>
                <c:pt idx="3">
                  <c:v>Рынок легкой промышленности</c:v>
                </c:pt>
                <c:pt idx="4">
                  <c:v>Рынок семеноводства</c:v>
                </c:pt>
                <c:pt idx="5">
                  <c:v>Рынок вылова водных биоресурсов</c:v>
                </c:pt>
                <c:pt idx="6">
                  <c:v>Рынок переработки водных биоресурсов</c:v>
                </c:pt>
                <c:pt idx="7">
                  <c:v>Рынок услуг среднего профессионального образования</c:v>
                </c:pt>
                <c:pt idx="8">
                  <c:v>Рынок услуг дошкольного образования</c:v>
                </c:pt>
                <c:pt idx="9">
                  <c:v>Рынок кадастровых и землеустроительных работ</c:v>
                </c:pt>
                <c:pt idx="10">
                  <c:v>Рынок нефтепродуктов</c:v>
                </c:pt>
                <c:pt idx="11">
                  <c:v>Рынок купли-продажи электрической энергии (мощности) на розничном рынке электрической энергии (мощности)</c:v>
                </c:pt>
                <c:pt idx="12">
                  <c:v>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c:v>
                </c:pt>
                <c:pt idx="13">
                  <c:v>Рынок оказания услуг по перевозке пассажиров автомобильным транспортом по межмуниципальным маршрутам регулярных перевозок</c:v>
                </c:pt>
                <c:pt idx="14">
                  <c:v>Рынок оказания услуг по перевозке пассажиров автомобильным транспортом по муниципальным маршрутам регулярных перевозок</c:v>
                </c:pt>
                <c:pt idx="15">
                  <c:v>Рынок производства кирпича</c:v>
                </c:pt>
                <c:pt idx="16">
                  <c:v>Рынок производства бетона</c:v>
                </c:pt>
                <c:pt idx="17">
                  <c:v>Рынок услуг дополнительного образования детей</c:v>
                </c:pt>
              </c:strCache>
            </c:strRef>
          </c:cat>
          <c:val>
            <c:numRef>
              <c:f>Sheet1!$B$6:$S$6</c:f>
              <c:numCache>
                <c:formatCode>0%</c:formatCode>
                <c:ptCount val="18"/>
                <c:pt idx="0">
                  <c:v>6.25E-2</c:v>
                </c:pt>
                <c:pt idx="1">
                  <c:v>4.3478260869565195E-2</c:v>
                </c:pt>
                <c:pt idx="2">
                  <c:v>2.9411764705882401E-2</c:v>
                </c:pt>
                <c:pt idx="3">
                  <c:v>0.146341463414634</c:v>
                </c:pt>
                <c:pt idx="5">
                  <c:v>0.1</c:v>
                </c:pt>
                <c:pt idx="9">
                  <c:v>9.0909090909090898E-2</c:v>
                </c:pt>
                <c:pt idx="16">
                  <c:v>8.3333333333333301E-2</c:v>
                </c:pt>
              </c:numCache>
            </c:numRef>
          </c:val>
          <c:extLst xmlns:c16r2="http://schemas.microsoft.com/office/drawing/2015/06/chart">
            <c:ext xmlns:c16="http://schemas.microsoft.com/office/drawing/2014/chart" uri="{C3380CC4-5D6E-409C-BE32-E72D297353CC}">
              <c16:uniqueId val="{00000004-106A-4A54-A4A3-1E4BECE49EB5}"/>
            </c:ext>
          </c:extLst>
        </c:ser>
        <c:ser>
          <c:idx val="5"/>
          <c:order val="5"/>
          <c:tx>
            <c:strRef>
              <c:f>Sheet1!$A$7</c:f>
              <c:strCache>
                <c:ptCount val="1"/>
                <c:pt idx="0">
                  <c:v>Затрудняюсь ответить</c:v>
                </c:pt>
              </c:strCache>
            </c:strRef>
          </c:tx>
          <c:spPr>
            <a:solidFill>
              <a:srgbClr val="E7E6E6">
                <a:lumMod val="75000"/>
              </a:srgbClr>
            </a:solidFill>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Sheet1!$B$1:$S$1</c:f>
              <c:strCache>
                <c:ptCount val="18"/>
                <c:pt idx="0">
                  <c:v>Рынок племенного животноводства</c:v>
                </c:pt>
                <c:pt idx="1">
                  <c:v>Рынок жилищного строительства</c:v>
                </c:pt>
                <c:pt idx="2">
                  <c:v>Рынок архитектурно-строительного проектирования</c:v>
                </c:pt>
                <c:pt idx="3">
                  <c:v>Рынок легкой промышленности</c:v>
                </c:pt>
                <c:pt idx="4">
                  <c:v>Рынок семеноводства</c:v>
                </c:pt>
                <c:pt idx="5">
                  <c:v>Рынок вылова водных биоресурсов</c:v>
                </c:pt>
                <c:pt idx="6">
                  <c:v>Рынок переработки водных биоресурсов</c:v>
                </c:pt>
                <c:pt idx="7">
                  <c:v>Рынок услуг среднего профессионального образования</c:v>
                </c:pt>
                <c:pt idx="8">
                  <c:v>Рынок услуг дошкольного образования</c:v>
                </c:pt>
                <c:pt idx="9">
                  <c:v>Рынок кадастровых и землеустроительных работ</c:v>
                </c:pt>
                <c:pt idx="10">
                  <c:v>Рынок нефтепродуктов</c:v>
                </c:pt>
                <c:pt idx="11">
                  <c:v>Рынок купли-продажи электрической энергии (мощности) на розничном рынке электрической энергии (мощности)</c:v>
                </c:pt>
                <c:pt idx="12">
                  <c:v>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c:v>
                </c:pt>
                <c:pt idx="13">
                  <c:v>Рынок оказания услуг по перевозке пассажиров автомобильным транспортом по межмуниципальным маршрутам регулярных перевозок</c:v>
                </c:pt>
                <c:pt idx="14">
                  <c:v>Рынок оказания услуг по перевозке пассажиров автомобильным транспортом по муниципальным маршрутам регулярных перевозок</c:v>
                </c:pt>
                <c:pt idx="15">
                  <c:v>Рынок производства кирпича</c:v>
                </c:pt>
                <c:pt idx="16">
                  <c:v>Рынок производства бетона</c:v>
                </c:pt>
                <c:pt idx="17">
                  <c:v>Рынок услуг дополнительного образования детей</c:v>
                </c:pt>
              </c:strCache>
            </c:strRef>
          </c:cat>
          <c:val>
            <c:numRef>
              <c:f>Sheet1!$B$7:$S$7</c:f>
              <c:numCache>
                <c:formatCode>0%</c:formatCode>
                <c:ptCount val="18"/>
                <c:pt idx="0">
                  <c:v>6.25E-2</c:v>
                </c:pt>
                <c:pt idx="1">
                  <c:v>0.15217391304347799</c:v>
                </c:pt>
                <c:pt idx="2">
                  <c:v>8.8235294117647106E-2</c:v>
                </c:pt>
                <c:pt idx="3">
                  <c:v>0.12195121951219499</c:v>
                </c:pt>
                <c:pt idx="4">
                  <c:v>0.214285714285714</c:v>
                </c:pt>
                <c:pt idx="5">
                  <c:v>0.3</c:v>
                </c:pt>
                <c:pt idx="6">
                  <c:v>0.3</c:v>
                </c:pt>
                <c:pt idx="7">
                  <c:v>0.3</c:v>
                </c:pt>
                <c:pt idx="8">
                  <c:v>0.27272727272727298</c:v>
                </c:pt>
                <c:pt idx="9">
                  <c:v>0.27272727272727298</c:v>
                </c:pt>
                <c:pt idx="10">
                  <c:v>0.27272727272727298</c:v>
                </c:pt>
                <c:pt idx="11">
                  <c:v>0.2</c:v>
                </c:pt>
                <c:pt idx="12">
                  <c:v>0.1</c:v>
                </c:pt>
                <c:pt idx="13">
                  <c:v>0.1</c:v>
                </c:pt>
                <c:pt idx="14">
                  <c:v>0.27272727272727298</c:v>
                </c:pt>
                <c:pt idx="15">
                  <c:v>0.5</c:v>
                </c:pt>
                <c:pt idx="16">
                  <c:v>0.41666666666666702</c:v>
                </c:pt>
                <c:pt idx="17">
                  <c:v>0.25</c:v>
                </c:pt>
              </c:numCache>
            </c:numRef>
          </c:val>
          <c:extLst xmlns:c16r2="http://schemas.microsoft.com/office/drawing/2015/06/chart">
            <c:ext xmlns:c16="http://schemas.microsoft.com/office/drawing/2014/chart" uri="{C3380CC4-5D6E-409C-BE32-E72D297353CC}">
              <c16:uniqueId val="{00000005-106A-4A54-A4A3-1E4BECE49EB5}"/>
            </c:ext>
          </c:extLst>
        </c:ser>
        <c:dLbls>
          <c:showLegendKey val="0"/>
          <c:showVal val="0"/>
          <c:showCatName val="0"/>
          <c:showSerName val="0"/>
          <c:showPercent val="0"/>
          <c:showBubbleSize val="0"/>
        </c:dLbls>
        <c:gapWidth val="105"/>
        <c:overlap val="100"/>
        <c:axId val="144547840"/>
        <c:axId val="144648448"/>
      </c:barChart>
      <c:catAx>
        <c:axId val="144547840"/>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950">
                <a:latin typeface="Times New Roman" panose="02020603050405020304" pitchFamily="18" charset="0"/>
                <a:cs typeface="Times New Roman" panose="02020603050405020304" pitchFamily="18" charset="0"/>
              </a:defRPr>
            </a:pPr>
            <a:endParaRPr lang="ru-RU"/>
          </a:p>
        </c:txPr>
        <c:crossAx val="144648448"/>
        <c:crosses val="autoZero"/>
        <c:auto val="1"/>
        <c:lblAlgn val="ctr"/>
        <c:lblOffset val="100"/>
        <c:noMultiLvlLbl val="1"/>
      </c:catAx>
      <c:valAx>
        <c:axId val="144648448"/>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144547840"/>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2.6945518821972748E-2"/>
          <c:y val="0.95206301540467086"/>
          <c:w val="0.89153513964386566"/>
          <c:h val="4.7936984595329128E-2"/>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551918298348299"/>
          <c:y val="2.0965281988684019E-2"/>
          <c:w val="0.48928307690352268"/>
          <c:h val="0.96843222062030976"/>
        </c:manualLayout>
      </c:layout>
      <c:barChart>
        <c:barDir val="bar"/>
        <c:grouping val="clustered"/>
        <c:varyColors val="0"/>
        <c:ser>
          <c:idx val="0"/>
          <c:order val="0"/>
          <c:tx>
            <c:strRef>
              <c:f>Лист1!$B$1</c:f>
              <c:strCache>
                <c:ptCount val="1"/>
                <c:pt idx="0">
                  <c:v>Столбец1</c:v>
                </c:pt>
              </c:strCache>
            </c:strRef>
          </c:tx>
          <c:spPr>
            <a:solidFill>
              <a:srgbClr val="59221B"/>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072B-4004-BCBD-C13B687904AE}"/>
              </c:ext>
            </c:extLst>
          </c:dPt>
          <c:dPt>
            <c:idx val="1"/>
            <c:invertIfNegative val="0"/>
            <c:bubble3D val="0"/>
            <c:extLst xmlns:c16r2="http://schemas.microsoft.com/office/drawing/2015/06/chart">
              <c:ext xmlns:c16="http://schemas.microsoft.com/office/drawing/2014/chart" uri="{C3380CC4-5D6E-409C-BE32-E72D297353CC}">
                <c16:uniqueId val="{00000001-072B-4004-BCBD-C13B687904AE}"/>
              </c:ext>
            </c:extLst>
          </c:dPt>
          <c:dPt>
            <c:idx val="2"/>
            <c:invertIfNegative val="0"/>
            <c:bubble3D val="0"/>
            <c:extLst xmlns:c16r2="http://schemas.microsoft.com/office/drawing/2015/06/chart">
              <c:ext xmlns:c16="http://schemas.microsoft.com/office/drawing/2014/chart" uri="{C3380CC4-5D6E-409C-BE32-E72D297353CC}">
                <c16:uniqueId val="{00000002-072B-4004-BCBD-C13B687904AE}"/>
              </c:ext>
            </c:extLst>
          </c:dPt>
          <c:dLbls>
            <c:dLbl>
              <c:idx val="2"/>
              <c:layout>
                <c:manualLayout>
                  <c:x val="-2.3148148148148147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72B-4004-BCBD-C13B687904AE}"/>
                </c:ext>
              </c:extLst>
            </c:dLbl>
            <c:spPr>
              <a:noFill/>
              <a:ln>
                <a:noFill/>
              </a:ln>
              <a:effectLst/>
            </c:spPr>
            <c:txPr>
              <a:bodyPr rot="0" vert="horz"/>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Улучшение качества реализуемой продукции (работ, услуг)</c:v>
                </c:pt>
                <c:pt idx="1">
                  <c:v>Улучшение качества обслуживания клиента (сервис)</c:v>
                </c:pt>
                <c:pt idx="2">
                  <c:v>Стимулирование клиентов к тому, чтобы они давали рекомендации</c:v>
                </c:pt>
              </c:strCache>
            </c:strRef>
          </c:cat>
          <c:val>
            <c:numRef>
              <c:f>Лист1!$B$2:$B$4</c:f>
              <c:numCache>
                <c:formatCode>0%</c:formatCode>
                <c:ptCount val="3"/>
                <c:pt idx="0">
                  <c:v>0.54437869822485196</c:v>
                </c:pt>
                <c:pt idx="1">
                  <c:v>0.47337278106508895</c:v>
                </c:pt>
                <c:pt idx="2">
                  <c:v>0.45562130177514804</c:v>
                </c:pt>
              </c:numCache>
            </c:numRef>
          </c:val>
          <c:extLst xmlns:c16r2="http://schemas.microsoft.com/office/drawing/2015/06/chart">
            <c:ext xmlns:c16="http://schemas.microsoft.com/office/drawing/2014/chart" uri="{C3380CC4-5D6E-409C-BE32-E72D297353CC}">
              <c16:uniqueId val="{00000003-072B-4004-BCBD-C13B687904AE}"/>
            </c:ext>
          </c:extLst>
        </c:ser>
        <c:dLbls>
          <c:showLegendKey val="0"/>
          <c:showVal val="0"/>
          <c:showCatName val="0"/>
          <c:showSerName val="0"/>
          <c:showPercent val="0"/>
          <c:showBubbleSize val="0"/>
        </c:dLbls>
        <c:gapWidth val="69"/>
        <c:axId val="144373760"/>
        <c:axId val="144650176"/>
      </c:barChart>
      <c:catAx>
        <c:axId val="1443737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baseline="0">
                <a:latin typeface="Times New Roman" panose="02020603050405020304" pitchFamily="18" charset="0"/>
              </a:defRPr>
            </a:pPr>
            <a:endParaRPr lang="ru-RU"/>
          </a:p>
        </c:txPr>
        <c:crossAx val="144650176"/>
        <c:crosses val="autoZero"/>
        <c:auto val="1"/>
        <c:lblAlgn val="ctr"/>
        <c:lblOffset val="100"/>
        <c:noMultiLvlLbl val="0"/>
      </c:catAx>
      <c:valAx>
        <c:axId val="144650176"/>
        <c:scaling>
          <c:orientation val="minMax"/>
          <c:max val="1.1000000000000001"/>
        </c:scaling>
        <c:delete val="1"/>
        <c:axPos val="t"/>
        <c:majorGridlines>
          <c:spPr>
            <a:ln w="9525" cap="flat" cmpd="sng" algn="ctr">
              <a:noFill/>
              <a:round/>
            </a:ln>
            <a:effectLst/>
          </c:spPr>
        </c:majorGridlines>
        <c:numFmt formatCode="0%" sourceLinked="1"/>
        <c:majorTickMark val="out"/>
        <c:minorTickMark val="none"/>
        <c:tickLblPos val="nextTo"/>
        <c:crossAx val="1443737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b="0">
          <a:solidFill>
            <a:sysClr val="windowText" lastClr="000000"/>
          </a:solidFill>
          <a:latin typeface="+mn-lt"/>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68781069406682904"/>
          <c:y val="2.0965281988684019E-2"/>
          <c:w val="0.47168875077056044"/>
          <c:h val="0.96843222062030976"/>
        </c:manualLayout>
      </c:layout>
      <c:barChart>
        <c:barDir val="bar"/>
        <c:grouping val="clustered"/>
        <c:varyColors val="0"/>
        <c:ser>
          <c:idx val="0"/>
          <c:order val="0"/>
          <c:tx>
            <c:strRef>
              <c:f>Лист1!$B$1</c:f>
              <c:strCache>
                <c:ptCount val="1"/>
                <c:pt idx="0">
                  <c:v>Столбец1</c:v>
                </c:pt>
              </c:strCache>
            </c:strRef>
          </c:tx>
          <c:spPr>
            <a:solidFill>
              <a:srgbClr val="59221B"/>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6CB2-4EEC-879F-026C7CA5294E}"/>
              </c:ext>
            </c:extLst>
          </c:dPt>
          <c:dPt>
            <c:idx val="1"/>
            <c:invertIfNegative val="0"/>
            <c:bubble3D val="0"/>
            <c:extLst xmlns:c16r2="http://schemas.microsoft.com/office/drawing/2015/06/chart">
              <c:ext xmlns:c16="http://schemas.microsoft.com/office/drawing/2014/chart" uri="{C3380CC4-5D6E-409C-BE32-E72D297353CC}">
                <c16:uniqueId val="{00000001-6CB2-4EEC-879F-026C7CA5294E}"/>
              </c:ext>
            </c:extLst>
          </c:dPt>
          <c:dPt>
            <c:idx val="2"/>
            <c:invertIfNegative val="0"/>
            <c:bubble3D val="0"/>
            <c:extLst xmlns:c16r2="http://schemas.microsoft.com/office/drawing/2015/06/chart">
              <c:ext xmlns:c16="http://schemas.microsoft.com/office/drawing/2014/chart" uri="{C3380CC4-5D6E-409C-BE32-E72D297353CC}">
                <c16:uniqueId val="{00000002-6CB2-4EEC-879F-026C7CA5294E}"/>
              </c:ext>
            </c:extLst>
          </c:dPt>
          <c:dLbls>
            <c:dLbl>
              <c:idx val="2"/>
              <c:layout>
                <c:manualLayout>
                  <c:x val="-2.3148148148148147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CB2-4EEC-879F-026C7CA5294E}"/>
                </c:ext>
              </c:extLst>
            </c:dLbl>
            <c:spPr>
              <a:noFill/>
              <a:ln>
                <a:noFill/>
              </a:ln>
              <a:effectLst/>
            </c:spPr>
            <c:txPr>
              <a:bodyPr rot="0" vert="horz"/>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Улучшение качества обслуживания клиента (сервис)</c:v>
                </c:pt>
                <c:pt idx="1">
                  <c:v>Обучение и переподготовка персонала</c:v>
                </c:pt>
                <c:pt idx="2">
                  <c:v>Улучшение качества реализуемой продукции (работ, услуг)</c:v>
                </c:pt>
                <c:pt idx="3">
                  <c:v>Создание/развитие официального сайта компании. Продвижение в Интернет.</c:v>
                </c:pt>
              </c:strCache>
            </c:strRef>
          </c:cat>
          <c:val>
            <c:numRef>
              <c:f>Лист1!$B$2:$B$5</c:f>
              <c:numCache>
                <c:formatCode>0%</c:formatCode>
                <c:ptCount val="4"/>
                <c:pt idx="0">
                  <c:v>0.42</c:v>
                </c:pt>
                <c:pt idx="1">
                  <c:v>0.35</c:v>
                </c:pt>
                <c:pt idx="2">
                  <c:v>0.34</c:v>
                </c:pt>
                <c:pt idx="3">
                  <c:v>0.34</c:v>
                </c:pt>
              </c:numCache>
            </c:numRef>
          </c:val>
          <c:extLst xmlns:c16r2="http://schemas.microsoft.com/office/drawing/2015/06/chart">
            <c:ext xmlns:c16="http://schemas.microsoft.com/office/drawing/2014/chart" uri="{C3380CC4-5D6E-409C-BE32-E72D297353CC}">
              <c16:uniqueId val="{00000003-6CB2-4EEC-879F-026C7CA5294E}"/>
            </c:ext>
          </c:extLst>
        </c:ser>
        <c:dLbls>
          <c:showLegendKey val="0"/>
          <c:showVal val="0"/>
          <c:showCatName val="0"/>
          <c:showSerName val="0"/>
          <c:showPercent val="0"/>
          <c:showBubbleSize val="0"/>
        </c:dLbls>
        <c:gapWidth val="69"/>
        <c:axId val="144375296"/>
        <c:axId val="144649024"/>
      </c:barChart>
      <c:catAx>
        <c:axId val="1443752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baseline="0">
                <a:latin typeface="Times New Roman" panose="02020603050405020304" pitchFamily="18" charset="0"/>
              </a:defRPr>
            </a:pPr>
            <a:endParaRPr lang="ru-RU"/>
          </a:p>
        </c:txPr>
        <c:crossAx val="144649024"/>
        <c:crosses val="autoZero"/>
        <c:auto val="1"/>
        <c:lblAlgn val="ctr"/>
        <c:lblOffset val="100"/>
        <c:noMultiLvlLbl val="0"/>
      </c:catAx>
      <c:valAx>
        <c:axId val="144649024"/>
        <c:scaling>
          <c:orientation val="minMax"/>
          <c:max val="1.1000000000000001"/>
        </c:scaling>
        <c:delete val="1"/>
        <c:axPos val="t"/>
        <c:majorGridlines>
          <c:spPr>
            <a:ln w="9525" cap="flat" cmpd="sng" algn="ctr">
              <a:noFill/>
              <a:round/>
            </a:ln>
            <a:effectLst/>
          </c:spPr>
        </c:majorGridlines>
        <c:numFmt formatCode="0%" sourceLinked="1"/>
        <c:majorTickMark val="out"/>
        <c:minorTickMark val="none"/>
        <c:tickLblPos val="nextTo"/>
        <c:crossAx val="1443752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b="0">
          <a:solidFill>
            <a:sysClr val="windowText" lastClr="000000"/>
          </a:solidFill>
          <a:latin typeface="+mn-lt"/>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551918298348299"/>
          <c:y val="2.0965281988684019E-2"/>
          <c:w val="0.48928307690352268"/>
          <c:h val="0.96843222062030976"/>
        </c:manualLayout>
      </c:layout>
      <c:barChart>
        <c:barDir val="bar"/>
        <c:grouping val="clustered"/>
        <c:varyColors val="0"/>
        <c:ser>
          <c:idx val="0"/>
          <c:order val="0"/>
          <c:tx>
            <c:strRef>
              <c:f>Лист1!$B$1</c:f>
              <c:strCache>
                <c:ptCount val="1"/>
                <c:pt idx="0">
                  <c:v>Столбец1</c:v>
                </c:pt>
              </c:strCache>
            </c:strRef>
          </c:tx>
          <c:spPr>
            <a:solidFill>
              <a:srgbClr val="59221B"/>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D6EC-44E7-A860-31378C9CC1B0}"/>
              </c:ext>
            </c:extLst>
          </c:dPt>
          <c:dPt>
            <c:idx val="1"/>
            <c:invertIfNegative val="0"/>
            <c:bubble3D val="0"/>
            <c:extLst xmlns:c16r2="http://schemas.microsoft.com/office/drawing/2015/06/chart">
              <c:ext xmlns:c16="http://schemas.microsoft.com/office/drawing/2014/chart" uri="{C3380CC4-5D6E-409C-BE32-E72D297353CC}">
                <c16:uniqueId val="{00000001-D6EC-44E7-A860-31378C9CC1B0}"/>
              </c:ext>
            </c:extLst>
          </c:dPt>
          <c:dPt>
            <c:idx val="2"/>
            <c:invertIfNegative val="0"/>
            <c:bubble3D val="0"/>
            <c:extLst xmlns:c16r2="http://schemas.microsoft.com/office/drawing/2015/06/chart">
              <c:ext xmlns:c16="http://schemas.microsoft.com/office/drawing/2014/chart" uri="{C3380CC4-5D6E-409C-BE32-E72D297353CC}">
                <c16:uniqueId val="{00000002-D6EC-44E7-A860-31378C9CC1B0}"/>
              </c:ext>
            </c:extLst>
          </c:dPt>
          <c:dLbls>
            <c:dLbl>
              <c:idx val="2"/>
              <c:layout>
                <c:manualLayout>
                  <c:x val="-2.3148148148148147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6EC-44E7-A860-31378C9CC1B0}"/>
                </c:ext>
              </c:extLst>
            </c:dLbl>
            <c:spPr>
              <a:noFill/>
              <a:ln>
                <a:noFill/>
              </a:ln>
              <a:effectLst/>
            </c:spPr>
            <c:txPr>
              <a:bodyPr rot="0" vert="horz"/>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Улучшение качества обслуживания клиента (сервис)</c:v>
                </c:pt>
                <c:pt idx="1">
                  <c:v>Обучение и переподготовка персонала</c:v>
                </c:pt>
                <c:pt idx="2">
                  <c:v>Улучшение качества реализуемой продукции (работ, услуг)</c:v>
                </c:pt>
              </c:strCache>
            </c:strRef>
          </c:cat>
          <c:val>
            <c:numRef>
              <c:f>Лист1!$B$2:$B$4</c:f>
              <c:numCache>
                <c:formatCode>0%</c:formatCode>
                <c:ptCount val="3"/>
                <c:pt idx="0">
                  <c:v>0.48837209302325596</c:v>
                </c:pt>
                <c:pt idx="1">
                  <c:v>0.48837209302325596</c:v>
                </c:pt>
                <c:pt idx="2">
                  <c:v>0.48837209302325596</c:v>
                </c:pt>
              </c:numCache>
            </c:numRef>
          </c:val>
          <c:extLst xmlns:c16r2="http://schemas.microsoft.com/office/drawing/2015/06/chart">
            <c:ext xmlns:c16="http://schemas.microsoft.com/office/drawing/2014/chart" uri="{C3380CC4-5D6E-409C-BE32-E72D297353CC}">
              <c16:uniqueId val="{00000003-D6EC-44E7-A860-31378C9CC1B0}"/>
            </c:ext>
          </c:extLst>
        </c:ser>
        <c:dLbls>
          <c:showLegendKey val="0"/>
          <c:showVal val="0"/>
          <c:showCatName val="0"/>
          <c:showSerName val="0"/>
          <c:showPercent val="0"/>
          <c:showBubbleSize val="0"/>
        </c:dLbls>
        <c:gapWidth val="69"/>
        <c:axId val="144539648"/>
        <c:axId val="144651328"/>
      </c:barChart>
      <c:catAx>
        <c:axId val="1445396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baseline="0">
                <a:latin typeface="Times New Roman" panose="02020603050405020304" pitchFamily="18" charset="0"/>
              </a:defRPr>
            </a:pPr>
            <a:endParaRPr lang="ru-RU"/>
          </a:p>
        </c:txPr>
        <c:crossAx val="144651328"/>
        <c:crosses val="autoZero"/>
        <c:auto val="1"/>
        <c:lblAlgn val="ctr"/>
        <c:lblOffset val="100"/>
        <c:noMultiLvlLbl val="0"/>
      </c:catAx>
      <c:valAx>
        <c:axId val="144651328"/>
        <c:scaling>
          <c:orientation val="minMax"/>
          <c:max val="1.1000000000000001"/>
        </c:scaling>
        <c:delete val="1"/>
        <c:axPos val="t"/>
        <c:majorGridlines>
          <c:spPr>
            <a:ln w="9525" cap="flat" cmpd="sng" algn="ctr">
              <a:noFill/>
              <a:round/>
            </a:ln>
            <a:effectLst/>
          </c:spPr>
        </c:majorGridlines>
        <c:numFmt formatCode="0%" sourceLinked="1"/>
        <c:majorTickMark val="out"/>
        <c:minorTickMark val="none"/>
        <c:tickLblPos val="nextTo"/>
        <c:crossAx val="1445396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b="0">
          <a:solidFill>
            <a:sysClr val="windowText" lastClr="000000"/>
          </a:solidFill>
          <a:latin typeface="+mn-lt"/>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68781069406682904"/>
          <c:y val="2.0965281988684019E-2"/>
          <c:w val="0.47168875077056044"/>
          <c:h val="0.96843222062030976"/>
        </c:manualLayout>
      </c:layout>
      <c:barChart>
        <c:barDir val="bar"/>
        <c:grouping val="clustered"/>
        <c:varyColors val="0"/>
        <c:ser>
          <c:idx val="0"/>
          <c:order val="0"/>
          <c:tx>
            <c:strRef>
              <c:f>Лист1!$B$1</c:f>
              <c:strCache>
                <c:ptCount val="1"/>
                <c:pt idx="0">
                  <c:v>Столбец1</c:v>
                </c:pt>
              </c:strCache>
            </c:strRef>
          </c:tx>
          <c:spPr>
            <a:solidFill>
              <a:srgbClr val="59221B"/>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F236-4D30-8762-94229226677B}"/>
              </c:ext>
            </c:extLst>
          </c:dPt>
          <c:dPt>
            <c:idx val="1"/>
            <c:invertIfNegative val="0"/>
            <c:bubble3D val="0"/>
            <c:extLst xmlns:c16r2="http://schemas.microsoft.com/office/drawing/2015/06/chart">
              <c:ext xmlns:c16="http://schemas.microsoft.com/office/drawing/2014/chart" uri="{C3380CC4-5D6E-409C-BE32-E72D297353CC}">
                <c16:uniqueId val="{00000001-F236-4D30-8762-94229226677B}"/>
              </c:ext>
            </c:extLst>
          </c:dPt>
          <c:dPt>
            <c:idx val="2"/>
            <c:invertIfNegative val="0"/>
            <c:bubble3D val="0"/>
            <c:extLst xmlns:c16r2="http://schemas.microsoft.com/office/drawing/2015/06/chart">
              <c:ext xmlns:c16="http://schemas.microsoft.com/office/drawing/2014/chart" uri="{C3380CC4-5D6E-409C-BE32-E72D297353CC}">
                <c16:uniqueId val="{00000002-F236-4D30-8762-94229226677B}"/>
              </c:ext>
            </c:extLst>
          </c:dPt>
          <c:dLbls>
            <c:dLbl>
              <c:idx val="2"/>
              <c:layout>
                <c:manualLayout>
                  <c:x val="-2.3148148148148147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236-4D30-8762-94229226677B}"/>
                </c:ext>
              </c:extLst>
            </c:dLbl>
            <c:spPr>
              <a:noFill/>
              <a:ln>
                <a:noFill/>
              </a:ln>
              <a:effectLst/>
            </c:spPr>
            <c:txPr>
              <a:bodyPr rot="0" vert="horz"/>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Улучшение качества обслуживания клиента (сервис)</c:v>
                </c:pt>
                <c:pt idx="1">
                  <c:v>Улучшение качества реализуемой продукции (работ, услуг)</c:v>
                </c:pt>
                <c:pt idx="2">
                  <c:v>Обучение и переподготовка персонала</c:v>
                </c:pt>
                <c:pt idx="3">
                  <c:v>Выход на новые географические рынки</c:v>
                </c:pt>
              </c:strCache>
            </c:strRef>
          </c:cat>
          <c:val>
            <c:numRef>
              <c:f>Лист1!$B$2:$B$5</c:f>
              <c:numCache>
                <c:formatCode>0%</c:formatCode>
                <c:ptCount val="4"/>
                <c:pt idx="0">
                  <c:v>0.54237288135593198</c:v>
                </c:pt>
                <c:pt idx="1">
                  <c:v>0.44067796610169502</c:v>
                </c:pt>
                <c:pt idx="2">
                  <c:v>0.42372881355932202</c:v>
                </c:pt>
                <c:pt idx="3">
                  <c:v>0.42372881355932202</c:v>
                </c:pt>
              </c:numCache>
            </c:numRef>
          </c:val>
          <c:extLst xmlns:c16r2="http://schemas.microsoft.com/office/drawing/2015/06/chart">
            <c:ext xmlns:c16="http://schemas.microsoft.com/office/drawing/2014/chart" uri="{C3380CC4-5D6E-409C-BE32-E72D297353CC}">
              <c16:uniqueId val="{00000003-F236-4D30-8762-94229226677B}"/>
            </c:ext>
          </c:extLst>
        </c:ser>
        <c:dLbls>
          <c:showLegendKey val="0"/>
          <c:showVal val="0"/>
          <c:showCatName val="0"/>
          <c:showSerName val="0"/>
          <c:showPercent val="0"/>
          <c:showBubbleSize val="0"/>
        </c:dLbls>
        <c:gapWidth val="69"/>
        <c:axId val="144548864"/>
        <c:axId val="144802944"/>
      </c:barChart>
      <c:catAx>
        <c:axId val="1445488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baseline="0">
                <a:latin typeface="Times New Roman" panose="02020603050405020304" pitchFamily="18" charset="0"/>
              </a:defRPr>
            </a:pPr>
            <a:endParaRPr lang="ru-RU"/>
          </a:p>
        </c:txPr>
        <c:crossAx val="144802944"/>
        <c:crosses val="autoZero"/>
        <c:auto val="1"/>
        <c:lblAlgn val="ctr"/>
        <c:lblOffset val="100"/>
        <c:noMultiLvlLbl val="0"/>
      </c:catAx>
      <c:valAx>
        <c:axId val="144802944"/>
        <c:scaling>
          <c:orientation val="minMax"/>
          <c:max val="1.1000000000000001"/>
        </c:scaling>
        <c:delete val="1"/>
        <c:axPos val="t"/>
        <c:majorGridlines>
          <c:spPr>
            <a:ln w="9525" cap="flat" cmpd="sng" algn="ctr">
              <a:noFill/>
              <a:round/>
            </a:ln>
            <a:effectLst/>
          </c:spPr>
        </c:majorGridlines>
        <c:numFmt formatCode="0%" sourceLinked="1"/>
        <c:majorTickMark val="out"/>
        <c:minorTickMark val="none"/>
        <c:tickLblPos val="nextTo"/>
        <c:crossAx val="1445488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b="0">
          <a:solidFill>
            <a:sysClr val="windowText" lastClr="000000"/>
          </a:solidFill>
          <a:latin typeface="+mn-lt"/>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9223370516185481"/>
          <c:y val="1.3489704631991424E-2"/>
          <c:w val="0.33767370224555265"/>
          <c:h val="0.96843222062030976"/>
        </c:manualLayout>
      </c:layout>
      <c:barChart>
        <c:barDir val="bar"/>
        <c:grouping val="clustered"/>
        <c:varyColors val="0"/>
        <c:ser>
          <c:idx val="0"/>
          <c:order val="0"/>
          <c:tx>
            <c:strRef>
              <c:f>Лист1!$B$1</c:f>
              <c:strCache>
                <c:ptCount val="1"/>
                <c:pt idx="0">
                  <c:v>Столбец1</c:v>
                </c:pt>
              </c:strCache>
            </c:strRef>
          </c:tx>
          <c:spPr>
            <a:solidFill>
              <a:srgbClr val="591825"/>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4FFF-4238-A548-40A5C5FE3762}"/>
              </c:ext>
            </c:extLst>
          </c:dPt>
          <c:dPt>
            <c:idx val="12"/>
            <c:invertIfNegative val="0"/>
            <c:bubble3D val="0"/>
            <c:spPr>
              <a:solidFill>
                <a:srgbClr val="A9D18E"/>
              </a:solidFill>
              <a:ln>
                <a:noFill/>
              </a:ln>
              <a:effectLst/>
            </c:spPr>
            <c:extLst xmlns:c16r2="http://schemas.microsoft.com/office/drawing/2015/06/chart">
              <c:ext xmlns:c16="http://schemas.microsoft.com/office/drawing/2014/chart" uri="{C3380CC4-5D6E-409C-BE32-E72D297353CC}">
                <c16:uniqueId val="{00000002-4FFF-4238-A548-40A5C5FE3762}"/>
              </c:ext>
            </c:extLst>
          </c:dPt>
          <c:dLbls>
            <c:dLbl>
              <c:idx val="2"/>
              <c:layout>
                <c:manualLayout>
                  <c:x val="-2.3148148148148147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FFF-4238-A548-40A5C5FE3762}"/>
                </c:ext>
              </c:extLst>
            </c:dLbl>
            <c:dLbl>
              <c:idx val="5"/>
              <c:layout>
                <c:manualLayout>
                  <c:x val="-4.6296296296297144E-3"/>
                  <c:y val="6.611570247933884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FFF-4238-A548-40A5C5FE3762}"/>
                </c:ext>
              </c:extLst>
            </c:dLbl>
            <c:dLbl>
              <c:idx val="6"/>
              <c:layout>
                <c:manualLayout>
                  <c:x val="-4.6296296296295444E-3"/>
                  <c:y val="4.407713498622508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FFF-4238-A548-40A5C5FE3762}"/>
                </c:ext>
              </c:extLst>
            </c:dLbl>
            <c:dLbl>
              <c:idx val="7"/>
              <c:layout>
                <c:manualLayout>
                  <c:x val="-2.3148148148148997E-3"/>
                  <c:y val="6.611570247933884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FFF-4238-A548-40A5C5FE3762}"/>
                </c:ext>
              </c:extLst>
            </c:dLbl>
            <c:dLbl>
              <c:idx val="10"/>
              <c:layout>
                <c:manualLayout>
                  <c:x val="-2.3148148148149847E-3"/>
                  <c:y val="6.611570247933884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FFF-4238-A548-40A5C5FE3762}"/>
                </c:ext>
              </c:extLst>
            </c:dLbl>
            <c:dLbl>
              <c:idx val="11"/>
              <c:layout>
                <c:manualLayout>
                  <c:x val="-6.9444444444444441E-3"/>
                  <c:y val="4.407713498622569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FFF-4238-A548-40A5C5FE3762}"/>
                </c:ext>
              </c:extLst>
            </c:dLbl>
            <c:dLbl>
              <c:idx val="12"/>
              <c:layout>
                <c:manualLayout>
                  <c:x val="-6.9444444444445291E-3"/>
                  <c:y val="6.611570247933803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FFF-4238-A548-40A5C5FE3762}"/>
                </c:ext>
              </c:extLst>
            </c:dLbl>
            <c:spPr>
              <a:noFill/>
              <a:ln>
                <a:noFill/>
              </a:ln>
              <a:effectLst/>
            </c:spPr>
            <c:txPr>
              <a:bodyPr rot="0" vert="horz"/>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Нестабильность российского законодательства</c:v>
                </c:pt>
                <c:pt idx="1">
                  <c:v>Высокие налоги</c:v>
                </c:pt>
                <c:pt idx="2">
                  <c:v>Коррупция</c:v>
                </c:pt>
                <c:pt idx="3">
                  <c:v>Сложность/затянутость процедуры получения лицензий</c:v>
                </c:pt>
                <c:pt idx="4">
                  <c:v>Ограничение/сложность доступа к поставкам товаров в рамках госзакупок</c:v>
                </c:pt>
                <c:pt idx="5">
                  <c:v>Сложность получения доступа к земельным участкам</c:v>
                </c:pt>
                <c:pt idx="6">
                  <c:v>Ограничение/сложность доступа к закупкам компаний с госучастием </c:v>
                </c:pt>
                <c:pt idx="7">
                  <c:v>Необходимость установления партнерских отношений с органами власти</c:v>
                </c:pt>
                <c:pt idx="8">
                  <c:v>Ограничение/отклонение органами власти инициатив по организации совместной деятельности</c:v>
                </c:pt>
                <c:pt idx="9">
                  <c:v>Иные действия/давление со стороны органов власти</c:v>
                </c:pt>
                <c:pt idx="10">
                  <c:v>Силовое давление со стороны правоохранительных органов</c:v>
                </c:pt>
                <c:pt idx="11">
                  <c:v>Другое</c:v>
                </c:pt>
                <c:pt idx="12">
                  <c:v>Административных барьеров нет</c:v>
                </c:pt>
              </c:strCache>
            </c:strRef>
          </c:cat>
          <c:val>
            <c:numRef>
              <c:f>Лист1!$B$2:$B$14</c:f>
              <c:numCache>
                <c:formatCode>0%</c:formatCode>
                <c:ptCount val="13"/>
                <c:pt idx="0">
                  <c:v>0.39200000000000002</c:v>
                </c:pt>
                <c:pt idx="1">
                  <c:v>0.35600000000000004</c:v>
                </c:pt>
                <c:pt idx="2">
                  <c:v>0.26</c:v>
                </c:pt>
                <c:pt idx="3">
                  <c:v>0.16600000000000001</c:v>
                </c:pt>
                <c:pt idx="4">
                  <c:v>0.128</c:v>
                </c:pt>
                <c:pt idx="5">
                  <c:v>0.122</c:v>
                </c:pt>
                <c:pt idx="6">
                  <c:v>0.12</c:v>
                </c:pt>
                <c:pt idx="7">
                  <c:v>0.11599999999999999</c:v>
                </c:pt>
                <c:pt idx="8">
                  <c:v>9.8000000000000004E-2</c:v>
                </c:pt>
                <c:pt idx="9">
                  <c:v>4.5999999999999999E-2</c:v>
                </c:pt>
                <c:pt idx="10">
                  <c:v>1.8000000000000002E-2</c:v>
                </c:pt>
                <c:pt idx="11">
                  <c:v>3.7999999999999999E-2</c:v>
                </c:pt>
                <c:pt idx="12">
                  <c:v>0.13600000000000001</c:v>
                </c:pt>
              </c:numCache>
            </c:numRef>
          </c:val>
          <c:extLst xmlns:c16r2="http://schemas.microsoft.com/office/drawing/2015/06/chart">
            <c:ext xmlns:c16="http://schemas.microsoft.com/office/drawing/2014/chart" uri="{C3380CC4-5D6E-409C-BE32-E72D297353CC}">
              <c16:uniqueId val="{00000009-4FFF-4238-A548-40A5C5FE3762}"/>
            </c:ext>
          </c:extLst>
        </c:ser>
        <c:dLbls>
          <c:showLegendKey val="0"/>
          <c:showVal val="0"/>
          <c:showCatName val="0"/>
          <c:showSerName val="0"/>
          <c:showPercent val="0"/>
          <c:showBubbleSize val="0"/>
        </c:dLbls>
        <c:gapWidth val="69"/>
        <c:axId val="144542208"/>
        <c:axId val="144804672"/>
      </c:barChart>
      <c:catAx>
        <c:axId val="1445422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1050" baseline="0">
                <a:latin typeface="Times New Roman" panose="02020603050405020304" pitchFamily="18" charset="0"/>
              </a:defRPr>
            </a:pPr>
            <a:endParaRPr lang="ru-RU"/>
          </a:p>
        </c:txPr>
        <c:crossAx val="144804672"/>
        <c:crosses val="autoZero"/>
        <c:auto val="1"/>
        <c:lblAlgn val="ctr"/>
        <c:lblOffset val="100"/>
        <c:noMultiLvlLbl val="0"/>
      </c:catAx>
      <c:valAx>
        <c:axId val="144804672"/>
        <c:scaling>
          <c:orientation val="minMax"/>
        </c:scaling>
        <c:delete val="1"/>
        <c:axPos val="t"/>
        <c:majorGridlines>
          <c:spPr>
            <a:ln w="9525" cap="flat" cmpd="sng" algn="ctr">
              <a:noFill/>
              <a:round/>
            </a:ln>
            <a:effectLst/>
          </c:spPr>
        </c:majorGridlines>
        <c:numFmt formatCode="0%" sourceLinked="1"/>
        <c:majorTickMark val="out"/>
        <c:minorTickMark val="none"/>
        <c:tickLblPos val="nextTo"/>
        <c:crossAx val="1445422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b="0">
          <a:solidFill>
            <a:sysClr val="windowText" lastClr="000000"/>
          </a:solidFill>
          <a:latin typeface="+mn-lt"/>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974716570532698"/>
          <c:y val="0.11551834740780764"/>
          <c:w val="0.30090975800799769"/>
          <c:h val="0.83006591247151296"/>
        </c:manualLayout>
      </c:layout>
      <c:doughnutChart>
        <c:varyColors val="1"/>
        <c:ser>
          <c:idx val="0"/>
          <c:order val="0"/>
          <c:tx>
            <c:strRef>
              <c:f>Лист1!$B$1</c:f>
              <c:strCache>
                <c:ptCount val="1"/>
                <c:pt idx="0">
                  <c:v>Продажи</c:v>
                </c:pt>
              </c:strCache>
            </c:strRef>
          </c:tx>
          <c:dPt>
            <c:idx val="0"/>
            <c:bubble3D val="0"/>
            <c:spPr>
              <a:solidFill>
                <a:srgbClr val="59221B"/>
              </a:solidFill>
              <a:ln w="19050">
                <a:solidFill>
                  <a:schemeClr val="lt1"/>
                </a:solidFill>
              </a:ln>
              <a:effectLst/>
            </c:spPr>
            <c:extLst xmlns:c16r2="http://schemas.microsoft.com/office/drawing/2015/06/chart">
              <c:ext xmlns:c16="http://schemas.microsoft.com/office/drawing/2014/chart" uri="{C3380CC4-5D6E-409C-BE32-E72D297353CC}">
                <c16:uniqueId val="{00000001-6AB9-4323-B26E-EBC0E93FE97A}"/>
              </c:ext>
            </c:extLst>
          </c:dPt>
          <c:dPt>
            <c:idx val="1"/>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3-6AB9-4323-B26E-EBC0E93FE97A}"/>
              </c:ext>
            </c:extLst>
          </c:dPt>
          <c:dPt>
            <c:idx val="2"/>
            <c:bubble3D val="0"/>
            <c:spPr>
              <a:solidFill>
                <a:srgbClr val="548235"/>
              </a:solidFill>
              <a:ln w="19050">
                <a:solidFill>
                  <a:schemeClr val="lt1"/>
                </a:solidFill>
              </a:ln>
              <a:effectLst/>
            </c:spPr>
            <c:extLst xmlns:c16r2="http://schemas.microsoft.com/office/drawing/2015/06/chart">
              <c:ext xmlns:c16="http://schemas.microsoft.com/office/drawing/2014/chart" uri="{C3380CC4-5D6E-409C-BE32-E72D297353CC}">
                <c16:uniqueId val="{00000005-6AB9-4323-B26E-EBC0E93FE97A}"/>
              </c:ext>
            </c:extLst>
          </c:dPt>
          <c:dPt>
            <c:idx val="3"/>
            <c:bubble3D val="0"/>
            <c:spPr>
              <a:solidFill>
                <a:srgbClr val="E7E6E6">
                  <a:lumMod val="75000"/>
                </a:srgbClr>
              </a:solidFill>
              <a:ln w="19050">
                <a:solidFill>
                  <a:schemeClr val="lt1"/>
                </a:solidFill>
              </a:ln>
              <a:effectLst/>
            </c:spPr>
            <c:extLst xmlns:c16r2="http://schemas.microsoft.com/office/drawing/2015/06/chart">
              <c:ext xmlns:c16="http://schemas.microsoft.com/office/drawing/2014/chart" uri="{C3380CC4-5D6E-409C-BE32-E72D297353CC}">
                <c16:uniqueId val="{00000007-6AB9-4323-B26E-EBC0E93FE97A}"/>
              </c:ext>
            </c:extLst>
          </c:dPt>
          <c:dLbls>
            <c:dLbl>
              <c:idx val="0"/>
              <c:layout>
                <c:manualLayout>
                  <c:x val="5.548860627190926E-4"/>
                  <c:y val="3.5284332712073054E-3"/>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AB9-4323-B26E-EBC0E93FE97A}"/>
                </c:ext>
              </c:extLst>
            </c:dLbl>
            <c:dLbl>
              <c:idx val="1"/>
              <c:layout>
                <c:manualLayout>
                  <c:x val="-1.8950677227753663E-3"/>
                  <c:y val="-4.862422266607623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AB9-4323-B26E-EBC0E93FE97A}"/>
                </c:ext>
              </c:extLst>
            </c:dLbl>
            <c:dLbl>
              <c:idx val="2"/>
              <c:layout>
                <c:manualLayout>
                  <c:x val="1.543636888320897E-3"/>
                  <c:y val="-1.4916609428607154E-2"/>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AB9-4323-B26E-EBC0E93FE97A}"/>
                </c:ext>
              </c:extLst>
            </c:dLbl>
            <c:dLbl>
              <c:idx val="3"/>
              <c:layout>
                <c:manualLayout>
                  <c:x val="3.0006278932815417E-3"/>
                  <c:y val="-2.362002359573981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AB9-4323-B26E-EBC0E93FE97A}"/>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Есть непреодолимые административные барьеры</c:v>
                </c:pt>
                <c:pt idx="1">
                  <c:v>Есть барьеры, преодолимые при осуществлении значительных затрат</c:v>
                </c:pt>
                <c:pt idx="2">
                  <c:v>Административные барьеры есть, но они преодолимы без существенных затрат</c:v>
                </c:pt>
                <c:pt idx="3">
                  <c:v>Затрудняюсь ответить</c:v>
                </c:pt>
              </c:strCache>
            </c:strRef>
          </c:cat>
          <c:val>
            <c:numRef>
              <c:f>Лист1!$B$2:$B$5</c:f>
              <c:numCache>
                <c:formatCode>0%</c:formatCode>
                <c:ptCount val="4"/>
                <c:pt idx="0">
                  <c:v>0.11574074074074099</c:v>
                </c:pt>
                <c:pt idx="1">
                  <c:v>0.50231481481481499</c:v>
                </c:pt>
                <c:pt idx="2">
                  <c:v>0.26157407407407401</c:v>
                </c:pt>
                <c:pt idx="3">
                  <c:v>0.12037037037037</c:v>
                </c:pt>
              </c:numCache>
            </c:numRef>
          </c:val>
          <c:extLst xmlns:c16r2="http://schemas.microsoft.com/office/drawing/2015/06/chart">
            <c:ext xmlns:c16="http://schemas.microsoft.com/office/drawing/2014/chart" uri="{C3380CC4-5D6E-409C-BE32-E72D297353CC}">
              <c16:uniqueId val="{00000008-6AB9-4323-B26E-EBC0E93FE97A}"/>
            </c:ext>
          </c:extLst>
        </c:ser>
        <c:dLbls>
          <c:showLegendKey val="0"/>
          <c:showVal val="0"/>
          <c:showCatName val="0"/>
          <c:showSerName val="0"/>
          <c:showPercent val="0"/>
          <c:showBubbleSize val="0"/>
          <c:showLeaderLines val="0"/>
        </c:dLbls>
        <c:firstSliceAng val="0"/>
        <c:holeSize val="70"/>
      </c:doughnutChart>
      <c:spPr>
        <a:noFill/>
        <a:ln>
          <a:noFill/>
        </a:ln>
        <a:effectLst/>
      </c:spPr>
    </c:plotArea>
    <c:legend>
      <c:legendPos val="r"/>
      <c:layout>
        <c:manualLayout>
          <c:xMode val="edge"/>
          <c:yMode val="edge"/>
          <c:x val="0.51687207746877117"/>
          <c:y val="0.18286964129483815"/>
          <c:w val="0.47265684657174167"/>
          <c:h val="0.69082569000027305"/>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b="0">
          <a:solidFill>
            <a:sysClr val="windowText" lastClr="000000"/>
          </a:solidFill>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974716570532698"/>
          <c:y val="0.11551834740780764"/>
          <c:w val="0.30090975800799769"/>
          <c:h val="0.83006591247151296"/>
        </c:manualLayout>
      </c:layout>
      <c:doughnutChart>
        <c:varyColors val="1"/>
        <c:ser>
          <c:idx val="0"/>
          <c:order val="0"/>
          <c:tx>
            <c:strRef>
              <c:f>Лист1!$B$1</c:f>
              <c:strCache>
                <c:ptCount val="1"/>
                <c:pt idx="0">
                  <c:v>Продажи</c:v>
                </c:pt>
              </c:strCache>
            </c:strRef>
          </c:tx>
          <c:dPt>
            <c:idx val="0"/>
            <c:bubble3D val="0"/>
            <c:spPr>
              <a:solidFill>
                <a:srgbClr val="548235"/>
              </a:solidFill>
              <a:ln w="19050">
                <a:solidFill>
                  <a:schemeClr val="lt1"/>
                </a:solidFill>
              </a:ln>
              <a:effectLst/>
            </c:spPr>
            <c:extLst xmlns:c16r2="http://schemas.microsoft.com/office/drawing/2015/06/chart">
              <c:ext xmlns:c16="http://schemas.microsoft.com/office/drawing/2014/chart" uri="{C3380CC4-5D6E-409C-BE32-E72D297353CC}">
                <c16:uniqueId val="{00000001-EA9D-4D8C-9F25-8E3736F103C2}"/>
              </c:ext>
            </c:extLst>
          </c:dPt>
          <c:dPt>
            <c:idx val="1"/>
            <c:bubble3D val="0"/>
            <c:spPr>
              <a:solidFill>
                <a:srgbClr val="A9D18E"/>
              </a:solidFill>
              <a:ln w="19050">
                <a:solidFill>
                  <a:schemeClr val="lt1"/>
                </a:solidFill>
              </a:ln>
              <a:effectLst/>
            </c:spPr>
            <c:extLst xmlns:c16r2="http://schemas.microsoft.com/office/drawing/2015/06/chart">
              <c:ext xmlns:c16="http://schemas.microsoft.com/office/drawing/2014/chart" uri="{C3380CC4-5D6E-409C-BE32-E72D297353CC}">
                <c16:uniqueId val="{00000003-EA9D-4D8C-9F25-8E3736F103C2}"/>
              </c:ext>
            </c:extLst>
          </c:dPt>
          <c:dPt>
            <c:idx val="2"/>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5-EA9D-4D8C-9F25-8E3736F103C2}"/>
              </c:ext>
            </c:extLst>
          </c:dPt>
          <c:dPt>
            <c:idx val="3"/>
            <c:bubble3D val="0"/>
            <c:spPr>
              <a:solidFill>
                <a:srgbClr val="D97A8D"/>
              </a:solidFill>
              <a:ln w="19050">
                <a:solidFill>
                  <a:schemeClr val="lt1"/>
                </a:solidFill>
              </a:ln>
              <a:effectLst/>
            </c:spPr>
            <c:extLst xmlns:c16r2="http://schemas.microsoft.com/office/drawing/2015/06/chart">
              <c:ext xmlns:c16="http://schemas.microsoft.com/office/drawing/2014/chart" uri="{C3380CC4-5D6E-409C-BE32-E72D297353CC}">
                <c16:uniqueId val="{00000007-EA9D-4D8C-9F25-8E3736F103C2}"/>
              </c:ext>
            </c:extLst>
          </c:dPt>
          <c:dPt>
            <c:idx val="4"/>
            <c:bubble3D val="0"/>
            <c:spPr>
              <a:solidFill>
                <a:srgbClr val="59221B"/>
              </a:solidFill>
              <a:ln w="19050">
                <a:solidFill>
                  <a:schemeClr val="lt1"/>
                </a:solidFill>
              </a:ln>
              <a:effectLst/>
            </c:spPr>
            <c:extLst xmlns:c16r2="http://schemas.microsoft.com/office/drawing/2015/06/chart">
              <c:ext xmlns:c16="http://schemas.microsoft.com/office/drawing/2014/chart" uri="{C3380CC4-5D6E-409C-BE32-E72D297353CC}">
                <c16:uniqueId val="{00000009-EA9D-4D8C-9F25-8E3736F103C2}"/>
              </c:ext>
            </c:extLst>
          </c:dPt>
          <c:dPt>
            <c:idx val="5"/>
            <c:bubble3D val="0"/>
            <c:spPr>
              <a:solidFill>
                <a:srgbClr val="5B9BD5"/>
              </a:solidFill>
              <a:ln w="19050">
                <a:solidFill>
                  <a:schemeClr val="lt1"/>
                </a:solidFill>
              </a:ln>
              <a:effectLst/>
            </c:spPr>
            <c:extLst xmlns:c16r2="http://schemas.microsoft.com/office/drawing/2015/06/chart">
              <c:ext xmlns:c16="http://schemas.microsoft.com/office/drawing/2014/chart" uri="{C3380CC4-5D6E-409C-BE32-E72D297353CC}">
                <c16:uniqueId val="{0000000B-EA9D-4D8C-9F25-8E3736F103C2}"/>
              </c:ext>
            </c:extLst>
          </c:dPt>
          <c:dPt>
            <c:idx val="6"/>
            <c:bubble3D val="0"/>
            <c:spPr>
              <a:solidFill>
                <a:srgbClr val="AFABAB"/>
              </a:solidFill>
              <a:ln w="19050">
                <a:solidFill>
                  <a:schemeClr val="lt1"/>
                </a:solidFill>
              </a:ln>
              <a:effectLst/>
            </c:spPr>
            <c:extLst xmlns:c16r2="http://schemas.microsoft.com/office/drawing/2015/06/chart">
              <c:ext xmlns:c16="http://schemas.microsoft.com/office/drawing/2014/chart" uri="{C3380CC4-5D6E-409C-BE32-E72D297353CC}">
                <c16:uniqueId val="{0000000D-EA9D-4D8C-9F25-8E3736F103C2}"/>
              </c:ext>
            </c:extLst>
          </c:dPt>
          <c:dLbls>
            <c:dLbl>
              <c:idx val="0"/>
              <c:layout>
                <c:manualLayout>
                  <c:x val="0"/>
                  <c:y val="-8.767405879319238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A9D-4D8C-9F25-8E3736F103C2}"/>
                </c:ext>
              </c:extLst>
            </c:dLbl>
            <c:dLbl>
              <c:idx val="3"/>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dLbl>
            <c:dLbl>
              <c:idx val="4"/>
              <c:layout>
                <c:manualLayout>
                  <c:x val="-4.1737056543774222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A9D-4D8C-9F25-8E3736F103C2}"/>
                </c:ext>
              </c:extLst>
            </c:dLbl>
            <c:dLbl>
              <c:idx val="5"/>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Лист1!$A$2:$A$8</c:f>
              <c:strCache>
                <c:ptCount val="7"/>
                <c:pt idx="0">
                  <c:v>Административные барьеры были полностью устранены</c:v>
                </c:pt>
                <c:pt idx="1">
                  <c:v>Бизнесу стало проще преодолевать административные барьеры, чем раньше</c:v>
                </c:pt>
                <c:pt idx="2">
                  <c:v>Уровень и количество административных барьеров не изменились</c:v>
                </c:pt>
                <c:pt idx="3">
                  <c:v>Бизнесу стало сложнее преодолевать административные барьеры, чем раньше</c:v>
                </c:pt>
                <c:pt idx="4">
                  <c:v>Ранее административные барьеры отсутствовали, однако сейчас появились</c:v>
                </c:pt>
                <c:pt idx="5">
                  <c:v>Административные барьеры отсутствуют, как и ранее</c:v>
                </c:pt>
                <c:pt idx="6">
                  <c:v>Затрудняюсь ответить</c:v>
                </c:pt>
              </c:strCache>
            </c:strRef>
          </c:cat>
          <c:val>
            <c:numRef>
              <c:f>Лист1!$B$2:$B$8</c:f>
              <c:numCache>
                <c:formatCode>0%</c:formatCode>
                <c:ptCount val="7"/>
                <c:pt idx="0">
                  <c:v>1.2E-2</c:v>
                </c:pt>
                <c:pt idx="1">
                  <c:v>0.222</c:v>
                </c:pt>
                <c:pt idx="2">
                  <c:v>0.318</c:v>
                </c:pt>
                <c:pt idx="3">
                  <c:v>0.20399999999999999</c:v>
                </c:pt>
                <c:pt idx="4">
                  <c:v>1.6E-2</c:v>
                </c:pt>
                <c:pt idx="5">
                  <c:v>7.0000000000000007E-2</c:v>
                </c:pt>
                <c:pt idx="6">
                  <c:v>0.16</c:v>
                </c:pt>
              </c:numCache>
            </c:numRef>
          </c:val>
          <c:extLst xmlns:c16r2="http://schemas.microsoft.com/office/drawing/2015/06/chart">
            <c:ext xmlns:c16="http://schemas.microsoft.com/office/drawing/2014/chart" uri="{C3380CC4-5D6E-409C-BE32-E72D297353CC}">
              <c16:uniqueId val="{0000000E-EA9D-4D8C-9F25-8E3736F103C2}"/>
            </c:ext>
          </c:extLst>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r"/>
      <c:layout>
        <c:manualLayout>
          <c:xMode val="edge"/>
          <c:yMode val="edge"/>
          <c:x val="0.51687207746877117"/>
          <c:y val="1.2678830308666292E-2"/>
          <c:w val="0.47265684657174167"/>
          <c:h val="0.97963435978444935"/>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b="0">
          <a:solidFill>
            <a:sysClr val="windowText" lastClr="000000"/>
          </a:solidFill>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270228270556909"/>
          <c:y val="9.5414160186498426E-3"/>
          <c:w val="0.51392322854207462"/>
          <c:h val="0.89933140547697021"/>
        </c:manualLayout>
      </c:layout>
      <c:barChart>
        <c:barDir val="bar"/>
        <c:grouping val="percentStacked"/>
        <c:varyColors val="0"/>
        <c:ser>
          <c:idx val="0"/>
          <c:order val="0"/>
          <c:tx>
            <c:strRef>
              <c:f>Sheet1!$A$2</c:f>
              <c:strCache>
                <c:ptCount val="1"/>
                <c:pt idx="0">
                  <c:v>Большое число поставщиков</c:v>
                </c:pt>
              </c:strCache>
            </c:strRef>
          </c:tx>
          <c:spPr>
            <a:solidFill>
              <a:srgbClr val="548235"/>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Sheet1!$B$1:$P$1</c:f>
              <c:strCache>
                <c:ptCount val="15"/>
                <c:pt idx="0">
                  <c:v>Рынок строительства объектов капитального строительства, за исключением жилищного и дорожного строительства</c:v>
                </c:pt>
                <c:pt idx="1">
                  <c:v>Рынок услуг розничной торговли лекарственными препаратами, медицинскими изделиями и сопутствующими товарами</c:v>
                </c:pt>
                <c:pt idx="2">
                  <c:v>Рынок легкой промышленности</c:v>
                </c:pt>
                <c:pt idx="3">
                  <c:v>Рынок товарной аквакультуры</c:v>
                </c:pt>
                <c:pt idx="4">
                  <c:v>Рынок медицинских услуг</c:v>
                </c:pt>
                <c:pt idx="5">
                  <c:v>Рынок нефтепродуктов</c:v>
                </c:pt>
                <c:pt idx="6">
                  <c:v>Рынок племенного животноводства</c:v>
                </c:pt>
                <c:pt idx="7">
                  <c:v>Рынок жилищного строительства</c:v>
                </c:pt>
                <c:pt idx="8">
                  <c:v>Рынок обработки древесины и производства изделий из дерева</c:v>
                </c:pt>
                <c:pt idx="9">
                  <c:v>Рынок услуг по сбору и транспортированию твердых коммунальных отходов</c:v>
                </c:pt>
                <c:pt idx="10">
                  <c:v>Рынок ритуальных услуг</c:v>
                </c:pt>
                <c:pt idx="11">
                  <c:v>Рынок выполнения работ по содержанию и текущему ремонту общего имущества собственников помещений в многоквартирном доме</c:v>
                </c:pt>
                <c:pt idx="12">
                  <c:v>Рынок кадастровых и землеустроительных работ</c:v>
                </c:pt>
                <c:pt idx="13">
                  <c:v>Сфера наружной рекламы</c:v>
                </c:pt>
                <c:pt idx="14">
                  <c:v>Рынок добычи общераспространенных полезных ископаемых на участках недр местного значения</c:v>
                </c:pt>
              </c:strCache>
            </c:strRef>
          </c:cat>
          <c:val>
            <c:numRef>
              <c:f>Sheet1!$B$2:$P$2</c:f>
              <c:numCache>
                <c:formatCode>0%</c:formatCode>
                <c:ptCount val="15"/>
                <c:pt idx="0">
                  <c:v>0.51063829787233994</c:v>
                </c:pt>
                <c:pt idx="1">
                  <c:v>0.45454545454545503</c:v>
                </c:pt>
                <c:pt idx="2">
                  <c:v>0.36585365853658502</c:v>
                </c:pt>
                <c:pt idx="3">
                  <c:v>0.41666666666666702</c:v>
                </c:pt>
                <c:pt idx="4">
                  <c:v>0.2</c:v>
                </c:pt>
                <c:pt idx="5">
                  <c:v>0.36363636363636404</c:v>
                </c:pt>
                <c:pt idx="6">
                  <c:v>0.4375</c:v>
                </c:pt>
                <c:pt idx="7">
                  <c:v>0.26086956521739102</c:v>
                </c:pt>
                <c:pt idx="8">
                  <c:v>0.314285714285714</c:v>
                </c:pt>
                <c:pt idx="9">
                  <c:v>0.4</c:v>
                </c:pt>
                <c:pt idx="11">
                  <c:v>0.37037037037037002</c:v>
                </c:pt>
                <c:pt idx="12">
                  <c:v>0.18181818181818202</c:v>
                </c:pt>
                <c:pt idx="13">
                  <c:v>0.18181818181818202</c:v>
                </c:pt>
                <c:pt idx="14">
                  <c:v>0.27272727272727298</c:v>
                </c:pt>
              </c:numCache>
            </c:numRef>
          </c:val>
          <c:extLst xmlns:c16r2="http://schemas.microsoft.com/office/drawing/2015/06/chart">
            <c:ext xmlns:c16="http://schemas.microsoft.com/office/drawing/2014/chart" uri="{C3380CC4-5D6E-409C-BE32-E72D297353CC}">
              <c16:uniqueId val="{00000000-46E4-40AF-9D3C-2ABF913C65F6}"/>
            </c:ext>
          </c:extLst>
        </c:ser>
        <c:ser>
          <c:idx val="1"/>
          <c:order val="1"/>
          <c:tx>
            <c:strRef>
              <c:f>Sheet1!$A$3</c:f>
              <c:strCache>
                <c:ptCount val="1"/>
                <c:pt idx="0">
                  <c:v>4 и более поставщика</c:v>
                </c:pt>
              </c:strCache>
            </c:strRef>
          </c:tx>
          <c:spPr>
            <a:solidFill>
              <a:srgbClr val="A9D18E"/>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Sheet1!$B$1:$P$1</c:f>
              <c:strCache>
                <c:ptCount val="15"/>
                <c:pt idx="0">
                  <c:v>Рынок строительства объектов капитального строительства, за исключением жилищного и дорожного строительства</c:v>
                </c:pt>
                <c:pt idx="1">
                  <c:v>Рынок услуг розничной торговли лекарственными препаратами, медицинскими изделиями и сопутствующими товарами</c:v>
                </c:pt>
                <c:pt idx="2">
                  <c:v>Рынок легкой промышленности</c:v>
                </c:pt>
                <c:pt idx="3">
                  <c:v>Рынок товарной аквакультуры</c:v>
                </c:pt>
                <c:pt idx="4">
                  <c:v>Рынок медицинских услуг</c:v>
                </c:pt>
                <c:pt idx="5">
                  <c:v>Рынок нефтепродуктов</c:v>
                </c:pt>
                <c:pt idx="6">
                  <c:v>Рынок племенного животноводства</c:v>
                </c:pt>
                <c:pt idx="7">
                  <c:v>Рынок жилищного строительства</c:v>
                </c:pt>
                <c:pt idx="8">
                  <c:v>Рынок обработки древесины и производства изделий из дерева</c:v>
                </c:pt>
                <c:pt idx="9">
                  <c:v>Рынок услуг по сбору и транспортированию твердых коммунальных отходов</c:v>
                </c:pt>
                <c:pt idx="10">
                  <c:v>Рынок ритуальных услуг</c:v>
                </c:pt>
                <c:pt idx="11">
                  <c:v>Рынок выполнения работ по содержанию и текущему ремонту общего имущества собственников помещений в многоквартирном доме</c:v>
                </c:pt>
                <c:pt idx="12">
                  <c:v>Рынок кадастровых и землеустроительных работ</c:v>
                </c:pt>
                <c:pt idx="13">
                  <c:v>Сфера наружной рекламы</c:v>
                </c:pt>
                <c:pt idx="14">
                  <c:v>Рынок добычи общераспространенных полезных ископаемых на участках недр местного значения</c:v>
                </c:pt>
              </c:strCache>
            </c:strRef>
          </c:cat>
          <c:val>
            <c:numRef>
              <c:f>Sheet1!$B$3:$P$3</c:f>
              <c:numCache>
                <c:formatCode>0%</c:formatCode>
                <c:ptCount val="15"/>
                <c:pt idx="0">
                  <c:v>0.25531914893616997</c:v>
                </c:pt>
                <c:pt idx="1">
                  <c:v>0.27272727272727298</c:v>
                </c:pt>
                <c:pt idx="2">
                  <c:v>0.31707317073170699</c:v>
                </c:pt>
                <c:pt idx="3">
                  <c:v>0.25</c:v>
                </c:pt>
                <c:pt idx="4">
                  <c:v>0.46666666666666701</c:v>
                </c:pt>
                <c:pt idx="5">
                  <c:v>0.27272727272727298</c:v>
                </c:pt>
                <c:pt idx="6">
                  <c:v>0.1875</c:v>
                </c:pt>
                <c:pt idx="7">
                  <c:v>0.34782608695652201</c:v>
                </c:pt>
                <c:pt idx="8">
                  <c:v>0.28571428571428603</c:v>
                </c:pt>
                <c:pt idx="9">
                  <c:v>0.2</c:v>
                </c:pt>
                <c:pt idx="10">
                  <c:v>0.6</c:v>
                </c:pt>
                <c:pt idx="11">
                  <c:v>0.18518518518518501</c:v>
                </c:pt>
                <c:pt idx="12">
                  <c:v>0.36363636363636404</c:v>
                </c:pt>
                <c:pt idx="13">
                  <c:v>0.36363636363636404</c:v>
                </c:pt>
                <c:pt idx="14">
                  <c:v>0.27272727272727298</c:v>
                </c:pt>
              </c:numCache>
            </c:numRef>
          </c:val>
          <c:extLst xmlns:c16r2="http://schemas.microsoft.com/office/drawing/2015/06/chart">
            <c:ext xmlns:c16="http://schemas.microsoft.com/office/drawing/2014/chart" uri="{C3380CC4-5D6E-409C-BE32-E72D297353CC}">
              <c16:uniqueId val="{00000001-46E4-40AF-9D3C-2ABF913C65F6}"/>
            </c:ext>
          </c:extLst>
        </c:ser>
        <c:ser>
          <c:idx val="2"/>
          <c:order val="2"/>
          <c:tx>
            <c:strRef>
              <c:f>Sheet1!$A$4</c:f>
              <c:strCache>
                <c:ptCount val="1"/>
                <c:pt idx="0">
                  <c:v>2-3 поставщика</c:v>
                </c:pt>
              </c:strCache>
            </c:strRef>
          </c:tx>
          <c:spPr>
            <a:solidFill>
              <a:srgbClr val="FFC000"/>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Sheet1!$B$1:$P$1</c:f>
              <c:strCache>
                <c:ptCount val="15"/>
                <c:pt idx="0">
                  <c:v>Рынок строительства объектов капитального строительства, за исключением жилищного и дорожного строительства</c:v>
                </c:pt>
                <c:pt idx="1">
                  <c:v>Рынок услуг розничной торговли лекарственными препаратами, медицинскими изделиями и сопутствующими товарами</c:v>
                </c:pt>
                <c:pt idx="2">
                  <c:v>Рынок легкой промышленности</c:v>
                </c:pt>
                <c:pt idx="3">
                  <c:v>Рынок товарной аквакультуры</c:v>
                </c:pt>
                <c:pt idx="4">
                  <c:v>Рынок медицинских услуг</c:v>
                </c:pt>
                <c:pt idx="5">
                  <c:v>Рынок нефтепродуктов</c:v>
                </c:pt>
                <c:pt idx="6">
                  <c:v>Рынок племенного животноводства</c:v>
                </c:pt>
                <c:pt idx="7">
                  <c:v>Рынок жилищного строительства</c:v>
                </c:pt>
                <c:pt idx="8">
                  <c:v>Рынок обработки древесины и производства изделий из дерева</c:v>
                </c:pt>
                <c:pt idx="9">
                  <c:v>Рынок услуг по сбору и транспортированию твердых коммунальных отходов</c:v>
                </c:pt>
                <c:pt idx="10">
                  <c:v>Рынок ритуальных услуг</c:v>
                </c:pt>
                <c:pt idx="11">
                  <c:v>Рынок выполнения работ по содержанию и текущему ремонту общего имущества собственников помещений в многоквартирном доме</c:v>
                </c:pt>
                <c:pt idx="12">
                  <c:v>Рынок кадастровых и землеустроительных работ</c:v>
                </c:pt>
                <c:pt idx="13">
                  <c:v>Сфера наружной рекламы</c:v>
                </c:pt>
                <c:pt idx="14">
                  <c:v>Рынок добычи общераспространенных полезных ископаемых на участках недр местного значения</c:v>
                </c:pt>
              </c:strCache>
            </c:strRef>
          </c:cat>
          <c:val>
            <c:numRef>
              <c:f>Sheet1!$B$4:$P$4</c:f>
              <c:numCache>
                <c:formatCode>0%</c:formatCode>
                <c:ptCount val="15"/>
                <c:pt idx="0">
                  <c:v>8.5106382978723402E-2</c:v>
                </c:pt>
                <c:pt idx="1">
                  <c:v>0.27272727272727298</c:v>
                </c:pt>
                <c:pt idx="2">
                  <c:v>0.17073170731707299</c:v>
                </c:pt>
                <c:pt idx="3">
                  <c:v>0.25</c:v>
                </c:pt>
                <c:pt idx="4">
                  <c:v>0.33333333333333298</c:v>
                </c:pt>
                <c:pt idx="6">
                  <c:v>0.3125</c:v>
                </c:pt>
                <c:pt idx="7">
                  <c:v>0.173913043478261</c:v>
                </c:pt>
                <c:pt idx="8">
                  <c:v>0.28571428571428603</c:v>
                </c:pt>
                <c:pt idx="9">
                  <c:v>0.3</c:v>
                </c:pt>
                <c:pt idx="10">
                  <c:v>0.3</c:v>
                </c:pt>
                <c:pt idx="11">
                  <c:v>0.296296296296296</c:v>
                </c:pt>
                <c:pt idx="12">
                  <c:v>9.0909090909090898E-2</c:v>
                </c:pt>
                <c:pt idx="13">
                  <c:v>0.18181818181818202</c:v>
                </c:pt>
                <c:pt idx="14">
                  <c:v>0.36363636363636404</c:v>
                </c:pt>
              </c:numCache>
            </c:numRef>
          </c:val>
          <c:extLst xmlns:c16r2="http://schemas.microsoft.com/office/drawing/2015/06/chart">
            <c:ext xmlns:c16="http://schemas.microsoft.com/office/drawing/2014/chart" uri="{C3380CC4-5D6E-409C-BE32-E72D297353CC}">
              <c16:uniqueId val="{00000002-46E4-40AF-9D3C-2ABF913C65F6}"/>
            </c:ext>
          </c:extLst>
        </c:ser>
        <c:ser>
          <c:idx val="3"/>
          <c:order val="3"/>
          <c:tx>
            <c:strRef>
              <c:f>Sheet1!$A$5</c:f>
              <c:strCache>
                <c:ptCount val="1"/>
                <c:pt idx="0">
                  <c:v>Единственный поставщик</c:v>
                </c:pt>
              </c:strCache>
            </c:strRef>
          </c:tx>
          <c:spPr>
            <a:solidFill>
              <a:srgbClr val="D97A8D"/>
            </a:solidFill>
            <a:ln w="9525" cap="flat">
              <a:noFill/>
              <a:prstDash val="solid"/>
              <a:round/>
            </a:ln>
            <a:effectLst/>
          </c:spPr>
          <c:invertIfNegative val="0"/>
          <c:dLbls>
            <c:dLbl>
              <c:idx val="0"/>
              <c:layout>
                <c:manualLayout>
                  <c:x val="1.9874788830368676E-3"/>
                  <c:y val="3.3800002853150425E-18"/>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6E4-40AF-9D3C-2ABF913C65F6}"/>
                </c:ext>
              </c:extLst>
            </c:dLbl>
            <c:dLbl>
              <c:idx val="2"/>
              <c:layout>
                <c:manualLayout>
                  <c:x val="3.9749577660735894E-3"/>
                  <c:y val="2.704000228252034E-1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6E4-40AF-9D3C-2ABF913C65F6}"/>
                </c:ext>
              </c:extLst>
            </c:dLbl>
            <c:dLbl>
              <c:idx val="8"/>
              <c:layout>
                <c:manualLayout>
                  <c:x val="5.9624366491106036E-3"/>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6E4-40AF-9D3C-2ABF913C65F6}"/>
                </c:ext>
              </c:extLst>
            </c:dLbl>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Sheet1!$B$1:$P$1</c:f>
              <c:strCache>
                <c:ptCount val="15"/>
                <c:pt idx="0">
                  <c:v>Рынок строительства объектов капитального строительства, за исключением жилищного и дорожного строительства</c:v>
                </c:pt>
                <c:pt idx="1">
                  <c:v>Рынок услуг розничной торговли лекарственными препаратами, медицинскими изделиями и сопутствующими товарами</c:v>
                </c:pt>
                <c:pt idx="2">
                  <c:v>Рынок легкой промышленности</c:v>
                </c:pt>
                <c:pt idx="3">
                  <c:v>Рынок товарной аквакультуры</c:v>
                </c:pt>
                <c:pt idx="4">
                  <c:v>Рынок медицинских услуг</c:v>
                </c:pt>
                <c:pt idx="5">
                  <c:v>Рынок нефтепродуктов</c:v>
                </c:pt>
                <c:pt idx="6">
                  <c:v>Рынок племенного животноводства</c:v>
                </c:pt>
                <c:pt idx="7">
                  <c:v>Рынок жилищного строительства</c:v>
                </c:pt>
                <c:pt idx="8">
                  <c:v>Рынок обработки древесины и производства изделий из дерева</c:v>
                </c:pt>
                <c:pt idx="9">
                  <c:v>Рынок услуг по сбору и транспортированию твердых коммунальных отходов</c:v>
                </c:pt>
                <c:pt idx="10">
                  <c:v>Рынок ритуальных услуг</c:v>
                </c:pt>
                <c:pt idx="11">
                  <c:v>Рынок выполнения работ по содержанию и текущему ремонту общего имущества собственников помещений в многоквартирном доме</c:v>
                </c:pt>
                <c:pt idx="12">
                  <c:v>Рынок кадастровых и землеустроительных работ</c:v>
                </c:pt>
                <c:pt idx="13">
                  <c:v>Сфера наружной рекламы</c:v>
                </c:pt>
                <c:pt idx="14">
                  <c:v>Рынок добычи общераспространенных полезных ископаемых на участках недр местного значения</c:v>
                </c:pt>
              </c:strCache>
            </c:strRef>
          </c:cat>
          <c:val>
            <c:numRef>
              <c:f>Sheet1!$B$5:$P$5</c:f>
              <c:numCache>
                <c:formatCode>General</c:formatCode>
                <c:ptCount val="15"/>
                <c:pt idx="0" formatCode="0%">
                  <c:v>4.2553191489361701E-2</c:v>
                </c:pt>
                <c:pt idx="2" formatCode="0%">
                  <c:v>4.8780487804878002E-2</c:v>
                </c:pt>
                <c:pt idx="5" formatCode="0%">
                  <c:v>9.0909090909090898E-2</c:v>
                </c:pt>
                <c:pt idx="7" formatCode="0%">
                  <c:v>6.5217391304347797E-2</c:v>
                </c:pt>
                <c:pt idx="8" formatCode="0%">
                  <c:v>2.8571428571428598E-2</c:v>
                </c:pt>
                <c:pt idx="9" formatCode="0%">
                  <c:v>0.1</c:v>
                </c:pt>
                <c:pt idx="14" formatCode="0%">
                  <c:v>9.0909090909090898E-2</c:v>
                </c:pt>
              </c:numCache>
            </c:numRef>
          </c:val>
          <c:extLst xmlns:c16r2="http://schemas.microsoft.com/office/drawing/2015/06/chart">
            <c:ext xmlns:c16="http://schemas.microsoft.com/office/drawing/2014/chart" uri="{C3380CC4-5D6E-409C-BE32-E72D297353CC}">
              <c16:uniqueId val="{00000006-46E4-40AF-9D3C-2ABF913C65F6}"/>
            </c:ext>
          </c:extLst>
        </c:ser>
        <c:ser>
          <c:idx val="4"/>
          <c:order val="4"/>
          <c:tx>
            <c:strRef>
              <c:f>Sheet1!$A$6</c:f>
              <c:strCache>
                <c:ptCount val="1"/>
                <c:pt idx="0">
                  <c:v>Не пользуемся услугами поставщиков</c:v>
                </c:pt>
              </c:strCache>
            </c:strRef>
          </c:tx>
          <c:spPr>
            <a:solidFill>
              <a:srgbClr val="59221B"/>
            </a:solidFill>
          </c:spPr>
          <c:invertIfNegative val="0"/>
          <c:dLbls>
            <c:dLbl>
              <c:idx val="0"/>
              <c:layout>
                <c:manualLayout>
                  <c:x val="3.9749577660737351E-3"/>
                  <c:y val="1.4750423896128027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6E4-40AF-9D3C-2ABF913C65F6}"/>
                </c:ext>
              </c:extLst>
            </c:dLbl>
            <c:dLbl>
              <c:idx val="2"/>
              <c:layout>
                <c:manualLayout>
                  <c:x val="0"/>
                  <c:y val="2.359882005899705E-2"/>
                </c:manualLayout>
              </c:layout>
              <c:spPr>
                <a:noFill/>
                <a:ln>
                  <a:noFill/>
                </a:ln>
                <a:effectLst/>
              </c:spPr>
              <c:txPr>
                <a:bodyPr wrap="square" lIns="38100" tIns="19050" rIns="38100" bIns="19050" anchor="ctr">
                  <a:spAutoFit/>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6E4-40AF-9D3C-2ABF913C65F6}"/>
                </c:ext>
              </c:extLst>
            </c:dLbl>
            <c:dLbl>
              <c:idx val="8"/>
              <c:layout>
                <c:manualLayout>
                  <c:x val="1.9874788830368676E-3"/>
                  <c:y val="2.5073746312684365E-2"/>
                </c:manualLayout>
              </c:layout>
              <c:spPr>
                <a:noFill/>
                <a:ln>
                  <a:noFill/>
                </a:ln>
                <a:effectLst/>
              </c:spPr>
              <c:txPr>
                <a:bodyPr wrap="square" lIns="38100" tIns="19050" rIns="38100" bIns="19050" anchor="ctr">
                  <a:spAutoFit/>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6E4-40AF-9D3C-2ABF913C65F6}"/>
                </c:ext>
              </c:extLst>
            </c:dLbl>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Sheet1!$B$1:$P$1</c:f>
              <c:strCache>
                <c:ptCount val="15"/>
                <c:pt idx="0">
                  <c:v>Рынок строительства объектов капитального строительства, за исключением жилищного и дорожного строительства</c:v>
                </c:pt>
                <c:pt idx="1">
                  <c:v>Рынок услуг розничной торговли лекарственными препаратами, медицинскими изделиями и сопутствующими товарами</c:v>
                </c:pt>
                <c:pt idx="2">
                  <c:v>Рынок легкой промышленности</c:v>
                </c:pt>
                <c:pt idx="3">
                  <c:v>Рынок товарной аквакультуры</c:v>
                </c:pt>
                <c:pt idx="4">
                  <c:v>Рынок медицинских услуг</c:v>
                </c:pt>
                <c:pt idx="5">
                  <c:v>Рынок нефтепродуктов</c:v>
                </c:pt>
                <c:pt idx="6">
                  <c:v>Рынок племенного животноводства</c:v>
                </c:pt>
                <c:pt idx="7">
                  <c:v>Рынок жилищного строительства</c:v>
                </c:pt>
                <c:pt idx="8">
                  <c:v>Рынок обработки древесины и производства изделий из дерева</c:v>
                </c:pt>
                <c:pt idx="9">
                  <c:v>Рынок услуг по сбору и транспортированию твердых коммунальных отходов</c:v>
                </c:pt>
                <c:pt idx="10">
                  <c:v>Рынок ритуальных услуг</c:v>
                </c:pt>
                <c:pt idx="11">
                  <c:v>Рынок выполнения работ по содержанию и текущему ремонту общего имущества собственников помещений в многоквартирном доме</c:v>
                </c:pt>
                <c:pt idx="12">
                  <c:v>Рынок кадастровых и землеустроительных работ</c:v>
                </c:pt>
                <c:pt idx="13">
                  <c:v>Сфера наружной рекламы</c:v>
                </c:pt>
                <c:pt idx="14">
                  <c:v>Рынок добычи общераспространенных полезных ископаемых на участках недр местного значения</c:v>
                </c:pt>
              </c:strCache>
            </c:strRef>
          </c:cat>
          <c:val>
            <c:numRef>
              <c:f>Sheet1!$B$6:$P$6</c:f>
              <c:numCache>
                <c:formatCode>General</c:formatCode>
                <c:ptCount val="15"/>
                <c:pt idx="0" formatCode="0%">
                  <c:v>6.382978723404259E-2</c:v>
                </c:pt>
                <c:pt idx="2" formatCode="0%">
                  <c:v>2.4390243902439001E-2</c:v>
                </c:pt>
                <c:pt idx="3" formatCode="0%">
                  <c:v>8.3333333333333301E-2</c:v>
                </c:pt>
                <c:pt idx="5" formatCode="0%">
                  <c:v>9.0909090909090898E-2</c:v>
                </c:pt>
                <c:pt idx="6" formatCode="0%">
                  <c:v>6.25E-2</c:v>
                </c:pt>
                <c:pt idx="7" formatCode="0%">
                  <c:v>0.108695652173913</c:v>
                </c:pt>
                <c:pt idx="8" formatCode="0%">
                  <c:v>2.8571428571428598E-2</c:v>
                </c:pt>
                <c:pt idx="11" formatCode="0%">
                  <c:v>7.4074074074074098E-2</c:v>
                </c:pt>
                <c:pt idx="12" formatCode="0%">
                  <c:v>0.36363636363636404</c:v>
                </c:pt>
                <c:pt idx="13" formatCode="0%">
                  <c:v>0.18181818181818202</c:v>
                </c:pt>
              </c:numCache>
            </c:numRef>
          </c:val>
          <c:extLst xmlns:c16r2="http://schemas.microsoft.com/office/drawing/2015/06/chart">
            <c:ext xmlns:c16="http://schemas.microsoft.com/office/drawing/2014/chart" uri="{C3380CC4-5D6E-409C-BE32-E72D297353CC}">
              <c16:uniqueId val="{0000000A-46E4-40AF-9D3C-2ABF913C65F6}"/>
            </c:ext>
          </c:extLst>
        </c:ser>
        <c:ser>
          <c:idx val="5"/>
          <c:order val="5"/>
          <c:tx>
            <c:strRef>
              <c:f>Sheet1!$A$7</c:f>
              <c:strCache>
                <c:ptCount val="1"/>
                <c:pt idx="0">
                  <c:v>Затрудняюсь ответить</c:v>
                </c:pt>
              </c:strCache>
            </c:strRef>
          </c:tx>
          <c:spPr>
            <a:solidFill>
              <a:srgbClr val="E7E6E6">
                <a:lumMod val="75000"/>
              </a:srgbClr>
            </a:solidFill>
          </c:spPr>
          <c:invertIfNegative val="0"/>
          <c:dLbls>
            <c:dLbl>
              <c:idx val="0"/>
              <c:layout>
                <c:manualLayout>
                  <c:x val="0"/>
                  <c:y val="1.9123173762571714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6E4-40AF-9D3C-2ABF913C65F6}"/>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Sheet1!$B$1:$P$1</c:f>
              <c:strCache>
                <c:ptCount val="15"/>
                <c:pt idx="0">
                  <c:v>Рынок строительства объектов капитального строительства, за исключением жилищного и дорожного строительства</c:v>
                </c:pt>
                <c:pt idx="1">
                  <c:v>Рынок услуг розничной торговли лекарственными препаратами, медицинскими изделиями и сопутствующими товарами</c:v>
                </c:pt>
                <c:pt idx="2">
                  <c:v>Рынок легкой промышленности</c:v>
                </c:pt>
                <c:pt idx="3">
                  <c:v>Рынок товарной аквакультуры</c:v>
                </c:pt>
                <c:pt idx="4">
                  <c:v>Рынок медицинских услуг</c:v>
                </c:pt>
                <c:pt idx="5">
                  <c:v>Рынок нефтепродуктов</c:v>
                </c:pt>
                <c:pt idx="6">
                  <c:v>Рынок племенного животноводства</c:v>
                </c:pt>
                <c:pt idx="7">
                  <c:v>Рынок жилищного строительства</c:v>
                </c:pt>
                <c:pt idx="8">
                  <c:v>Рынок обработки древесины и производства изделий из дерева</c:v>
                </c:pt>
                <c:pt idx="9">
                  <c:v>Рынок услуг по сбору и транспортированию твердых коммунальных отходов</c:v>
                </c:pt>
                <c:pt idx="10">
                  <c:v>Рынок ритуальных услуг</c:v>
                </c:pt>
                <c:pt idx="11">
                  <c:v>Рынок выполнения работ по содержанию и текущему ремонту общего имущества собственников помещений в многоквартирном доме</c:v>
                </c:pt>
                <c:pt idx="12">
                  <c:v>Рынок кадастровых и землеустроительных работ</c:v>
                </c:pt>
                <c:pt idx="13">
                  <c:v>Сфера наружной рекламы</c:v>
                </c:pt>
                <c:pt idx="14">
                  <c:v>Рынок добычи общераспространенных полезных ископаемых на участках недр местного значения</c:v>
                </c:pt>
              </c:strCache>
            </c:strRef>
          </c:cat>
          <c:val>
            <c:numRef>
              <c:f>Sheet1!$B$7:$P$7</c:f>
              <c:numCache>
                <c:formatCode>General</c:formatCode>
                <c:ptCount val="15"/>
                <c:pt idx="0" formatCode="0%">
                  <c:v>4.2553191489361701E-2</c:v>
                </c:pt>
                <c:pt idx="2" formatCode="0%">
                  <c:v>7.3170731707317097E-2</c:v>
                </c:pt>
                <c:pt idx="5" formatCode="0%">
                  <c:v>0.18181818181818202</c:v>
                </c:pt>
                <c:pt idx="7" formatCode="0%">
                  <c:v>4.3478260869565195E-2</c:v>
                </c:pt>
                <c:pt idx="8" formatCode="0%">
                  <c:v>5.7142857142857099E-2</c:v>
                </c:pt>
                <c:pt idx="10" formatCode="0%">
                  <c:v>0.1</c:v>
                </c:pt>
                <c:pt idx="11" formatCode="0%">
                  <c:v>7.4074074074074098E-2</c:v>
                </c:pt>
                <c:pt idx="13" formatCode="0%">
                  <c:v>9.0909090909090898E-2</c:v>
                </c:pt>
              </c:numCache>
            </c:numRef>
          </c:val>
          <c:extLst xmlns:c16r2="http://schemas.microsoft.com/office/drawing/2015/06/chart">
            <c:ext xmlns:c16="http://schemas.microsoft.com/office/drawing/2014/chart" uri="{C3380CC4-5D6E-409C-BE32-E72D297353CC}">
              <c16:uniqueId val="{0000000C-46E4-40AF-9D3C-2ABF913C65F6}"/>
            </c:ext>
          </c:extLst>
        </c:ser>
        <c:dLbls>
          <c:showLegendKey val="0"/>
          <c:showVal val="0"/>
          <c:showCatName val="0"/>
          <c:showSerName val="0"/>
          <c:showPercent val="0"/>
          <c:showBubbleSize val="0"/>
        </c:dLbls>
        <c:gapWidth val="105"/>
        <c:overlap val="100"/>
        <c:axId val="119869440"/>
        <c:axId val="118070592"/>
      </c:barChart>
      <c:catAx>
        <c:axId val="119869440"/>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950">
                <a:latin typeface="Times New Roman" panose="02020603050405020304" pitchFamily="18" charset="0"/>
                <a:cs typeface="Times New Roman" panose="02020603050405020304" pitchFamily="18" charset="0"/>
              </a:defRPr>
            </a:pPr>
            <a:endParaRPr lang="ru-RU"/>
          </a:p>
        </c:txPr>
        <c:crossAx val="118070592"/>
        <c:crosses val="autoZero"/>
        <c:auto val="1"/>
        <c:lblAlgn val="ctr"/>
        <c:lblOffset val="100"/>
        <c:noMultiLvlLbl val="1"/>
      </c:catAx>
      <c:valAx>
        <c:axId val="118070592"/>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119869440"/>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2.6945518821972748E-2"/>
          <c:y val="0.94346375397765547"/>
          <c:w val="0.89153513964386566"/>
          <c:h val="5.6536246022344562E-2"/>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5513903758438599"/>
          <c:y val="3.1116050093031242E-2"/>
          <c:w val="0.32446002997701223"/>
          <c:h val="0.92174193458581377"/>
        </c:manualLayout>
      </c:layout>
      <c:doughnutChart>
        <c:varyColors val="1"/>
        <c:ser>
          <c:idx val="0"/>
          <c:order val="0"/>
          <c:tx>
            <c:strRef>
              <c:f>Лист1!$B$1</c:f>
              <c:strCache>
                <c:ptCount val="1"/>
                <c:pt idx="0">
                  <c:v>Стаж</c:v>
                </c:pt>
              </c:strCache>
            </c:strRef>
          </c:tx>
          <c:dPt>
            <c:idx val="0"/>
            <c:bubble3D val="0"/>
            <c:spPr>
              <a:solidFill>
                <a:srgbClr val="70AD47">
                  <a:lumMod val="75000"/>
                </a:srgbClr>
              </a:solidFill>
              <a:ln w="19050">
                <a:solidFill>
                  <a:schemeClr val="lt1"/>
                </a:solidFill>
              </a:ln>
              <a:effectLst/>
            </c:spPr>
            <c:extLst xmlns:c16r2="http://schemas.microsoft.com/office/drawing/2015/06/chart">
              <c:ext xmlns:c16="http://schemas.microsoft.com/office/drawing/2014/chart" uri="{C3380CC4-5D6E-409C-BE32-E72D297353CC}">
                <c16:uniqueId val="{00000001-269E-4C06-8CDC-D9528B58D33D}"/>
              </c:ext>
            </c:extLst>
          </c:dPt>
          <c:dPt>
            <c:idx val="1"/>
            <c:bubble3D val="0"/>
            <c:spPr>
              <a:solidFill>
                <a:srgbClr val="70AD47">
                  <a:lumMod val="60000"/>
                  <a:lumOff val="40000"/>
                </a:srgbClr>
              </a:solidFill>
              <a:ln w="19050">
                <a:solidFill>
                  <a:schemeClr val="lt1"/>
                </a:solidFill>
              </a:ln>
              <a:effectLst/>
            </c:spPr>
            <c:extLst xmlns:c16r2="http://schemas.microsoft.com/office/drawing/2015/06/chart">
              <c:ext xmlns:c16="http://schemas.microsoft.com/office/drawing/2014/chart" uri="{C3380CC4-5D6E-409C-BE32-E72D297353CC}">
                <c16:uniqueId val="{00000003-269E-4C06-8CDC-D9528B58D33D}"/>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69E-4C06-8CDC-D9528B58D33D}"/>
              </c:ext>
            </c:extLst>
          </c:dPt>
          <c:dPt>
            <c:idx val="3"/>
            <c:bubble3D val="0"/>
            <c:spPr>
              <a:solidFill>
                <a:srgbClr val="59221B"/>
              </a:solidFill>
              <a:ln w="19050">
                <a:solidFill>
                  <a:schemeClr val="lt1"/>
                </a:solidFill>
              </a:ln>
              <a:effectLst/>
            </c:spPr>
            <c:extLst xmlns:c16r2="http://schemas.microsoft.com/office/drawing/2015/06/chart">
              <c:ext xmlns:c16="http://schemas.microsoft.com/office/drawing/2014/chart" uri="{C3380CC4-5D6E-409C-BE32-E72D297353CC}">
                <c16:uniqueId val="{00000007-269E-4C06-8CDC-D9528B58D33D}"/>
              </c:ext>
            </c:extLst>
          </c:dPt>
          <c:dPt>
            <c:idx val="4"/>
            <c:bubble3D val="0"/>
            <c:spPr>
              <a:solidFill>
                <a:schemeClr val="bg1">
                  <a:lumMod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269E-4C06-8CDC-D9528B58D33D}"/>
              </c:ext>
            </c:extLst>
          </c:dPt>
          <c:dLbls>
            <c:dLbl>
              <c:idx val="0"/>
              <c:layout>
                <c:manualLayout>
                  <c:x val="1.6647591301633392E-2"/>
                  <c:y val="8.902737591809480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69E-4C06-8CDC-D9528B58D33D}"/>
                </c:ext>
              </c:extLst>
            </c:dLbl>
            <c:dLbl>
              <c:idx val="3"/>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Удовлетворен (-а)</c:v>
                </c:pt>
                <c:pt idx="1">
                  <c:v>Скорее удовлетворен (-а)</c:v>
                </c:pt>
                <c:pt idx="2">
                  <c:v>Скорее не удовлетворен (-а)</c:v>
                </c:pt>
                <c:pt idx="3">
                  <c:v>Не удовлетворен (-а)</c:v>
                </c:pt>
                <c:pt idx="4">
                  <c:v>Затрудняюсь ответить</c:v>
                </c:pt>
              </c:strCache>
            </c:strRef>
          </c:cat>
          <c:val>
            <c:numRef>
              <c:f>Лист1!$B$2:$B$6</c:f>
              <c:numCache>
                <c:formatCode>0%</c:formatCode>
                <c:ptCount val="5"/>
                <c:pt idx="0">
                  <c:v>0.18</c:v>
                </c:pt>
                <c:pt idx="1">
                  <c:v>0.41600000000000004</c:v>
                </c:pt>
                <c:pt idx="2">
                  <c:v>0.20199999999999999</c:v>
                </c:pt>
                <c:pt idx="3">
                  <c:v>6.2E-2</c:v>
                </c:pt>
                <c:pt idx="4">
                  <c:v>0.14000000000000001</c:v>
                </c:pt>
              </c:numCache>
            </c:numRef>
          </c:val>
          <c:extLst xmlns:c16r2="http://schemas.microsoft.com/office/drawing/2015/06/chart">
            <c:ext xmlns:c16="http://schemas.microsoft.com/office/drawing/2014/chart" uri="{C3380CC4-5D6E-409C-BE32-E72D297353CC}">
              <c16:uniqueId val="{0000000A-269E-4C06-8CDC-D9528B58D33D}"/>
            </c:ext>
          </c:extLst>
        </c:ser>
        <c:dLbls>
          <c:showLegendKey val="0"/>
          <c:showVal val="0"/>
          <c:showCatName val="0"/>
          <c:showSerName val="0"/>
          <c:showPercent val="0"/>
          <c:showBubbleSize val="0"/>
          <c:showLeaderLines val="0"/>
        </c:dLbls>
        <c:firstSliceAng val="0"/>
        <c:holeSize val="71"/>
      </c:doughnutChart>
      <c:spPr>
        <a:noFill/>
        <a:ln>
          <a:noFill/>
        </a:ln>
        <a:effectLst/>
      </c:spPr>
    </c:plotArea>
    <c:legend>
      <c:legendPos val="l"/>
      <c:layout>
        <c:manualLayout>
          <c:xMode val="edge"/>
          <c:yMode val="edge"/>
          <c:x val="1.4566642388929352E-2"/>
          <c:y val="0.2761105418329558"/>
          <c:w val="0.27956383851197669"/>
          <c:h val="0.4998283214008973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9223370516185481"/>
          <c:y val="1.3489704631991424E-2"/>
          <c:w val="0.33767370224555265"/>
          <c:h val="0.96843222062030976"/>
        </c:manualLayout>
      </c:layout>
      <c:barChart>
        <c:barDir val="bar"/>
        <c:grouping val="clustered"/>
        <c:varyColors val="0"/>
        <c:ser>
          <c:idx val="0"/>
          <c:order val="0"/>
          <c:tx>
            <c:strRef>
              <c:f>Лист1!$B$1</c:f>
              <c:strCache>
                <c:ptCount val="1"/>
                <c:pt idx="0">
                  <c:v>Столбец1</c:v>
                </c:pt>
              </c:strCache>
            </c:strRef>
          </c:tx>
          <c:spPr>
            <a:solidFill>
              <a:srgbClr val="591825"/>
            </a:solidFill>
            <a:ln>
              <a:noFill/>
            </a:ln>
            <a:effectLst/>
          </c:spPr>
          <c:invertIfNegative val="0"/>
          <c:dPt>
            <c:idx val="0"/>
            <c:invertIfNegative val="0"/>
            <c:bubble3D val="0"/>
            <c:spPr>
              <a:solidFill>
                <a:srgbClr val="A9D18E"/>
              </a:solidFill>
              <a:ln>
                <a:noFill/>
              </a:ln>
              <a:effectLst/>
            </c:spPr>
            <c:extLst xmlns:c16r2="http://schemas.microsoft.com/office/drawing/2015/06/chart">
              <c:ext xmlns:c16="http://schemas.microsoft.com/office/drawing/2014/chart" uri="{C3380CC4-5D6E-409C-BE32-E72D297353CC}">
                <c16:uniqueId val="{00000001-6C9C-4016-8A93-3A7F88BB7EFD}"/>
              </c:ext>
            </c:extLst>
          </c:dPt>
          <c:dPt>
            <c:idx val="2"/>
            <c:invertIfNegative val="0"/>
            <c:bubble3D val="0"/>
            <c:extLst xmlns:c16r2="http://schemas.microsoft.com/office/drawing/2015/06/chart">
              <c:ext xmlns:c16="http://schemas.microsoft.com/office/drawing/2014/chart" uri="{C3380CC4-5D6E-409C-BE32-E72D297353CC}">
                <c16:uniqueId val="{00000002-6C9C-4016-8A93-3A7F88BB7EFD}"/>
              </c:ext>
            </c:extLst>
          </c:dPt>
          <c:dPt>
            <c:idx val="7"/>
            <c:invertIfNegative val="0"/>
            <c:bubble3D val="0"/>
            <c:spPr>
              <a:solidFill>
                <a:srgbClr val="E7E6E6">
                  <a:lumMod val="75000"/>
                </a:srgbClr>
              </a:solidFill>
              <a:ln>
                <a:noFill/>
              </a:ln>
              <a:effectLst/>
            </c:spPr>
            <c:extLst xmlns:c16r2="http://schemas.microsoft.com/office/drawing/2015/06/chart">
              <c:ext xmlns:c16="http://schemas.microsoft.com/office/drawing/2014/chart" uri="{C3380CC4-5D6E-409C-BE32-E72D297353CC}">
                <c16:uniqueId val="{00000005-6C9C-4016-8A93-3A7F88BB7EFD}"/>
              </c:ext>
            </c:extLst>
          </c:dPt>
          <c:dLbls>
            <c:dLbl>
              <c:idx val="0"/>
              <c:layout>
                <c:manualLayout>
                  <c:x val="-4.6296296296295444E-3"/>
                  <c:y val="4.407713498622508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C9C-4016-8A93-3A7F88BB7EFD}"/>
                </c:ext>
              </c:extLst>
            </c:dLbl>
            <c:dLbl>
              <c:idx val="1"/>
              <c:layout>
                <c:manualLayout>
                  <c:x val="-2.3148148148148147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C9C-4016-8A93-3A7F88BB7EFD}"/>
                </c:ext>
              </c:extLst>
            </c:dLbl>
            <c:dLbl>
              <c:idx val="6"/>
              <c:layout>
                <c:manualLayout>
                  <c:x val="-4.6296296296297144E-3"/>
                  <c:y val="6.611570247933884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C9C-4016-8A93-3A7F88BB7EFD}"/>
                </c:ext>
              </c:extLst>
            </c:dLbl>
            <c:dLbl>
              <c:idx val="7"/>
              <c:layout>
                <c:manualLayout>
                  <c:x val="-2.3148148148148997E-3"/>
                  <c:y val="6.611570247933884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C9C-4016-8A93-3A7F88BB7EFD}"/>
                </c:ext>
              </c:extLst>
            </c:dLbl>
            <c:spPr>
              <a:noFill/>
              <a:ln>
                <a:noFill/>
              </a:ln>
              <a:effectLst/>
            </c:spPr>
            <c:txPr>
              <a:bodyPr rot="0" vert="horz"/>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Не сталкивался (-ась)</c:v>
                </c:pt>
                <c:pt idx="1">
                  <c:v>Ценовая дискриминация</c:v>
                </c:pt>
                <c:pt idx="2">
                  <c:v>Отсутствие организации и проведения торгов на право заключения договоров в случаях, когда законодательство требует их</c:v>
                </c:pt>
                <c:pt idx="3">
                  <c:v>Продажа товара только в определенном ассортименте, продажа в нагрузку, разные условия поставки</c:v>
                </c:pt>
                <c:pt idx="4">
                  <c:v>Акты органов государственной власти субъектов Российской Федерации, которые вводят ограничения в отношении создания хозяйствующих субъектов, осуществления ими отдельных видов деятельности</c:v>
                </c:pt>
                <c:pt idx="5">
                  <c:v>Сталкивался (-ась) со всеми перечисленными дискриминационными условиями</c:v>
                </c:pt>
                <c:pt idx="6">
                  <c:v>Другое</c:v>
                </c:pt>
                <c:pt idx="7">
                  <c:v>Затрудняюсь ответить</c:v>
                </c:pt>
              </c:strCache>
            </c:strRef>
          </c:cat>
          <c:val>
            <c:numRef>
              <c:f>Лист1!$B$2:$B$9</c:f>
              <c:numCache>
                <c:formatCode>0%</c:formatCode>
                <c:ptCount val="8"/>
                <c:pt idx="0">
                  <c:v>0.55000000000000004</c:v>
                </c:pt>
                <c:pt idx="1">
                  <c:v>0.14000000000000001</c:v>
                </c:pt>
                <c:pt idx="2">
                  <c:v>8.5999999999999993E-2</c:v>
                </c:pt>
                <c:pt idx="3">
                  <c:v>7.400000000000001E-2</c:v>
                </c:pt>
                <c:pt idx="4">
                  <c:v>6.2E-2</c:v>
                </c:pt>
                <c:pt idx="5">
                  <c:v>2.4E-2</c:v>
                </c:pt>
                <c:pt idx="6">
                  <c:v>0.01</c:v>
                </c:pt>
                <c:pt idx="7">
                  <c:v>0.156</c:v>
                </c:pt>
              </c:numCache>
            </c:numRef>
          </c:val>
          <c:extLst xmlns:c16r2="http://schemas.microsoft.com/office/drawing/2015/06/chart">
            <c:ext xmlns:c16="http://schemas.microsoft.com/office/drawing/2014/chart" uri="{C3380CC4-5D6E-409C-BE32-E72D297353CC}">
              <c16:uniqueId val="{00000006-6C9C-4016-8A93-3A7F88BB7EFD}"/>
            </c:ext>
          </c:extLst>
        </c:ser>
        <c:dLbls>
          <c:showLegendKey val="0"/>
          <c:showVal val="0"/>
          <c:showCatName val="0"/>
          <c:showSerName val="0"/>
          <c:showPercent val="0"/>
          <c:showBubbleSize val="0"/>
        </c:dLbls>
        <c:gapWidth val="69"/>
        <c:axId val="144551424"/>
        <c:axId val="144891904"/>
      </c:barChart>
      <c:catAx>
        <c:axId val="1445514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1050" baseline="0">
                <a:latin typeface="Times New Roman" panose="02020603050405020304" pitchFamily="18" charset="0"/>
              </a:defRPr>
            </a:pPr>
            <a:endParaRPr lang="ru-RU"/>
          </a:p>
        </c:txPr>
        <c:crossAx val="144891904"/>
        <c:crosses val="autoZero"/>
        <c:auto val="1"/>
        <c:lblAlgn val="ctr"/>
        <c:lblOffset val="100"/>
        <c:noMultiLvlLbl val="0"/>
      </c:catAx>
      <c:valAx>
        <c:axId val="144891904"/>
        <c:scaling>
          <c:orientation val="minMax"/>
        </c:scaling>
        <c:delete val="1"/>
        <c:axPos val="t"/>
        <c:majorGridlines>
          <c:spPr>
            <a:ln w="9525" cap="flat" cmpd="sng" algn="ctr">
              <a:noFill/>
              <a:round/>
            </a:ln>
            <a:effectLst/>
          </c:spPr>
        </c:majorGridlines>
        <c:numFmt formatCode="0%" sourceLinked="1"/>
        <c:majorTickMark val="out"/>
        <c:minorTickMark val="none"/>
        <c:tickLblPos val="nextTo"/>
        <c:crossAx val="1445514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b="0">
          <a:solidFill>
            <a:sysClr val="windowText" lastClr="000000"/>
          </a:solidFill>
          <a:latin typeface="+mn-lt"/>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Количество</a:t>
            </a:r>
            <a:r>
              <a:rPr lang="ru-RU" baseline="0">
                <a:latin typeface="Times New Roman" panose="02020603050405020304" pitchFamily="18" charset="0"/>
                <a:cs typeface="Times New Roman" panose="02020603050405020304" pitchFamily="18" charset="0"/>
              </a:rPr>
              <a:t> субъектов МСП</a:t>
            </a:r>
            <a:endParaRPr lang="ru-RU">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129-4D29-A2F3-0D9475C2746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2-6DF6-479A-B119-03D55CD43A7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1-6DF6-479A-B119-03D55CD43A7C}"/>
              </c:ext>
            </c:extLst>
          </c:dPt>
          <c:dLbls>
            <c:dLbl>
              <c:idx val="1"/>
              <c:layout>
                <c:manualLayout>
                  <c:x val="-6.1274509803921568E-3"/>
                  <c:y val="-5.5555555555555594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DF6-479A-B119-03D55CD43A7C}"/>
                </c:ext>
              </c:extLst>
            </c:dLbl>
            <c:dLbl>
              <c:idx val="2"/>
              <c:layout>
                <c:manualLayout>
                  <c:x val="2.0424836601307041E-2"/>
                  <c:y val="3.5714285714285643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DF6-479A-B119-03D55CD43A7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Микропредприятия</c:v>
                </c:pt>
                <c:pt idx="1">
                  <c:v>Малые предприятия</c:v>
                </c:pt>
                <c:pt idx="2">
                  <c:v>Средние предприятия</c:v>
                </c:pt>
              </c:strCache>
            </c:strRef>
          </c:cat>
          <c:val>
            <c:numRef>
              <c:f>Лист1!$B$2:$B$4</c:f>
              <c:numCache>
                <c:formatCode>#,##0</c:formatCode>
                <c:ptCount val="3"/>
                <c:pt idx="0">
                  <c:v>70084</c:v>
                </c:pt>
                <c:pt idx="1">
                  <c:v>2112</c:v>
                </c:pt>
                <c:pt idx="2">
                  <c:v>233</c:v>
                </c:pt>
              </c:numCache>
            </c:numRef>
          </c:val>
          <c:extLst xmlns:c16r2="http://schemas.microsoft.com/office/drawing/2015/06/chart">
            <c:ext xmlns:c16="http://schemas.microsoft.com/office/drawing/2014/chart" uri="{C3380CC4-5D6E-409C-BE32-E72D297353CC}">
              <c16:uniqueId val="{00000000-6DF6-479A-B119-03D55CD43A7C}"/>
            </c:ext>
          </c:extLst>
        </c:ser>
        <c:dLbls>
          <c:showLegendKey val="0"/>
          <c:showVal val="0"/>
          <c:showCatName val="0"/>
          <c:showSerName val="0"/>
          <c:showPercent val="0"/>
          <c:showBubbleSize val="0"/>
          <c:showLeaderLines val="1"/>
        </c:dLbls>
        <c:firstSliceAng val="6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Структура общего числа </a:t>
            </a:r>
            <a:r>
              <a:rPr lang="ru-RU" baseline="0">
                <a:latin typeface="Times New Roman" panose="02020603050405020304" pitchFamily="18" charset="0"/>
                <a:cs typeface="Times New Roman" panose="02020603050405020304" pitchFamily="18" charset="0"/>
              </a:rPr>
              <a:t>субъектов МСП по организационно-правовым формам</a:t>
            </a:r>
            <a:endParaRPr lang="ru-RU">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Всего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Лист1!$A$2:$A$8</c:f>
              <c:numCache>
                <c:formatCode>General</c:formatCode>
                <c:ptCount val="7"/>
                <c:pt idx="0">
                  <c:v>2016</c:v>
                </c:pt>
                <c:pt idx="1">
                  <c:v>2017</c:v>
                </c:pt>
                <c:pt idx="2">
                  <c:v>2018</c:v>
                </c:pt>
                <c:pt idx="3">
                  <c:v>2019</c:v>
                </c:pt>
                <c:pt idx="4">
                  <c:v>2020</c:v>
                </c:pt>
                <c:pt idx="5">
                  <c:v>2021</c:v>
                </c:pt>
                <c:pt idx="6">
                  <c:v>2022</c:v>
                </c:pt>
              </c:numCache>
            </c:numRef>
          </c:cat>
          <c:val>
            <c:numRef>
              <c:f>Лист1!$B$2:$B$8</c:f>
              <c:numCache>
                <c:formatCode>#,##0</c:formatCode>
                <c:ptCount val="7"/>
                <c:pt idx="0">
                  <c:v>51941</c:v>
                </c:pt>
                <c:pt idx="1">
                  <c:v>55102</c:v>
                </c:pt>
                <c:pt idx="2">
                  <c:v>59297</c:v>
                </c:pt>
                <c:pt idx="3">
                  <c:v>63750</c:v>
                </c:pt>
                <c:pt idx="4">
                  <c:v>64238</c:v>
                </c:pt>
                <c:pt idx="5">
                  <c:v>68851</c:v>
                </c:pt>
                <c:pt idx="6">
                  <c:v>72429</c:v>
                </c:pt>
              </c:numCache>
            </c:numRef>
          </c:val>
          <c:extLst xmlns:c16r2="http://schemas.microsoft.com/office/drawing/2015/06/chart">
            <c:ext xmlns:c16="http://schemas.microsoft.com/office/drawing/2014/chart" uri="{C3380CC4-5D6E-409C-BE32-E72D297353CC}">
              <c16:uniqueId val="{00000000-00FA-47EB-8025-941D989406D4}"/>
            </c:ext>
          </c:extLst>
        </c:ser>
        <c:ser>
          <c:idx val="1"/>
          <c:order val="1"/>
          <c:tx>
            <c:strRef>
              <c:f>Лист1!$C$1</c:f>
              <c:strCache>
                <c:ptCount val="1"/>
                <c:pt idx="0">
                  <c:v>Юридических лиц</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cat>
            <c:numRef>
              <c:f>Лист1!$A$2:$A$8</c:f>
              <c:numCache>
                <c:formatCode>General</c:formatCode>
                <c:ptCount val="7"/>
                <c:pt idx="0">
                  <c:v>2016</c:v>
                </c:pt>
                <c:pt idx="1">
                  <c:v>2017</c:v>
                </c:pt>
                <c:pt idx="2">
                  <c:v>2018</c:v>
                </c:pt>
                <c:pt idx="3">
                  <c:v>2019</c:v>
                </c:pt>
                <c:pt idx="4">
                  <c:v>2020</c:v>
                </c:pt>
                <c:pt idx="5">
                  <c:v>2021</c:v>
                </c:pt>
                <c:pt idx="6">
                  <c:v>2022</c:v>
                </c:pt>
              </c:numCache>
            </c:numRef>
          </c:cat>
          <c:val>
            <c:numRef>
              <c:f>Лист1!$C$2:$C$8</c:f>
              <c:numCache>
                <c:formatCode>#,##0</c:formatCode>
                <c:ptCount val="7"/>
                <c:pt idx="0">
                  <c:v>17409</c:v>
                </c:pt>
                <c:pt idx="1">
                  <c:v>17585</c:v>
                </c:pt>
                <c:pt idx="2">
                  <c:v>18147</c:v>
                </c:pt>
                <c:pt idx="3">
                  <c:v>19281</c:v>
                </c:pt>
                <c:pt idx="4">
                  <c:v>19783</c:v>
                </c:pt>
                <c:pt idx="5">
                  <c:v>19712</c:v>
                </c:pt>
                <c:pt idx="6">
                  <c:v>19889</c:v>
                </c:pt>
              </c:numCache>
            </c:numRef>
          </c:val>
          <c:extLst xmlns:c16r2="http://schemas.microsoft.com/office/drawing/2015/06/chart">
            <c:ext xmlns:c16="http://schemas.microsoft.com/office/drawing/2014/chart" uri="{C3380CC4-5D6E-409C-BE32-E72D297353CC}">
              <c16:uniqueId val="{00000001-00FA-47EB-8025-941D989406D4}"/>
            </c:ext>
          </c:extLst>
        </c:ser>
        <c:ser>
          <c:idx val="2"/>
          <c:order val="2"/>
          <c:tx>
            <c:strRef>
              <c:f>Лист1!$D$1</c:f>
              <c:strCache>
                <c:ptCount val="1"/>
                <c:pt idx="0">
                  <c:v>Индивидуальных предпринимателей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3"/>
                </a:solidFill>
                <a:prstDash val="sysDot"/>
              </a:ln>
              <a:effectLst/>
            </c:spPr>
            <c:trendlineType val="linear"/>
            <c:dispRSqr val="0"/>
            <c:dispEq val="0"/>
          </c:trendline>
          <c:cat>
            <c:numRef>
              <c:f>Лист1!$A$2:$A$8</c:f>
              <c:numCache>
                <c:formatCode>General</c:formatCode>
                <c:ptCount val="7"/>
                <c:pt idx="0">
                  <c:v>2016</c:v>
                </c:pt>
                <c:pt idx="1">
                  <c:v>2017</c:v>
                </c:pt>
                <c:pt idx="2">
                  <c:v>2018</c:v>
                </c:pt>
                <c:pt idx="3">
                  <c:v>2019</c:v>
                </c:pt>
                <c:pt idx="4">
                  <c:v>2020</c:v>
                </c:pt>
                <c:pt idx="5">
                  <c:v>2021</c:v>
                </c:pt>
                <c:pt idx="6">
                  <c:v>2022</c:v>
                </c:pt>
              </c:numCache>
            </c:numRef>
          </c:cat>
          <c:val>
            <c:numRef>
              <c:f>Лист1!$D$2:$D$8</c:f>
              <c:numCache>
                <c:formatCode>#,##0</c:formatCode>
                <c:ptCount val="7"/>
                <c:pt idx="0">
                  <c:v>34532</c:v>
                </c:pt>
                <c:pt idx="1">
                  <c:v>37517</c:v>
                </c:pt>
                <c:pt idx="2">
                  <c:v>41150</c:v>
                </c:pt>
                <c:pt idx="3">
                  <c:v>44469</c:v>
                </c:pt>
                <c:pt idx="4">
                  <c:v>44455</c:v>
                </c:pt>
                <c:pt idx="5">
                  <c:v>49139</c:v>
                </c:pt>
                <c:pt idx="6">
                  <c:v>52540</c:v>
                </c:pt>
              </c:numCache>
            </c:numRef>
          </c:val>
          <c:extLst xmlns:c16r2="http://schemas.microsoft.com/office/drawing/2015/06/chart">
            <c:ext xmlns:c16="http://schemas.microsoft.com/office/drawing/2014/chart" uri="{C3380CC4-5D6E-409C-BE32-E72D297353CC}">
              <c16:uniqueId val="{00000002-00FA-47EB-8025-941D989406D4}"/>
            </c:ext>
          </c:extLst>
        </c:ser>
        <c:dLbls>
          <c:showLegendKey val="0"/>
          <c:showVal val="0"/>
          <c:showCatName val="0"/>
          <c:showSerName val="0"/>
          <c:showPercent val="0"/>
          <c:showBubbleSize val="0"/>
        </c:dLbls>
        <c:gapWidth val="219"/>
        <c:overlap val="-27"/>
        <c:axId val="145453568"/>
        <c:axId val="144893632"/>
      </c:barChart>
      <c:catAx>
        <c:axId val="145453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4893632"/>
        <c:crosses val="autoZero"/>
        <c:auto val="1"/>
        <c:lblAlgn val="ctr"/>
        <c:lblOffset val="100"/>
        <c:noMultiLvlLbl val="0"/>
      </c:catAx>
      <c:valAx>
        <c:axId val="1448936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5453568"/>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4403037054463"/>
          <c:y val="9.8027676117950047E-2"/>
          <c:w val="0.32241060292995294"/>
          <c:h val="0.85370694860325569"/>
        </c:manualLayout>
      </c:layout>
      <c:doughnutChart>
        <c:varyColors val="1"/>
        <c:ser>
          <c:idx val="0"/>
          <c:order val="0"/>
          <c:tx>
            <c:strRef>
              <c:f>Лист1!$B$1</c:f>
              <c:strCache>
                <c:ptCount val="1"/>
                <c:pt idx="0">
                  <c:v>Продажи</c:v>
                </c:pt>
              </c:strCache>
            </c:strRef>
          </c:tx>
          <c:dPt>
            <c:idx val="0"/>
            <c:bubble3D val="0"/>
            <c:spPr>
              <a:solidFill>
                <a:srgbClr val="548235"/>
              </a:solidFill>
              <a:ln w="19050">
                <a:solidFill>
                  <a:schemeClr val="lt1"/>
                </a:solidFill>
              </a:ln>
              <a:effectLst/>
            </c:spPr>
            <c:extLst xmlns:c16r2="http://schemas.microsoft.com/office/drawing/2015/06/chart">
              <c:ext xmlns:c16="http://schemas.microsoft.com/office/drawing/2014/chart" uri="{C3380CC4-5D6E-409C-BE32-E72D297353CC}">
                <c16:uniqueId val="{00000001-6166-43E9-94BD-058EFBE925FF}"/>
              </c:ext>
            </c:extLst>
          </c:dPt>
          <c:dPt>
            <c:idx val="1"/>
            <c:bubble3D val="0"/>
            <c:spPr>
              <a:solidFill>
                <a:srgbClr val="A9D18E"/>
              </a:solidFill>
              <a:ln w="19050">
                <a:solidFill>
                  <a:schemeClr val="lt1"/>
                </a:solidFill>
              </a:ln>
              <a:effectLst/>
            </c:spPr>
            <c:extLst xmlns:c16r2="http://schemas.microsoft.com/office/drawing/2015/06/chart">
              <c:ext xmlns:c16="http://schemas.microsoft.com/office/drawing/2014/chart" uri="{C3380CC4-5D6E-409C-BE32-E72D297353CC}">
                <c16:uniqueId val="{00000003-6166-43E9-94BD-058EFBE925FF}"/>
              </c:ext>
            </c:extLst>
          </c:dPt>
          <c:dPt>
            <c:idx val="2"/>
            <c:bubble3D val="0"/>
            <c:spPr>
              <a:solidFill>
                <a:srgbClr val="D97A8D"/>
              </a:solidFill>
              <a:ln w="19050">
                <a:solidFill>
                  <a:schemeClr val="lt1"/>
                </a:solidFill>
              </a:ln>
              <a:effectLst/>
            </c:spPr>
            <c:extLst xmlns:c16r2="http://schemas.microsoft.com/office/drawing/2015/06/chart">
              <c:ext xmlns:c16="http://schemas.microsoft.com/office/drawing/2014/chart" uri="{C3380CC4-5D6E-409C-BE32-E72D297353CC}">
                <c16:uniqueId val="{00000005-6166-43E9-94BD-058EFBE925FF}"/>
              </c:ext>
            </c:extLst>
          </c:dPt>
          <c:dPt>
            <c:idx val="3"/>
            <c:bubble3D val="0"/>
            <c:spPr>
              <a:solidFill>
                <a:srgbClr val="59221B"/>
              </a:solidFill>
              <a:ln w="19050">
                <a:solidFill>
                  <a:schemeClr val="lt1"/>
                </a:solidFill>
              </a:ln>
              <a:effectLst/>
            </c:spPr>
            <c:extLst xmlns:c16r2="http://schemas.microsoft.com/office/drawing/2015/06/chart">
              <c:ext xmlns:c16="http://schemas.microsoft.com/office/drawing/2014/chart" uri="{C3380CC4-5D6E-409C-BE32-E72D297353CC}">
                <c16:uniqueId val="{00000007-6166-43E9-94BD-058EFBE925FF}"/>
              </c:ext>
            </c:extLst>
          </c:dPt>
          <c:dPt>
            <c:idx val="4"/>
            <c:bubble3D val="0"/>
            <c:spPr>
              <a:solidFill>
                <a:schemeClr val="bg1">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6166-43E9-94BD-058EFBE925FF}"/>
              </c:ext>
            </c:extLst>
          </c:dPt>
          <c:dLbls>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dLbl>
            <c:dLbl>
              <c:idx val="3"/>
              <c:layout>
                <c:manualLayout>
                  <c:x val="-2.3432921948586215E-2"/>
                  <c:y val="-8.99067194065530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166-43E9-94BD-058EFBE925FF}"/>
                </c:ext>
              </c:extLst>
            </c:dLbl>
            <c:dLbl>
              <c:idx val="4"/>
              <c:layout>
                <c:manualLayout>
                  <c:x val="-4.3340712878365935E-17"/>
                  <c:y val="-8.71553731839858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166-43E9-94BD-058EFBE925FF}"/>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Избыточно (много)</c:v>
                </c:pt>
                <c:pt idx="1">
                  <c:v>Достаточно</c:v>
                </c:pt>
                <c:pt idx="2">
                  <c:v>Мало</c:v>
                </c:pt>
                <c:pt idx="3">
                  <c:v>Нет совсем</c:v>
                </c:pt>
                <c:pt idx="4">
                  <c:v>Затрудняюсь ответить</c:v>
                </c:pt>
              </c:strCache>
            </c:strRef>
          </c:cat>
          <c:val>
            <c:numRef>
              <c:f>Лист1!$B$2:$B$6</c:f>
              <c:numCache>
                <c:formatCode>0%</c:formatCode>
                <c:ptCount val="5"/>
                <c:pt idx="0">
                  <c:v>5.2106611435112006E-2</c:v>
                </c:pt>
                <c:pt idx="1">
                  <c:v>0.67373412547010414</c:v>
                </c:pt>
                <c:pt idx="2">
                  <c:v>0.223033738485856</c:v>
                </c:pt>
                <c:pt idx="3">
                  <c:v>2.1311386057666103E-2</c:v>
                </c:pt>
                <c:pt idx="4">
                  <c:v>2.9814138551261787E-2</c:v>
                </c:pt>
              </c:numCache>
            </c:numRef>
          </c:val>
          <c:extLst xmlns:c16r2="http://schemas.microsoft.com/office/drawing/2015/06/chart">
            <c:ext xmlns:c16="http://schemas.microsoft.com/office/drawing/2014/chart" uri="{C3380CC4-5D6E-409C-BE32-E72D297353CC}">
              <c16:uniqueId val="{0000000A-6166-43E9-94BD-058EFBE925FF}"/>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704926648856684"/>
          <c:y val="9.5414160186498426E-3"/>
          <c:w val="0.59739728781210866"/>
          <c:h val="0.93402931251240673"/>
        </c:manualLayout>
      </c:layout>
      <c:barChart>
        <c:barDir val="bar"/>
        <c:grouping val="percentStacked"/>
        <c:varyColors val="0"/>
        <c:ser>
          <c:idx val="0"/>
          <c:order val="0"/>
          <c:tx>
            <c:strRef>
              <c:f>Sheet1!$A$2</c:f>
              <c:strCache>
                <c:ptCount val="1"/>
                <c:pt idx="0">
                  <c:v>Избыточно (много)</c:v>
                </c:pt>
              </c:strCache>
            </c:strRef>
          </c:tx>
          <c:spPr>
            <a:solidFill>
              <a:srgbClr val="548235"/>
            </a:solidFill>
            <a:ln w="9525" cap="flat">
              <a:noFill/>
              <a:prstDash val="solid"/>
              <a:round/>
            </a:ln>
            <a:effectLst/>
          </c:spPr>
          <c:invertIfNegative val="0"/>
          <c:dLbls>
            <c:dLbl>
              <c:idx val="1"/>
              <c:layout>
                <c:manualLayout>
                  <c:x val="1.3623946932778087E-2"/>
                  <c:y val="3.6580793255921246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567-43A3-9CC8-E6215EC9DD9F}"/>
                </c:ext>
              </c:extLst>
            </c:dLbl>
            <c:dLbl>
              <c:idx val="2"/>
              <c:layout>
                <c:manualLayout>
                  <c:x val="1.0253255408592229E-2"/>
                  <c:y val="1.6851826106006413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567-43A3-9CC8-E6215EC9DD9F}"/>
                </c:ext>
              </c:extLst>
            </c:dLbl>
            <c:dLbl>
              <c:idx val="3"/>
              <c:layout>
                <c:manualLayout>
                  <c:x val="1.0253255408592229E-2"/>
                  <c:y val="1.6851826113853655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567-43A3-9CC8-E6215EC9DD9F}"/>
                </c:ext>
              </c:extLst>
            </c:dLbl>
            <c:dLbl>
              <c:idx val="4"/>
              <c:layout>
                <c:manualLayout>
                  <c:x val="-2.0506510817184455E-3"/>
                  <c:y val="4.3472826766219441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567-43A3-9CC8-E6215EC9DD9F}"/>
                </c:ext>
              </c:extLst>
            </c:dLbl>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В среднем по Ленинградской области</c:v>
                </c:pt>
                <c:pt idx="1">
                  <c:v>Работаю</c:v>
                </c:pt>
                <c:pt idx="2">
                  <c:v>Безработный(ая)</c:v>
                </c:pt>
                <c:pt idx="3">
                  <c:v>Учусь/студент</c:v>
                </c:pt>
                <c:pt idx="4">
                  <c:v>Домохозяйка</c:v>
                </c:pt>
                <c:pt idx="5">
                  <c:v>Пенсионер (в т.ч. по инвалидности)</c:v>
                </c:pt>
                <c:pt idx="6">
                  <c:v>Самозанятый(ая)</c:v>
                </c:pt>
                <c:pt idx="7">
                  <c:v>Предприниматель</c:v>
                </c:pt>
              </c:strCache>
            </c:strRef>
          </c:cat>
          <c:val>
            <c:numRef>
              <c:f>Sheet1!$B$2:$I$2</c:f>
              <c:numCache>
                <c:formatCode>0%</c:formatCode>
                <c:ptCount val="8"/>
                <c:pt idx="0">
                  <c:v>5.27985437751032E-2</c:v>
                </c:pt>
                <c:pt idx="1">
                  <c:v>5.3654560253196953E-2</c:v>
                </c:pt>
                <c:pt idx="2">
                  <c:v>7.2674722173439177E-2</c:v>
                </c:pt>
                <c:pt idx="3">
                  <c:v>9.0678246147911534E-2</c:v>
                </c:pt>
                <c:pt idx="4">
                  <c:v>6.1453872551448886E-2</c:v>
                </c:pt>
                <c:pt idx="5">
                  <c:v>2.5336392026294233E-2</c:v>
                </c:pt>
                <c:pt idx="6">
                  <c:v>6.2995202409287826E-2</c:v>
                </c:pt>
                <c:pt idx="7">
                  <c:v>7.9574245612653E-2</c:v>
                </c:pt>
              </c:numCache>
            </c:numRef>
          </c:val>
          <c:extLst xmlns:c16r2="http://schemas.microsoft.com/office/drawing/2015/06/chart">
            <c:ext xmlns:c16="http://schemas.microsoft.com/office/drawing/2014/chart" uri="{C3380CC4-5D6E-409C-BE32-E72D297353CC}">
              <c16:uniqueId val="{00000004-7567-43A3-9CC8-E6215EC9DD9F}"/>
            </c:ext>
          </c:extLst>
        </c:ser>
        <c:ser>
          <c:idx val="1"/>
          <c:order val="1"/>
          <c:tx>
            <c:strRef>
              <c:f>Sheet1!$A$3</c:f>
              <c:strCache>
                <c:ptCount val="1"/>
                <c:pt idx="0">
                  <c:v>Достаточно</c:v>
                </c:pt>
              </c:strCache>
            </c:strRef>
          </c:tx>
          <c:spPr>
            <a:solidFill>
              <a:srgbClr val="A9D18E"/>
            </a:solidFill>
            <a:ln w="9525" cap="flat">
              <a:noFill/>
              <a:prstDash val="solid"/>
              <a:round/>
            </a:ln>
            <a:effectLst/>
          </c:spPr>
          <c:invertIfNegative val="0"/>
          <c:dLbls>
            <c:dLbl>
              <c:idx val="4"/>
              <c:layout>
                <c:manualLayout>
                  <c:x val="8.202604326873745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567-43A3-9CC8-E6215EC9DD9F}"/>
                </c:ext>
              </c:extLst>
            </c:dLbl>
            <c:dLbl>
              <c:idx val="7"/>
              <c:layout>
                <c:manualLayout>
                  <c:x val="1.0253255408592191E-2"/>
                  <c:y val="-1.0121806237432044E-1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567-43A3-9CC8-E6215EC9DD9F}"/>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В среднем по Ленинградской области</c:v>
                </c:pt>
                <c:pt idx="1">
                  <c:v>Работаю</c:v>
                </c:pt>
                <c:pt idx="2">
                  <c:v>Безработный(ая)</c:v>
                </c:pt>
                <c:pt idx="3">
                  <c:v>Учусь/студент</c:v>
                </c:pt>
                <c:pt idx="4">
                  <c:v>Домохозяйка</c:v>
                </c:pt>
                <c:pt idx="5">
                  <c:v>Пенсионер (в т.ч. по инвалидности)</c:v>
                </c:pt>
                <c:pt idx="6">
                  <c:v>Самозанятый(ая)</c:v>
                </c:pt>
                <c:pt idx="7">
                  <c:v>Предприниматель</c:v>
                </c:pt>
              </c:strCache>
            </c:strRef>
          </c:cat>
          <c:val>
            <c:numRef>
              <c:f>Sheet1!$B$3:$I$3</c:f>
              <c:numCache>
                <c:formatCode>0%</c:formatCode>
                <c:ptCount val="8"/>
                <c:pt idx="0">
                  <c:v>0.67385955039927181</c:v>
                </c:pt>
                <c:pt idx="1">
                  <c:v>0.67502471194023939</c:v>
                </c:pt>
                <c:pt idx="2">
                  <c:v>0.657494418858251</c:v>
                </c:pt>
                <c:pt idx="3">
                  <c:v>0.64825583080726301</c:v>
                </c:pt>
                <c:pt idx="4">
                  <c:v>0.59723236341085717</c:v>
                </c:pt>
                <c:pt idx="5">
                  <c:v>0.69332220687974355</c:v>
                </c:pt>
                <c:pt idx="6">
                  <c:v>0.6876552202532914</c:v>
                </c:pt>
                <c:pt idx="7">
                  <c:v>0.69802559737706549</c:v>
                </c:pt>
              </c:numCache>
            </c:numRef>
          </c:val>
          <c:extLst xmlns:c16r2="http://schemas.microsoft.com/office/drawing/2015/06/chart">
            <c:ext xmlns:c16="http://schemas.microsoft.com/office/drawing/2014/chart" uri="{C3380CC4-5D6E-409C-BE32-E72D297353CC}">
              <c16:uniqueId val="{00000007-7567-43A3-9CC8-E6215EC9DD9F}"/>
            </c:ext>
          </c:extLst>
        </c:ser>
        <c:ser>
          <c:idx val="2"/>
          <c:order val="2"/>
          <c:tx>
            <c:strRef>
              <c:f>Sheet1!$A$4</c:f>
              <c:strCache>
                <c:ptCount val="1"/>
                <c:pt idx="0">
                  <c:v>Мало</c:v>
                </c:pt>
              </c:strCache>
            </c:strRef>
          </c:tx>
          <c:spPr>
            <a:solidFill>
              <a:srgbClr val="D97A8D"/>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В среднем по Ленинградской области</c:v>
                </c:pt>
                <c:pt idx="1">
                  <c:v>Работаю</c:v>
                </c:pt>
                <c:pt idx="2">
                  <c:v>Безработный(ая)</c:v>
                </c:pt>
                <c:pt idx="3">
                  <c:v>Учусь/студент</c:v>
                </c:pt>
                <c:pt idx="4">
                  <c:v>Домохозяйка</c:v>
                </c:pt>
                <c:pt idx="5">
                  <c:v>Пенсионер (в т.ч. по инвалидности)</c:v>
                </c:pt>
                <c:pt idx="6">
                  <c:v>Самозанятый(ая)</c:v>
                </c:pt>
                <c:pt idx="7">
                  <c:v>Предприниматель</c:v>
                </c:pt>
              </c:strCache>
            </c:strRef>
          </c:cat>
          <c:val>
            <c:numRef>
              <c:f>Sheet1!$B$4:$I$4</c:f>
              <c:numCache>
                <c:formatCode>0%</c:formatCode>
                <c:ptCount val="8"/>
                <c:pt idx="0">
                  <c:v>0.22355699117500419</c:v>
                </c:pt>
                <c:pt idx="1">
                  <c:v>0.22611433536378181</c:v>
                </c:pt>
                <c:pt idx="2">
                  <c:v>0.21852829602932866</c:v>
                </c:pt>
                <c:pt idx="3">
                  <c:v>0.21401364724727348</c:v>
                </c:pt>
                <c:pt idx="4">
                  <c:v>0.27417257085071078</c:v>
                </c:pt>
                <c:pt idx="5">
                  <c:v>0.21918399241048583</c:v>
                </c:pt>
                <c:pt idx="6">
                  <c:v>0.19238952788051439</c:v>
                </c:pt>
                <c:pt idx="7">
                  <c:v>0.20811745091147138</c:v>
                </c:pt>
              </c:numCache>
            </c:numRef>
          </c:val>
          <c:extLst xmlns:c16r2="http://schemas.microsoft.com/office/drawing/2015/06/chart">
            <c:ext xmlns:c16="http://schemas.microsoft.com/office/drawing/2014/chart" uri="{C3380CC4-5D6E-409C-BE32-E72D297353CC}">
              <c16:uniqueId val="{00000008-7567-43A3-9CC8-E6215EC9DD9F}"/>
            </c:ext>
          </c:extLst>
        </c:ser>
        <c:ser>
          <c:idx val="3"/>
          <c:order val="3"/>
          <c:tx>
            <c:strRef>
              <c:f>Sheet1!$A$5</c:f>
              <c:strCache>
                <c:ptCount val="1"/>
                <c:pt idx="0">
                  <c:v>Нет совсем</c:v>
                </c:pt>
              </c:strCache>
            </c:strRef>
          </c:tx>
          <c:spPr>
            <a:solidFill>
              <a:srgbClr val="59221B"/>
            </a:solidFill>
            <a:ln w="9525" cap="flat">
              <a:noFill/>
              <a:prstDash val="solid"/>
              <a:round/>
            </a:ln>
            <a:effectLst/>
          </c:spPr>
          <c:invertIfNegative val="0"/>
          <c:dLbls>
            <c:dLbl>
              <c:idx val="1"/>
              <c:layout>
                <c:manualLayout>
                  <c:x val="5.9084194977843431E-3"/>
                  <c:y val="1.2193597751500576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567-43A3-9CC8-E6215EC9DD9F}"/>
                </c:ext>
              </c:extLst>
            </c:dLbl>
            <c:dLbl>
              <c:idx val="2"/>
              <c:layout>
                <c:manualLayout>
                  <c:x val="1.9694731659281144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7567-43A3-9CC8-E6215EC9DD9F}"/>
                </c:ext>
              </c:extLst>
            </c:dLbl>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В среднем по Ленинградской области</c:v>
                </c:pt>
                <c:pt idx="1">
                  <c:v>Работаю</c:v>
                </c:pt>
                <c:pt idx="2">
                  <c:v>Безработный(ая)</c:v>
                </c:pt>
                <c:pt idx="3">
                  <c:v>Учусь/студент</c:v>
                </c:pt>
                <c:pt idx="4">
                  <c:v>Домохозяйка</c:v>
                </c:pt>
                <c:pt idx="5">
                  <c:v>Пенсионер (в т.ч. по инвалидности)</c:v>
                </c:pt>
                <c:pt idx="6">
                  <c:v>Самозанятый(ая)</c:v>
                </c:pt>
                <c:pt idx="7">
                  <c:v>Предприниматель</c:v>
                </c:pt>
              </c:strCache>
            </c:strRef>
          </c:cat>
          <c:val>
            <c:numRef>
              <c:f>Sheet1!$B$5:$I$5</c:f>
              <c:numCache>
                <c:formatCode>0%</c:formatCode>
                <c:ptCount val="8"/>
                <c:pt idx="0">
                  <c:v>2.0871206194917506E-2</c:v>
                </c:pt>
                <c:pt idx="1">
                  <c:v>2.2953252746096647E-2</c:v>
                </c:pt>
                <c:pt idx="2">
                  <c:v>2.2988728609670016E-2</c:v>
                </c:pt>
                <c:pt idx="3">
                  <c:v>2.051145290487446E-2</c:v>
                </c:pt>
                <c:pt idx="4">
                  <c:v>3.0338972449302132E-2</c:v>
                </c:pt>
                <c:pt idx="5">
                  <c:v>1.5109993106594449E-2</c:v>
                </c:pt>
                <c:pt idx="6">
                  <c:v>8.7854152691413077E-3</c:v>
                </c:pt>
                <c:pt idx="7">
                  <c:v>1.4282706098810084E-2</c:v>
                </c:pt>
              </c:numCache>
            </c:numRef>
          </c:val>
          <c:extLst xmlns:c16r2="http://schemas.microsoft.com/office/drawing/2015/06/chart">
            <c:ext xmlns:c16="http://schemas.microsoft.com/office/drawing/2014/chart" uri="{C3380CC4-5D6E-409C-BE32-E72D297353CC}">
              <c16:uniqueId val="{0000000B-7567-43A3-9CC8-E6215EC9DD9F}"/>
            </c:ext>
          </c:extLst>
        </c:ser>
        <c:ser>
          <c:idx val="4"/>
          <c:order val="4"/>
          <c:tx>
            <c:strRef>
              <c:f>Sheet1!$A$6</c:f>
              <c:strCache>
                <c:ptCount val="1"/>
                <c:pt idx="0">
                  <c:v>Затрудняюсь ответить</c:v>
                </c:pt>
              </c:strCache>
            </c:strRef>
          </c:tx>
          <c:spPr>
            <a:solidFill>
              <a:sysClr val="window" lastClr="FFFFFF">
                <a:lumMod val="50000"/>
              </a:sysClr>
            </a:solidFill>
          </c:spPr>
          <c:invertIfNegative val="0"/>
          <c:dLbls>
            <c:dLbl>
              <c:idx val="0"/>
              <c:layout>
                <c:manualLayout>
                  <c:x val="1.7725258493353029E-2"/>
                  <c:y val="1.2193597751500576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7567-43A3-9CC8-E6215EC9DD9F}"/>
                </c:ext>
              </c:extLst>
            </c:dLbl>
            <c:dLbl>
              <c:idx val="1"/>
              <c:layout>
                <c:manualLayout>
                  <c:x val="2.3633677991137372E-2"/>
                  <c:y val="1.548708850418087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7567-43A3-9CC8-E6215EC9DD9F}"/>
                </c:ext>
              </c:extLst>
            </c:dLbl>
            <c:dLbl>
              <c:idx val="2"/>
              <c:layout>
                <c:manualLayout>
                  <c:x val="1.9694731659281144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7567-43A3-9CC8-E6215EC9DD9F}"/>
                </c:ext>
              </c:extLst>
            </c:dLbl>
            <c:dLbl>
              <c:idx val="3"/>
              <c:layout>
                <c:manualLayout>
                  <c:x val="1.772525849335302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7567-43A3-9CC8-E6215EC9DD9F}"/>
                </c:ext>
              </c:extLst>
            </c:dLbl>
            <c:dLbl>
              <c:idx val="4"/>
              <c:layout>
                <c:manualLayout>
                  <c:x val="1.9694731659281144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7567-43A3-9CC8-E6215EC9DD9F}"/>
                </c:ext>
              </c:extLst>
            </c:dLbl>
            <c:dLbl>
              <c:idx val="5"/>
              <c:layout>
                <c:manualLayout>
                  <c:x val="2.1664204825209112E-2"/>
                  <c:y val="1.2193597751500576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7567-43A3-9CC8-E6215EC9DD9F}"/>
                </c:ext>
              </c:extLst>
            </c:dLbl>
            <c:dLbl>
              <c:idx val="6"/>
              <c:layout>
                <c:manualLayout>
                  <c:x val="2.560315115706548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7567-43A3-9CC8-E6215EC9DD9F}"/>
                </c:ext>
              </c:extLst>
            </c:dLbl>
            <c:dLbl>
              <c:idx val="7"/>
              <c:layout>
                <c:manualLayout>
                  <c:x val="2.363367799113722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7567-43A3-9CC8-E6215EC9DD9F}"/>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В среднем по Ленинградской области</c:v>
                </c:pt>
                <c:pt idx="1">
                  <c:v>Работаю</c:v>
                </c:pt>
                <c:pt idx="2">
                  <c:v>Безработный(ая)</c:v>
                </c:pt>
                <c:pt idx="3">
                  <c:v>Учусь/студент</c:v>
                </c:pt>
                <c:pt idx="4">
                  <c:v>Домохозяйка</c:v>
                </c:pt>
                <c:pt idx="5">
                  <c:v>Пенсионер (в т.ч. по инвалидности)</c:v>
                </c:pt>
                <c:pt idx="6">
                  <c:v>Самозанятый(ая)</c:v>
                </c:pt>
                <c:pt idx="7">
                  <c:v>Предприниматель</c:v>
                </c:pt>
              </c:strCache>
            </c:strRef>
          </c:cat>
          <c:val>
            <c:numRef>
              <c:f>Sheet1!$B$6:$I$6</c:f>
              <c:numCache>
                <c:formatCode>0%</c:formatCode>
                <c:ptCount val="8"/>
                <c:pt idx="0">
                  <c:v>2.8913708455703378E-2</c:v>
                </c:pt>
                <c:pt idx="1">
                  <c:v>2.2253139696685149E-2</c:v>
                </c:pt>
                <c:pt idx="2">
                  <c:v>2.8313834329311241E-2</c:v>
                </c:pt>
                <c:pt idx="3">
                  <c:v>2.6540822892677524E-2</c:v>
                </c:pt>
                <c:pt idx="4">
                  <c:v>3.6802220737680968E-2</c:v>
                </c:pt>
                <c:pt idx="5">
                  <c:v>4.7047415576881864E-2</c:v>
                </c:pt>
                <c:pt idx="6">
                  <c:v>4.8174634187765117E-2</c:v>
                </c:pt>
                <c:pt idx="7">
                  <c:v>0</c:v>
                </c:pt>
              </c:numCache>
            </c:numRef>
          </c:val>
          <c:extLst xmlns:c16r2="http://schemas.microsoft.com/office/drawing/2015/06/chart">
            <c:ext xmlns:c16="http://schemas.microsoft.com/office/drawing/2014/chart" uri="{C3380CC4-5D6E-409C-BE32-E72D297353CC}">
              <c16:uniqueId val="{00000014-7567-43A3-9CC8-E6215EC9DD9F}"/>
            </c:ext>
          </c:extLst>
        </c:ser>
        <c:dLbls>
          <c:showLegendKey val="0"/>
          <c:showVal val="0"/>
          <c:showCatName val="0"/>
          <c:showSerName val="0"/>
          <c:showPercent val="0"/>
          <c:showBubbleSize val="0"/>
        </c:dLbls>
        <c:gapWidth val="105"/>
        <c:overlap val="100"/>
        <c:axId val="144764416"/>
        <c:axId val="144898240"/>
      </c:barChart>
      <c:catAx>
        <c:axId val="144764416"/>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1200">
                <a:latin typeface="Times New Roman" panose="02020603050405020304" pitchFamily="18" charset="0"/>
                <a:cs typeface="Times New Roman" panose="02020603050405020304" pitchFamily="18" charset="0"/>
              </a:defRPr>
            </a:pPr>
            <a:endParaRPr lang="ru-RU"/>
          </a:p>
        </c:txPr>
        <c:crossAx val="144898240"/>
        <c:crosses val="autoZero"/>
        <c:auto val="1"/>
        <c:lblAlgn val="ctr"/>
        <c:lblOffset val="100"/>
        <c:noMultiLvlLbl val="1"/>
      </c:catAx>
      <c:valAx>
        <c:axId val="144898240"/>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144764416"/>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7.0670054248783837E-2"/>
          <c:y val="0.94899499631511575"/>
          <c:w val="0.89999992246168636"/>
          <c:h val="5.1005007352804305E-2"/>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704926648856684"/>
          <c:y val="9.5414160186498426E-3"/>
          <c:w val="0.59739728781210866"/>
          <c:h val="0.93402931251240673"/>
        </c:manualLayout>
      </c:layout>
      <c:barChart>
        <c:barDir val="bar"/>
        <c:grouping val="percentStacked"/>
        <c:varyColors val="0"/>
        <c:ser>
          <c:idx val="0"/>
          <c:order val="0"/>
          <c:tx>
            <c:strRef>
              <c:f>Sheet1!$A$2</c:f>
              <c:strCache>
                <c:ptCount val="1"/>
                <c:pt idx="0">
                  <c:v>Избыточно (много)</c:v>
                </c:pt>
              </c:strCache>
            </c:strRef>
          </c:tx>
          <c:spPr>
            <a:solidFill>
              <a:srgbClr val="548235"/>
            </a:solidFill>
            <a:ln w="9525" cap="flat">
              <a:noFill/>
              <a:prstDash val="solid"/>
              <a:round/>
            </a:ln>
            <a:effectLst/>
          </c:spPr>
          <c:invertIfNegative val="0"/>
          <c:dLbls>
            <c:dLbl>
              <c:idx val="1"/>
              <c:layout>
                <c:manualLayout>
                  <c:x val="1.3623946932778087E-2"/>
                  <c:y val="3.6580793255921246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1C2-4221-B982-E683D174F721}"/>
                </c:ext>
              </c:extLst>
            </c:dLbl>
            <c:dLbl>
              <c:idx val="2"/>
              <c:layout>
                <c:manualLayout>
                  <c:x val="1.0253255408592229E-2"/>
                  <c:y val="1.6851826106006413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1C2-4221-B982-E683D174F721}"/>
                </c:ext>
              </c:extLst>
            </c:dLbl>
            <c:dLbl>
              <c:idx val="3"/>
              <c:layout>
                <c:manualLayout>
                  <c:x val="1.0253255408592229E-2"/>
                  <c:y val="1.6851826113853655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1C2-4221-B982-E683D174F721}"/>
                </c:ext>
              </c:extLst>
            </c:dLbl>
            <c:dLbl>
              <c:idx val="4"/>
              <c:layout>
                <c:manualLayout>
                  <c:x val="-2.0506510817184455E-3"/>
                  <c:y val="4.3472826766219441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1C2-4221-B982-E683D174F721}"/>
                </c:ext>
              </c:extLst>
            </c:dLbl>
            <c:dLbl>
              <c:idx val="8"/>
              <c:layout>
                <c:manualLayout>
                  <c:x val="1.1816838995568686E-2"/>
                  <c:y val="1.548708850418087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1C2-4221-B982-E683D174F721}"/>
                </c:ext>
              </c:extLst>
            </c:dLbl>
            <c:dLbl>
              <c:idx val="9"/>
              <c:layout>
                <c:manualLayout>
                  <c:x val="1.1816838995568613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1C2-4221-B982-E683D174F721}"/>
                </c:ext>
              </c:extLst>
            </c:dLbl>
            <c:dLbl>
              <c:idx val="12"/>
              <c:layout>
                <c:manualLayout>
                  <c:x val="1.1816838995568686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1C2-4221-B982-E683D174F721}"/>
                </c:ext>
              </c:extLst>
            </c:dLbl>
            <c:dLbl>
              <c:idx val="13"/>
              <c:layout>
                <c:manualLayout>
                  <c:x val="1.1816838995568686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1C2-4221-B982-E683D174F721}"/>
                </c:ext>
              </c:extLst>
            </c:dLbl>
            <c:dLbl>
              <c:idx val="15"/>
              <c:layout>
                <c:manualLayout>
                  <c:x val="7.8778926637124574E-3"/>
                  <c:y val="1.2193597751500576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1C2-4221-B982-E683D174F721}"/>
                </c:ext>
              </c:extLst>
            </c:dLbl>
            <c:dLbl>
              <c:idx val="16"/>
              <c:layout>
                <c:manualLayout>
                  <c:x val="1.1816838995568613E-2"/>
                  <c:y val="1.2193597751500576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1C2-4221-B982-E683D174F721}"/>
                </c:ext>
              </c:extLst>
            </c:dLbl>
            <c:dLbl>
              <c:idx val="17"/>
              <c:layout>
                <c:manualLayout>
                  <c:x val="9.8473658296405718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1C2-4221-B982-E683D174F721}"/>
                </c:ext>
              </c:extLst>
            </c:dLbl>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Sheet1!$B$1:$S$1</c:f>
              <c:strCache>
                <c:ptCount val="18"/>
                <c:pt idx="0">
                  <c:v>Рынок услуг связи, в том числе услуг по предоставлению широкополосного доступа к информационно-телекоммуникационной сети «Интернет»</c:v>
                </c:pt>
                <c:pt idx="1">
                  <c:v>Рынок купли-продажи электрической энергии (мощности) на розничном рынке электрической энергии (мощности)</c:v>
                </c:pt>
                <c:pt idx="2">
                  <c:v>Рынок услуг розничной торговли лекарственными препаратами, медицинскими изделиями и сопутствующими товарами</c:v>
                </c:pt>
                <c:pt idx="3">
                  <c:v>Рынок нефтепродуктов</c:v>
                </c:pt>
                <c:pt idx="4">
                  <c:v>Рынок оказания услуг по перевозке пассажиров и багажа легковым такси на территории Ленинградской области</c:v>
                </c:pt>
                <c:pt idx="5">
                  <c:v>Рынок семеноводства</c:v>
                </c:pt>
                <c:pt idx="6">
                  <c:v>Сфера наружной рекламы</c:v>
                </c:pt>
                <c:pt idx="7">
                  <c:v>Рынок ритуальных услуг</c:v>
                </c:pt>
                <c:pt idx="8">
                  <c:v>Рынок услуг жилищно-коммунального хозяйства</c:v>
                </c:pt>
                <c:pt idx="9">
                  <c:v>Рынок теплоснабжения (производство тепловой энергии)</c:v>
                </c:pt>
                <c:pt idx="10">
                  <c:v>Рынок оказания услуг по ремонту автотранспортных средств</c:v>
                </c:pt>
                <c:pt idx="11">
                  <c:v>Рынок переработки водных биоресурсов</c:v>
                </c:pt>
                <c:pt idx="12">
                  <c:v>Рынок услуг общего образования</c:v>
                </c:pt>
                <c:pt idx="13">
                  <c:v>Рынок оказания услуг по перевозке пассажиров автомобильным транспортом по муниципальным маршрутам регулярных перевозок</c:v>
                </c:pt>
                <c:pt idx="14">
                  <c:v>Рынок легкой промышленности</c:v>
                </c:pt>
                <c:pt idx="15">
                  <c:v>Рынок обработки древесины и производства изделий из дерева</c:v>
                </c:pt>
                <c:pt idx="16">
                  <c:v>Рынок услуг по сбору и транспортированию твердых коммунальных отходов</c:v>
                </c:pt>
                <c:pt idx="17">
                  <c:v>Рынок кадастровых и землеустроительных работ</c:v>
                </c:pt>
              </c:strCache>
            </c:strRef>
          </c:cat>
          <c:val>
            <c:numRef>
              <c:f>Sheet1!$B$2:$S$2</c:f>
              <c:numCache>
                <c:formatCode>0%</c:formatCode>
                <c:ptCount val="18"/>
                <c:pt idx="0">
                  <c:v>0.08</c:v>
                </c:pt>
                <c:pt idx="1">
                  <c:v>0.01</c:v>
                </c:pt>
                <c:pt idx="2">
                  <c:v>0.12</c:v>
                </c:pt>
                <c:pt idx="3">
                  <c:v>0.05</c:v>
                </c:pt>
                <c:pt idx="4">
                  <c:v>0.11</c:v>
                </c:pt>
                <c:pt idx="5">
                  <c:v>0.06</c:v>
                </c:pt>
                <c:pt idx="6">
                  <c:v>0.24</c:v>
                </c:pt>
                <c:pt idx="7">
                  <c:v>0.06</c:v>
                </c:pt>
                <c:pt idx="8">
                  <c:v>0.02</c:v>
                </c:pt>
                <c:pt idx="9">
                  <c:v>0.01</c:v>
                </c:pt>
                <c:pt idx="10">
                  <c:v>0.08</c:v>
                </c:pt>
                <c:pt idx="11">
                  <c:v>7.0000000000000007E-2</c:v>
                </c:pt>
                <c:pt idx="12">
                  <c:v>0.01</c:v>
                </c:pt>
                <c:pt idx="13">
                  <c:v>0.04</c:v>
                </c:pt>
                <c:pt idx="14">
                  <c:v>0.09</c:v>
                </c:pt>
                <c:pt idx="15">
                  <c:v>0.03</c:v>
                </c:pt>
                <c:pt idx="16">
                  <c:v>0.01</c:v>
                </c:pt>
                <c:pt idx="17">
                  <c:v>0.03</c:v>
                </c:pt>
              </c:numCache>
            </c:numRef>
          </c:val>
          <c:extLst xmlns:c16r2="http://schemas.microsoft.com/office/drawing/2015/06/chart">
            <c:ext xmlns:c16="http://schemas.microsoft.com/office/drawing/2014/chart" uri="{C3380CC4-5D6E-409C-BE32-E72D297353CC}">
              <c16:uniqueId val="{0000000B-11C2-4221-B982-E683D174F721}"/>
            </c:ext>
          </c:extLst>
        </c:ser>
        <c:ser>
          <c:idx val="1"/>
          <c:order val="1"/>
          <c:tx>
            <c:strRef>
              <c:f>Sheet1!$A$3</c:f>
              <c:strCache>
                <c:ptCount val="1"/>
                <c:pt idx="0">
                  <c:v>Достаточно</c:v>
                </c:pt>
              </c:strCache>
            </c:strRef>
          </c:tx>
          <c:spPr>
            <a:solidFill>
              <a:srgbClr val="A9D18E"/>
            </a:solidFill>
            <a:ln w="9525" cap="flat">
              <a:noFill/>
              <a:prstDash val="solid"/>
              <a:round/>
            </a:ln>
            <a:effectLst/>
          </c:spPr>
          <c:invertIfNegative val="0"/>
          <c:dLbls>
            <c:dLbl>
              <c:idx val="4"/>
              <c:layout>
                <c:manualLayout>
                  <c:x val="8.202604326873745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1C2-4221-B982-E683D174F721}"/>
                </c:ext>
              </c:extLst>
            </c:dLbl>
            <c:dLbl>
              <c:idx val="7"/>
              <c:layout>
                <c:manualLayout>
                  <c:x val="1.0253255408592191E-2"/>
                  <c:y val="-1.0121806237432044E-1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1C2-4221-B982-E683D174F721}"/>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Sheet1!$B$1:$S$1</c:f>
              <c:strCache>
                <c:ptCount val="18"/>
                <c:pt idx="0">
                  <c:v>Рынок услуг связи, в том числе услуг по предоставлению широкополосного доступа к информационно-телекоммуникационной сети «Интернет»</c:v>
                </c:pt>
                <c:pt idx="1">
                  <c:v>Рынок купли-продажи электрической энергии (мощности) на розничном рынке электрической энергии (мощности)</c:v>
                </c:pt>
                <c:pt idx="2">
                  <c:v>Рынок услуг розничной торговли лекарственными препаратами, медицинскими изделиями и сопутствующими товарами</c:v>
                </c:pt>
                <c:pt idx="3">
                  <c:v>Рынок нефтепродуктов</c:v>
                </c:pt>
                <c:pt idx="4">
                  <c:v>Рынок оказания услуг по перевозке пассажиров и багажа легковым такси на территории Ленинградской области</c:v>
                </c:pt>
                <c:pt idx="5">
                  <c:v>Рынок семеноводства</c:v>
                </c:pt>
                <c:pt idx="6">
                  <c:v>Сфера наружной рекламы</c:v>
                </c:pt>
                <c:pt idx="7">
                  <c:v>Рынок ритуальных услуг</c:v>
                </c:pt>
                <c:pt idx="8">
                  <c:v>Рынок услуг жилищно-коммунального хозяйства</c:v>
                </c:pt>
                <c:pt idx="9">
                  <c:v>Рынок теплоснабжения (производство тепловой энергии)</c:v>
                </c:pt>
                <c:pt idx="10">
                  <c:v>Рынок оказания услуг по ремонту автотранспортных средств</c:v>
                </c:pt>
                <c:pt idx="11">
                  <c:v>Рынок переработки водных биоресурсов</c:v>
                </c:pt>
                <c:pt idx="12">
                  <c:v>Рынок услуг общего образования</c:v>
                </c:pt>
                <c:pt idx="13">
                  <c:v>Рынок оказания услуг по перевозке пассажиров автомобильным транспортом по муниципальным маршрутам регулярных перевозок</c:v>
                </c:pt>
                <c:pt idx="14">
                  <c:v>Рынок легкой промышленности</c:v>
                </c:pt>
                <c:pt idx="15">
                  <c:v>Рынок обработки древесины и производства изделий из дерева</c:v>
                </c:pt>
                <c:pt idx="16">
                  <c:v>Рынок услуг по сбору и транспортированию твердых коммунальных отходов</c:v>
                </c:pt>
                <c:pt idx="17">
                  <c:v>Рынок кадастровых и землеустроительных работ</c:v>
                </c:pt>
              </c:strCache>
            </c:strRef>
          </c:cat>
          <c:val>
            <c:numRef>
              <c:f>Sheet1!$B$3:$S$3</c:f>
              <c:numCache>
                <c:formatCode>0%</c:formatCode>
                <c:ptCount val="18"/>
                <c:pt idx="0">
                  <c:v>0.79</c:v>
                </c:pt>
                <c:pt idx="1">
                  <c:v>0.83</c:v>
                </c:pt>
                <c:pt idx="2">
                  <c:v>0.72</c:v>
                </c:pt>
                <c:pt idx="3">
                  <c:v>0.79</c:v>
                </c:pt>
                <c:pt idx="4">
                  <c:v>0.73</c:v>
                </c:pt>
                <c:pt idx="5">
                  <c:v>0.74</c:v>
                </c:pt>
                <c:pt idx="6">
                  <c:v>0.54</c:v>
                </c:pt>
                <c:pt idx="7">
                  <c:v>0.71</c:v>
                </c:pt>
                <c:pt idx="8">
                  <c:v>0.74</c:v>
                </c:pt>
                <c:pt idx="9">
                  <c:v>0.74</c:v>
                </c:pt>
                <c:pt idx="10">
                  <c:v>0.67</c:v>
                </c:pt>
                <c:pt idx="11">
                  <c:v>0.66</c:v>
                </c:pt>
                <c:pt idx="12">
                  <c:v>0.72</c:v>
                </c:pt>
                <c:pt idx="13">
                  <c:v>0.69</c:v>
                </c:pt>
                <c:pt idx="14">
                  <c:v>0.64</c:v>
                </c:pt>
                <c:pt idx="15">
                  <c:v>0.68</c:v>
                </c:pt>
                <c:pt idx="16">
                  <c:v>0.68</c:v>
                </c:pt>
                <c:pt idx="17">
                  <c:v>0.65</c:v>
                </c:pt>
              </c:numCache>
            </c:numRef>
          </c:val>
          <c:extLst xmlns:c16r2="http://schemas.microsoft.com/office/drawing/2015/06/chart">
            <c:ext xmlns:c16="http://schemas.microsoft.com/office/drawing/2014/chart" uri="{C3380CC4-5D6E-409C-BE32-E72D297353CC}">
              <c16:uniqueId val="{0000000E-11C2-4221-B982-E683D174F721}"/>
            </c:ext>
          </c:extLst>
        </c:ser>
        <c:ser>
          <c:idx val="2"/>
          <c:order val="2"/>
          <c:tx>
            <c:strRef>
              <c:f>Sheet1!$A$4</c:f>
              <c:strCache>
                <c:ptCount val="1"/>
                <c:pt idx="0">
                  <c:v>Мало</c:v>
                </c:pt>
              </c:strCache>
            </c:strRef>
          </c:tx>
          <c:spPr>
            <a:solidFill>
              <a:srgbClr val="D97A8D"/>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Sheet1!$B$1:$S$1</c:f>
              <c:strCache>
                <c:ptCount val="18"/>
                <c:pt idx="0">
                  <c:v>Рынок услуг связи, в том числе услуг по предоставлению широкополосного доступа к информационно-телекоммуникационной сети «Интернет»</c:v>
                </c:pt>
                <c:pt idx="1">
                  <c:v>Рынок купли-продажи электрической энергии (мощности) на розничном рынке электрической энергии (мощности)</c:v>
                </c:pt>
                <c:pt idx="2">
                  <c:v>Рынок услуг розничной торговли лекарственными препаратами, медицинскими изделиями и сопутствующими товарами</c:v>
                </c:pt>
                <c:pt idx="3">
                  <c:v>Рынок нефтепродуктов</c:v>
                </c:pt>
                <c:pt idx="4">
                  <c:v>Рынок оказания услуг по перевозке пассажиров и багажа легковым такси на территории Ленинградской области</c:v>
                </c:pt>
                <c:pt idx="5">
                  <c:v>Рынок семеноводства</c:v>
                </c:pt>
                <c:pt idx="6">
                  <c:v>Сфера наружной рекламы</c:v>
                </c:pt>
                <c:pt idx="7">
                  <c:v>Рынок ритуальных услуг</c:v>
                </c:pt>
                <c:pt idx="8">
                  <c:v>Рынок услуг жилищно-коммунального хозяйства</c:v>
                </c:pt>
                <c:pt idx="9">
                  <c:v>Рынок теплоснабжения (производство тепловой энергии)</c:v>
                </c:pt>
                <c:pt idx="10">
                  <c:v>Рынок оказания услуг по ремонту автотранспортных средств</c:v>
                </c:pt>
                <c:pt idx="11">
                  <c:v>Рынок переработки водных биоресурсов</c:v>
                </c:pt>
                <c:pt idx="12">
                  <c:v>Рынок услуг общего образования</c:v>
                </c:pt>
                <c:pt idx="13">
                  <c:v>Рынок оказания услуг по перевозке пассажиров автомобильным транспортом по муниципальным маршрутам регулярных перевозок</c:v>
                </c:pt>
                <c:pt idx="14">
                  <c:v>Рынок легкой промышленности</c:v>
                </c:pt>
                <c:pt idx="15">
                  <c:v>Рынок обработки древесины и производства изделий из дерева</c:v>
                </c:pt>
                <c:pt idx="16">
                  <c:v>Рынок услуг по сбору и транспортированию твердых коммунальных отходов</c:v>
                </c:pt>
                <c:pt idx="17">
                  <c:v>Рынок кадастровых и землеустроительных работ</c:v>
                </c:pt>
              </c:strCache>
            </c:strRef>
          </c:cat>
          <c:val>
            <c:numRef>
              <c:f>Sheet1!$B$4:$S$4</c:f>
              <c:numCache>
                <c:formatCode>0%</c:formatCode>
                <c:ptCount val="18"/>
                <c:pt idx="0">
                  <c:v>0.11</c:v>
                </c:pt>
                <c:pt idx="1">
                  <c:v>0.11</c:v>
                </c:pt>
                <c:pt idx="2">
                  <c:v>0.13</c:v>
                </c:pt>
                <c:pt idx="3">
                  <c:v>0.14000000000000001</c:v>
                </c:pt>
                <c:pt idx="4">
                  <c:v>0.12</c:v>
                </c:pt>
                <c:pt idx="5">
                  <c:v>0.15</c:v>
                </c:pt>
                <c:pt idx="6">
                  <c:v>0.16</c:v>
                </c:pt>
                <c:pt idx="7">
                  <c:v>0.17</c:v>
                </c:pt>
                <c:pt idx="8">
                  <c:v>0.19</c:v>
                </c:pt>
                <c:pt idx="9">
                  <c:v>0.19</c:v>
                </c:pt>
                <c:pt idx="10">
                  <c:v>0.19</c:v>
                </c:pt>
                <c:pt idx="11">
                  <c:v>0.14000000000000001</c:v>
                </c:pt>
                <c:pt idx="12">
                  <c:v>0.23</c:v>
                </c:pt>
                <c:pt idx="13">
                  <c:v>0.25</c:v>
                </c:pt>
                <c:pt idx="14">
                  <c:v>0.24</c:v>
                </c:pt>
                <c:pt idx="15">
                  <c:v>0.25</c:v>
                </c:pt>
                <c:pt idx="16">
                  <c:v>0.26</c:v>
                </c:pt>
                <c:pt idx="17">
                  <c:v>0.23</c:v>
                </c:pt>
              </c:numCache>
            </c:numRef>
          </c:val>
          <c:extLst xmlns:c16r2="http://schemas.microsoft.com/office/drawing/2015/06/chart">
            <c:ext xmlns:c16="http://schemas.microsoft.com/office/drawing/2014/chart" uri="{C3380CC4-5D6E-409C-BE32-E72D297353CC}">
              <c16:uniqueId val="{0000000F-11C2-4221-B982-E683D174F721}"/>
            </c:ext>
          </c:extLst>
        </c:ser>
        <c:ser>
          <c:idx val="3"/>
          <c:order val="3"/>
          <c:tx>
            <c:strRef>
              <c:f>Sheet1!$A$5</c:f>
              <c:strCache>
                <c:ptCount val="1"/>
                <c:pt idx="0">
                  <c:v>Нет совсем</c:v>
                </c:pt>
              </c:strCache>
            </c:strRef>
          </c:tx>
          <c:spPr>
            <a:solidFill>
              <a:srgbClr val="59221B"/>
            </a:solidFill>
            <a:ln w="9525" cap="flat">
              <a:noFill/>
              <a:prstDash val="solid"/>
              <a:round/>
            </a:ln>
            <a:effectLst/>
          </c:spPr>
          <c:invertIfNegative val="0"/>
          <c:dLbls>
            <c:dLbl>
              <c:idx val="1"/>
              <c:layout>
                <c:manualLayout>
                  <c:x val="5.9084194977843431E-3"/>
                  <c:y val="1.2193597751500576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11C2-4221-B982-E683D174F721}"/>
                </c:ext>
              </c:extLst>
            </c:dLbl>
            <c:dLbl>
              <c:idx val="2"/>
              <c:layout>
                <c:manualLayout>
                  <c:x val="1.9694731659281144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11C2-4221-B982-E683D174F721}"/>
                </c:ext>
              </c:extLst>
            </c:dLbl>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Sheet1!$B$1:$S$1</c:f>
              <c:strCache>
                <c:ptCount val="18"/>
                <c:pt idx="0">
                  <c:v>Рынок услуг связи, в том числе услуг по предоставлению широкополосного доступа к информационно-телекоммуникационной сети «Интернет»</c:v>
                </c:pt>
                <c:pt idx="1">
                  <c:v>Рынок купли-продажи электрической энергии (мощности) на розничном рынке электрической энергии (мощности)</c:v>
                </c:pt>
                <c:pt idx="2">
                  <c:v>Рынок услуг розничной торговли лекарственными препаратами, медицинскими изделиями и сопутствующими товарами</c:v>
                </c:pt>
                <c:pt idx="3">
                  <c:v>Рынок нефтепродуктов</c:v>
                </c:pt>
                <c:pt idx="4">
                  <c:v>Рынок оказания услуг по перевозке пассажиров и багажа легковым такси на территории Ленинградской области</c:v>
                </c:pt>
                <c:pt idx="5">
                  <c:v>Рынок семеноводства</c:v>
                </c:pt>
                <c:pt idx="6">
                  <c:v>Сфера наружной рекламы</c:v>
                </c:pt>
                <c:pt idx="7">
                  <c:v>Рынок ритуальных услуг</c:v>
                </c:pt>
                <c:pt idx="8">
                  <c:v>Рынок услуг жилищно-коммунального хозяйства</c:v>
                </c:pt>
                <c:pt idx="9">
                  <c:v>Рынок теплоснабжения (производство тепловой энергии)</c:v>
                </c:pt>
                <c:pt idx="10">
                  <c:v>Рынок оказания услуг по ремонту автотранспортных средств</c:v>
                </c:pt>
                <c:pt idx="11">
                  <c:v>Рынок переработки водных биоресурсов</c:v>
                </c:pt>
                <c:pt idx="12">
                  <c:v>Рынок услуг общего образования</c:v>
                </c:pt>
                <c:pt idx="13">
                  <c:v>Рынок оказания услуг по перевозке пассажиров автомобильным транспортом по муниципальным маршрутам регулярных перевозок</c:v>
                </c:pt>
                <c:pt idx="14">
                  <c:v>Рынок легкой промышленности</c:v>
                </c:pt>
                <c:pt idx="15">
                  <c:v>Рынок обработки древесины и производства изделий из дерева</c:v>
                </c:pt>
                <c:pt idx="16">
                  <c:v>Рынок услуг по сбору и транспортированию твердых коммунальных отходов</c:v>
                </c:pt>
                <c:pt idx="17">
                  <c:v>Рынок кадастровых и землеустроительных работ</c:v>
                </c:pt>
              </c:strCache>
            </c:strRef>
          </c:cat>
          <c:val>
            <c:numRef>
              <c:f>Sheet1!$B$5:$S$5</c:f>
              <c:numCache>
                <c:formatCode>0%</c:formatCode>
                <c:ptCount val="18"/>
                <c:pt idx="0">
                  <c:v>0.01</c:v>
                </c:pt>
                <c:pt idx="1">
                  <c:v>0.01</c:v>
                </c:pt>
                <c:pt idx="2">
                  <c:v>0.01</c:v>
                </c:pt>
                <c:pt idx="3">
                  <c:v>0.01</c:v>
                </c:pt>
                <c:pt idx="4">
                  <c:v>0.03</c:v>
                </c:pt>
                <c:pt idx="5">
                  <c:v>0.03</c:v>
                </c:pt>
                <c:pt idx="6">
                  <c:v>0.02</c:v>
                </c:pt>
                <c:pt idx="7">
                  <c:v>0.02</c:v>
                </c:pt>
                <c:pt idx="8">
                  <c:v>0.01</c:v>
                </c:pt>
                <c:pt idx="9">
                  <c:v>0.01</c:v>
                </c:pt>
                <c:pt idx="10">
                  <c:v>0.04</c:v>
                </c:pt>
                <c:pt idx="11">
                  <c:v>0.05</c:v>
                </c:pt>
                <c:pt idx="12">
                  <c:v>0.02</c:v>
                </c:pt>
                <c:pt idx="13">
                  <c:v>0.01</c:v>
                </c:pt>
                <c:pt idx="14">
                  <c:v>0.01</c:v>
                </c:pt>
                <c:pt idx="15">
                  <c:v>0.01</c:v>
                </c:pt>
                <c:pt idx="16">
                  <c:v>0.01</c:v>
                </c:pt>
                <c:pt idx="17">
                  <c:v>0.03</c:v>
                </c:pt>
              </c:numCache>
            </c:numRef>
          </c:val>
          <c:extLst xmlns:c16r2="http://schemas.microsoft.com/office/drawing/2015/06/chart">
            <c:ext xmlns:c16="http://schemas.microsoft.com/office/drawing/2014/chart" uri="{C3380CC4-5D6E-409C-BE32-E72D297353CC}">
              <c16:uniqueId val="{00000012-11C2-4221-B982-E683D174F721}"/>
            </c:ext>
          </c:extLst>
        </c:ser>
        <c:ser>
          <c:idx val="4"/>
          <c:order val="4"/>
          <c:tx>
            <c:strRef>
              <c:f>Sheet1!$A$6</c:f>
              <c:strCache>
                <c:ptCount val="1"/>
                <c:pt idx="0">
                  <c:v>Затрудняюсь ответить</c:v>
                </c:pt>
              </c:strCache>
            </c:strRef>
          </c:tx>
          <c:spPr>
            <a:solidFill>
              <a:sysClr val="window" lastClr="FFFFFF">
                <a:lumMod val="50000"/>
              </a:sysClr>
            </a:solidFill>
          </c:spPr>
          <c:invertIfNegative val="0"/>
          <c:dLbls>
            <c:dLbl>
              <c:idx val="0"/>
              <c:layout>
                <c:manualLayout>
                  <c:x val="1.7725258493353029E-2"/>
                  <c:y val="1.2193597751500576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11C2-4221-B982-E683D174F721}"/>
                </c:ext>
              </c:extLst>
            </c:dLbl>
            <c:dLbl>
              <c:idx val="1"/>
              <c:layout>
                <c:manualLayout>
                  <c:x val="2.3633677991137372E-2"/>
                  <c:y val="1.548708850418087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11C2-4221-B982-E683D174F721}"/>
                </c:ext>
              </c:extLst>
            </c:dLbl>
            <c:dLbl>
              <c:idx val="2"/>
              <c:layout>
                <c:manualLayout>
                  <c:x val="1.9694731659281144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11C2-4221-B982-E683D174F721}"/>
                </c:ext>
              </c:extLst>
            </c:dLbl>
            <c:dLbl>
              <c:idx val="3"/>
              <c:layout>
                <c:manualLayout>
                  <c:x val="1.772525849335302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11C2-4221-B982-E683D174F721}"/>
                </c:ext>
              </c:extLst>
            </c:dLbl>
            <c:dLbl>
              <c:idx val="4"/>
              <c:layout>
                <c:manualLayout>
                  <c:x val="1.9694731659281144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11C2-4221-B982-E683D174F721}"/>
                </c:ext>
              </c:extLst>
            </c:dLbl>
            <c:dLbl>
              <c:idx val="5"/>
              <c:layout>
                <c:manualLayout>
                  <c:x val="2.1664204825209112E-2"/>
                  <c:y val="1.2193597751500576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11C2-4221-B982-E683D174F721}"/>
                </c:ext>
              </c:extLst>
            </c:dLbl>
            <c:dLbl>
              <c:idx val="6"/>
              <c:layout>
                <c:manualLayout>
                  <c:x val="2.560315115706548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11C2-4221-B982-E683D174F721}"/>
                </c:ext>
              </c:extLst>
            </c:dLbl>
            <c:dLbl>
              <c:idx val="7"/>
              <c:layout>
                <c:manualLayout>
                  <c:x val="2.363367799113722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11C2-4221-B982-E683D174F721}"/>
                </c:ext>
              </c:extLst>
            </c:dLbl>
            <c:dLbl>
              <c:idx val="8"/>
              <c:layout>
                <c:manualLayout>
                  <c:x val="2.3633677991137227E-2"/>
                  <c:y val="-5.678086425876513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11C2-4221-B982-E683D174F721}"/>
                </c:ext>
              </c:extLst>
            </c:dLbl>
            <c:dLbl>
              <c:idx val="9"/>
              <c:layout>
                <c:manualLayout>
                  <c:x val="2.560315115706548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11C2-4221-B982-E683D174F721}"/>
                </c:ext>
              </c:extLst>
            </c:dLbl>
            <c:dLbl>
              <c:idx val="10"/>
              <c:layout>
                <c:manualLayout>
                  <c:x val="1.9694731659281144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11C2-4221-B982-E683D174F721}"/>
                </c:ext>
              </c:extLst>
            </c:dLbl>
            <c:dLbl>
              <c:idx val="11"/>
              <c:layout>
                <c:manualLayout>
                  <c:x val="3.151157065484983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11C2-4221-B982-E683D174F721}"/>
                </c:ext>
              </c:extLst>
            </c:dLbl>
            <c:dLbl>
              <c:idx val="12"/>
              <c:layout>
                <c:manualLayout>
                  <c:x val="1.5755785327424915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11C2-4221-B982-E683D174F721}"/>
                </c:ext>
              </c:extLst>
            </c:dLbl>
            <c:dLbl>
              <c:idx val="13"/>
              <c:layout>
                <c:manualLayout>
                  <c:x val="1.5755785327424915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0-11C2-4221-B982-E683D174F721}"/>
                </c:ext>
              </c:extLst>
            </c:dLbl>
            <c:dLbl>
              <c:idx val="14"/>
              <c:layout>
                <c:manualLayout>
                  <c:x val="1.9694731659281144E-2"/>
                  <c:y val="-1.548343042485543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1-11C2-4221-B982-E683D174F721}"/>
                </c:ext>
              </c:extLst>
            </c:dLbl>
            <c:dLbl>
              <c:idx val="15"/>
              <c:layout>
                <c:manualLayout>
                  <c:x val="2.1664204825209258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2-11C2-4221-B982-E683D174F721}"/>
                </c:ext>
              </c:extLst>
            </c:dLbl>
            <c:dLbl>
              <c:idx val="16"/>
              <c:layout>
                <c:manualLayout>
                  <c:x val="2.3633677991137227E-2"/>
                  <c:y val="1.1356172851753026E-1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3-11C2-4221-B982-E683D174F721}"/>
                </c:ext>
              </c:extLst>
            </c:dLbl>
            <c:dLbl>
              <c:idx val="17"/>
              <c:layout>
                <c:manualLayout>
                  <c:x val="2.5603151157065487E-2"/>
                  <c:y val="2.4387195503001151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4-11C2-4221-B982-E683D174F721}"/>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Sheet1!$B$1:$S$1</c:f>
              <c:strCache>
                <c:ptCount val="18"/>
                <c:pt idx="0">
                  <c:v>Рынок услуг связи, в том числе услуг по предоставлению широкополосного доступа к информационно-телекоммуникационной сети «Интернет»</c:v>
                </c:pt>
                <c:pt idx="1">
                  <c:v>Рынок купли-продажи электрической энергии (мощности) на розничном рынке электрической энергии (мощности)</c:v>
                </c:pt>
                <c:pt idx="2">
                  <c:v>Рынок услуг розничной торговли лекарственными препаратами, медицинскими изделиями и сопутствующими товарами</c:v>
                </c:pt>
                <c:pt idx="3">
                  <c:v>Рынок нефтепродуктов</c:v>
                </c:pt>
                <c:pt idx="4">
                  <c:v>Рынок оказания услуг по перевозке пассажиров и багажа легковым такси на территории Ленинградской области</c:v>
                </c:pt>
                <c:pt idx="5">
                  <c:v>Рынок семеноводства</c:v>
                </c:pt>
                <c:pt idx="6">
                  <c:v>Сфера наружной рекламы</c:v>
                </c:pt>
                <c:pt idx="7">
                  <c:v>Рынок ритуальных услуг</c:v>
                </c:pt>
                <c:pt idx="8">
                  <c:v>Рынок услуг жилищно-коммунального хозяйства</c:v>
                </c:pt>
                <c:pt idx="9">
                  <c:v>Рынок теплоснабжения (производство тепловой энергии)</c:v>
                </c:pt>
                <c:pt idx="10">
                  <c:v>Рынок оказания услуг по ремонту автотранспортных средств</c:v>
                </c:pt>
                <c:pt idx="11">
                  <c:v>Рынок переработки водных биоресурсов</c:v>
                </c:pt>
                <c:pt idx="12">
                  <c:v>Рынок услуг общего образования</c:v>
                </c:pt>
                <c:pt idx="13">
                  <c:v>Рынок оказания услуг по перевозке пассажиров автомобильным транспортом по муниципальным маршрутам регулярных перевозок</c:v>
                </c:pt>
                <c:pt idx="14">
                  <c:v>Рынок легкой промышленности</c:v>
                </c:pt>
                <c:pt idx="15">
                  <c:v>Рынок обработки древесины и производства изделий из дерева</c:v>
                </c:pt>
                <c:pt idx="16">
                  <c:v>Рынок услуг по сбору и транспортированию твердых коммунальных отходов</c:v>
                </c:pt>
                <c:pt idx="17">
                  <c:v>Рынок кадастровых и землеустроительных работ</c:v>
                </c:pt>
              </c:strCache>
            </c:strRef>
          </c:cat>
          <c:val>
            <c:numRef>
              <c:f>Sheet1!$B$6:$S$6</c:f>
              <c:numCache>
                <c:formatCode>0%</c:formatCode>
                <c:ptCount val="18"/>
                <c:pt idx="0">
                  <c:v>0.01</c:v>
                </c:pt>
                <c:pt idx="1">
                  <c:v>0.04</c:v>
                </c:pt>
                <c:pt idx="2">
                  <c:v>0.02</c:v>
                </c:pt>
                <c:pt idx="3">
                  <c:v>0.01</c:v>
                </c:pt>
                <c:pt idx="4">
                  <c:v>0.02</c:v>
                </c:pt>
                <c:pt idx="5">
                  <c:v>0.03</c:v>
                </c:pt>
                <c:pt idx="6">
                  <c:v>0.05</c:v>
                </c:pt>
                <c:pt idx="7">
                  <c:v>0.04</c:v>
                </c:pt>
                <c:pt idx="8">
                  <c:v>0.04</c:v>
                </c:pt>
                <c:pt idx="9">
                  <c:v>0.05</c:v>
                </c:pt>
                <c:pt idx="10">
                  <c:v>0.02</c:v>
                </c:pt>
                <c:pt idx="11">
                  <c:v>7.0000000000000007E-2</c:v>
                </c:pt>
                <c:pt idx="12">
                  <c:v>0.01</c:v>
                </c:pt>
                <c:pt idx="13">
                  <c:v>0.01</c:v>
                </c:pt>
                <c:pt idx="14">
                  <c:v>0.02</c:v>
                </c:pt>
                <c:pt idx="15">
                  <c:v>0.03</c:v>
                </c:pt>
                <c:pt idx="16">
                  <c:v>0.04</c:v>
                </c:pt>
                <c:pt idx="17">
                  <c:v>0.05</c:v>
                </c:pt>
              </c:numCache>
            </c:numRef>
          </c:val>
          <c:extLst xmlns:c16r2="http://schemas.microsoft.com/office/drawing/2015/06/chart">
            <c:ext xmlns:c16="http://schemas.microsoft.com/office/drawing/2014/chart" uri="{C3380CC4-5D6E-409C-BE32-E72D297353CC}">
              <c16:uniqueId val="{00000025-11C2-4221-B982-E683D174F721}"/>
            </c:ext>
          </c:extLst>
        </c:ser>
        <c:dLbls>
          <c:showLegendKey val="0"/>
          <c:showVal val="0"/>
          <c:showCatName val="0"/>
          <c:showSerName val="0"/>
          <c:showPercent val="0"/>
          <c:showBubbleSize val="0"/>
        </c:dLbls>
        <c:gapWidth val="105"/>
        <c:overlap val="100"/>
        <c:axId val="145171456"/>
        <c:axId val="144897088"/>
      </c:barChart>
      <c:catAx>
        <c:axId val="145171456"/>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950">
                <a:latin typeface="Times New Roman" panose="02020603050405020304" pitchFamily="18" charset="0"/>
                <a:cs typeface="Times New Roman" panose="02020603050405020304" pitchFamily="18" charset="0"/>
              </a:defRPr>
            </a:pPr>
            <a:endParaRPr lang="ru-RU"/>
          </a:p>
        </c:txPr>
        <c:crossAx val="144897088"/>
        <c:crosses val="autoZero"/>
        <c:auto val="1"/>
        <c:lblAlgn val="ctr"/>
        <c:lblOffset val="100"/>
        <c:noMultiLvlLbl val="1"/>
      </c:catAx>
      <c:valAx>
        <c:axId val="144897088"/>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145171456"/>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7.0670118865101869E-2"/>
          <c:y val="0.97198350206224227"/>
          <c:w val="0.89999992246168636"/>
          <c:h val="2.7964553211336389E-2"/>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704926648856684"/>
          <c:y val="9.5414160186498426E-3"/>
          <c:w val="0.59739728781210866"/>
          <c:h val="0.93402931251240673"/>
        </c:manualLayout>
      </c:layout>
      <c:barChart>
        <c:barDir val="bar"/>
        <c:grouping val="percentStacked"/>
        <c:varyColors val="0"/>
        <c:ser>
          <c:idx val="0"/>
          <c:order val="0"/>
          <c:tx>
            <c:strRef>
              <c:f>Sheet1!$A$2</c:f>
              <c:strCache>
                <c:ptCount val="1"/>
                <c:pt idx="0">
                  <c:v>Избыточно (много)</c:v>
                </c:pt>
              </c:strCache>
            </c:strRef>
          </c:tx>
          <c:spPr>
            <a:solidFill>
              <a:srgbClr val="548235"/>
            </a:solidFill>
          </c:spPr>
          <c:invertIfNegative val="0"/>
          <c:dLbls>
            <c:dLbl>
              <c:idx val="1"/>
              <c:layout>
                <c:manualLayout>
                  <c:x val="9.9373944151843387E-3"/>
                  <c:y val="1.2306033832978818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622-4435-B464-86C34C18AE05}"/>
                </c:ext>
              </c:extLst>
            </c:dLbl>
            <c:dLbl>
              <c:idx val="2"/>
              <c:layout>
                <c:manualLayout>
                  <c:x val="1.3912352181258074E-2"/>
                  <c:y val="2.8652217781587545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622-4435-B464-86C34C18AE05}"/>
                </c:ext>
              </c:extLst>
            </c:dLbl>
            <c:dLbl>
              <c:idx val="3"/>
              <c:layout>
                <c:manualLayout>
                  <c:x val="1.3912352181258074E-2"/>
                  <c:y val="2.8652217781587545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622-4435-B464-86C34C18AE05}"/>
                </c:ext>
              </c:extLst>
            </c:dLbl>
            <c:dLbl>
              <c:idx val="4"/>
              <c:layout>
                <c:manualLayout>
                  <c:x val="1.3912352181258074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622-4435-B464-86C34C18AE05}"/>
                </c:ext>
              </c:extLst>
            </c:dLbl>
            <c:dLbl>
              <c:idx val="7"/>
              <c:layout>
                <c:manualLayout>
                  <c:x val="1.1924873298221207E-2"/>
                  <c:y val="1.2306033832978818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622-4435-B464-86C34C18AE05}"/>
                </c:ext>
              </c:extLst>
            </c:dLbl>
            <c:dLbl>
              <c:idx val="8"/>
              <c:layout>
                <c:manualLayout>
                  <c:x val="9.9373944151843387E-3"/>
                  <c:y val="1.562866296788309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622-4435-B464-86C34C18AE05}"/>
                </c:ext>
              </c:extLst>
            </c:dLbl>
            <c:dLbl>
              <c:idx val="10"/>
              <c:layout>
                <c:manualLayout>
                  <c:x val="7.9499155321474703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622-4435-B464-86C34C18AE05}"/>
                </c:ext>
              </c:extLst>
            </c:dLbl>
            <c:dLbl>
              <c:idx val="11"/>
              <c:layout>
                <c:manualLayout>
                  <c:x val="1.192487329822120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622-4435-B464-86C34C18AE05}"/>
                </c:ext>
              </c:extLst>
            </c:dLbl>
            <c:dLbl>
              <c:idx val="12"/>
              <c:layout>
                <c:manualLayout>
                  <c:x val="1.1924873298221207E-2"/>
                  <c:y val="1.2306033832978818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622-4435-B464-86C34C18AE05}"/>
                </c:ext>
              </c:extLst>
            </c:dLbl>
            <c:dLbl>
              <c:idx val="13"/>
              <c:layout>
                <c:manualLayout>
                  <c:x val="5.9624366491106036E-3"/>
                  <c:y val="1.1460887112635018E-1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622-4435-B464-86C34C18AE05}"/>
                </c:ext>
              </c:extLst>
            </c:dLbl>
            <c:dLbl>
              <c:idx val="14"/>
              <c:layout>
                <c:manualLayout>
                  <c:x val="9.9373944151843387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4622-4435-B464-86C34C18AE05}"/>
                </c:ext>
              </c:extLst>
            </c:dLbl>
            <c:dLbl>
              <c:idx val="15"/>
              <c:layout>
                <c:manualLayout>
                  <c:x val="1.1924873298221207E-2"/>
                  <c:y val="1.1460887112635018E-1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622-4435-B464-86C34C18AE05}"/>
                </c:ext>
              </c:extLst>
            </c:dLbl>
            <c:dLbl>
              <c:idx val="16"/>
              <c:layout>
                <c:manualLayout>
                  <c:x val="9.9373944151843387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4622-4435-B464-86C34C18AE05}"/>
                </c:ext>
              </c:extLst>
            </c:dLbl>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Sheet1!$B$1:$R$1</c:f>
              <c:strCache>
                <c:ptCount val="17"/>
                <c:pt idx="0">
                  <c:v>Рынок добычи общераспространенных полезных ископаемых на участках недр местного значения</c:v>
                </c:pt>
                <c:pt idx="1">
                  <c:v>Рынок производства бетона</c:v>
                </c:pt>
                <c:pt idx="2">
                  <c:v>Рынок оказания услуг по перевозке пассажиров автомобильным транспортом по межмуниципальным маршрутам регулярных перевозок</c:v>
                </c:pt>
                <c:pt idx="3">
                  <c:v>Рынок социальных услуг</c:v>
                </c:pt>
                <c:pt idx="4">
                  <c:v>Рынок услуг дошкольного образования</c:v>
                </c:pt>
                <c:pt idx="5">
                  <c:v>Рынок производства кирпича</c:v>
                </c:pt>
                <c:pt idx="6">
                  <c:v>Рынок строительства объектов капитального строительства, за исключением жилищного и дорожного строительства</c:v>
                </c:pt>
                <c:pt idx="7">
                  <c:v>Рынок выполнения работ по содержанию и текущему ремонту общего имущества собственников помещений в многоквартирном доме</c:v>
                </c:pt>
                <c:pt idx="8">
                  <c:v>Рынок услуг дополнительного образования детей</c:v>
                </c:pt>
                <c:pt idx="9">
                  <c:v>Рынок жилищного строительства</c:v>
                </c:pt>
                <c:pt idx="10">
                  <c:v>Рынок медицинских услуг</c:v>
                </c:pt>
                <c:pt idx="11">
                  <c:v>Рынок племенного животноводства</c:v>
                </c:pt>
                <c:pt idx="12">
                  <c:v>Рынок вылова водных биоресурсов</c:v>
                </c:pt>
                <c:pt idx="13">
                  <c:v>Рынок услуг детского отдыха и оздоровления</c:v>
                </c:pt>
                <c:pt idx="14">
                  <c:v>Рынок архитектурно-строительного проектирования</c:v>
                </c:pt>
                <c:pt idx="15">
                  <c:v>Рынок услуг среднего профессионального образования</c:v>
                </c:pt>
                <c:pt idx="16">
                  <c:v>Рынок товарной аквакультуры</c:v>
                </c:pt>
              </c:strCache>
            </c:strRef>
          </c:cat>
          <c:val>
            <c:numRef>
              <c:f>Sheet1!$B$2:$R$2</c:f>
              <c:numCache>
                <c:formatCode>0%</c:formatCode>
                <c:ptCount val="17"/>
                <c:pt idx="0">
                  <c:v>0.06</c:v>
                </c:pt>
                <c:pt idx="1">
                  <c:v>0.03</c:v>
                </c:pt>
                <c:pt idx="2">
                  <c:v>0.03</c:v>
                </c:pt>
                <c:pt idx="3">
                  <c:v>0.02</c:v>
                </c:pt>
                <c:pt idx="4">
                  <c:v>0.02</c:v>
                </c:pt>
                <c:pt idx="5">
                  <c:v>0.08</c:v>
                </c:pt>
                <c:pt idx="6">
                  <c:v>0.09</c:v>
                </c:pt>
                <c:pt idx="7">
                  <c:v>0.02</c:v>
                </c:pt>
                <c:pt idx="8">
                  <c:v>0.04</c:v>
                </c:pt>
                <c:pt idx="9">
                  <c:v>0.08</c:v>
                </c:pt>
                <c:pt idx="10">
                  <c:v>0.04</c:v>
                </c:pt>
                <c:pt idx="11">
                  <c:v>0.01</c:v>
                </c:pt>
                <c:pt idx="12">
                  <c:v>0.03</c:v>
                </c:pt>
                <c:pt idx="13">
                  <c:v>0.03</c:v>
                </c:pt>
                <c:pt idx="14">
                  <c:v>0.03</c:v>
                </c:pt>
                <c:pt idx="15">
                  <c:v>0.02</c:v>
                </c:pt>
                <c:pt idx="16">
                  <c:v>0.02</c:v>
                </c:pt>
              </c:numCache>
            </c:numRef>
          </c:val>
          <c:extLst xmlns:c16r2="http://schemas.microsoft.com/office/drawing/2015/06/chart">
            <c:ext xmlns:c16="http://schemas.microsoft.com/office/drawing/2014/chart" uri="{C3380CC4-5D6E-409C-BE32-E72D297353CC}">
              <c16:uniqueId val="{0000000D-4622-4435-B464-86C34C18AE05}"/>
            </c:ext>
          </c:extLst>
        </c:ser>
        <c:ser>
          <c:idx val="1"/>
          <c:order val="1"/>
          <c:tx>
            <c:strRef>
              <c:f>Sheet1!$A$3</c:f>
              <c:strCache>
                <c:ptCount val="1"/>
                <c:pt idx="0">
                  <c:v>Достаточно</c:v>
                </c:pt>
              </c:strCache>
            </c:strRef>
          </c:tx>
          <c:spPr>
            <a:solidFill>
              <a:srgbClr val="A9D18E"/>
            </a:solidFill>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Sheet1!$B$1:$R$1</c:f>
              <c:strCache>
                <c:ptCount val="17"/>
                <c:pt idx="0">
                  <c:v>Рынок добычи общераспространенных полезных ископаемых на участках недр местного значения</c:v>
                </c:pt>
                <c:pt idx="1">
                  <c:v>Рынок производства бетона</c:v>
                </c:pt>
                <c:pt idx="2">
                  <c:v>Рынок оказания услуг по перевозке пассажиров автомобильным транспортом по межмуниципальным маршрутам регулярных перевозок</c:v>
                </c:pt>
                <c:pt idx="3">
                  <c:v>Рынок социальных услуг</c:v>
                </c:pt>
                <c:pt idx="4">
                  <c:v>Рынок услуг дошкольного образования</c:v>
                </c:pt>
                <c:pt idx="5">
                  <c:v>Рынок производства кирпича</c:v>
                </c:pt>
                <c:pt idx="6">
                  <c:v>Рынок строительства объектов капитального строительства, за исключением жилищного и дорожного строительства</c:v>
                </c:pt>
                <c:pt idx="7">
                  <c:v>Рынок выполнения работ по содержанию и текущему ремонту общего имущества собственников помещений в многоквартирном доме</c:v>
                </c:pt>
                <c:pt idx="8">
                  <c:v>Рынок услуг дополнительного образования детей</c:v>
                </c:pt>
                <c:pt idx="9">
                  <c:v>Рынок жилищного строительства</c:v>
                </c:pt>
                <c:pt idx="10">
                  <c:v>Рынок медицинских услуг</c:v>
                </c:pt>
                <c:pt idx="11">
                  <c:v>Рынок племенного животноводства</c:v>
                </c:pt>
                <c:pt idx="12">
                  <c:v>Рынок вылова водных биоресурсов</c:v>
                </c:pt>
                <c:pt idx="13">
                  <c:v>Рынок услуг детского отдыха и оздоровления</c:v>
                </c:pt>
                <c:pt idx="14">
                  <c:v>Рынок архитектурно-строительного проектирования</c:v>
                </c:pt>
                <c:pt idx="15">
                  <c:v>Рынок услуг среднего профессионального образования</c:v>
                </c:pt>
                <c:pt idx="16">
                  <c:v>Рынок товарной аквакультуры</c:v>
                </c:pt>
              </c:strCache>
            </c:strRef>
          </c:cat>
          <c:val>
            <c:numRef>
              <c:f>Sheet1!$B$3:$R$3</c:f>
              <c:numCache>
                <c:formatCode>0%</c:formatCode>
                <c:ptCount val="17"/>
                <c:pt idx="0">
                  <c:v>0.63</c:v>
                </c:pt>
                <c:pt idx="1">
                  <c:v>0.66</c:v>
                </c:pt>
                <c:pt idx="2">
                  <c:v>0.64</c:v>
                </c:pt>
                <c:pt idx="3">
                  <c:v>0.64</c:v>
                </c:pt>
                <c:pt idx="4">
                  <c:v>0.64</c:v>
                </c:pt>
                <c:pt idx="5">
                  <c:v>0.56999999999999995</c:v>
                </c:pt>
                <c:pt idx="6">
                  <c:v>0.55000000000000004</c:v>
                </c:pt>
                <c:pt idx="7">
                  <c:v>0.62</c:v>
                </c:pt>
                <c:pt idx="8">
                  <c:v>0.59</c:v>
                </c:pt>
                <c:pt idx="9">
                  <c:v>0.55000000000000004</c:v>
                </c:pt>
                <c:pt idx="10">
                  <c:v>0.53</c:v>
                </c:pt>
                <c:pt idx="11">
                  <c:v>0.53</c:v>
                </c:pt>
                <c:pt idx="12">
                  <c:v>0.5</c:v>
                </c:pt>
                <c:pt idx="13">
                  <c:v>0.49</c:v>
                </c:pt>
                <c:pt idx="14">
                  <c:v>0.46</c:v>
                </c:pt>
                <c:pt idx="15">
                  <c:v>0.46</c:v>
                </c:pt>
                <c:pt idx="16">
                  <c:v>0.44</c:v>
                </c:pt>
              </c:numCache>
            </c:numRef>
          </c:val>
          <c:extLst xmlns:c16r2="http://schemas.microsoft.com/office/drawing/2015/06/chart">
            <c:ext xmlns:c16="http://schemas.microsoft.com/office/drawing/2014/chart" uri="{C3380CC4-5D6E-409C-BE32-E72D297353CC}">
              <c16:uniqueId val="{0000000E-4622-4435-B464-86C34C18AE05}"/>
            </c:ext>
          </c:extLst>
        </c:ser>
        <c:ser>
          <c:idx val="2"/>
          <c:order val="2"/>
          <c:tx>
            <c:strRef>
              <c:f>Sheet1!$A$4</c:f>
              <c:strCache>
                <c:ptCount val="1"/>
                <c:pt idx="0">
                  <c:v>Мало</c:v>
                </c:pt>
              </c:strCache>
            </c:strRef>
          </c:tx>
          <c:spPr>
            <a:solidFill>
              <a:srgbClr val="D97A8D"/>
            </a:solidFill>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Sheet1!$B$1:$R$1</c:f>
              <c:strCache>
                <c:ptCount val="17"/>
                <c:pt idx="0">
                  <c:v>Рынок добычи общераспространенных полезных ископаемых на участках недр местного значения</c:v>
                </c:pt>
                <c:pt idx="1">
                  <c:v>Рынок производства бетона</c:v>
                </c:pt>
                <c:pt idx="2">
                  <c:v>Рынок оказания услуг по перевозке пассажиров автомобильным транспортом по межмуниципальным маршрутам регулярных перевозок</c:v>
                </c:pt>
                <c:pt idx="3">
                  <c:v>Рынок социальных услуг</c:v>
                </c:pt>
                <c:pt idx="4">
                  <c:v>Рынок услуг дошкольного образования</c:v>
                </c:pt>
                <c:pt idx="5">
                  <c:v>Рынок производства кирпича</c:v>
                </c:pt>
                <c:pt idx="6">
                  <c:v>Рынок строительства объектов капитального строительства, за исключением жилищного и дорожного строительства</c:v>
                </c:pt>
                <c:pt idx="7">
                  <c:v>Рынок выполнения работ по содержанию и текущему ремонту общего имущества собственников помещений в многоквартирном доме</c:v>
                </c:pt>
                <c:pt idx="8">
                  <c:v>Рынок услуг дополнительного образования детей</c:v>
                </c:pt>
                <c:pt idx="9">
                  <c:v>Рынок жилищного строительства</c:v>
                </c:pt>
                <c:pt idx="10">
                  <c:v>Рынок медицинских услуг</c:v>
                </c:pt>
                <c:pt idx="11">
                  <c:v>Рынок племенного животноводства</c:v>
                </c:pt>
                <c:pt idx="12">
                  <c:v>Рынок вылова водных биоресурсов</c:v>
                </c:pt>
                <c:pt idx="13">
                  <c:v>Рынок услуг детского отдыха и оздоровления</c:v>
                </c:pt>
                <c:pt idx="14">
                  <c:v>Рынок архитектурно-строительного проектирования</c:v>
                </c:pt>
                <c:pt idx="15">
                  <c:v>Рынок услуг среднего профессионального образования</c:v>
                </c:pt>
                <c:pt idx="16">
                  <c:v>Рынок товарной аквакультуры</c:v>
                </c:pt>
              </c:strCache>
            </c:strRef>
          </c:cat>
          <c:val>
            <c:numRef>
              <c:f>Sheet1!$B$4:$R$4</c:f>
              <c:numCache>
                <c:formatCode>0%</c:formatCode>
                <c:ptCount val="17"/>
                <c:pt idx="0">
                  <c:v>0.2</c:v>
                </c:pt>
                <c:pt idx="1">
                  <c:v>0.2</c:v>
                </c:pt>
                <c:pt idx="2">
                  <c:v>0.28999999999999998</c:v>
                </c:pt>
                <c:pt idx="3">
                  <c:v>0.28999999999999998</c:v>
                </c:pt>
                <c:pt idx="4">
                  <c:v>0.3</c:v>
                </c:pt>
                <c:pt idx="5">
                  <c:v>0.22</c:v>
                </c:pt>
                <c:pt idx="6">
                  <c:v>0.28999999999999998</c:v>
                </c:pt>
                <c:pt idx="7">
                  <c:v>0.3</c:v>
                </c:pt>
                <c:pt idx="8">
                  <c:v>0.35</c:v>
                </c:pt>
                <c:pt idx="9">
                  <c:v>0.23</c:v>
                </c:pt>
                <c:pt idx="10">
                  <c:v>0.39</c:v>
                </c:pt>
                <c:pt idx="11">
                  <c:v>0.37</c:v>
                </c:pt>
                <c:pt idx="12">
                  <c:v>0.38</c:v>
                </c:pt>
                <c:pt idx="13">
                  <c:v>0.36</c:v>
                </c:pt>
                <c:pt idx="14">
                  <c:v>0.35</c:v>
                </c:pt>
                <c:pt idx="15">
                  <c:v>0.43</c:v>
                </c:pt>
                <c:pt idx="16">
                  <c:v>0.49</c:v>
                </c:pt>
              </c:numCache>
            </c:numRef>
          </c:val>
          <c:extLst xmlns:c16r2="http://schemas.microsoft.com/office/drawing/2015/06/chart">
            <c:ext xmlns:c16="http://schemas.microsoft.com/office/drawing/2014/chart" uri="{C3380CC4-5D6E-409C-BE32-E72D297353CC}">
              <c16:uniqueId val="{0000000F-4622-4435-B464-86C34C18AE05}"/>
            </c:ext>
          </c:extLst>
        </c:ser>
        <c:ser>
          <c:idx val="3"/>
          <c:order val="3"/>
          <c:tx>
            <c:strRef>
              <c:f>Sheet1!$A$5</c:f>
              <c:strCache>
                <c:ptCount val="1"/>
                <c:pt idx="0">
                  <c:v>Нет совсем</c:v>
                </c:pt>
              </c:strCache>
            </c:strRef>
          </c:tx>
          <c:spPr>
            <a:solidFill>
              <a:srgbClr val="59221B"/>
            </a:solidFill>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Sheet1!$B$1:$R$1</c:f>
              <c:strCache>
                <c:ptCount val="17"/>
                <c:pt idx="0">
                  <c:v>Рынок добычи общераспространенных полезных ископаемых на участках недр местного значения</c:v>
                </c:pt>
                <c:pt idx="1">
                  <c:v>Рынок производства бетона</c:v>
                </c:pt>
                <c:pt idx="2">
                  <c:v>Рынок оказания услуг по перевозке пассажиров автомобильным транспортом по межмуниципальным маршрутам регулярных перевозок</c:v>
                </c:pt>
                <c:pt idx="3">
                  <c:v>Рынок социальных услуг</c:v>
                </c:pt>
                <c:pt idx="4">
                  <c:v>Рынок услуг дошкольного образования</c:v>
                </c:pt>
                <c:pt idx="5">
                  <c:v>Рынок производства кирпича</c:v>
                </c:pt>
                <c:pt idx="6">
                  <c:v>Рынок строительства объектов капитального строительства, за исключением жилищного и дорожного строительства</c:v>
                </c:pt>
                <c:pt idx="7">
                  <c:v>Рынок выполнения работ по содержанию и текущему ремонту общего имущества собственников помещений в многоквартирном доме</c:v>
                </c:pt>
                <c:pt idx="8">
                  <c:v>Рынок услуг дополнительного образования детей</c:v>
                </c:pt>
                <c:pt idx="9">
                  <c:v>Рынок жилищного строительства</c:v>
                </c:pt>
                <c:pt idx="10">
                  <c:v>Рынок медицинских услуг</c:v>
                </c:pt>
                <c:pt idx="11">
                  <c:v>Рынок племенного животноводства</c:v>
                </c:pt>
                <c:pt idx="12">
                  <c:v>Рынок вылова водных биоресурсов</c:v>
                </c:pt>
                <c:pt idx="13">
                  <c:v>Рынок услуг детского отдыха и оздоровления</c:v>
                </c:pt>
                <c:pt idx="14">
                  <c:v>Рынок архитектурно-строительного проектирования</c:v>
                </c:pt>
                <c:pt idx="15">
                  <c:v>Рынок услуг среднего профессионального образования</c:v>
                </c:pt>
                <c:pt idx="16">
                  <c:v>Рынок товарной аквакультуры</c:v>
                </c:pt>
              </c:strCache>
            </c:strRef>
          </c:cat>
          <c:val>
            <c:numRef>
              <c:f>Sheet1!$B$5:$R$5</c:f>
              <c:numCache>
                <c:formatCode>0%</c:formatCode>
                <c:ptCount val="17"/>
                <c:pt idx="0">
                  <c:v>0.03</c:v>
                </c:pt>
                <c:pt idx="1">
                  <c:v>0.02</c:v>
                </c:pt>
                <c:pt idx="2">
                  <c:v>0.01</c:v>
                </c:pt>
                <c:pt idx="3">
                  <c:v>0.01</c:v>
                </c:pt>
                <c:pt idx="4">
                  <c:v>0.02</c:v>
                </c:pt>
                <c:pt idx="5">
                  <c:v>0.06</c:v>
                </c:pt>
                <c:pt idx="6">
                  <c:v>0.06</c:v>
                </c:pt>
                <c:pt idx="7">
                  <c:v>0.01</c:v>
                </c:pt>
                <c:pt idx="8">
                  <c:v>0.02</c:v>
                </c:pt>
                <c:pt idx="9">
                  <c:v>0.1</c:v>
                </c:pt>
                <c:pt idx="10">
                  <c:v>0.02</c:v>
                </c:pt>
                <c:pt idx="11">
                  <c:v>0.04</c:v>
                </c:pt>
                <c:pt idx="12">
                  <c:v>0.04</c:v>
                </c:pt>
                <c:pt idx="13">
                  <c:v>0.08</c:v>
                </c:pt>
                <c:pt idx="14">
                  <c:v>0.08</c:v>
                </c:pt>
                <c:pt idx="15">
                  <c:v>0.06</c:v>
                </c:pt>
                <c:pt idx="16">
                  <c:v>0.03</c:v>
                </c:pt>
              </c:numCache>
            </c:numRef>
          </c:val>
          <c:extLst xmlns:c16r2="http://schemas.microsoft.com/office/drawing/2015/06/chart">
            <c:ext xmlns:c16="http://schemas.microsoft.com/office/drawing/2014/chart" uri="{C3380CC4-5D6E-409C-BE32-E72D297353CC}">
              <c16:uniqueId val="{00000010-4622-4435-B464-86C34C18AE05}"/>
            </c:ext>
          </c:extLst>
        </c:ser>
        <c:ser>
          <c:idx val="4"/>
          <c:order val="4"/>
          <c:tx>
            <c:strRef>
              <c:f>Sheet1!$A$6</c:f>
              <c:strCache>
                <c:ptCount val="1"/>
                <c:pt idx="0">
                  <c:v>Затрудняюсь ответить</c:v>
                </c:pt>
              </c:strCache>
            </c:strRef>
          </c:tx>
          <c:spPr>
            <a:solidFill>
              <a:sysClr val="window" lastClr="FFFFFF">
                <a:lumMod val="50000"/>
              </a:sysClr>
            </a:solidFill>
          </c:spPr>
          <c:invertIfNegative val="0"/>
          <c:dLbls>
            <c:dLbl>
              <c:idx val="0"/>
              <c:layout>
                <c:manualLayout>
                  <c:x val="3.3787141011626755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4622-4435-B464-86C34C18AE05}"/>
                </c:ext>
              </c:extLst>
            </c:dLbl>
            <c:dLbl>
              <c:idx val="1"/>
              <c:layout>
                <c:manualLayout>
                  <c:x val="3.5774619894663476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4622-4435-B464-86C34C18AE05}"/>
                </c:ext>
              </c:extLst>
            </c:dLbl>
            <c:dLbl>
              <c:idx val="2"/>
              <c:layout>
                <c:manualLayout>
                  <c:x val="2.1862267713405544E-2"/>
                  <c:y val="2.8652217781587545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4622-4435-B464-86C34C18AE05}"/>
                </c:ext>
              </c:extLst>
            </c:dLbl>
            <c:dLbl>
              <c:idx val="3"/>
              <c:layout>
                <c:manualLayout>
                  <c:x val="2.1862267713405544E-2"/>
                  <c:y val="2.8652217781587545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4622-4435-B464-86C34C18AE05}"/>
                </c:ext>
              </c:extLst>
            </c:dLbl>
            <c:dLbl>
              <c:idx val="4"/>
              <c:layout>
                <c:manualLayout>
                  <c:x val="1.7887309947331811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4622-4435-B464-86C34C18AE05}"/>
                </c:ext>
              </c:extLst>
            </c:dLbl>
            <c:dLbl>
              <c:idx val="5"/>
              <c:layout>
                <c:manualLayout>
                  <c:x val="2.9812183245553014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4622-4435-B464-86C34C18AE05}"/>
                </c:ext>
              </c:extLst>
            </c:dLbl>
            <c:dLbl>
              <c:idx val="6"/>
              <c:layout>
                <c:manualLayout>
                  <c:x val="1.5899831064294941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4622-4435-B464-86C34C18AE05}"/>
                </c:ext>
              </c:extLst>
            </c:dLbl>
            <c:dLbl>
              <c:idx val="7"/>
              <c:layout>
                <c:manualLayout>
                  <c:x val="2.7824704362516148E-2"/>
                  <c:y val="1.562989357126639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4622-4435-B464-86C34C18AE05}"/>
                </c:ext>
              </c:extLst>
            </c:dLbl>
            <c:dLbl>
              <c:idx val="8"/>
              <c:layout>
                <c:manualLayout>
                  <c:x val="1.5899831064294941E-2"/>
                  <c:y val="5.7304435563175089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4622-4435-B464-86C34C18AE05}"/>
                </c:ext>
              </c:extLst>
            </c:dLbl>
            <c:dLbl>
              <c:idx val="9"/>
              <c:layout>
                <c:manualLayout>
                  <c:x val="2.7824704362516002E-2"/>
                  <c:y val="1.1460887112635018E-1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4622-4435-B464-86C34C18AE05}"/>
                </c:ext>
              </c:extLst>
            </c:dLbl>
            <c:dLbl>
              <c:idx val="10"/>
              <c:layout>
                <c:manualLayout>
                  <c:x val="1.5899831064294941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4622-4435-B464-86C34C18AE05}"/>
                </c:ext>
              </c:extLst>
            </c:dLbl>
            <c:dLbl>
              <c:idx val="11"/>
              <c:layout>
                <c:manualLayout>
                  <c:x val="2.5837225479479281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4622-4435-B464-86C34C18AE05}"/>
                </c:ext>
              </c:extLst>
            </c:dLbl>
            <c:dLbl>
              <c:idx val="12"/>
              <c:layout>
                <c:manualLayout>
                  <c:x val="2.5837225479479281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4622-4435-B464-86C34C18AE05}"/>
                </c:ext>
              </c:extLst>
            </c:dLbl>
            <c:dLbl>
              <c:idx val="13"/>
              <c:layout>
                <c:manualLayout>
                  <c:x val="2.1862267713405544E-2"/>
                  <c:y val="1.1460887112635018E-1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4622-4435-B464-86C34C18AE05}"/>
                </c:ext>
              </c:extLst>
            </c:dLbl>
            <c:dLbl>
              <c:idx val="14"/>
              <c:layout>
                <c:manualLayout>
                  <c:x val="3.3787141011626755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4622-4435-B464-86C34C18AE05}"/>
                </c:ext>
              </c:extLst>
            </c:dLbl>
            <c:dLbl>
              <c:idx val="15"/>
              <c:layout>
                <c:manualLayout>
                  <c:x val="1.7887309947331811E-2"/>
                  <c:y val="1.1460887112635018E-1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0-4622-4435-B464-86C34C18AE05}"/>
                </c:ext>
              </c:extLst>
            </c:dLbl>
            <c:dLbl>
              <c:idx val="16"/>
              <c:layout>
                <c:manualLayout>
                  <c:x val="1.5899831064294941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1-4622-4435-B464-86C34C18AE05}"/>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Sheet1!$B$1:$R$1</c:f>
              <c:strCache>
                <c:ptCount val="17"/>
                <c:pt idx="0">
                  <c:v>Рынок добычи общераспространенных полезных ископаемых на участках недр местного значения</c:v>
                </c:pt>
                <c:pt idx="1">
                  <c:v>Рынок производства бетона</c:v>
                </c:pt>
                <c:pt idx="2">
                  <c:v>Рынок оказания услуг по перевозке пассажиров автомобильным транспортом по межмуниципальным маршрутам регулярных перевозок</c:v>
                </c:pt>
                <c:pt idx="3">
                  <c:v>Рынок социальных услуг</c:v>
                </c:pt>
                <c:pt idx="4">
                  <c:v>Рынок услуг дошкольного образования</c:v>
                </c:pt>
                <c:pt idx="5">
                  <c:v>Рынок производства кирпича</c:v>
                </c:pt>
                <c:pt idx="6">
                  <c:v>Рынок строительства объектов капитального строительства, за исключением жилищного и дорожного строительства</c:v>
                </c:pt>
                <c:pt idx="7">
                  <c:v>Рынок выполнения работ по содержанию и текущему ремонту общего имущества собственников помещений в многоквартирном доме</c:v>
                </c:pt>
                <c:pt idx="8">
                  <c:v>Рынок услуг дополнительного образования детей</c:v>
                </c:pt>
                <c:pt idx="9">
                  <c:v>Рынок жилищного строительства</c:v>
                </c:pt>
                <c:pt idx="10">
                  <c:v>Рынок медицинских услуг</c:v>
                </c:pt>
                <c:pt idx="11">
                  <c:v>Рынок племенного животноводства</c:v>
                </c:pt>
                <c:pt idx="12">
                  <c:v>Рынок вылова водных биоресурсов</c:v>
                </c:pt>
                <c:pt idx="13">
                  <c:v>Рынок услуг детского отдыха и оздоровления</c:v>
                </c:pt>
                <c:pt idx="14">
                  <c:v>Рынок архитектурно-строительного проектирования</c:v>
                </c:pt>
                <c:pt idx="15">
                  <c:v>Рынок услуг среднего профессионального образования</c:v>
                </c:pt>
                <c:pt idx="16">
                  <c:v>Рынок товарной аквакультуры</c:v>
                </c:pt>
              </c:strCache>
            </c:strRef>
          </c:cat>
          <c:val>
            <c:numRef>
              <c:f>Sheet1!$B$6:$R$6</c:f>
              <c:numCache>
                <c:formatCode>0%</c:formatCode>
                <c:ptCount val="17"/>
                <c:pt idx="0">
                  <c:v>0.08</c:v>
                </c:pt>
                <c:pt idx="1">
                  <c:v>0.09</c:v>
                </c:pt>
                <c:pt idx="2">
                  <c:v>0.03</c:v>
                </c:pt>
                <c:pt idx="3">
                  <c:v>0.03</c:v>
                </c:pt>
                <c:pt idx="4">
                  <c:v>0.02</c:v>
                </c:pt>
                <c:pt idx="5">
                  <c:v>7.0000000000000007E-2</c:v>
                </c:pt>
                <c:pt idx="6">
                  <c:v>0.01</c:v>
                </c:pt>
                <c:pt idx="7">
                  <c:v>0.06</c:v>
                </c:pt>
                <c:pt idx="8">
                  <c:v>0.01</c:v>
                </c:pt>
                <c:pt idx="9">
                  <c:v>0.06</c:v>
                </c:pt>
                <c:pt idx="10">
                  <c:v>0.01</c:v>
                </c:pt>
                <c:pt idx="11">
                  <c:v>0.05</c:v>
                </c:pt>
                <c:pt idx="12">
                  <c:v>0.05</c:v>
                </c:pt>
                <c:pt idx="13">
                  <c:v>0.03</c:v>
                </c:pt>
                <c:pt idx="14">
                  <c:v>0.08</c:v>
                </c:pt>
                <c:pt idx="15">
                  <c:v>0.02</c:v>
                </c:pt>
                <c:pt idx="16">
                  <c:v>0.01</c:v>
                </c:pt>
              </c:numCache>
            </c:numRef>
          </c:val>
          <c:extLst xmlns:c16r2="http://schemas.microsoft.com/office/drawing/2015/06/chart">
            <c:ext xmlns:c16="http://schemas.microsoft.com/office/drawing/2014/chart" uri="{C3380CC4-5D6E-409C-BE32-E72D297353CC}">
              <c16:uniqueId val="{00000022-4622-4435-B464-86C34C18AE05}"/>
            </c:ext>
          </c:extLst>
        </c:ser>
        <c:dLbls>
          <c:showLegendKey val="0"/>
          <c:showVal val="0"/>
          <c:showCatName val="0"/>
          <c:showSerName val="0"/>
          <c:showPercent val="0"/>
          <c:showBubbleSize val="0"/>
        </c:dLbls>
        <c:gapWidth val="105"/>
        <c:overlap val="100"/>
        <c:axId val="145172480"/>
        <c:axId val="144899392"/>
      </c:barChart>
      <c:catAx>
        <c:axId val="145172480"/>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950">
                <a:latin typeface="Times New Roman" panose="02020603050405020304" pitchFamily="18" charset="0"/>
                <a:cs typeface="Times New Roman" panose="02020603050405020304" pitchFamily="18" charset="0"/>
              </a:defRPr>
            </a:pPr>
            <a:endParaRPr lang="ru-RU"/>
          </a:p>
        </c:txPr>
        <c:crossAx val="144899392"/>
        <c:crosses val="autoZero"/>
        <c:auto val="1"/>
        <c:lblAlgn val="ctr"/>
        <c:lblOffset val="100"/>
        <c:noMultiLvlLbl val="1"/>
      </c:catAx>
      <c:valAx>
        <c:axId val="144899392"/>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145172480"/>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7.0670118865101869E-2"/>
          <c:y val="0.97198350206224227"/>
          <c:w val="0.89999992246168636"/>
          <c:h val="2.7964553211336389E-2"/>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4403037054463"/>
          <c:y val="9.8027676117950047E-2"/>
          <c:w val="0.32241060292995294"/>
          <c:h val="0.85370694860325569"/>
        </c:manualLayout>
      </c:layout>
      <c:doughnutChart>
        <c:varyColors val="1"/>
        <c:ser>
          <c:idx val="0"/>
          <c:order val="0"/>
          <c:tx>
            <c:strRef>
              <c:f>Лист1!$B$1</c:f>
              <c:strCache>
                <c:ptCount val="1"/>
                <c:pt idx="0">
                  <c:v>Продажи</c:v>
                </c:pt>
              </c:strCache>
            </c:strRef>
          </c:tx>
          <c:dPt>
            <c:idx val="0"/>
            <c:bubble3D val="0"/>
            <c:spPr>
              <a:solidFill>
                <a:srgbClr val="548235"/>
              </a:solidFill>
              <a:ln w="19050">
                <a:solidFill>
                  <a:schemeClr val="lt1"/>
                </a:solidFill>
              </a:ln>
              <a:effectLst/>
            </c:spPr>
            <c:extLst xmlns:c16r2="http://schemas.microsoft.com/office/drawing/2015/06/chart">
              <c:ext xmlns:c16="http://schemas.microsoft.com/office/drawing/2014/chart" uri="{C3380CC4-5D6E-409C-BE32-E72D297353CC}">
                <c16:uniqueId val="{00000001-F2EA-4755-A769-DE0A9137EA94}"/>
              </c:ext>
            </c:extLst>
          </c:dPt>
          <c:dPt>
            <c:idx val="1"/>
            <c:bubble3D val="0"/>
            <c:spPr>
              <a:solidFill>
                <a:srgbClr val="D97A8D"/>
              </a:solidFill>
              <a:ln w="19050">
                <a:solidFill>
                  <a:schemeClr val="lt1"/>
                </a:solidFill>
              </a:ln>
              <a:effectLst/>
            </c:spPr>
            <c:extLst xmlns:c16r2="http://schemas.microsoft.com/office/drawing/2015/06/chart">
              <c:ext xmlns:c16="http://schemas.microsoft.com/office/drawing/2014/chart" uri="{C3380CC4-5D6E-409C-BE32-E72D297353CC}">
                <c16:uniqueId val="{00000003-F2EA-4755-A769-DE0A9137EA94}"/>
              </c:ext>
            </c:extLst>
          </c:dPt>
          <c:dPt>
            <c:idx val="2"/>
            <c:bubble3D val="0"/>
            <c:spPr>
              <a:solidFill>
                <a:schemeClr val="accent1">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F2EA-4755-A769-DE0A9137EA94}"/>
              </c:ext>
            </c:extLst>
          </c:dPt>
          <c:dPt>
            <c:idx val="3"/>
            <c:bubble3D val="0"/>
            <c:spPr>
              <a:solidFill>
                <a:schemeClr val="bg1">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F2EA-4755-A769-DE0A9137EA94}"/>
              </c:ext>
            </c:extLst>
          </c:dPt>
          <c:dLbls>
            <c:dLbl>
              <c:idx val="0"/>
              <c:layout>
                <c:manualLayout>
                  <c:x val="4.7281323877067689E-3"/>
                  <c:y val="-2.8690331060326746E-17"/>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2EA-4755-A769-DE0A9137EA94}"/>
                </c:ext>
              </c:extLst>
            </c:dLbl>
            <c:dLbl>
              <c:idx val="2"/>
              <c:layout>
                <c:manualLayout>
                  <c:x val="7.092198581560283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2EA-4755-A769-DE0A9137EA94}"/>
                </c:ext>
              </c:extLst>
            </c:dLbl>
            <c:dLbl>
              <c:idx val="3"/>
              <c:layout>
                <c:manualLayout>
                  <c:x val="-4.520392397758791E-3"/>
                  <c:y val="3.9899942084703913E-3"/>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2EA-4755-A769-DE0A9137EA94}"/>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Увеличилось</c:v>
                </c:pt>
                <c:pt idx="1">
                  <c:v>Снизилось</c:v>
                </c:pt>
                <c:pt idx="2">
                  <c:v>Не изменилось</c:v>
                </c:pt>
                <c:pt idx="3">
                  <c:v>Затрудняюсь ответить</c:v>
                </c:pt>
              </c:strCache>
            </c:strRef>
          </c:cat>
          <c:val>
            <c:numRef>
              <c:f>Лист1!$B$2:$B$5</c:f>
              <c:numCache>
                <c:formatCode>0%</c:formatCode>
                <c:ptCount val="4"/>
                <c:pt idx="0">
                  <c:v>0.28830241187384054</c:v>
                </c:pt>
                <c:pt idx="1">
                  <c:v>0.11679526355996944</c:v>
                </c:pt>
                <c:pt idx="2">
                  <c:v>0.47490614427589212</c:v>
                </c:pt>
                <c:pt idx="3">
                  <c:v>0.11999836298155629</c:v>
                </c:pt>
              </c:numCache>
            </c:numRef>
          </c:val>
          <c:extLst xmlns:c16r2="http://schemas.microsoft.com/office/drawing/2015/06/chart">
            <c:ext xmlns:c16="http://schemas.microsoft.com/office/drawing/2014/chart" uri="{C3380CC4-5D6E-409C-BE32-E72D297353CC}">
              <c16:uniqueId val="{00000008-F2EA-4755-A769-DE0A9137EA94}"/>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704926648856684"/>
          <c:y val="9.5414160186498426E-3"/>
          <c:w val="0.59739728781210866"/>
          <c:h val="0.93402931251240673"/>
        </c:manualLayout>
      </c:layout>
      <c:barChart>
        <c:barDir val="bar"/>
        <c:grouping val="percentStacked"/>
        <c:varyColors val="0"/>
        <c:ser>
          <c:idx val="0"/>
          <c:order val="0"/>
          <c:tx>
            <c:strRef>
              <c:f>Sheet1!$A$2</c:f>
              <c:strCache>
                <c:ptCount val="1"/>
                <c:pt idx="0">
                  <c:v>Увеличилось</c:v>
                </c:pt>
              </c:strCache>
            </c:strRef>
          </c:tx>
          <c:spPr>
            <a:solidFill>
              <a:srgbClr val="548235"/>
            </a:solidFill>
            <a:ln w="9525" cap="flat">
              <a:noFill/>
              <a:prstDash val="solid"/>
              <a:round/>
            </a:ln>
            <a:effectLst/>
          </c:spPr>
          <c:invertIfNegative val="0"/>
          <c:dLbls>
            <c:dLbl>
              <c:idx val="1"/>
              <c:layout>
                <c:manualLayout>
                  <c:x val="1.3623946932778087E-2"/>
                  <c:y val="3.6580793255921246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2A0-4894-8957-5983A12D608C}"/>
                </c:ext>
              </c:extLst>
            </c:dLbl>
            <c:dLbl>
              <c:idx val="2"/>
              <c:layout>
                <c:manualLayout>
                  <c:x val="1.0253255408592229E-2"/>
                  <c:y val="1.6851826106006413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2A0-4894-8957-5983A12D608C}"/>
                </c:ext>
              </c:extLst>
            </c:dLbl>
            <c:dLbl>
              <c:idx val="3"/>
              <c:layout>
                <c:manualLayout>
                  <c:x val="1.0253255408592229E-2"/>
                  <c:y val="1.6851826113853655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2A0-4894-8957-5983A12D608C}"/>
                </c:ext>
              </c:extLst>
            </c:dLbl>
            <c:dLbl>
              <c:idx val="4"/>
              <c:layout>
                <c:manualLayout>
                  <c:x val="-2.0506510817184455E-3"/>
                  <c:y val="4.3472826766219441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2A0-4894-8957-5983A12D608C}"/>
                </c:ext>
              </c:extLst>
            </c:dLbl>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В среднем по Ленинградской области</c:v>
                </c:pt>
                <c:pt idx="1">
                  <c:v>Работаю</c:v>
                </c:pt>
                <c:pt idx="2">
                  <c:v>Безработный(ая)</c:v>
                </c:pt>
                <c:pt idx="3">
                  <c:v>Учусь/студент</c:v>
                </c:pt>
                <c:pt idx="4">
                  <c:v>Домохозяйка</c:v>
                </c:pt>
                <c:pt idx="5">
                  <c:v>Пенсионер (в т.ч. по инвалидности)</c:v>
                </c:pt>
                <c:pt idx="6">
                  <c:v>Самозанятый(ая)</c:v>
                </c:pt>
                <c:pt idx="7">
                  <c:v>Предприниматель</c:v>
                </c:pt>
              </c:strCache>
            </c:strRef>
          </c:cat>
          <c:val>
            <c:numRef>
              <c:f>Sheet1!$B$2:$I$2</c:f>
              <c:numCache>
                <c:formatCode>0%</c:formatCode>
                <c:ptCount val="8"/>
                <c:pt idx="0">
                  <c:v>0.28954730950070973</c:v>
                </c:pt>
                <c:pt idx="1">
                  <c:v>0.29973122953975068</c:v>
                </c:pt>
                <c:pt idx="2">
                  <c:v>0.31800464642562448</c:v>
                </c:pt>
                <c:pt idx="3">
                  <c:v>0.33882068232355883</c:v>
                </c:pt>
                <c:pt idx="4">
                  <c:v>0.33602292871779466</c:v>
                </c:pt>
                <c:pt idx="5">
                  <c:v>0.20707855461123281</c:v>
                </c:pt>
                <c:pt idx="6">
                  <c:v>0.37254303887123713</c:v>
                </c:pt>
                <c:pt idx="7">
                  <c:v>0.25130464894406518</c:v>
                </c:pt>
              </c:numCache>
            </c:numRef>
          </c:val>
          <c:extLst xmlns:c16r2="http://schemas.microsoft.com/office/drawing/2015/06/chart">
            <c:ext xmlns:c16="http://schemas.microsoft.com/office/drawing/2014/chart" uri="{C3380CC4-5D6E-409C-BE32-E72D297353CC}">
              <c16:uniqueId val="{00000004-D2A0-4894-8957-5983A12D608C}"/>
            </c:ext>
          </c:extLst>
        </c:ser>
        <c:ser>
          <c:idx val="1"/>
          <c:order val="1"/>
          <c:tx>
            <c:strRef>
              <c:f>Sheet1!$A$3</c:f>
              <c:strCache>
                <c:ptCount val="1"/>
                <c:pt idx="0">
                  <c:v>Снизилось</c:v>
                </c:pt>
              </c:strCache>
            </c:strRef>
          </c:tx>
          <c:spPr>
            <a:solidFill>
              <a:srgbClr val="D97A8D"/>
            </a:solidFill>
            <a:ln w="9525" cap="flat">
              <a:noFill/>
              <a:prstDash val="solid"/>
              <a:round/>
            </a:ln>
            <a:effectLst/>
          </c:spPr>
          <c:invertIfNegative val="0"/>
          <c:dLbls>
            <c:dLbl>
              <c:idx val="4"/>
              <c:layout>
                <c:manualLayout>
                  <c:x val="8.202604326873745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2A0-4894-8957-5983A12D608C}"/>
                </c:ext>
              </c:extLst>
            </c:dLbl>
            <c:dLbl>
              <c:idx val="7"/>
              <c:layout>
                <c:manualLayout>
                  <c:x val="1.0253255408592191E-2"/>
                  <c:y val="-1.0121806237432044E-1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2A0-4894-8957-5983A12D608C}"/>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В среднем по Ленинградской области</c:v>
                </c:pt>
                <c:pt idx="1">
                  <c:v>Работаю</c:v>
                </c:pt>
                <c:pt idx="2">
                  <c:v>Безработный(ая)</c:v>
                </c:pt>
                <c:pt idx="3">
                  <c:v>Учусь/студент</c:v>
                </c:pt>
                <c:pt idx="4">
                  <c:v>Домохозяйка</c:v>
                </c:pt>
                <c:pt idx="5">
                  <c:v>Пенсионер (в т.ч. по инвалидности)</c:v>
                </c:pt>
                <c:pt idx="6">
                  <c:v>Самозанятый(ая)</c:v>
                </c:pt>
                <c:pt idx="7">
                  <c:v>Предприниматель</c:v>
                </c:pt>
              </c:strCache>
            </c:strRef>
          </c:cat>
          <c:val>
            <c:numRef>
              <c:f>Sheet1!$B$3:$I$3</c:f>
              <c:numCache>
                <c:formatCode>0%</c:formatCode>
                <c:ptCount val="8"/>
                <c:pt idx="0">
                  <c:v>0.11670958284873023</c:v>
                </c:pt>
                <c:pt idx="1">
                  <c:v>0.12365472278871331</c:v>
                </c:pt>
                <c:pt idx="2">
                  <c:v>8.6075796053613374E-2</c:v>
                </c:pt>
                <c:pt idx="3">
                  <c:v>0.12888679022793562</c:v>
                </c:pt>
                <c:pt idx="4">
                  <c:v>0.12534443591629599</c:v>
                </c:pt>
                <c:pt idx="5">
                  <c:v>9.2387618181794209E-2</c:v>
                </c:pt>
                <c:pt idx="6">
                  <c:v>0.14353554388545559</c:v>
                </c:pt>
                <c:pt idx="7">
                  <c:v>0.12176266275978068</c:v>
                </c:pt>
              </c:numCache>
            </c:numRef>
          </c:val>
          <c:extLst xmlns:c16r2="http://schemas.microsoft.com/office/drawing/2015/06/chart">
            <c:ext xmlns:c16="http://schemas.microsoft.com/office/drawing/2014/chart" uri="{C3380CC4-5D6E-409C-BE32-E72D297353CC}">
              <c16:uniqueId val="{00000007-D2A0-4894-8957-5983A12D608C}"/>
            </c:ext>
          </c:extLst>
        </c:ser>
        <c:ser>
          <c:idx val="2"/>
          <c:order val="2"/>
          <c:tx>
            <c:strRef>
              <c:f>Sheet1!$A$4</c:f>
              <c:strCache>
                <c:ptCount val="1"/>
                <c:pt idx="0">
                  <c:v>Не изменилось</c:v>
                </c:pt>
              </c:strCache>
            </c:strRef>
          </c:tx>
          <c:spPr>
            <a:solidFill>
              <a:srgbClr val="4472C4">
                <a:lumMod val="60000"/>
                <a:lumOff val="40000"/>
              </a:srgbClr>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В среднем по Ленинградской области</c:v>
                </c:pt>
                <c:pt idx="1">
                  <c:v>Работаю</c:v>
                </c:pt>
                <c:pt idx="2">
                  <c:v>Безработный(ая)</c:v>
                </c:pt>
                <c:pt idx="3">
                  <c:v>Учусь/студент</c:v>
                </c:pt>
                <c:pt idx="4">
                  <c:v>Домохозяйка</c:v>
                </c:pt>
                <c:pt idx="5">
                  <c:v>Пенсионер (в т.ч. по инвалидности)</c:v>
                </c:pt>
                <c:pt idx="6">
                  <c:v>Самозанятый(ая)</c:v>
                </c:pt>
                <c:pt idx="7">
                  <c:v>Предприниматель</c:v>
                </c:pt>
              </c:strCache>
            </c:strRef>
          </c:cat>
          <c:val>
            <c:numRef>
              <c:f>Sheet1!$B$4:$I$4</c:f>
              <c:numCache>
                <c:formatCode>0%</c:formatCode>
                <c:ptCount val="8"/>
                <c:pt idx="0">
                  <c:v>0.47352413619834938</c:v>
                </c:pt>
                <c:pt idx="1">
                  <c:v>0.4723820211951712</c:v>
                </c:pt>
                <c:pt idx="2">
                  <c:v>0.48651626745428039</c:v>
                </c:pt>
                <c:pt idx="3">
                  <c:v>0.37370440325584958</c:v>
                </c:pt>
                <c:pt idx="4">
                  <c:v>0.42035081210436281</c:v>
                </c:pt>
                <c:pt idx="5">
                  <c:v>0.51538576979351547</c:v>
                </c:pt>
                <c:pt idx="6">
                  <c:v>0.39440162368697373</c:v>
                </c:pt>
                <c:pt idx="7">
                  <c:v>0.60733178209016581</c:v>
                </c:pt>
              </c:numCache>
            </c:numRef>
          </c:val>
          <c:extLst xmlns:c16r2="http://schemas.microsoft.com/office/drawing/2015/06/chart">
            <c:ext xmlns:c16="http://schemas.microsoft.com/office/drawing/2014/chart" uri="{C3380CC4-5D6E-409C-BE32-E72D297353CC}">
              <c16:uniqueId val="{00000008-D2A0-4894-8957-5983A12D608C}"/>
            </c:ext>
          </c:extLst>
        </c:ser>
        <c:ser>
          <c:idx val="3"/>
          <c:order val="3"/>
          <c:tx>
            <c:strRef>
              <c:f>Sheet1!$A$5</c:f>
              <c:strCache>
                <c:ptCount val="1"/>
                <c:pt idx="0">
                  <c:v>Затрудняюсь ответить</c:v>
                </c:pt>
              </c:strCache>
            </c:strRef>
          </c:tx>
          <c:spPr>
            <a:solidFill>
              <a:sysClr val="window" lastClr="FFFFFF">
                <a:lumMod val="50000"/>
              </a:sysClr>
            </a:solidFill>
            <a:ln w="9525" cap="flat">
              <a:noFill/>
              <a:prstDash val="solid"/>
              <a:round/>
            </a:ln>
            <a:effectLst/>
          </c:spPr>
          <c:invertIfNegative val="0"/>
          <c:dLbls>
            <c:dLbl>
              <c:idx val="1"/>
              <c:layout>
                <c:manualLayout>
                  <c:x val="5.9084194977843431E-3"/>
                  <c:y val="1.2193597751500576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2A0-4894-8957-5983A12D608C}"/>
                </c:ext>
              </c:extLst>
            </c:dLbl>
            <c:dLbl>
              <c:idx val="2"/>
              <c:layout>
                <c:manualLayout>
                  <c:x val="1.9694731659281144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2A0-4894-8957-5983A12D608C}"/>
                </c:ext>
              </c:extLst>
            </c:dLbl>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В среднем по Ленинградской области</c:v>
                </c:pt>
                <c:pt idx="1">
                  <c:v>Работаю</c:v>
                </c:pt>
                <c:pt idx="2">
                  <c:v>Безработный(ая)</c:v>
                </c:pt>
                <c:pt idx="3">
                  <c:v>Учусь/студент</c:v>
                </c:pt>
                <c:pt idx="4">
                  <c:v>Домохозяйка</c:v>
                </c:pt>
                <c:pt idx="5">
                  <c:v>Пенсионер (в т.ч. по инвалидности)</c:v>
                </c:pt>
                <c:pt idx="6">
                  <c:v>Самозанятый(ая)</c:v>
                </c:pt>
                <c:pt idx="7">
                  <c:v>Предприниматель</c:v>
                </c:pt>
              </c:strCache>
            </c:strRef>
          </c:cat>
          <c:val>
            <c:numRef>
              <c:f>Sheet1!$B$5:$I$5</c:f>
              <c:numCache>
                <c:formatCode>0%</c:formatCode>
                <c:ptCount val="8"/>
                <c:pt idx="0">
                  <c:v>0.12021897145221064</c:v>
                </c:pt>
                <c:pt idx="1">
                  <c:v>0.1042320264763648</c:v>
                </c:pt>
                <c:pt idx="2">
                  <c:v>0.10940329006648178</c:v>
                </c:pt>
                <c:pt idx="3">
                  <c:v>0.15858812419265586</c:v>
                </c:pt>
                <c:pt idx="4">
                  <c:v>0.11828182326154656</c:v>
                </c:pt>
                <c:pt idx="5">
                  <c:v>0.1851480574134575</c:v>
                </c:pt>
                <c:pt idx="6">
                  <c:v>8.9519793556333604E-2</c:v>
                </c:pt>
                <c:pt idx="7">
                  <c:v>1.960090620598828E-2</c:v>
                </c:pt>
              </c:numCache>
            </c:numRef>
          </c:val>
          <c:extLst xmlns:c16r2="http://schemas.microsoft.com/office/drawing/2015/06/chart">
            <c:ext xmlns:c16="http://schemas.microsoft.com/office/drawing/2014/chart" uri="{C3380CC4-5D6E-409C-BE32-E72D297353CC}">
              <c16:uniqueId val="{0000000B-D2A0-4894-8957-5983A12D608C}"/>
            </c:ext>
          </c:extLst>
        </c:ser>
        <c:dLbls>
          <c:showLegendKey val="0"/>
          <c:showVal val="0"/>
          <c:showCatName val="0"/>
          <c:showSerName val="0"/>
          <c:showPercent val="0"/>
          <c:showBubbleSize val="0"/>
        </c:dLbls>
        <c:gapWidth val="105"/>
        <c:overlap val="100"/>
        <c:axId val="145454592"/>
        <c:axId val="147362304"/>
      </c:barChart>
      <c:catAx>
        <c:axId val="145454592"/>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1200">
                <a:latin typeface="Times New Roman" panose="02020603050405020304" pitchFamily="18" charset="0"/>
                <a:cs typeface="Times New Roman" panose="02020603050405020304" pitchFamily="18" charset="0"/>
              </a:defRPr>
            </a:pPr>
            <a:endParaRPr lang="ru-RU"/>
          </a:p>
        </c:txPr>
        <c:crossAx val="147362304"/>
        <c:crosses val="autoZero"/>
        <c:auto val="1"/>
        <c:lblAlgn val="ctr"/>
        <c:lblOffset val="100"/>
        <c:noMultiLvlLbl val="1"/>
      </c:catAx>
      <c:valAx>
        <c:axId val="147362304"/>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145454592"/>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7.0670054248783837E-2"/>
          <c:y val="0.94899499631511575"/>
          <c:w val="0.89999992246168636"/>
          <c:h val="5.1005007352804305E-2"/>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270228270556909"/>
          <c:y val="9.5414160186498426E-3"/>
          <c:w val="0.51392322854207462"/>
          <c:h val="0.89933140547697021"/>
        </c:manualLayout>
      </c:layout>
      <c:barChart>
        <c:barDir val="bar"/>
        <c:grouping val="percentStacked"/>
        <c:varyColors val="0"/>
        <c:ser>
          <c:idx val="0"/>
          <c:order val="0"/>
          <c:tx>
            <c:strRef>
              <c:f>Sheet1!$A$2</c:f>
              <c:strCache>
                <c:ptCount val="1"/>
                <c:pt idx="0">
                  <c:v>Большое число поставщиков</c:v>
                </c:pt>
              </c:strCache>
            </c:strRef>
          </c:tx>
          <c:spPr>
            <a:solidFill>
              <a:srgbClr val="548235"/>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Sheet1!$Q$1:$AE$1</c:f>
              <c:strCache>
                <c:ptCount val="15"/>
                <c:pt idx="0">
                  <c:v>Рынок теплоснабжения (производство тепловой энергии)</c:v>
                </c:pt>
                <c:pt idx="1">
                  <c:v>Рынок услуг связи, в том числе услуг по предоставлению широкополосного доступа к информационно-телекоммуникационной сети «Интернет»</c:v>
                </c:pt>
                <c:pt idx="2">
                  <c:v>Рынок оказания услуг по ремонту автотранспортных средств</c:v>
                </c:pt>
                <c:pt idx="3">
                  <c:v>Рынок архитектурно-строительного проектирования</c:v>
                </c:pt>
                <c:pt idx="4">
                  <c:v>Рынок производства электрической энергии (мощности) на розничном рынке электрической энергии (мощности)</c:v>
                </c:pt>
                <c:pt idx="5">
                  <c:v>Рынок семеноводства</c:v>
                </c:pt>
                <c:pt idx="6">
                  <c:v>Рынок производства бетона</c:v>
                </c:pt>
                <c:pt idx="7">
                  <c:v>Рынок услуг детского отдыха и оздоровления</c:v>
                </c:pt>
                <c:pt idx="8">
                  <c:v>Рынок оказания услуг по перевозке пассажиров автомобильным транспортом по муниципальным маршрутам регулярных перевозок</c:v>
                </c:pt>
                <c:pt idx="9">
                  <c:v>Рынок оказания услуг по перевозке пассажиров и багажа легковым такси на территории Ленинградской области</c:v>
                </c:pt>
                <c:pt idx="10">
                  <c:v>Рынок социальных услуг</c:v>
                </c:pt>
                <c:pt idx="11">
                  <c:v>Рынок купли-продажи электрической энергии (мощности) на розничном рынке электрической энергии (мощности)</c:v>
                </c:pt>
                <c:pt idx="12">
                  <c:v>Рынок оказания услуг по перевозке пассажиров автомобильным транспортом по межмуниципальным маршрутам регулярных перевозок</c:v>
                </c:pt>
                <c:pt idx="13">
                  <c:v>Рынок услуг общего образования</c:v>
                </c:pt>
                <c:pt idx="14">
                  <c:v>Рынок услуг среднего профессионального образования</c:v>
                </c:pt>
              </c:strCache>
            </c:strRef>
          </c:cat>
          <c:val>
            <c:numRef>
              <c:f>Sheet1!$Q$2:$AE$2</c:f>
              <c:numCache>
                <c:formatCode>0%</c:formatCode>
                <c:ptCount val="15"/>
                <c:pt idx="0">
                  <c:v>0.27272727272727298</c:v>
                </c:pt>
                <c:pt idx="1">
                  <c:v>0.269230769230769</c:v>
                </c:pt>
                <c:pt idx="2">
                  <c:v>0.21875</c:v>
                </c:pt>
                <c:pt idx="3">
                  <c:v>0.23529411764705899</c:v>
                </c:pt>
                <c:pt idx="4">
                  <c:v>0.4</c:v>
                </c:pt>
                <c:pt idx="5">
                  <c:v>0.28571428571428603</c:v>
                </c:pt>
                <c:pt idx="6">
                  <c:v>0.25</c:v>
                </c:pt>
                <c:pt idx="7">
                  <c:v>0.2</c:v>
                </c:pt>
                <c:pt idx="8">
                  <c:v>0.18181818181818202</c:v>
                </c:pt>
                <c:pt idx="9">
                  <c:v>0.36363636363636404</c:v>
                </c:pt>
                <c:pt idx="10">
                  <c:v>0.194444444444444</c:v>
                </c:pt>
                <c:pt idx="11">
                  <c:v>0.2</c:v>
                </c:pt>
                <c:pt idx="12">
                  <c:v>0.2</c:v>
                </c:pt>
                <c:pt idx="14">
                  <c:v>0.1</c:v>
                </c:pt>
              </c:numCache>
            </c:numRef>
          </c:val>
          <c:extLst xmlns:c16r2="http://schemas.microsoft.com/office/drawing/2015/06/chart">
            <c:ext xmlns:c16="http://schemas.microsoft.com/office/drawing/2014/chart" uri="{C3380CC4-5D6E-409C-BE32-E72D297353CC}">
              <c16:uniqueId val="{00000000-192C-4E5C-B267-E19814788AE5}"/>
            </c:ext>
          </c:extLst>
        </c:ser>
        <c:ser>
          <c:idx val="1"/>
          <c:order val="1"/>
          <c:tx>
            <c:strRef>
              <c:f>Sheet1!$A$3</c:f>
              <c:strCache>
                <c:ptCount val="1"/>
                <c:pt idx="0">
                  <c:v>4 и более поставщика</c:v>
                </c:pt>
              </c:strCache>
            </c:strRef>
          </c:tx>
          <c:spPr>
            <a:solidFill>
              <a:srgbClr val="A9D18E"/>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Sheet1!$Q$1:$AE$1</c:f>
              <c:strCache>
                <c:ptCount val="15"/>
                <c:pt idx="0">
                  <c:v>Рынок теплоснабжения (производство тепловой энергии)</c:v>
                </c:pt>
                <c:pt idx="1">
                  <c:v>Рынок услуг связи, в том числе услуг по предоставлению широкополосного доступа к информационно-телекоммуникационной сети «Интернет»</c:v>
                </c:pt>
                <c:pt idx="2">
                  <c:v>Рынок оказания услуг по ремонту автотранспортных средств</c:v>
                </c:pt>
                <c:pt idx="3">
                  <c:v>Рынок архитектурно-строительного проектирования</c:v>
                </c:pt>
                <c:pt idx="4">
                  <c:v>Рынок производства электрической энергии (мощности) на розничном рынке электрической энергии (мощности)</c:v>
                </c:pt>
                <c:pt idx="5">
                  <c:v>Рынок семеноводства</c:v>
                </c:pt>
                <c:pt idx="6">
                  <c:v>Рынок производства бетона</c:v>
                </c:pt>
                <c:pt idx="7">
                  <c:v>Рынок услуг детского отдыха и оздоровления</c:v>
                </c:pt>
                <c:pt idx="8">
                  <c:v>Рынок оказания услуг по перевозке пассажиров автомобильным транспортом по муниципальным маршрутам регулярных перевозок</c:v>
                </c:pt>
                <c:pt idx="9">
                  <c:v>Рынок оказания услуг по перевозке пассажиров и багажа легковым такси на территории Ленинградской области</c:v>
                </c:pt>
                <c:pt idx="10">
                  <c:v>Рынок социальных услуг</c:v>
                </c:pt>
                <c:pt idx="11">
                  <c:v>Рынок купли-продажи электрической энергии (мощности) на розничном рынке электрической энергии (мощности)</c:v>
                </c:pt>
                <c:pt idx="12">
                  <c:v>Рынок оказания услуг по перевозке пассажиров автомобильным транспортом по межмуниципальным маршрутам регулярных перевозок</c:v>
                </c:pt>
                <c:pt idx="13">
                  <c:v>Рынок услуг общего образования</c:v>
                </c:pt>
                <c:pt idx="14">
                  <c:v>Рынок услуг среднего профессионального образования</c:v>
                </c:pt>
              </c:strCache>
            </c:strRef>
          </c:cat>
          <c:val>
            <c:numRef>
              <c:f>Sheet1!$Q$3:$AE$3</c:f>
              <c:numCache>
                <c:formatCode>0%</c:formatCode>
                <c:ptCount val="15"/>
                <c:pt idx="0">
                  <c:v>0.27272727272727298</c:v>
                </c:pt>
                <c:pt idx="1">
                  <c:v>0.269230769230769</c:v>
                </c:pt>
                <c:pt idx="2">
                  <c:v>0.3125</c:v>
                </c:pt>
                <c:pt idx="3">
                  <c:v>0.29411764705882404</c:v>
                </c:pt>
                <c:pt idx="4">
                  <c:v>0.1</c:v>
                </c:pt>
                <c:pt idx="5">
                  <c:v>0.214285714285714</c:v>
                </c:pt>
                <c:pt idx="6">
                  <c:v>0.25</c:v>
                </c:pt>
                <c:pt idx="7">
                  <c:v>0.3</c:v>
                </c:pt>
                <c:pt idx="8">
                  <c:v>0.27272727272727298</c:v>
                </c:pt>
                <c:pt idx="9">
                  <c:v>9.0909090909090898E-2</c:v>
                </c:pt>
                <c:pt idx="10">
                  <c:v>0.25</c:v>
                </c:pt>
                <c:pt idx="11">
                  <c:v>0.2</c:v>
                </c:pt>
                <c:pt idx="12">
                  <c:v>0.2</c:v>
                </c:pt>
                <c:pt idx="13">
                  <c:v>0.4</c:v>
                </c:pt>
                <c:pt idx="14">
                  <c:v>0.3</c:v>
                </c:pt>
              </c:numCache>
            </c:numRef>
          </c:val>
          <c:extLst xmlns:c16r2="http://schemas.microsoft.com/office/drawing/2015/06/chart">
            <c:ext xmlns:c16="http://schemas.microsoft.com/office/drawing/2014/chart" uri="{C3380CC4-5D6E-409C-BE32-E72D297353CC}">
              <c16:uniqueId val="{00000001-192C-4E5C-B267-E19814788AE5}"/>
            </c:ext>
          </c:extLst>
        </c:ser>
        <c:ser>
          <c:idx val="2"/>
          <c:order val="2"/>
          <c:tx>
            <c:strRef>
              <c:f>Sheet1!$A$4</c:f>
              <c:strCache>
                <c:ptCount val="1"/>
                <c:pt idx="0">
                  <c:v>2-3 поставщика</c:v>
                </c:pt>
              </c:strCache>
            </c:strRef>
          </c:tx>
          <c:spPr>
            <a:solidFill>
              <a:srgbClr val="FFC000"/>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Sheet1!$Q$1:$AE$1</c:f>
              <c:strCache>
                <c:ptCount val="15"/>
                <c:pt idx="0">
                  <c:v>Рынок теплоснабжения (производство тепловой энергии)</c:v>
                </c:pt>
                <c:pt idx="1">
                  <c:v>Рынок услуг связи, в том числе услуг по предоставлению широкополосного доступа к информационно-телекоммуникационной сети «Интернет»</c:v>
                </c:pt>
                <c:pt idx="2">
                  <c:v>Рынок оказания услуг по ремонту автотранспортных средств</c:v>
                </c:pt>
                <c:pt idx="3">
                  <c:v>Рынок архитектурно-строительного проектирования</c:v>
                </c:pt>
                <c:pt idx="4">
                  <c:v>Рынок производства электрической энергии (мощности) на розничном рынке электрической энергии (мощности)</c:v>
                </c:pt>
                <c:pt idx="5">
                  <c:v>Рынок семеноводства</c:v>
                </c:pt>
                <c:pt idx="6">
                  <c:v>Рынок производства бетона</c:v>
                </c:pt>
                <c:pt idx="7">
                  <c:v>Рынок услуг детского отдыха и оздоровления</c:v>
                </c:pt>
                <c:pt idx="8">
                  <c:v>Рынок оказания услуг по перевозке пассажиров автомобильным транспортом по муниципальным маршрутам регулярных перевозок</c:v>
                </c:pt>
                <c:pt idx="9">
                  <c:v>Рынок оказания услуг по перевозке пассажиров и багажа легковым такси на территории Ленинградской области</c:v>
                </c:pt>
                <c:pt idx="10">
                  <c:v>Рынок социальных услуг</c:v>
                </c:pt>
                <c:pt idx="11">
                  <c:v>Рынок купли-продажи электрической энергии (мощности) на розничном рынке электрической энергии (мощности)</c:v>
                </c:pt>
                <c:pt idx="12">
                  <c:v>Рынок оказания услуг по перевозке пассажиров автомобильным транспортом по межмуниципальным маршрутам регулярных перевозок</c:v>
                </c:pt>
                <c:pt idx="13">
                  <c:v>Рынок услуг общего образования</c:v>
                </c:pt>
                <c:pt idx="14">
                  <c:v>Рынок услуг среднего профессионального образования</c:v>
                </c:pt>
              </c:strCache>
            </c:strRef>
          </c:cat>
          <c:val>
            <c:numRef>
              <c:f>Sheet1!$Q$4:$AE$4</c:f>
              <c:numCache>
                <c:formatCode>0%</c:formatCode>
                <c:ptCount val="15"/>
                <c:pt idx="0">
                  <c:v>0.36363636363636404</c:v>
                </c:pt>
                <c:pt idx="1">
                  <c:v>0.19230769230769201</c:v>
                </c:pt>
                <c:pt idx="2">
                  <c:v>0.125</c:v>
                </c:pt>
                <c:pt idx="3">
                  <c:v>0.29411764705882404</c:v>
                </c:pt>
                <c:pt idx="4">
                  <c:v>0.3</c:v>
                </c:pt>
                <c:pt idx="5">
                  <c:v>0.35714285714285698</c:v>
                </c:pt>
                <c:pt idx="6">
                  <c:v>0.25</c:v>
                </c:pt>
                <c:pt idx="7">
                  <c:v>0.1</c:v>
                </c:pt>
                <c:pt idx="8">
                  <c:v>0.18181818181818202</c:v>
                </c:pt>
                <c:pt idx="9">
                  <c:v>9.0909090909090898E-2</c:v>
                </c:pt>
                <c:pt idx="10">
                  <c:v>0.30555555555555602</c:v>
                </c:pt>
                <c:pt idx="11">
                  <c:v>0.1</c:v>
                </c:pt>
                <c:pt idx="12">
                  <c:v>0.5</c:v>
                </c:pt>
                <c:pt idx="13">
                  <c:v>0.3</c:v>
                </c:pt>
              </c:numCache>
            </c:numRef>
          </c:val>
          <c:extLst xmlns:c16r2="http://schemas.microsoft.com/office/drawing/2015/06/chart">
            <c:ext xmlns:c16="http://schemas.microsoft.com/office/drawing/2014/chart" uri="{C3380CC4-5D6E-409C-BE32-E72D297353CC}">
              <c16:uniqueId val="{00000002-192C-4E5C-B267-E19814788AE5}"/>
            </c:ext>
          </c:extLst>
        </c:ser>
        <c:ser>
          <c:idx val="3"/>
          <c:order val="3"/>
          <c:tx>
            <c:strRef>
              <c:f>Sheet1!$A$5</c:f>
              <c:strCache>
                <c:ptCount val="1"/>
                <c:pt idx="0">
                  <c:v>Единственный поставщик</c:v>
                </c:pt>
              </c:strCache>
            </c:strRef>
          </c:tx>
          <c:spPr>
            <a:solidFill>
              <a:srgbClr val="D97A8D"/>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Sheet1!$Q$1:$AE$1</c:f>
              <c:strCache>
                <c:ptCount val="15"/>
                <c:pt idx="0">
                  <c:v>Рынок теплоснабжения (производство тепловой энергии)</c:v>
                </c:pt>
                <c:pt idx="1">
                  <c:v>Рынок услуг связи, в том числе услуг по предоставлению широкополосного доступа к информационно-телекоммуникационной сети «Интернет»</c:v>
                </c:pt>
                <c:pt idx="2">
                  <c:v>Рынок оказания услуг по ремонту автотранспортных средств</c:v>
                </c:pt>
                <c:pt idx="3">
                  <c:v>Рынок архитектурно-строительного проектирования</c:v>
                </c:pt>
                <c:pt idx="4">
                  <c:v>Рынок производства электрической энергии (мощности) на розничном рынке электрической энергии (мощности)</c:v>
                </c:pt>
                <c:pt idx="5">
                  <c:v>Рынок семеноводства</c:v>
                </c:pt>
                <c:pt idx="6">
                  <c:v>Рынок производства бетона</c:v>
                </c:pt>
                <c:pt idx="7">
                  <c:v>Рынок услуг детского отдыха и оздоровления</c:v>
                </c:pt>
                <c:pt idx="8">
                  <c:v>Рынок оказания услуг по перевозке пассажиров автомобильным транспортом по муниципальным маршрутам регулярных перевозок</c:v>
                </c:pt>
                <c:pt idx="9">
                  <c:v>Рынок оказания услуг по перевозке пассажиров и багажа легковым такси на территории Ленинградской области</c:v>
                </c:pt>
                <c:pt idx="10">
                  <c:v>Рынок социальных услуг</c:v>
                </c:pt>
                <c:pt idx="11">
                  <c:v>Рынок купли-продажи электрической энергии (мощности) на розничном рынке электрической энергии (мощности)</c:v>
                </c:pt>
                <c:pt idx="12">
                  <c:v>Рынок оказания услуг по перевозке пассажиров автомобильным транспортом по межмуниципальным маршрутам регулярных перевозок</c:v>
                </c:pt>
                <c:pt idx="13">
                  <c:v>Рынок услуг общего образования</c:v>
                </c:pt>
                <c:pt idx="14">
                  <c:v>Рынок услуг среднего профессионального образования</c:v>
                </c:pt>
              </c:strCache>
            </c:strRef>
          </c:cat>
          <c:val>
            <c:numRef>
              <c:f>Sheet1!$Q$5:$AE$5</c:f>
              <c:numCache>
                <c:formatCode>0%</c:formatCode>
                <c:ptCount val="15"/>
                <c:pt idx="0">
                  <c:v>9.0909090909090898E-2</c:v>
                </c:pt>
                <c:pt idx="1">
                  <c:v>3.8461538461538498E-2</c:v>
                </c:pt>
                <c:pt idx="2">
                  <c:v>6.25E-2</c:v>
                </c:pt>
                <c:pt idx="5">
                  <c:v>7.1428571428571397E-2</c:v>
                </c:pt>
                <c:pt idx="7">
                  <c:v>0.1</c:v>
                </c:pt>
                <c:pt idx="10">
                  <c:v>5.5555555555555601E-2</c:v>
                </c:pt>
                <c:pt idx="11">
                  <c:v>0.1</c:v>
                </c:pt>
                <c:pt idx="13">
                  <c:v>0.2</c:v>
                </c:pt>
              </c:numCache>
            </c:numRef>
          </c:val>
          <c:extLst xmlns:c16r2="http://schemas.microsoft.com/office/drawing/2015/06/chart">
            <c:ext xmlns:c16="http://schemas.microsoft.com/office/drawing/2014/chart" uri="{C3380CC4-5D6E-409C-BE32-E72D297353CC}">
              <c16:uniqueId val="{00000003-192C-4E5C-B267-E19814788AE5}"/>
            </c:ext>
          </c:extLst>
        </c:ser>
        <c:ser>
          <c:idx val="4"/>
          <c:order val="4"/>
          <c:tx>
            <c:strRef>
              <c:f>Sheet1!$A$6</c:f>
              <c:strCache>
                <c:ptCount val="1"/>
                <c:pt idx="0">
                  <c:v>Не пользуемся услугами поставщиков</c:v>
                </c:pt>
              </c:strCache>
            </c:strRef>
          </c:tx>
          <c:spPr>
            <a:solidFill>
              <a:srgbClr val="59221B"/>
            </a:solidFill>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Sheet1!$Q$1:$AE$1</c:f>
              <c:strCache>
                <c:ptCount val="15"/>
                <c:pt idx="0">
                  <c:v>Рынок теплоснабжения (производство тепловой энергии)</c:v>
                </c:pt>
                <c:pt idx="1">
                  <c:v>Рынок услуг связи, в том числе услуг по предоставлению широкополосного доступа к информационно-телекоммуникационной сети «Интернет»</c:v>
                </c:pt>
                <c:pt idx="2">
                  <c:v>Рынок оказания услуг по ремонту автотранспортных средств</c:v>
                </c:pt>
                <c:pt idx="3">
                  <c:v>Рынок архитектурно-строительного проектирования</c:v>
                </c:pt>
                <c:pt idx="4">
                  <c:v>Рынок производства электрической энергии (мощности) на розничном рынке электрической энергии (мощности)</c:v>
                </c:pt>
                <c:pt idx="5">
                  <c:v>Рынок семеноводства</c:v>
                </c:pt>
                <c:pt idx="6">
                  <c:v>Рынок производства бетона</c:v>
                </c:pt>
                <c:pt idx="7">
                  <c:v>Рынок услуг детского отдыха и оздоровления</c:v>
                </c:pt>
                <c:pt idx="8">
                  <c:v>Рынок оказания услуг по перевозке пассажиров автомобильным транспортом по муниципальным маршрутам регулярных перевозок</c:v>
                </c:pt>
                <c:pt idx="9">
                  <c:v>Рынок оказания услуг по перевозке пассажиров и багажа легковым такси на территории Ленинградской области</c:v>
                </c:pt>
                <c:pt idx="10">
                  <c:v>Рынок социальных услуг</c:v>
                </c:pt>
                <c:pt idx="11">
                  <c:v>Рынок купли-продажи электрической энергии (мощности) на розничном рынке электрической энергии (мощности)</c:v>
                </c:pt>
                <c:pt idx="12">
                  <c:v>Рынок оказания услуг по перевозке пассажиров автомобильным транспортом по межмуниципальным маршрутам регулярных перевозок</c:v>
                </c:pt>
                <c:pt idx="13">
                  <c:v>Рынок услуг общего образования</c:v>
                </c:pt>
                <c:pt idx="14">
                  <c:v>Рынок услуг среднего профессионального образования</c:v>
                </c:pt>
              </c:strCache>
            </c:strRef>
          </c:cat>
          <c:val>
            <c:numRef>
              <c:f>Sheet1!$Q$6:$AE$6</c:f>
              <c:numCache>
                <c:formatCode>0%</c:formatCode>
                <c:ptCount val="15"/>
                <c:pt idx="1">
                  <c:v>0.11538461538461499</c:v>
                </c:pt>
                <c:pt idx="2">
                  <c:v>9.375E-2</c:v>
                </c:pt>
                <c:pt idx="3">
                  <c:v>0.11764705882352899</c:v>
                </c:pt>
                <c:pt idx="5">
                  <c:v>7.1428571428571397E-2</c:v>
                </c:pt>
                <c:pt idx="6">
                  <c:v>0.16666666666666699</c:v>
                </c:pt>
                <c:pt idx="7">
                  <c:v>0.3</c:v>
                </c:pt>
                <c:pt idx="8">
                  <c:v>0.18181818181818202</c:v>
                </c:pt>
                <c:pt idx="9">
                  <c:v>0.36363636363636404</c:v>
                </c:pt>
                <c:pt idx="10">
                  <c:v>0.16666666666666699</c:v>
                </c:pt>
                <c:pt idx="11">
                  <c:v>0.1</c:v>
                </c:pt>
                <c:pt idx="13">
                  <c:v>0.1</c:v>
                </c:pt>
                <c:pt idx="14">
                  <c:v>0.5</c:v>
                </c:pt>
              </c:numCache>
            </c:numRef>
          </c:val>
          <c:extLst xmlns:c16r2="http://schemas.microsoft.com/office/drawing/2015/06/chart">
            <c:ext xmlns:c16="http://schemas.microsoft.com/office/drawing/2014/chart" uri="{C3380CC4-5D6E-409C-BE32-E72D297353CC}">
              <c16:uniqueId val="{00000004-192C-4E5C-B267-E19814788AE5}"/>
            </c:ext>
          </c:extLst>
        </c:ser>
        <c:ser>
          <c:idx val="5"/>
          <c:order val="5"/>
          <c:tx>
            <c:strRef>
              <c:f>Sheet1!$A$7</c:f>
              <c:strCache>
                <c:ptCount val="1"/>
                <c:pt idx="0">
                  <c:v>Затрудняюсь ответить</c:v>
                </c:pt>
              </c:strCache>
            </c:strRef>
          </c:tx>
          <c:spPr>
            <a:solidFill>
              <a:srgbClr val="E7E6E6">
                <a:lumMod val="75000"/>
              </a:srgbClr>
            </a:solidFill>
          </c:spPr>
          <c:invertIfNegative val="0"/>
          <c:dLbls>
            <c:dLbl>
              <c:idx val="10"/>
              <c:layout>
                <c:manualLayout>
                  <c:x val="0"/>
                  <c:y val="2.2123893805309734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92C-4E5C-B267-E19814788AE5}"/>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Sheet1!$Q$1:$AE$1</c:f>
              <c:strCache>
                <c:ptCount val="15"/>
                <c:pt idx="0">
                  <c:v>Рынок теплоснабжения (производство тепловой энергии)</c:v>
                </c:pt>
                <c:pt idx="1">
                  <c:v>Рынок услуг связи, в том числе услуг по предоставлению широкополосного доступа к информационно-телекоммуникационной сети «Интернет»</c:v>
                </c:pt>
                <c:pt idx="2">
                  <c:v>Рынок оказания услуг по ремонту автотранспортных средств</c:v>
                </c:pt>
                <c:pt idx="3">
                  <c:v>Рынок архитектурно-строительного проектирования</c:v>
                </c:pt>
                <c:pt idx="4">
                  <c:v>Рынок производства электрической энергии (мощности) на розничном рынке электрической энергии (мощности)</c:v>
                </c:pt>
                <c:pt idx="5">
                  <c:v>Рынок семеноводства</c:v>
                </c:pt>
                <c:pt idx="6">
                  <c:v>Рынок производства бетона</c:v>
                </c:pt>
                <c:pt idx="7">
                  <c:v>Рынок услуг детского отдыха и оздоровления</c:v>
                </c:pt>
                <c:pt idx="8">
                  <c:v>Рынок оказания услуг по перевозке пассажиров автомобильным транспортом по муниципальным маршрутам регулярных перевозок</c:v>
                </c:pt>
                <c:pt idx="9">
                  <c:v>Рынок оказания услуг по перевозке пассажиров и багажа легковым такси на территории Ленинградской области</c:v>
                </c:pt>
                <c:pt idx="10">
                  <c:v>Рынок социальных услуг</c:v>
                </c:pt>
                <c:pt idx="11">
                  <c:v>Рынок купли-продажи электрической энергии (мощности) на розничном рынке электрической энергии (мощности)</c:v>
                </c:pt>
                <c:pt idx="12">
                  <c:v>Рынок оказания услуг по перевозке пассажиров автомобильным транспортом по межмуниципальным маршрутам регулярных перевозок</c:v>
                </c:pt>
                <c:pt idx="13">
                  <c:v>Рынок услуг общего образования</c:v>
                </c:pt>
                <c:pt idx="14">
                  <c:v>Рынок услуг среднего профессионального образования</c:v>
                </c:pt>
              </c:strCache>
            </c:strRef>
          </c:cat>
          <c:val>
            <c:numRef>
              <c:f>Sheet1!$Q$7:$AE$7</c:f>
              <c:numCache>
                <c:formatCode>0%</c:formatCode>
                <c:ptCount val="15"/>
                <c:pt idx="1">
                  <c:v>0.11538461538461499</c:v>
                </c:pt>
                <c:pt idx="2">
                  <c:v>0.1875</c:v>
                </c:pt>
                <c:pt idx="3">
                  <c:v>5.8823529411764698E-2</c:v>
                </c:pt>
                <c:pt idx="4">
                  <c:v>0.2</c:v>
                </c:pt>
                <c:pt idx="6">
                  <c:v>8.3333333333333301E-2</c:v>
                </c:pt>
                <c:pt idx="8">
                  <c:v>0.18181818181818202</c:v>
                </c:pt>
                <c:pt idx="9">
                  <c:v>9.0909090909090898E-2</c:v>
                </c:pt>
                <c:pt idx="10">
                  <c:v>2.7777777777777801E-2</c:v>
                </c:pt>
                <c:pt idx="11">
                  <c:v>0.3</c:v>
                </c:pt>
                <c:pt idx="12">
                  <c:v>0.1</c:v>
                </c:pt>
                <c:pt idx="14">
                  <c:v>0.1</c:v>
                </c:pt>
              </c:numCache>
            </c:numRef>
          </c:val>
          <c:extLst xmlns:c16r2="http://schemas.microsoft.com/office/drawing/2015/06/chart">
            <c:ext xmlns:c16="http://schemas.microsoft.com/office/drawing/2014/chart" uri="{C3380CC4-5D6E-409C-BE32-E72D297353CC}">
              <c16:uniqueId val="{00000006-192C-4E5C-B267-E19814788AE5}"/>
            </c:ext>
          </c:extLst>
        </c:ser>
        <c:dLbls>
          <c:showLegendKey val="0"/>
          <c:showVal val="0"/>
          <c:showCatName val="0"/>
          <c:showSerName val="0"/>
          <c:showPercent val="0"/>
          <c:showBubbleSize val="0"/>
        </c:dLbls>
        <c:gapWidth val="105"/>
        <c:overlap val="100"/>
        <c:axId val="119871488"/>
        <c:axId val="118088832"/>
      </c:barChart>
      <c:catAx>
        <c:axId val="119871488"/>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950">
                <a:latin typeface="Times New Roman" panose="02020603050405020304" pitchFamily="18" charset="0"/>
                <a:cs typeface="Times New Roman" panose="02020603050405020304" pitchFamily="18" charset="0"/>
              </a:defRPr>
            </a:pPr>
            <a:endParaRPr lang="ru-RU"/>
          </a:p>
        </c:txPr>
        <c:crossAx val="118088832"/>
        <c:crosses val="autoZero"/>
        <c:auto val="1"/>
        <c:lblAlgn val="ctr"/>
        <c:lblOffset val="100"/>
        <c:noMultiLvlLbl val="1"/>
      </c:catAx>
      <c:valAx>
        <c:axId val="118088832"/>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119871488"/>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2.6945518821972748E-2"/>
          <c:y val="0.94346375397765547"/>
          <c:w val="0.89153513964386566"/>
          <c:h val="5.6536246022344562E-2"/>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817622208433327"/>
          <c:y val="9.5414160186498426E-3"/>
          <c:w val="0.77627044110294119"/>
          <c:h val="0.74744148209543981"/>
        </c:manualLayout>
      </c:layout>
      <c:barChart>
        <c:barDir val="bar"/>
        <c:grouping val="percentStacked"/>
        <c:varyColors val="0"/>
        <c:ser>
          <c:idx val="0"/>
          <c:order val="0"/>
          <c:tx>
            <c:strRef>
              <c:f>Sheet1!$A$2</c:f>
              <c:strCache>
                <c:ptCount val="1"/>
                <c:pt idx="0">
                  <c:v>Удовлетворен(-а)</c:v>
                </c:pt>
              </c:strCache>
            </c:strRef>
          </c:tx>
          <c:spPr>
            <a:solidFill>
              <a:srgbClr val="548235"/>
            </a:solidFill>
            <a:ln w="9525" cap="flat">
              <a:noFill/>
              <a:prstDash val="solid"/>
              <a:round/>
            </a:ln>
            <a:effectLst/>
          </c:spPr>
          <c:invertIfNegative val="0"/>
          <c:dLbls>
            <c:dLbl>
              <c:idx val="1"/>
              <c:layout>
                <c:manualLayout>
                  <c:x val="1.3623946932778087E-2"/>
                  <c:y val="3.6580793255921246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816-4072-9593-FDB880CF5FEF}"/>
                </c:ext>
              </c:extLst>
            </c:dLbl>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Sheet1!$B$1:$C$1</c:f>
              <c:strCache>
                <c:ptCount val="2"/>
                <c:pt idx="0">
                  <c:v>Цена</c:v>
                </c:pt>
                <c:pt idx="1">
                  <c:v>Качество</c:v>
                </c:pt>
              </c:strCache>
            </c:strRef>
          </c:cat>
          <c:val>
            <c:numRef>
              <c:f>Sheet1!$B$2:$C$2</c:f>
              <c:numCache>
                <c:formatCode>0%</c:formatCode>
                <c:ptCount val="2"/>
                <c:pt idx="0">
                  <c:v>0.15100190533279906</c:v>
                </c:pt>
                <c:pt idx="1">
                  <c:v>0.20221458428762262</c:v>
                </c:pt>
              </c:numCache>
            </c:numRef>
          </c:val>
          <c:extLst xmlns:c16r2="http://schemas.microsoft.com/office/drawing/2015/06/chart">
            <c:ext xmlns:c16="http://schemas.microsoft.com/office/drawing/2014/chart" uri="{C3380CC4-5D6E-409C-BE32-E72D297353CC}">
              <c16:uniqueId val="{00000001-C816-4072-9593-FDB880CF5FEF}"/>
            </c:ext>
          </c:extLst>
        </c:ser>
        <c:ser>
          <c:idx val="1"/>
          <c:order val="1"/>
          <c:tx>
            <c:strRef>
              <c:f>Sheet1!$A$3</c:f>
              <c:strCache>
                <c:ptCount val="1"/>
                <c:pt idx="0">
                  <c:v>Скорее удовлетворен(-а)</c:v>
                </c:pt>
              </c:strCache>
            </c:strRef>
          </c:tx>
          <c:spPr>
            <a:solidFill>
              <a:srgbClr val="A9D18E"/>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Sheet1!$B$1:$C$1</c:f>
              <c:strCache>
                <c:ptCount val="2"/>
                <c:pt idx="0">
                  <c:v>Цена</c:v>
                </c:pt>
                <c:pt idx="1">
                  <c:v>Качество</c:v>
                </c:pt>
              </c:strCache>
            </c:strRef>
          </c:cat>
          <c:val>
            <c:numRef>
              <c:f>Sheet1!$B$3:$C$3</c:f>
              <c:numCache>
                <c:formatCode>0%</c:formatCode>
                <c:ptCount val="2"/>
                <c:pt idx="0">
                  <c:v>0.40851205832271514</c:v>
                </c:pt>
                <c:pt idx="1">
                  <c:v>0.48944985671079311</c:v>
                </c:pt>
              </c:numCache>
            </c:numRef>
          </c:val>
          <c:extLst xmlns:c16r2="http://schemas.microsoft.com/office/drawing/2015/06/chart">
            <c:ext xmlns:c16="http://schemas.microsoft.com/office/drawing/2014/chart" uri="{C3380CC4-5D6E-409C-BE32-E72D297353CC}">
              <c16:uniqueId val="{00000002-C816-4072-9593-FDB880CF5FEF}"/>
            </c:ext>
          </c:extLst>
        </c:ser>
        <c:ser>
          <c:idx val="2"/>
          <c:order val="2"/>
          <c:tx>
            <c:strRef>
              <c:f>Sheet1!$A$4</c:f>
              <c:strCache>
                <c:ptCount val="1"/>
                <c:pt idx="0">
                  <c:v>Скорее не удовлетворен(-а)</c:v>
                </c:pt>
              </c:strCache>
            </c:strRef>
          </c:tx>
          <c:spPr>
            <a:solidFill>
              <a:srgbClr val="D97A8D"/>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Sheet1!$B$1:$C$1</c:f>
              <c:strCache>
                <c:ptCount val="2"/>
                <c:pt idx="0">
                  <c:v>Цена</c:v>
                </c:pt>
                <c:pt idx="1">
                  <c:v>Качество</c:v>
                </c:pt>
              </c:strCache>
            </c:strRef>
          </c:cat>
          <c:val>
            <c:numRef>
              <c:f>Sheet1!$B$4:$C$4</c:f>
              <c:numCache>
                <c:formatCode>0%</c:formatCode>
                <c:ptCount val="2"/>
                <c:pt idx="0">
                  <c:v>0.28715819149025901</c:v>
                </c:pt>
                <c:pt idx="1">
                  <c:v>0.19868701509796757</c:v>
                </c:pt>
              </c:numCache>
            </c:numRef>
          </c:val>
          <c:extLst xmlns:c16r2="http://schemas.microsoft.com/office/drawing/2015/06/chart">
            <c:ext xmlns:c16="http://schemas.microsoft.com/office/drawing/2014/chart" uri="{C3380CC4-5D6E-409C-BE32-E72D297353CC}">
              <c16:uniqueId val="{00000003-C816-4072-9593-FDB880CF5FEF}"/>
            </c:ext>
          </c:extLst>
        </c:ser>
        <c:ser>
          <c:idx val="3"/>
          <c:order val="3"/>
          <c:tx>
            <c:strRef>
              <c:f>Sheet1!$A$5</c:f>
              <c:strCache>
                <c:ptCount val="1"/>
                <c:pt idx="0">
                  <c:v>Не удовлетворен(-а)</c:v>
                </c:pt>
              </c:strCache>
            </c:strRef>
          </c:tx>
          <c:spPr>
            <a:solidFill>
              <a:srgbClr val="59221B"/>
            </a:solidFill>
            <a:ln w="9525" cap="flat">
              <a:noFill/>
              <a:prstDash val="solid"/>
              <a:round/>
            </a:ln>
            <a:effectLst/>
          </c:spPr>
          <c:invertIfNegative val="0"/>
          <c:dLbls>
            <c:dLbl>
              <c:idx val="1"/>
              <c:layout>
                <c:manualLayout>
                  <c:x val="5.9084194977843431E-3"/>
                  <c:y val="1.2193597751500576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816-4072-9593-FDB880CF5FEF}"/>
                </c:ext>
              </c:extLst>
            </c:dLbl>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Sheet1!$B$1:$C$1</c:f>
              <c:strCache>
                <c:ptCount val="2"/>
                <c:pt idx="0">
                  <c:v>Цена</c:v>
                </c:pt>
                <c:pt idx="1">
                  <c:v>Качество</c:v>
                </c:pt>
              </c:strCache>
            </c:strRef>
          </c:cat>
          <c:val>
            <c:numRef>
              <c:f>Sheet1!$B$5:$C$5</c:f>
              <c:numCache>
                <c:formatCode>0%</c:formatCode>
                <c:ptCount val="2"/>
                <c:pt idx="0">
                  <c:v>0.11883442989734234</c:v>
                </c:pt>
                <c:pt idx="1">
                  <c:v>7.2321293634039774E-2</c:v>
                </c:pt>
              </c:numCache>
            </c:numRef>
          </c:val>
          <c:extLst xmlns:c16r2="http://schemas.microsoft.com/office/drawing/2015/06/chart">
            <c:ext xmlns:c16="http://schemas.microsoft.com/office/drawing/2014/chart" uri="{C3380CC4-5D6E-409C-BE32-E72D297353CC}">
              <c16:uniqueId val="{00000005-C816-4072-9593-FDB880CF5FEF}"/>
            </c:ext>
          </c:extLst>
        </c:ser>
        <c:ser>
          <c:idx val="4"/>
          <c:order val="4"/>
          <c:tx>
            <c:strRef>
              <c:f>Sheet1!$A$6</c:f>
              <c:strCache>
                <c:ptCount val="1"/>
                <c:pt idx="0">
                  <c:v>Затрудняюсь ответить</c:v>
                </c:pt>
              </c:strCache>
            </c:strRef>
          </c:tx>
          <c:spPr>
            <a:solidFill>
              <a:sysClr val="window" lastClr="FFFFFF">
                <a:lumMod val="50000"/>
              </a:sysClr>
            </a:solidFill>
          </c:spPr>
          <c:invertIfNegative val="0"/>
          <c:dLbls>
            <c:dLbl>
              <c:idx val="0"/>
              <c:layout>
                <c:manualLayout>
                  <c:x val="3.8128295674260035E-3"/>
                  <c:y val="2.7093387520108374E-6"/>
                </c:manualLayout>
              </c:layout>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816-4072-9593-FDB880CF5FEF}"/>
                </c:ext>
              </c:extLst>
            </c:dLbl>
            <c:dLbl>
              <c:idx val="1"/>
              <c:layout>
                <c:manualLayout>
                  <c:x val="5.7463178823803735E-3"/>
                  <c:y val="1.5490644314621962E-3"/>
                </c:manualLayout>
              </c:layout>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816-4072-9593-FDB880CF5FEF}"/>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Sheet1!$B$1:$C$1</c:f>
              <c:strCache>
                <c:ptCount val="2"/>
                <c:pt idx="0">
                  <c:v>Цена</c:v>
                </c:pt>
                <c:pt idx="1">
                  <c:v>Качество</c:v>
                </c:pt>
              </c:strCache>
            </c:strRef>
          </c:cat>
          <c:val>
            <c:numRef>
              <c:f>Sheet1!$B$6:$C$6</c:f>
              <c:numCache>
                <c:formatCode>0%</c:formatCode>
                <c:ptCount val="2"/>
                <c:pt idx="0">
                  <c:v>3.4493414956884405E-2</c:v>
                </c:pt>
                <c:pt idx="1">
                  <c:v>3.7327250269576756E-2</c:v>
                </c:pt>
              </c:numCache>
            </c:numRef>
          </c:val>
          <c:extLst xmlns:c16r2="http://schemas.microsoft.com/office/drawing/2015/06/chart">
            <c:ext xmlns:c16="http://schemas.microsoft.com/office/drawing/2014/chart" uri="{C3380CC4-5D6E-409C-BE32-E72D297353CC}">
              <c16:uniqueId val="{00000008-C816-4072-9593-FDB880CF5FEF}"/>
            </c:ext>
          </c:extLst>
        </c:ser>
        <c:dLbls>
          <c:showLegendKey val="0"/>
          <c:showVal val="0"/>
          <c:showCatName val="0"/>
          <c:showSerName val="0"/>
          <c:showPercent val="0"/>
          <c:showBubbleSize val="0"/>
        </c:dLbls>
        <c:gapWidth val="105"/>
        <c:overlap val="100"/>
        <c:axId val="146770432"/>
        <c:axId val="147361152"/>
      </c:barChart>
      <c:catAx>
        <c:axId val="146770432"/>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1200">
                <a:latin typeface="Times New Roman" panose="02020603050405020304" pitchFamily="18" charset="0"/>
                <a:cs typeface="Times New Roman" panose="02020603050405020304" pitchFamily="18" charset="0"/>
              </a:defRPr>
            </a:pPr>
            <a:endParaRPr lang="ru-RU"/>
          </a:p>
        </c:txPr>
        <c:crossAx val="147361152"/>
        <c:crosses val="autoZero"/>
        <c:auto val="1"/>
        <c:lblAlgn val="ctr"/>
        <c:lblOffset val="100"/>
        <c:noMultiLvlLbl val="1"/>
      </c:catAx>
      <c:valAx>
        <c:axId val="147361152"/>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146770432"/>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7.0670054248783837E-2"/>
          <c:y val="0.78502174313081707"/>
          <c:w val="0.89999992246168636"/>
          <c:h val="0.21000629533854392"/>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760761856639579"/>
          <c:y val="7.2262923656282091E-2"/>
          <c:w val="0.33639460842795721"/>
          <c:h val="0.90197218101360521"/>
        </c:manualLayout>
      </c:layout>
      <c:doughnutChart>
        <c:varyColors val="1"/>
        <c:ser>
          <c:idx val="0"/>
          <c:order val="0"/>
          <c:tx>
            <c:strRef>
              <c:f>Лист1!$B$1</c:f>
              <c:strCache>
                <c:ptCount val="1"/>
                <c:pt idx="0">
                  <c:v>Продажи</c:v>
                </c:pt>
              </c:strCache>
            </c:strRef>
          </c:tx>
          <c:dPt>
            <c:idx val="0"/>
            <c:bubble3D val="0"/>
            <c:spPr>
              <a:solidFill>
                <a:srgbClr val="548235"/>
              </a:solidFill>
              <a:ln w="19050">
                <a:solidFill>
                  <a:schemeClr val="lt1"/>
                </a:solidFill>
              </a:ln>
              <a:effectLst/>
            </c:spPr>
            <c:extLst xmlns:c16r2="http://schemas.microsoft.com/office/drawing/2015/06/chart">
              <c:ext xmlns:c16="http://schemas.microsoft.com/office/drawing/2014/chart" uri="{C3380CC4-5D6E-409C-BE32-E72D297353CC}">
                <c16:uniqueId val="{00000001-3E59-4024-95D6-00E96E179FC5}"/>
              </c:ext>
            </c:extLst>
          </c:dPt>
          <c:dPt>
            <c:idx val="1"/>
            <c:bubble3D val="0"/>
            <c:spPr>
              <a:solidFill>
                <a:srgbClr val="A9D18E"/>
              </a:solidFill>
              <a:ln w="19050">
                <a:solidFill>
                  <a:schemeClr val="lt1"/>
                </a:solidFill>
              </a:ln>
              <a:effectLst/>
            </c:spPr>
            <c:extLst xmlns:c16r2="http://schemas.microsoft.com/office/drawing/2015/06/chart">
              <c:ext xmlns:c16="http://schemas.microsoft.com/office/drawing/2014/chart" uri="{C3380CC4-5D6E-409C-BE32-E72D297353CC}">
                <c16:uniqueId val="{00000003-3E59-4024-95D6-00E96E179FC5}"/>
              </c:ext>
            </c:extLst>
          </c:dPt>
          <c:dPt>
            <c:idx val="2"/>
            <c:bubble3D val="0"/>
            <c:spPr>
              <a:solidFill>
                <a:srgbClr val="D97A8D"/>
              </a:solidFill>
              <a:ln w="19050">
                <a:solidFill>
                  <a:schemeClr val="lt1"/>
                </a:solidFill>
              </a:ln>
              <a:effectLst/>
            </c:spPr>
            <c:extLst xmlns:c16r2="http://schemas.microsoft.com/office/drawing/2015/06/chart">
              <c:ext xmlns:c16="http://schemas.microsoft.com/office/drawing/2014/chart" uri="{C3380CC4-5D6E-409C-BE32-E72D297353CC}">
                <c16:uniqueId val="{00000005-3E59-4024-95D6-00E96E179FC5}"/>
              </c:ext>
            </c:extLst>
          </c:dPt>
          <c:dPt>
            <c:idx val="3"/>
            <c:bubble3D val="0"/>
            <c:spPr>
              <a:solidFill>
                <a:srgbClr val="59221B"/>
              </a:solidFill>
              <a:ln w="19050">
                <a:solidFill>
                  <a:schemeClr val="lt1"/>
                </a:solidFill>
              </a:ln>
              <a:effectLst/>
            </c:spPr>
            <c:extLst xmlns:c16r2="http://schemas.microsoft.com/office/drawing/2015/06/chart">
              <c:ext xmlns:c16="http://schemas.microsoft.com/office/drawing/2014/chart" uri="{C3380CC4-5D6E-409C-BE32-E72D297353CC}">
                <c16:uniqueId val="{00000007-3E59-4024-95D6-00E96E179FC5}"/>
              </c:ext>
            </c:extLst>
          </c:dPt>
          <c:dPt>
            <c:idx val="4"/>
            <c:bubble3D val="0"/>
            <c:spPr>
              <a:solidFill>
                <a:schemeClr val="bg1">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3E59-4024-95D6-00E96E179FC5}"/>
              </c:ext>
            </c:extLst>
          </c:dPt>
          <c:dLbls>
            <c:dLbl>
              <c:idx val="0"/>
              <c:layout>
                <c:manualLayout>
                  <c:x val="-8.668142575673187E-17"/>
                  <c:y val="-1.8779342723004695E-2"/>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E59-4024-95D6-00E96E179FC5}"/>
                </c:ext>
              </c:extLst>
            </c:dLbl>
            <c:dLbl>
              <c:idx val="2"/>
              <c:layout>
                <c:manualLayout>
                  <c:x val="4.7281323877068557E-3"/>
                  <c:y val="-5.7380662120653491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E59-4024-95D6-00E96E179FC5}"/>
                </c:ext>
              </c:extLst>
            </c:dLbl>
            <c:dLbl>
              <c:idx val="3"/>
              <c:layout>
                <c:manualLayout>
                  <c:x val="-2.1563262039053627E-3"/>
                  <c:y val="1.0249775116138622E-2"/>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E59-4024-95D6-00E96E179FC5}"/>
                </c:ext>
              </c:extLst>
            </c:dLbl>
            <c:dLbl>
              <c:idx val="4"/>
              <c:layout>
                <c:manualLayout>
                  <c:x val="-4.3340712878365935E-17"/>
                  <c:y val="-8.71553731839858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E59-4024-95D6-00E96E179FC5}"/>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0%</c:formatCode>
                <c:ptCount val="5"/>
                <c:pt idx="0">
                  <c:v>0.21495724786446402</c:v>
                </c:pt>
                <c:pt idx="1">
                  <c:v>0.43280799987246121</c:v>
                </c:pt>
                <c:pt idx="2">
                  <c:v>0.21062536275875565</c:v>
                </c:pt>
                <c:pt idx="3">
                  <c:v>9.8415598308093002E-2</c:v>
                </c:pt>
                <c:pt idx="4">
                  <c:v>4.3193791196226121E-2</c:v>
                </c:pt>
              </c:numCache>
            </c:numRef>
          </c:val>
          <c:extLst xmlns:c16r2="http://schemas.microsoft.com/office/drawing/2015/06/chart">
            <c:ext xmlns:c16="http://schemas.microsoft.com/office/drawing/2014/chart" uri="{C3380CC4-5D6E-409C-BE32-E72D297353CC}">
              <c16:uniqueId val="{0000000A-3E59-4024-95D6-00E96E179FC5}"/>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4403037054463"/>
          <c:y val="9.8027676117950047E-2"/>
          <c:w val="0.32241060292995294"/>
          <c:h val="0.85370694860325569"/>
        </c:manualLayout>
      </c:layout>
      <c:doughnutChart>
        <c:varyColors val="1"/>
        <c:ser>
          <c:idx val="0"/>
          <c:order val="0"/>
          <c:tx>
            <c:strRef>
              <c:f>Лист1!$B$1</c:f>
              <c:strCache>
                <c:ptCount val="1"/>
                <c:pt idx="0">
                  <c:v>Продажи</c:v>
                </c:pt>
              </c:strCache>
            </c:strRef>
          </c:tx>
          <c:dPt>
            <c:idx val="0"/>
            <c:bubble3D val="0"/>
            <c:spPr>
              <a:solidFill>
                <a:srgbClr val="548235"/>
              </a:solidFill>
              <a:ln w="19050">
                <a:solidFill>
                  <a:schemeClr val="lt1"/>
                </a:solidFill>
              </a:ln>
              <a:effectLst/>
            </c:spPr>
            <c:extLst xmlns:c16r2="http://schemas.microsoft.com/office/drawing/2015/06/chart">
              <c:ext xmlns:c16="http://schemas.microsoft.com/office/drawing/2014/chart" uri="{C3380CC4-5D6E-409C-BE32-E72D297353CC}">
                <c16:uniqueId val="{00000001-383A-4FDD-8730-64A96E343934}"/>
              </c:ext>
            </c:extLst>
          </c:dPt>
          <c:dPt>
            <c:idx val="1"/>
            <c:bubble3D val="0"/>
            <c:spPr>
              <a:solidFill>
                <a:srgbClr val="D97A8D"/>
              </a:solidFill>
              <a:ln w="19050">
                <a:solidFill>
                  <a:schemeClr val="lt1"/>
                </a:solidFill>
              </a:ln>
              <a:effectLst/>
            </c:spPr>
            <c:extLst xmlns:c16r2="http://schemas.microsoft.com/office/drawing/2015/06/chart">
              <c:ext xmlns:c16="http://schemas.microsoft.com/office/drawing/2014/chart" uri="{C3380CC4-5D6E-409C-BE32-E72D297353CC}">
                <c16:uniqueId val="{00000003-383A-4FDD-8730-64A96E343934}"/>
              </c:ext>
            </c:extLst>
          </c:dPt>
          <c:dPt>
            <c:idx val="2"/>
            <c:bubble3D val="0"/>
            <c:spPr>
              <a:solidFill>
                <a:schemeClr val="accent1">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383A-4FDD-8730-64A96E343934}"/>
              </c:ext>
            </c:extLst>
          </c:dPt>
          <c:dPt>
            <c:idx val="3"/>
            <c:bubble3D val="0"/>
            <c:spPr>
              <a:solidFill>
                <a:schemeClr val="bg1">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383A-4FDD-8730-64A96E343934}"/>
              </c:ext>
            </c:extLst>
          </c:dPt>
          <c:dLbls>
            <c:dLbl>
              <c:idx val="0"/>
              <c:layout>
                <c:manualLayout>
                  <c:x val="4.7281323877067689E-3"/>
                  <c:y val="-2.8690331060326746E-17"/>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83A-4FDD-8730-64A96E343934}"/>
                </c:ext>
              </c:extLst>
            </c:dLbl>
            <c:dLbl>
              <c:idx val="2"/>
              <c:layout>
                <c:manualLayout>
                  <c:x val="7.092198581560283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83A-4FDD-8730-64A96E343934}"/>
                </c:ext>
              </c:extLst>
            </c:dLbl>
            <c:dLbl>
              <c:idx val="3"/>
              <c:layout>
                <c:manualLayout>
                  <c:x val="-4.520392397758791E-3"/>
                  <c:y val="3.9899942084703913E-3"/>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83A-4FDD-8730-64A96E343934}"/>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Увеличилось</c:v>
                </c:pt>
                <c:pt idx="1">
                  <c:v>Снизилось</c:v>
                </c:pt>
                <c:pt idx="2">
                  <c:v>Не изменилось</c:v>
                </c:pt>
                <c:pt idx="3">
                  <c:v>Затрудняюсь ответить</c:v>
                </c:pt>
              </c:strCache>
            </c:strRef>
          </c:cat>
          <c:val>
            <c:numRef>
              <c:f>Лист1!$B$2:$B$5</c:f>
              <c:numCache>
                <c:formatCode>0%</c:formatCode>
                <c:ptCount val="4"/>
                <c:pt idx="0">
                  <c:v>0.23858543838357182</c:v>
                </c:pt>
                <c:pt idx="1">
                  <c:v>0.1278739615474549</c:v>
                </c:pt>
                <c:pt idx="2">
                  <c:v>0.53005956207807015</c:v>
                </c:pt>
                <c:pt idx="3">
                  <c:v>0.10348103799090312</c:v>
                </c:pt>
              </c:numCache>
            </c:numRef>
          </c:val>
          <c:extLst xmlns:c16r2="http://schemas.microsoft.com/office/drawing/2015/06/chart">
            <c:ext xmlns:c16="http://schemas.microsoft.com/office/drawing/2014/chart" uri="{C3380CC4-5D6E-409C-BE32-E72D297353CC}">
              <c16:uniqueId val="{00000008-383A-4FDD-8730-64A96E343934}"/>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704926648856684"/>
          <c:y val="9.5414160186498426E-3"/>
          <c:w val="0.59739728781210866"/>
          <c:h val="0.93402931251240673"/>
        </c:manualLayout>
      </c:layout>
      <c:barChart>
        <c:barDir val="bar"/>
        <c:grouping val="percentStacked"/>
        <c:varyColors val="0"/>
        <c:ser>
          <c:idx val="0"/>
          <c:order val="0"/>
          <c:tx>
            <c:strRef>
              <c:f>Sheet1!$A$2</c:f>
              <c:strCache>
                <c:ptCount val="1"/>
                <c:pt idx="0">
                  <c:v>Увеличилось</c:v>
                </c:pt>
              </c:strCache>
            </c:strRef>
          </c:tx>
          <c:spPr>
            <a:solidFill>
              <a:srgbClr val="548235"/>
            </a:solidFill>
            <a:ln w="9525" cap="flat">
              <a:noFill/>
              <a:prstDash val="solid"/>
              <a:round/>
            </a:ln>
            <a:effectLst/>
          </c:spPr>
          <c:invertIfNegative val="0"/>
          <c:dLbls>
            <c:dLbl>
              <c:idx val="1"/>
              <c:layout>
                <c:manualLayout>
                  <c:x val="1.3623946932778087E-2"/>
                  <c:y val="3.6580793255921246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22D-48A0-AE3C-1530F5D0245E}"/>
                </c:ext>
              </c:extLst>
            </c:dLbl>
            <c:dLbl>
              <c:idx val="2"/>
              <c:layout>
                <c:manualLayout>
                  <c:x val="1.0253255408592229E-2"/>
                  <c:y val="1.6851826106006413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22D-48A0-AE3C-1530F5D0245E}"/>
                </c:ext>
              </c:extLst>
            </c:dLbl>
            <c:dLbl>
              <c:idx val="3"/>
              <c:layout>
                <c:manualLayout>
                  <c:x val="1.0253255408592229E-2"/>
                  <c:y val="1.6851826113853655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22D-48A0-AE3C-1530F5D0245E}"/>
                </c:ext>
              </c:extLst>
            </c:dLbl>
            <c:dLbl>
              <c:idx val="4"/>
              <c:layout>
                <c:manualLayout>
                  <c:x val="-2.0506510817184455E-3"/>
                  <c:y val="4.3472826766219441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22D-48A0-AE3C-1530F5D0245E}"/>
                </c:ext>
              </c:extLst>
            </c:dLbl>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В среднем по Ленинградской области</c:v>
                </c:pt>
                <c:pt idx="1">
                  <c:v>Работаю</c:v>
                </c:pt>
                <c:pt idx="2">
                  <c:v>Безработный(ая)</c:v>
                </c:pt>
                <c:pt idx="3">
                  <c:v>Учусь/студент</c:v>
                </c:pt>
                <c:pt idx="4">
                  <c:v>Домохозяйка</c:v>
                </c:pt>
                <c:pt idx="5">
                  <c:v>Пенсионер (в т.ч. по инвалидности)</c:v>
                </c:pt>
                <c:pt idx="6">
                  <c:v>Самозанятый(ая)</c:v>
                </c:pt>
                <c:pt idx="7">
                  <c:v>Предприниматель</c:v>
                </c:pt>
              </c:strCache>
            </c:strRef>
          </c:cat>
          <c:val>
            <c:numRef>
              <c:f>Sheet1!$B$2:$I$2</c:f>
              <c:numCache>
                <c:formatCode>0%</c:formatCode>
                <c:ptCount val="8"/>
                <c:pt idx="0">
                  <c:v>0.23858543838357182</c:v>
                </c:pt>
                <c:pt idx="1">
                  <c:v>0.24752001638482926</c:v>
                </c:pt>
                <c:pt idx="2">
                  <c:v>0.23761964484777864</c:v>
                </c:pt>
                <c:pt idx="3">
                  <c:v>0.36332192184376433</c:v>
                </c:pt>
                <c:pt idx="4">
                  <c:v>0.31834480690389727</c:v>
                </c:pt>
                <c:pt idx="5">
                  <c:v>0.15138530010957782</c:v>
                </c:pt>
                <c:pt idx="6">
                  <c:v>0.31706510560159618</c:v>
                </c:pt>
                <c:pt idx="7">
                  <c:v>0.22129015990347453</c:v>
                </c:pt>
              </c:numCache>
            </c:numRef>
          </c:val>
          <c:extLst xmlns:c16r2="http://schemas.microsoft.com/office/drawing/2015/06/chart">
            <c:ext xmlns:c16="http://schemas.microsoft.com/office/drawing/2014/chart" uri="{C3380CC4-5D6E-409C-BE32-E72D297353CC}">
              <c16:uniqueId val="{00000004-C22D-48A0-AE3C-1530F5D0245E}"/>
            </c:ext>
          </c:extLst>
        </c:ser>
        <c:ser>
          <c:idx val="1"/>
          <c:order val="1"/>
          <c:tx>
            <c:strRef>
              <c:f>Sheet1!$A$3</c:f>
              <c:strCache>
                <c:ptCount val="1"/>
                <c:pt idx="0">
                  <c:v>Снизилось</c:v>
                </c:pt>
              </c:strCache>
            </c:strRef>
          </c:tx>
          <c:spPr>
            <a:solidFill>
              <a:srgbClr val="D97A8D"/>
            </a:solidFill>
            <a:ln w="9525" cap="flat">
              <a:noFill/>
              <a:prstDash val="solid"/>
              <a:round/>
            </a:ln>
            <a:effectLst/>
          </c:spPr>
          <c:invertIfNegative val="0"/>
          <c:dLbls>
            <c:dLbl>
              <c:idx val="4"/>
              <c:layout>
                <c:manualLayout>
                  <c:x val="8.202604326873745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22D-48A0-AE3C-1530F5D0245E}"/>
                </c:ext>
              </c:extLst>
            </c:dLbl>
            <c:dLbl>
              <c:idx val="7"/>
              <c:layout>
                <c:manualLayout>
                  <c:x val="1.0253255408592191E-2"/>
                  <c:y val="-1.0121806237432044E-1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22D-48A0-AE3C-1530F5D0245E}"/>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В среднем по Ленинградской области</c:v>
                </c:pt>
                <c:pt idx="1">
                  <c:v>Работаю</c:v>
                </c:pt>
                <c:pt idx="2">
                  <c:v>Безработный(ая)</c:v>
                </c:pt>
                <c:pt idx="3">
                  <c:v>Учусь/студент</c:v>
                </c:pt>
                <c:pt idx="4">
                  <c:v>Домохозяйка</c:v>
                </c:pt>
                <c:pt idx="5">
                  <c:v>Пенсионер (в т.ч. по инвалидности)</c:v>
                </c:pt>
                <c:pt idx="6">
                  <c:v>Самозанятый(ая)</c:v>
                </c:pt>
                <c:pt idx="7">
                  <c:v>Предприниматель</c:v>
                </c:pt>
              </c:strCache>
            </c:strRef>
          </c:cat>
          <c:val>
            <c:numRef>
              <c:f>Sheet1!$B$3:$I$3</c:f>
              <c:numCache>
                <c:formatCode>0%</c:formatCode>
                <c:ptCount val="8"/>
                <c:pt idx="0">
                  <c:v>0.1278739615474549</c:v>
                </c:pt>
                <c:pt idx="1">
                  <c:v>0.13238695870102113</c:v>
                </c:pt>
                <c:pt idx="2">
                  <c:v>0.11339147217909817</c:v>
                </c:pt>
                <c:pt idx="3">
                  <c:v>8.4747963642345006E-2</c:v>
                </c:pt>
                <c:pt idx="4">
                  <c:v>0.10255985781672453</c:v>
                </c:pt>
                <c:pt idx="5">
                  <c:v>0.12690003287516582</c:v>
                </c:pt>
                <c:pt idx="6">
                  <c:v>0.15789487436701377</c:v>
                </c:pt>
                <c:pt idx="7">
                  <c:v>0.10795418237850356</c:v>
                </c:pt>
              </c:numCache>
            </c:numRef>
          </c:val>
          <c:extLst xmlns:c16r2="http://schemas.microsoft.com/office/drawing/2015/06/chart">
            <c:ext xmlns:c16="http://schemas.microsoft.com/office/drawing/2014/chart" uri="{C3380CC4-5D6E-409C-BE32-E72D297353CC}">
              <c16:uniqueId val="{00000007-C22D-48A0-AE3C-1530F5D0245E}"/>
            </c:ext>
          </c:extLst>
        </c:ser>
        <c:ser>
          <c:idx val="2"/>
          <c:order val="2"/>
          <c:tx>
            <c:strRef>
              <c:f>Sheet1!$A$4</c:f>
              <c:strCache>
                <c:ptCount val="1"/>
                <c:pt idx="0">
                  <c:v>Не изменилось</c:v>
                </c:pt>
              </c:strCache>
            </c:strRef>
          </c:tx>
          <c:spPr>
            <a:solidFill>
              <a:srgbClr val="4472C4">
                <a:lumMod val="60000"/>
                <a:lumOff val="40000"/>
              </a:srgbClr>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В среднем по Ленинградской области</c:v>
                </c:pt>
                <c:pt idx="1">
                  <c:v>Работаю</c:v>
                </c:pt>
                <c:pt idx="2">
                  <c:v>Безработный(ая)</c:v>
                </c:pt>
                <c:pt idx="3">
                  <c:v>Учусь/студент</c:v>
                </c:pt>
                <c:pt idx="4">
                  <c:v>Домохозяйка</c:v>
                </c:pt>
                <c:pt idx="5">
                  <c:v>Пенсионер (в т.ч. по инвалидности)</c:v>
                </c:pt>
                <c:pt idx="6">
                  <c:v>Самозанятый(ая)</c:v>
                </c:pt>
                <c:pt idx="7">
                  <c:v>Предприниматель</c:v>
                </c:pt>
              </c:strCache>
            </c:strRef>
          </c:cat>
          <c:val>
            <c:numRef>
              <c:f>Sheet1!$B$4:$I$4</c:f>
              <c:numCache>
                <c:formatCode>0%</c:formatCode>
                <c:ptCount val="8"/>
                <c:pt idx="0">
                  <c:v>0.53005956207807015</c:v>
                </c:pt>
                <c:pt idx="1">
                  <c:v>0.53482591162203708</c:v>
                </c:pt>
                <c:pt idx="2">
                  <c:v>0.51438014167072443</c:v>
                </c:pt>
                <c:pt idx="3">
                  <c:v>0.42338566875231093</c:v>
                </c:pt>
                <c:pt idx="4">
                  <c:v>0.48442642172427181</c:v>
                </c:pt>
                <c:pt idx="5">
                  <c:v>0.57960166812954639</c:v>
                </c:pt>
                <c:pt idx="6">
                  <c:v>0.45975827312263828</c:v>
                </c:pt>
                <c:pt idx="7">
                  <c:v>0.37280654239491512</c:v>
                </c:pt>
              </c:numCache>
            </c:numRef>
          </c:val>
          <c:extLst xmlns:c16r2="http://schemas.microsoft.com/office/drawing/2015/06/chart">
            <c:ext xmlns:c16="http://schemas.microsoft.com/office/drawing/2014/chart" uri="{C3380CC4-5D6E-409C-BE32-E72D297353CC}">
              <c16:uniqueId val="{00000008-C22D-48A0-AE3C-1530F5D0245E}"/>
            </c:ext>
          </c:extLst>
        </c:ser>
        <c:ser>
          <c:idx val="3"/>
          <c:order val="3"/>
          <c:tx>
            <c:strRef>
              <c:f>Sheet1!$A$5</c:f>
              <c:strCache>
                <c:ptCount val="1"/>
                <c:pt idx="0">
                  <c:v>Затрудняюсь ответить</c:v>
                </c:pt>
              </c:strCache>
            </c:strRef>
          </c:tx>
          <c:spPr>
            <a:solidFill>
              <a:sysClr val="window" lastClr="FFFFFF">
                <a:lumMod val="50000"/>
              </a:sysClr>
            </a:solidFill>
            <a:ln w="9525" cap="flat">
              <a:noFill/>
              <a:prstDash val="solid"/>
              <a:round/>
            </a:ln>
            <a:effectLst/>
          </c:spPr>
          <c:invertIfNegative val="0"/>
          <c:dLbls>
            <c:dLbl>
              <c:idx val="1"/>
              <c:layout>
                <c:manualLayout>
                  <c:x val="5.9084194977843431E-3"/>
                  <c:y val="1.2193597751500576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22D-48A0-AE3C-1530F5D0245E}"/>
                </c:ext>
              </c:extLst>
            </c:dLbl>
            <c:dLbl>
              <c:idx val="2"/>
              <c:layout>
                <c:manualLayout>
                  <c:x val="1.9694731659281144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22D-48A0-AE3C-1530F5D0245E}"/>
                </c:ext>
              </c:extLst>
            </c:dLbl>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В среднем по Ленинградской области</c:v>
                </c:pt>
                <c:pt idx="1">
                  <c:v>Работаю</c:v>
                </c:pt>
                <c:pt idx="2">
                  <c:v>Безработный(ая)</c:v>
                </c:pt>
                <c:pt idx="3">
                  <c:v>Учусь/студент</c:v>
                </c:pt>
                <c:pt idx="4">
                  <c:v>Домохозяйка</c:v>
                </c:pt>
                <c:pt idx="5">
                  <c:v>Пенсионер (в т.ч. по инвалидности)</c:v>
                </c:pt>
                <c:pt idx="6">
                  <c:v>Самозанятый(ая)</c:v>
                </c:pt>
                <c:pt idx="7">
                  <c:v>Предприниматель</c:v>
                </c:pt>
              </c:strCache>
            </c:strRef>
          </c:cat>
          <c:val>
            <c:numRef>
              <c:f>Sheet1!$B$5:$I$5</c:f>
              <c:numCache>
                <c:formatCode>0%</c:formatCode>
                <c:ptCount val="8"/>
                <c:pt idx="0">
                  <c:v>0.10348103799090312</c:v>
                </c:pt>
                <c:pt idx="1">
                  <c:v>8.5267113292112395E-2</c:v>
                </c:pt>
                <c:pt idx="2">
                  <c:v>0.13460874130239875</c:v>
                </c:pt>
                <c:pt idx="3">
                  <c:v>0.12854444576157978</c:v>
                </c:pt>
                <c:pt idx="4">
                  <c:v>9.4668913555106399E-2</c:v>
                </c:pt>
                <c:pt idx="5">
                  <c:v>0.14211299888571005</c:v>
                </c:pt>
                <c:pt idx="6">
                  <c:v>6.5281746908751742E-2</c:v>
                </c:pt>
                <c:pt idx="7">
                  <c:v>0.29794911532310681</c:v>
                </c:pt>
              </c:numCache>
            </c:numRef>
          </c:val>
          <c:extLst xmlns:c16r2="http://schemas.microsoft.com/office/drawing/2015/06/chart">
            <c:ext xmlns:c16="http://schemas.microsoft.com/office/drawing/2014/chart" uri="{C3380CC4-5D6E-409C-BE32-E72D297353CC}">
              <c16:uniqueId val="{0000000B-C22D-48A0-AE3C-1530F5D0245E}"/>
            </c:ext>
          </c:extLst>
        </c:ser>
        <c:dLbls>
          <c:showLegendKey val="0"/>
          <c:showVal val="0"/>
          <c:showCatName val="0"/>
          <c:showSerName val="0"/>
          <c:showPercent val="0"/>
          <c:showBubbleSize val="0"/>
        </c:dLbls>
        <c:gapWidth val="105"/>
        <c:overlap val="100"/>
        <c:axId val="146771456"/>
        <c:axId val="78866688"/>
      </c:barChart>
      <c:catAx>
        <c:axId val="146771456"/>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1200">
                <a:latin typeface="Times New Roman" panose="02020603050405020304" pitchFamily="18" charset="0"/>
                <a:cs typeface="Times New Roman" panose="02020603050405020304" pitchFamily="18" charset="0"/>
              </a:defRPr>
            </a:pPr>
            <a:endParaRPr lang="ru-RU"/>
          </a:p>
        </c:txPr>
        <c:crossAx val="78866688"/>
        <c:crosses val="autoZero"/>
        <c:auto val="1"/>
        <c:lblAlgn val="ctr"/>
        <c:lblOffset val="100"/>
        <c:noMultiLvlLbl val="1"/>
      </c:catAx>
      <c:valAx>
        <c:axId val="78866688"/>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146771456"/>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7.0670054248783837E-2"/>
          <c:y val="0.94899499631511575"/>
          <c:w val="0.89999992246168636"/>
          <c:h val="5.1005007352804305E-2"/>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866305586528617"/>
          <c:y val="0.10158166503696842"/>
          <c:w val="0.29915295547998288"/>
          <c:h val="0.80785587387415514"/>
        </c:manualLayout>
      </c:layout>
      <c:pieChart>
        <c:varyColors val="1"/>
        <c:ser>
          <c:idx val="0"/>
          <c:order val="0"/>
          <c:tx>
            <c:strRef>
              <c:f>Лист1!$B$1</c:f>
              <c:strCache>
                <c:ptCount val="1"/>
                <c:pt idx="0">
                  <c:v>Уровень доступности</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F3A-4CCB-8FD2-5E0372535CE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F3A-4CCB-8FD2-5E0372535CE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F3A-4CCB-8FD2-5E0372535CE8}"/>
              </c:ext>
            </c:extLst>
          </c:dPt>
          <c:dPt>
            <c:idx val="3"/>
            <c:bubble3D val="0"/>
            <c:spPr>
              <a:solidFill>
                <a:srgbClr val="388EAF"/>
              </a:solidFill>
              <a:ln w="19050">
                <a:solidFill>
                  <a:schemeClr val="lt1"/>
                </a:solidFill>
              </a:ln>
              <a:effectLst/>
            </c:spPr>
            <c:extLst xmlns:c16r2="http://schemas.microsoft.com/office/drawing/2015/06/chart">
              <c:ext xmlns:c16="http://schemas.microsoft.com/office/drawing/2014/chart" uri="{C3380CC4-5D6E-409C-BE32-E72D297353CC}">
                <c16:uniqueId val="{00000007-3F3A-4CCB-8FD2-5E0372535CE8}"/>
              </c:ext>
            </c:extLst>
          </c:dPt>
          <c:dPt>
            <c:idx val="4"/>
            <c:bubble3D val="0"/>
            <c:spPr>
              <a:solidFill>
                <a:schemeClr val="bg1">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3F3A-4CCB-8FD2-5E0372535CE8}"/>
              </c:ext>
            </c:extLst>
          </c:dPt>
          <c:dLbls>
            <c:dLbl>
              <c:idx val="0"/>
              <c:layout>
                <c:manualLayout>
                  <c:x val="1.6647591301633461E-2"/>
                  <c:y val="8.9027375918095536E-3"/>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F3A-4CCB-8FD2-5E0372535CE8}"/>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Удовлетворен(-а)</c:v>
                </c:pt>
                <c:pt idx="1">
                  <c:v>Скорее удовлетворен(-а)</c:v>
                </c:pt>
                <c:pt idx="2">
                  <c:v>Скорее не удовлетворен(-а)</c:v>
                </c:pt>
                <c:pt idx="3">
                  <c:v>Не удовлетворен(-а)</c:v>
                </c:pt>
                <c:pt idx="4">
                  <c:v>Затрудняюсь ответить</c:v>
                </c:pt>
              </c:strCache>
            </c:strRef>
          </c:cat>
          <c:val>
            <c:numRef>
              <c:f>Лист1!$B$2:$B$6</c:f>
              <c:numCache>
                <c:formatCode>0%</c:formatCode>
                <c:ptCount val="5"/>
                <c:pt idx="0">
                  <c:v>0.13754260929109099</c:v>
                </c:pt>
                <c:pt idx="1">
                  <c:v>0.41437822910001665</c:v>
                </c:pt>
                <c:pt idx="2">
                  <c:v>0.32554246344719345</c:v>
                </c:pt>
                <c:pt idx="3">
                  <c:v>6.9992876430028425E-2</c:v>
                </c:pt>
                <c:pt idx="4">
                  <c:v>5.2543821731672401E-2</c:v>
                </c:pt>
              </c:numCache>
            </c:numRef>
          </c:val>
          <c:extLst xmlns:c16r2="http://schemas.microsoft.com/office/drawing/2015/06/chart">
            <c:ext xmlns:c16="http://schemas.microsoft.com/office/drawing/2014/chart" uri="{C3380CC4-5D6E-409C-BE32-E72D297353CC}">
              <c16:uniqueId val="{0000000A-3F3A-4CCB-8FD2-5E0372535CE8}"/>
            </c:ext>
          </c:extLst>
        </c:ser>
        <c:dLbls>
          <c:showLegendKey val="0"/>
          <c:showVal val="0"/>
          <c:showCatName val="0"/>
          <c:showSerName val="0"/>
          <c:showPercent val="0"/>
          <c:showBubbleSize val="0"/>
          <c:showLeaderLines val="0"/>
        </c:dLbls>
        <c:firstSliceAng val="0"/>
      </c:pieChart>
      <c:spPr>
        <a:noFill/>
        <a:ln>
          <a:noFill/>
        </a:ln>
        <a:effectLst/>
      </c:spPr>
    </c:plotArea>
    <c:legend>
      <c:legendPos val="l"/>
      <c:layout>
        <c:manualLayout>
          <c:xMode val="edge"/>
          <c:yMode val="edge"/>
          <c:x val="0.48067552825331833"/>
          <c:y val="7.6781659174772768E-2"/>
          <c:w val="0.50500679665175452"/>
          <c:h val="0.83801785856346001"/>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807657195024236"/>
          <c:y val="1.0887283806216411E-2"/>
          <c:w val="0.48168185838183281"/>
          <c:h val="0.95200030103763711"/>
        </c:manualLayout>
      </c:layout>
      <c:barChart>
        <c:barDir val="bar"/>
        <c:grouping val="clustered"/>
        <c:varyColors val="0"/>
        <c:ser>
          <c:idx val="0"/>
          <c:order val="0"/>
          <c:tx>
            <c:strRef>
              <c:f>Лист1!$B$1</c:f>
              <c:strCache>
                <c:ptCount val="1"/>
                <c:pt idx="0">
                  <c:v>2022</c:v>
                </c:pt>
              </c:strCache>
            </c:strRef>
          </c:tx>
          <c:spPr>
            <a:solidFill>
              <a:srgbClr val="591825"/>
            </a:solidFill>
            <a:ln>
              <a:noFill/>
            </a:ln>
            <a:effectLst/>
          </c:spPr>
          <c:invertIfNegative val="0"/>
          <c:dPt>
            <c:idx val="9"/>
            <c:invertIfNegative val="0"/>
            <c:bubble3D val="0"/>
            <c:spPr>
              <a:solidFill>
                <a:srgbClr val="CC4C64"/>
              </a:solidFill>
              <a:ln>
                <a:noFill/>
              </a:ln>
              <a:effectLst/>
            </c:spPr>
            <c:extLst xmlns:c16r2="http://schemas.microsoft.com/office/drawing/2015/06/chart">
              <c:ext xmlns:c16="http://schemas.microsoft.com/office/drawing/2014/chart" uri="{C3380CC4-5D6E-409C-BE32-E72D297353CC}">
                <c16:uniqueId val="{00000001-258F-47DD-97E0-D4FB7854C154}"/>
              </c:ext>
            </c:extLst>
          </c:dPt>
          <c:dPt>
            <c:idx val="10"/>
            <c:invertIfNegative val="0"/>
            <c:bubble3D val="0"/>
            <c:spPr>
              <a:solidFill>
                <a:srgbClr val="D97A8D"/>
              </a:solidFill>
              <a:ln>
                <a:noFill/>
              </a:ln>
              <a:effectLst/>
            </c:spPr>
            <c:extLst xmlns:c16r2="http://schemas.microsoft.com/office/drawing/2015/06/chart">
              <c:ext xmlns:c16="http://schemas.microsoft.com/office/drawing/2014/chart" uri="{C3380CC4-5D6E-409C-BE32-E72D297353CC}">
                <c16:uniqueId val="{00000003-258F-47DD-97E0-D4FB7854C154}"/>
              </c:ext>
            </c:extLst>
          </c:dPt>
          <c:dPt>
            <c:idx val="11"/>
            <c:invertIfNegative val="0"/>
            <c:bubble3D val="0"/>
            <c:spPr>
              <a:solidFill>
                <a:srgbClr val="388EAF"/>
              </a:solidFill>
              <a:ln>
                <a:noFill/>
              </a:ln>
              <a:effectLst/>
            </c:spPr>
            <c:extLst xmlns:c16r2="http://schemas.microsoft.com/office/drawing/2015/06/chart">
              <c:ext xmlns:c16="http://schemas.microsoft.com/office/drawing/2014/chart" uri="{C3380CC4-5D6E-409C-BE32-E72D297353CC}">
                <c16:uniqueId val="{00000005-258F-47DD-97E0-D4FB7854C154}"/>
              </c:ext>
            </c:extLst>
          </c:dPt>
          <c:dPt>
            <c:idx val="12"/>
            <c:invertIfNegative val="0"/>
            <c:bubble3D val="0"/>
            <c:spPr>
              <a:solidFill>
                <a:srgbClr val="7F7F7F"/>
              </a:solidFill>
              <a:ln>
                <a:noFill/>
              </a:ln>
              <a:effectLst/>
            </c:spPr>
            <c:extLst xmlns:c16r2="http://schemas.microsoft.com/office/drawing/2015/06/chart">
              <c:ext xmlns:c16="http://schemas.microsoft.com/office/drawing/2014/chart" uri="{C3380CC4-5D6E-409C-BE32-E72D297353CC}">
                <c16:uniqueId val="{00000007-258F-47DD-97E0-D4FB7854C154}"/>
              </c:ext>
            </c:extLst>
          </c:dPt>
          <c:dLbls>
            <c:spPr>
              <a:noFill/>
              <a:ln>
                <a:noFill/>
              </a:ln>
              <a:effectLst/>
            </c:spPr>
            <c:txPr>
              <a:bodyPr rot="0" vert="horz"/>
              <a:lstStyle/>
              <a:p>
                <a:pPr>
                  <a:defRPr sz="1100" baseline="0">
                    <a:latin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Продукты питания и бытовая химия,промтовары</c:v>
                </c:pt>
                <c:pt idx="1">
                  <c:v>Услуги ЖКХ, УК</c:v>
                </c:pt>
                <c:pt idx="2">
                  <c:v>Одежда, обувь, аксессуары</c:v>
                </c:pt>
                <c:pt idx="3">
                  <c:v>Аптеки</c:v>
                </c:pt>
                <c:pt idx="4">
                  <c:v>Услуги здравоохранения</c:v>
                </c:pt>
                <c:pt idx="5">
                  <c:v>ГСМ/ АЗС</c:v>
                </c:pt>
                <c:pt idx="6">
                  <c:v>Недвижимость</c:v>
                </c:pt>
                <c:pt idx="7">
                  <c:v>Общественный транспорт, такси</c:v>
                </c:pt>
                <c:pt idx="8">
                  <c:v>Товары для ремонта, строительства, садоводства</c:v>
                </c:pt>
                <c:pt idx="9">
                  <c:v>Другое</c:v>
                </c:pt>
                <c:pt idx="10">
                  <c:v>Цены завышены на всё</c:v>
                </c:pt>
                <c:pt idx="11">
                  <c:v>Нет таких</c:v>
                </c:pt>
                <c:pt idx="12">
                  <c:v>Затрудняюсь ответить</c:v>
                </c:pt>
              </c:strCache>
            </c:strRef>
          </c:cat>
          <c:val>
            <c:numRef>
              <c:f>Лист1!$B$2:$B$14</c:f>
              <c:numCache>
                <c:formatCode>0%</c:formatCode>
                <c:ptCount val="13"/>
                <c:pt idx="0">
                  <c:v>0.27478164506669001</c:v>
                </c:pt>
                <c:pt idx="1">
                  <c:v>0.12530509141247029</c:v>
                </c:pt>
                <c:pt idx="2">
                  <c:v>6.7725345836560896E-2</c:v>
                </c:pt>
                <c:pt idx="3">
                  <c:v>3.8734134511960006E-2</c:v>
                </c:pt>
                <c:pt idx="4">
                  <c:v>4.3175181844849322E-2</c:v>
                </c:pt>
                <c:pt idx="5">
                  <c:v>3.1382544011861802E-2</c:v>
                </c:pt>
                <c:pt idx="6">
                  <c:v>3.453756823237971E-2</c:v>
                </c:pt>
                <c:pt idx="7">
                  <c:v>3.0658975036934211E-2</c:v>
                </c:pt>
                <c:pt idx="8">
                  <c:v>2.3631843739303566E-2</c:v>
                </c:pt>
                <c:pt idx="9">
                  <c:v>0.13</c:v>
                </c:pt>
                <c:pt idx="10">
                  <c:v>6.7973609263202797E-2</c:v>
                </c:pt>
                <c:pt idx="11">
                  <c:v>0.40019915467664779</c:v>
                </c:pt>
                <c:pt idx="12">
                  <c:v>3.9810125589352402E-2</c:v>
                </c:pt>
              </c:numCache>
            </c:numRef>
          </c:val>
          <c:extLst xmlns:c16r2="http://schemas.microsoft.com/office/drawing/2015/06/chart">
            <c:ext xmlns:c16="http://schemas.microsoft.com/office/drawing/2014/chart" uri="{C3380CC4-5D6E-409C-BE32-E72D297353CC}">
              <c16:uniqueId val="{00000008-258F-47DD-97E0-D4FB7854C154}"/>
            </c:ext>
          </c:extLst>
        </c:ser>
        <c:dLbls>
          <c:showLegendKey val="0"/>
          <c:showVal val="0"/>
          <c:showCatName val="0"/>
          <c:showSerName val="0"/>
          <c:showPercent val="0"/>
          <c:showBubbleSize val="0"/>
        </c:dLbls>
        <c:gapWidth val="76"/>
        <c:axId val="148007424"/>
        <c:axId val="78870144"/>
      </c:barChart>
      <c:catAx>
        <c:axId val="1480074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1050" baseline="0">
                <a:latin typeface="Times New Roman" panose="02020603050405020304" pitchFamily="18" charset="0"/>
              </a:defRPr>
            </a:pPr>
            <a:endParaRPr lang="ru-RU"/>
          </a:p>
        </c:txPr>
        <c:crossAx val="78870144"/>
        <c:crosses val="autoZero"/>
        <c:auto val="1"/>
        <c:lblAlgn val="ctr"/>
        <c:lblOffset val="100"/>
        <c:noMultiLvlLbl val="0"/>
      </c:catAx>
      <c:valAx>
        <c:axId val="78870144"/>
        <c:scaling>
          <c:orientation val="minMax"/>
        </c:scaling>
        <c:delete val="1"/>
        <c:axPos val="t"/>
        <c:majorGridlines>
          <c:spPr>
            <a:ln w="9525" cap="flat" cmpd="sng" algn="ctr">
              <a:noFill/>
              <a:round/>
            </a:ln>
            <a:effectLst/>
          </c:spPr>
        </c:majorGridlines>
        <c:numFmt formatCode="0%" sourceLinked="1"/>
        <c:majorTickMark val="none"/>
        <c:minorTickMark val="none"/>
        <c:tickLblPos val="none"/>
        <c:crossAx val="1480074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b="0"/>
      </a:pPr>
      <a:endParaRPr lang="ru-RU"/>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807657195024203"/>
          <c:y val="1.0887283806216411E-2"/>
          <c:w val="0.48168185838183281"/>
          <c:h val="0.95200030103763689"/>
        </c:manualLayout>
      </c:layout>
      <c:barChart>
        <c:barDir val="bar"/>
        <c:grouping val="clustered"/>
        <c:varyColors val="0"/>
        <c:ser>
          <c:idx val="0"/>
          <c:order val="0"/>
          <c:tx>
            <c:strRef>
              <c:f>Лист1!$B$1</c:f>
              <c:strCache>
                <c:ptCount val="1"/>
                <c:pt idx="0">
                  <c:v>2022</c:v>
                </c:pt>
              </c:strCache>
            </c:strRef>
          </c:tx>
          <c:spPr>
            <a:solidFill>
              <a:srgbClr val="591825"/>
            </a:solidFill>
            <a:ln>
              <a:noFill/>
            </a:ln>
            <a:effectLst/>
          </c:spPr>
          <c:invertIfNegative val="0"/>
          <c:dPt>
            <c:idx val="3"/>
            <c:invertIfNegative val="0"/>
            <c:bubble3D val="0"/>
            <c:spPr>
              <a:solidFill>
                <a:srgbClr val="CC4C64"/>
              </a:solidFill>
              <a:ln>
                <a:noFill/>
              </a:ln>
              <a:effectLst/>
            </c:spPr>
            <c:extLst xmlns:c16r2="http://schemas.microsoft.com/office/drawing/2015/06/chart">
              <c:ext xmlns:c16="http://schemas.microsoft.com/office/drawing/2014/chart" uri="{C3380CC4-5D6E-409C-BE32-E72D297353CC}">
                <c16:uniqueId val="{00000001-29E4-4711-8355-524CF15D7F9E}"/>
              </c:ext>
            </c:extLst>
          </c:dPt>
          <c:dPt>
            <c:idx val="4"/>
            <c:invertIfNegative val="0"/>
            <c:bubble3D val="0"/>
            <c:spPr>
              <a:solidFill>
                <a:srgbClr val="D97A8D"/>
              </a:solidFill>
              <a:ln>
                <a:noFill/>
              </a:ln>
              <a:effectLst/>
            </c:spPr>
            <c:extLst xmlns:c16r2="http://schemas.microsoft.com/office/drawing/2015/06/chart">
              <c:ext xmlns:c16="http://schemas.microsoft.com/office/drawing/2014/chart" uri="{C3380CC4-5D6E-409C-BE32-E72D297353CC}">
                <c16:uniqueId val="{00000003-29E4-4711-8355-524CF15D7F9E}"/>
              </c:ext>
            </c:extLst>
          </c:dPt>
          <c:dPt>
            <c:idx val="5"/>
            <c:invertIfNegative val="0"/>
            <c:bubble3D val="0"/>
            <c:spPr>
              <a:solidFill>
                <a:srgbClr val="388EAF"/>
              </a:solidFill>
              <a:ln>
                <a:noFill/>
              </a:ln>
              <a:effectLst/>
            </c:spPr>
            <c:extLst xmlns:c16r2="http://schemas.microsoft.com/office/drawing/2015/06/chart">
              <c:ext xmlns:c16="http://schemas.microsoft.com/office/drawing/2014/chart" uri="{C3380CC4-5D6E-409C-BE32-E72D297353CC}">
                <c16:uniqueId val="{00000005-29E4-4711-8355-524CF15D7F9E}"/>
              </c:ext>
            </c:extLst>
          </c:dPt>
          <c:dPt>
            <c:idx val="6"/>
            <c:invertIfNegative val="0"/>
            <c:bubble3D val="0"/>
            <c:spPr>
              <a:solidFill>
                <a:srgbClr val="7F7F7F"/>
              </a:solidFill>
              <a:ln>
                <a:noFill/>
              </a:ln>
              <a:effectLst/>
            </c:spPr>
            <c:extLst xmlns:c16r2="http://schemas.microsoft.com/office/drawing/2015/06/chart">
              <c:ext xmlns:c16="http://schemas.microsoft.com/office/drawing/2014/chart" uri="{C3380CC4-5D6E-409C-BE32-E72D297353CC}">
                <c16:uniqueId val="{00000007-29E4-4711-8355-524CF15D7F9E}"/>
              </c:ext>
            </c:extLst>
          </c:dPt>
          <c:dLbls>
            <c:spPr>
              <a:noFill/>
              <a:ln>
                <a:noFill/>
              </a:ln>
              <a:effectLst/>
            </c:spPr>
            <c:txPr>
              <a:bodyPr rot="0" vert="horz"/>
              <a:lstStyle/>
              <a:p>
                <a:pPr>
                  <a:defRPr sz="1100" baseline="0">
                    <a:latin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Продукты питания и бытовая химия,промтовары</c:v>
                </c:pt>
                <c:pt idx="1">
                  <c:v>Услуги ЖКХ, УК</c:v>
                </c:pt>
                <c:pt idx="2">
                  <c:v>Услуги здравоохранения</c:v>
                </c:pt>
                <c:pt idx="3">
                  <c:v>Другое</c:v>
                </c:pt>
                <c:pt idx="4">
                  <c:v>Все товары и услуги в ЛО высокого качества</c:v>
                </c:pt>
                <c:pt idx="5">
                  <c:v>Нет таких</c:v>
                </c:pt>
                <c:pt idx="6">
                  <c:v>Затрудняюсь ответить</c:v>
                </c:pt>
              </c:strCache>
            </c:strRef>
          </c:cat>
          <c:val>
            <c:numRef>
              <c:f>Лист1!$B$2:$B$8</c:f>
              <c:numCache>
                <c:formatCode>0%</c:formatCode>
                <c:ptCount val="7"/>
                <c:pt idx="0">
                  <c:v>0.12946990066038699</c:v>
                </c:pt>
                <c:pt idx="1">
                  <c:v>2.9683469606198401E-2</c:v>
                </c:pt>
                <c:pt idx="2">
                  <c:v>2.6696784798996988E-2</c:v>
                </c:pt>
                <c:pt idx="3">
                  <c:v>0.11</c:v>
                </c:pt>
                <c:pt idx="4">
                  <c:v>1.9001596663933234E-2</c:v>
                </c:pt>
                <c:pt idx="5">
                  <c:v>0.67786124929055103</c:v>
                </c:pt>
                <c:pt idx="6">
                  <c:v>5.2239933152276173E-2</c:v>
                </c:pt>
              </c:numCache>
            </c:numRef>
          </c:val>
          <c:extLst xmlns:c16r2="http://schemas.microsoft.com/office/drawing/2015/06/chart">
            <c:ext xmlns:c16="http://schemas.microsoft.com/office/drawing/2014/chart" uri="{C3380CC4-5D6E-409C-BE32-E72D297353CC}">
              <c16:uniqueId val="{00000010-29E4-4711-8355-524CF15D7F9E}"/>
            </c:ext>
          </c:extLst>
        </c:ser>
        <c:dLbls>
          <c:showLegendKey val="0"/>
          <c:showVal val="0"/>
          <c:showCatName val="0"/>
          <c:showSerName val="0"/>
          <c:showPercent val="0"/>
          <c:showBubbleSize val="0"/>
        </c:dLbls>
        <c:gapWidth val="76"/>
        <c:axId val="147729920"/>
        <c:axId val="78871872"/>
      </c:barChart>
      <c:catAx>
        <c:axId val="1477299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1050" baseline="0">
                <a:latin typeface="Times New Roman" panose="02020603050405020304" pitchFamily="18" charset="0"/>
              </a:defRPr>
            </a:pPr>
            <a:endParaRPr lang="ru-RU"/>
          </a:p>
        </c:txPr>
        <c:crossAx val="78871872"/>
        <c:crosses val="autoZero"/>
        <c:auto val="1"/>
        <c:lblAlgn val="ctr"/>
        <c:lblOffset val="100"/>
        <c:noMultiLvlLbl val="0"/>
      </c:catAx>
      <c:valAx>
        <c:axId val="78871872"/>
        <c:scaling>
          <c:orientation val="minMax"/>
        </c:scaling>
        <c:delete val="1"/>
        <c:axPos val="t"/>
        <c:majorGridlines>
          <c:spPr>
            <a:ln w="9525" cap="flat" cmpd="sng" algn="ctr">
              <a:noFill/>
              <a:round/>
            </a:ln>
            <a:effectLst/>
          </c:spPr>
        </c:majorGridlines>
        <c:numFmt formatCode="0%" sourceLinked="1"/>
        <c:majorTickMark val="none"/>
        <c:minorTickMark val="none"/>
        <c:tickLblPos val="none"/>
        <c:crossAx val="1477299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b="0"/>
      </a:pPr>
      <a:endParaRPr lang="ru-RU"/>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4938023450586362"/>
          <c:y val="1.0887283806216411E-2"/>
          <c:w val="0.50036850921272713"/>
          <c:h val="0.95200030103763733"/>
        </c:manualLayout>
      </c:layout>
      <c:barChart>
        <c:barDir val="bar"/>
        <c:grouping val="clustered"/>
        <c:varyColors val="0"/>
        <c:ser>
          <c:idx val="0"/>
          <c:order val="0"/>
          <c:tx>
            <c:strRef>
              <c:f>Лист1!$B$1</c:f>
              <c:strCache>
                <c:ptCount val="1"/>
                <c:pt idx="0">
                  <c:v>2022</c:v>
                </c:pt>
              </c:strCache>
            </c:strRef>
          </c:tx>
          <c:spPr>
            <a:solidFill>
              <a:srgbClr val="591825"/>
            </a:solidFill>
            <a:ln>
              <a:noFill/>
            </a:ln>
            <a:effectLst/>
          </c:spPr>
          <c:invertIfNegative val="0"/>
          <c:dPt>
            <c:idx val="4"/>
            <c:invertIfNegative val="0"/>
            <c:bubble3D val="0"/>
            <c:spPr>
              <a:solidFill>
                <a:srgbClr val="D97A8D"/>
              </a:solidFill>
              <a:ln>
                <a:noFill/>
              </a:ln>
              <a:effectLst/>
            </c:spPr>
            <c:extLst xmlns:c16r2="http://schemas.microsoft.com/office/drawing/2015/06/chart">
              <c:ext xmlns:c16="http://schemas.microsoft.com/office/drawing/2014/chart" uri="{C3380CC4-5D6E-409C-BE32-E72D297353CC}">
                <c16:uniqueId val="{00000001-EDE3-400E-9D2C-DD69DB9AA188}"/>
              </c:ext>
            </c:extLst>
          </c:dPt>
          <c:dLbls>
            <c:spPr>
              <a:noFill/>
              <a:ln>
                <a:noFill/>
              </a:ln>
              <a:effectLst/>
            </c:spPr>
            <c:txPr>
              <a:bodyPr rot="0" vert="horz"/>
              <a:lstStyle/>
              <a:p>
                <a:pPr>
                  <a:defRPr sz="1100" baseline="0">
                    <a:latin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Да, полностью удалось отстоять свои права</c:v>
                </c:pt>
                <c:pt idx="1">
                  <c:v>Да, вопрос завис на рассмотрении</c:v>
                </c:pt>
                <c:pt idx="2">
                  <c:v>Да, не удалось отстоять свои права</c:v>
                </c:pt>
                <c:pt idx="3">
                  <c:v>Да, частично удалось отстоять свои права</c:v>
                </c:pt>
                <c:pt idx="4">
                  <c:v>Нет</c:v>
                </c:pt>
              </c:strCache>
            </c:strRef>
          </c:cat>
          <c:val>
            <c:numRef>
              <c:f>Лист1!$B$2:$B$6</c:f>
              <c:numCache>
                <c:formatCode>0%</c:formatCode>
                <c:ptCount val="5"/>
                <c:pt idx="0">
                  <c:v>1.6573685793342705E-2</c:v>
                </c:pt>
                <c:pt idx="1">
                  <c:v>1.7023408029964403E-2</c:v>
                </c:pt>
                <c:pt idx="2">
                  <c:v>3.1024315559397744E-2</c:v>
                </c:pt>
                <c:pt idx="3">
                  <c:v>3.16169786518384E-2</c:v>
                </c:pt>
                <c:pt idx="4">
                  <c:v>0.9037616119654589</c:v>
                </c:pt>
              </c:numCache>
            </c:numRef>
          </c:val>
          <c:extLst xmlns:c16r2="http://schemas.microsoft.com/office/drawing/2015/06/chart">
            <c:ext xmlns:c16="http://schemas.microsoft.com/office/drawing/2014/chart" uri="{C3380CC4-5D6E-409C-BE32-E72D297353CC}">
              <c16:uniqueId val="{00000002-EDE3-400E-9D2C-DD69DB9AA188}"/>
            </c:ext>
          </c:extLst>
        </c:ser>
        <c:dLbls>
          <c:showLegendKey val="0"/>
          <c:showVal val="0"/>
          <c:showCatName val="0"/>
          <c:showSerName val="0"/>
          <c:showPercent val="0"/>
          <c:showBubbleSize val="0"/>
        </c:dLbls>
        <c:gapWidth val="76"/>
        <c:axId val="148005888"/>
        <c:axId val="78881920"/>
      </c:barChart>
      <c:catAx>
        <c:axId val="148005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1100" baseline="0">
                <a:latin typeface="Times New Roman" panose="02020603050405020304" pitchFamily="18" charset="0"/>
              </a:defRPr>
            </a:pPr>
            <a:endParaRPr lang="ru-RU"/>
          </a:p>
        </c:txPr>
        <c:crossAx val="78881920"/>
        <c:crosses val="autoZero"/>
        <c:auto val="1"/>
        <c:lblAlgn val="ctr"/>
        <c:lblOffset val="100"/>
        <c:noMultiLvlLbl val="0"/>
      </c:catAx>
      <c:valAx>
        <c:axId val="78881920"/>
        <c:scaling>
          <c:orientation val="minMax"/>
        </c:scaling>
        <c:delete val="1"/>
        <c:axPos val="b"/>
        <c:majorGridlines>
          <c:spPr>
            <a:ln w="9525" cap="flat" cmpd="sng" algn="ctr">
              <a:noFill/>
              <a:round/>
            </a:ln>
            <a:effectLst/>
          </c:spPr>
        </c:majorGridlines>
        <c:numFmt formatCode="0%" sourceLinked="1"/>
        <c:majorTickMark val="none"/>
        <c:minorTickMark val="none"/>
        <c:tickLblPos val="none"/>
        <c:crossAx val="1480058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0"/>
      </a:pPr>
      <a:endParaRPr lang="ru-RU"/>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861801456608142"/>
          <c:y val="5.2351399999999999E-2"/>
          <c:w val="0.69992984189803098"/>
          <c:h val="0.43014814814814817"/>
        </c:manualLayout>
      </c:layout>
      <c:barChart>
        <c:barDir val="bar"/>
        <c:grouping val="percentStacked"/>
        <c:varyColors val="0"/>
        <c:ser>
          <c:idx val="0"/>
          <c:order val="0"/>
          <c:tx>
            <c:strRef>
              <c:f>Sheet1!$A$2</c:f>
              <c:strCache>
                <c:ptCount val="1"/>
                <c:pt idx="0">
                  <c:v>Удовлетворительно</c:v>
                </c:pt>
              </c:strCache>
            </c:strRef>
          </c:tx>
          <c:spPr>
            <a:solidFill>
              <a:srgbClr val="70AD47">
                <a:lumMod val="75000"/>
              </a:srgbClr>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Sheet1!$B$1:$D$1</c:f>
              <c:strCache>
                <c:ptCount val="3"/>
                <c:pt idx="0">
                  <c:v>Уровень доступности</c:v>
                </c:pt>
                <c:pt idx="1">
                  <c:v>Уровень понятности</c:v>
                </c:pt>
                <c:pt idx="2">
                  <c:v>Удобство получения</c:v>
                </c:pt>
              </c:strCache>
            </c:strRef>
          </c:cat>
          <c:val>
            <c:numRef>
              <c:f>Sheet1!$B$2:$D$2</c:f>
              <c:numCache>
                <c:formatCode>0%</c:formatCode>
                <c:ptCount val="3"/>
                <c:pt idx="0">
                  <c:v>0.27</c:v>
                </c:pt>
                <c:pt idx="1">
                  <c:v>0.32200000000000001</c:v>
                </c:pt>
                <c:pt idx="2">
                  <c:v>0.312</c:v>
                </c:pt>
              </c:numCache>
            </c:numRef>
          </c:val>
          <c:extLst xmlns:c16r2="http://schemas.microsoft.com/office/drawing/2015/06/chart">
            <c:ext xmlns:c16="http://schemas.microsoft.com/office/drawing/2014/chart" uri="{C3380CC4-5D6E-409C-BE32-E72D297353CC}">
              <c16:uniqueId val="{00000000-9FA4-4830-B5F5-0C44221CE522}"/>
            </c:ext>
          </c:extLst>
        </c:ser>
        <c:ser>
          <c:idx val="1"/>
          <c:order val="1"/>
          <c:tx>
            <c:strRef>
              <c:f>Sheet1!$A$3</c:f>
              <c:strCache>
                <c:ptCount val="1"/>
                <c:pt idx="0">
                  <c:v>Скорее удовлетворительно</c:v>
                </c:pt>
              </c:strCache>
            </c:strRef>
          </c:tx>
          <c:spPr>
            <a:solidFill>
              <a:srgbClr val="70AD47">
                <a:lumMod val="60000"/>
                <a:lumOff val="40000"/>
              </a:srgbClr>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Sheet1!$B$1:$D$1</c:f>
              <c:strCache>
                <c:ptCount val="3"/>
                <c:pt idx="0">
                  <c:v>Уровень доступности</c:v>
                </c:pt>
                <c:pt idx="1">
                  <c:v>Уровень понятности</c:v>
                </c:pt>
                <c:pt idx="2">
                  <c:v>Удобство получения</c:v>
                </c:pt>
              </c:strCache>
            </c:strRef>
          </c:cat>
          <c:val>
            <c:numRef>
              <c:f>Sheet1!$B$3:$D$3</c:f>
              <c:numCache>
                <c:formatCode>0%</c:formatCode>
                <c:ptCount val="3"/>
                <c:pt idx="0">
                  <c:v>0.40399999999999997</c:v>
                </c:pt>
                <c:pt idx="1">
                  <c:v>0.39</c:v>
                </c:pt>
                <c:pt idx="2">
                  <c:v>0.38</c:v>
                </c:pt>
              </c:numCache>
            </c:numRef>
          </c:val>
          <c:extLst xmlns:c16r2="http://schemas.microsoft.com/office/drawing/2015/06/chart">
            <c:ext xmlns:c16="http://schemas.microsoft.com/office/drawing/2014/chart" uri="{C3380CC4-5D6E-409C-BE32-E72D297353CC}">
              <c16:uniqueId val="{00000001-9FA4-4830-B5F5-0C44221CE522}"/>
            </c:ext>
          </c:extLst>
        </c:ser>
        <c:ser>
          <c:idx val="2"/>
          <c:order val="2"/>
          <c:tx>
            <c:strRef>
              <c:f>Sheet1!$A$4</c:f>
              <c:strCache>
                <c:ptCount val="1"/>
                <c:pt idx="0">
                  <c:v>Скорее неудовлетворительно</c:v>
                </c:pt>
              </c:strCache>
            </c:strRef>
          </c:tx>
          <c:spPr>
            <a:solidFill>
              <a:srgbClr val="D97A8D"/>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Sheet1!$B$1:$D$1</c:f>
              <c:strCache>
                <c:ptCount val="3"/>
                <c:pt idx="0">
                  <c:v>Уровень доступности</c:v>
                </c:pt>
                <c:pt idx="1">
                  <c:v>Уровень понятности</c:v>
                </c:pt>
                <c:pt idx="2">
                  <c:v>Удобство получения</c:v>
                </c:pt>
              </c:strCache>
            </c:strRef>
          </c:cat>
          <c:val>
            <c:numRef>
              <c:f>Sheet1!$B$4:$D$4</c:f>
              <c:numCache>
                <c:formatCode>0%</c:formatCode>
                <c:ptCount val="3"/>
                <c:pt idx="0">
                  <c:v>0.1</c:v>
                </c:pt>
                <c:pt idx="1">
                  <c:v>8.5999999999999993E-2</c:v>
                </c:pt>
                <c:pt idx="2">
                  <c:v>9.6000000000000002E-2</c:v>
                </c:pt>
              </c:numCache>
            </c:numRef>
          </c:val>
          <c:extLst xmlns:c16r2="http://schemas.microsoft.com/office/drawing/2015/06/chart">
            <c:ext xmlns:c16="http://schemas.microsoft.com/office/drawing/2014/chart" uri="{C3380CC4-5D6E-409C-BE32-E72D297353CC}">
              <c16:uniqueId val="{00000002-9FA4-4830-B5F5-0C44221CE522}"/>
            </c:ext>
          </c:extLst>
        </c:ser>
        <c:ser>
          <c:idx val="3"/>
          <c:order val="3"/>
          <c:tx>
            <c:strRef>
              <c:f>Sheet1!$A$5</c:f>
              <c:strCache>
                <c:ptCount val="1"/>
                <c:pt idx="0">
                  <c:v>Неудовлетворительно</c:v>
                </c:pt>
              </c:strCache>
            </c:strRef>
          </c:tx>
          <c:spPr>
            <a:solidFill>
              <a:srgbClr val="59221B"/>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Sheet1!$B$1:$D$1</c:f>
              <c:strCache>
                <c:ptCount val="3"/>
                <c:pt idx="0">
                  <c:v>Уровень доступности</c:v>
                </c:pt>
                <c:pt idx="1">
                  <c:v>Уровень понятности</c:v>
                </c:pt>
                <c:pt idx="2">
                  <c:v>Удобство получения</c:v>
                </c:pt>
              </c:strCache>
            </c:strRef>
          </c:cat>
          <c:val>
            <c:numRef>
              <c:f>Sheet1!$B$5:$D$5</c:f>
              <c:numCache>
                <c:formatCode>0%</c:formatCode>
                <c:ptCount val="3"/>
                <c:pt idx="0">
                  <c:v>6.2E-2</c:v>
                </c:pt>
                <c:pt idx="1">
                  <c:v>0.03</c:v>
                </c:pt>
                <c:pt idx="2">
                  <c:v>0.05</c:v>
                </c:pt>
              </c:numCache>
            </c:numRef>
          </c:val>
          <c:extLst xmlns:c16r2="http://schemas.microsoft.com/office/drawing/2015/06/chart">
            <c:ext xmlns:c16="http://schemas.microsoft.com/office/drawing/2014/chart" uri="{C3380CC4-5D6E-409C-BE32-E72D297353CC}">
              <c16:uniqueId val="{00000003-9FA4-4830-B5F5-0C44221CE522}"/>
            </c:ext>
          </c:extLst>
        </c:ser>
        <c:ser>
          <c:idx val="4"/>
          <c:order val="4"/>
          <c:tx>
            <c:strRef>
              <c:f>Sheet1!$A$6</c:f>
              <c:strCache>
                <c:ptCount val="1"/>
                <c:pt idx="0">
                  <c:v>Затрудняюсь ответить / Мне ничего не известно о такой информации</c:v>
                </c:pt>
              </c:strCache>
            </c:strRef>
          </c:tx>
          <c:spPr>
            <a:solidFill>
              <a:srgbClr val="7F7F7F"/>
            </a:solidFill>
          </c:spPr>
          <c:invertIfNegative val="0"/>
          <c:dLbls>
            <c:dLbl>
              <c:idx val="0"/>
              <c:layout>
                <c:manualLayout>
                  <c:x val="8.602150537634408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FA4-4830-B5F5-0C44221CE522}"/>
                </c:ext>
              </c:extLst>
            </c:dLbl>
            <c:dLbl>
              <c:idx val="1"/>
              <c:layout>
                <c:manualLayout>
                  <c:x val="8.6021505376344086E-3"/>
                  <c:y val="5.1382067117569478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FA4-4830-B5F5-0C44221CE522}"/>
                </c:ext>
              </c:extLst>
            </c:dLbl>
            <c:dLbl>
              <c:idx val="2"/>
              <c:layout>
                <c:manualLayout>
                  <c:x val="1.0752688172042854E-2"/>
                  <c:y val="-5.1382067117569478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FA4-4830-B5F5-0C44221CE522}"/>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Sheet1!$B$1:$D$1</c:f>
              <c:strCache>
                <c:ptCount val="3"/>
                <c:pt idx="0">
                  <c:v>Уровень доступности</c:v>
                </c:pt>
                <c:pt idx="1">
                  <c:v>Уровень понятности</c:v>
                </c:pt>
                <c:pt idx="2">
                  <c:v>Удобство получения</c:v>
                </c:pt>
              </c:strCache>
            </c:strRef>
          </c:cat>
          <c:val>
            <c:numRef>
              <c:f>Sheet1!$B$6:$D$6</c:f>
              <c:numCache>
                <c:formatCode>0%</c:formatCode>
                <c:ptCount val="3"/>
                <c:pt idx="0">
                  <c:v>0.16399999999999998</c:v>
                </c:pt>
                <c:pt idx="1">
                  <c:v>0.17199999999999999</c:v>
                </c:pt>
                <c:pt idx="2">
                  <c:v>0.16200000000000001</c:v>
                </c:pt>
              </c:numCache>
            </c:numRef>
          </c:val>
          <c:extLst xmlns:c16r2="http://schemas.microsoft.com/office/drawing/2015/06/chart">
            <c:ext xmlns:c16="http://schemas.microsoft.com/office/drawing/2014/chart" uri="{C3380CC4-5D6E-409C-BE32-E72D297353CC}">
              <c16:uniqueId val="{00000007-9FA4-4830-B5F5-0C44221CE522}"/>
            </c:ext>
          </c:extLst>
        </c:ser>
        <c:dLbls>
          <c:showLegendKey val="0"/>
          <c:showVal val="0"/>
          <c:showCatName val="0"/>
          <c:showSerName val="0"/>
          <c:showPercent val="0"/>
          <c:showBubbleSize val="0"/>
        </c:dLbls>
        <c:gapWidth val="105"/>
        <c:overlap val="100"/>
        <c:axId val="148353536"/>
        <c:axId val="78883648"/>
      </c:barChart>
      <c:catAx>
        <c:axId val="148353536"/>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1100">
                <a:latin typeface="Times New Roman" panose="02020603050405020304" pitchFamily="18" charset="0"/>
                <a:cs typeface="Times New Roman" panose="02020603050405020304" pitchFamily="18" charset="0"/>
              </a:defRPr>
            </a:pPr>
            <a:endParaRPr lang="ru-RU"/>
          </a:p>
        </c:txPr>
        <c:crossAx val="78883648"/>
        <c:crosses val="autoZero"/>
        <c:auto val="1"/>
        <c:lblAlgn val="ctr"/>
        <c:lblOffset val="100"/>
        <c:noMultiLvlLbl val="1"/>
      </c:catAx>
      <c:valAx>
        <c:axId val="78883648"/>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148353536"/>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0.15884811537899504"/>
          <c:y val="0.52722397200349969"/>
          <c:w val="0.70218362046485194"/>
          <c:h val="0.39503711042742173"/>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4581477453737228"/>
          <c:y val="7.5360077732947051E-3"/>
          <c:w val="0.5461310107691475"/>
          <c:h val="0.81686218398772392"/>
        </c:manualLayout>
      </c:layout>
      <c:barChart>
        <c:barDir val="bar"/>
        <c:grouping val="percentStacked"/>
        <c:varyColors val="0"/>
        <c:ser>
          <c:idx val="0"/>
          <c:order val="0"/>
          <c:tx>
            <c:strRef>
              <c:f>Sheet1!$A$2</c:f>
              <c:strCache>
                <c:ptCount val="1"/>
                <c:pt idx="0">
                  <c:v>Удовлетворительно</c:v>
                </c:pt>
              </c:strCache>
            </c:strRef>
          </c:tx>
          <c:spPr>
            <a:solidFill>
              <a:srgbClr val="70AD47">
                <a:lumMod val="75000"/>
              </a:srgbClr>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Sheet1!$B$1:$G$1</c:f>
              <c:strCache>
                <c:ptCount val="6"/>
                <c:pt idx="0">
                  <c:v>Доступность информации о перечне товарных рынков для содействия развитию конкуренции в регионе</c:v>
                </c:pt>
                <c:pt idx="1">
                  <c:v>Предоставление возможности прохождения электронных анкет, связанных с оценкой удовлетворенности потребителей и предпринимателей состоянием конкурентной среды региона</c:v>
                </c:pt>
                <c:pt idx="2">
                  <c:v>Доступность информации о
проведенных обучающих
мероприятиях для органов
местного самоуправления
региона
</c:v>
                </c:pt>
                <c:pt idx="3">
                  <c:v>Доступность информации о нормативной базе, связанной с внедрением Стандарта в регионе</c:v>
                </c:pt>
                <c:pt idx="4">
                  <c:v>Обеспечение доступности «дорожной карты» региона </c:v>
                </c:pt>
                <c:pt idx="5">
                  <c:v>Доступность информации о
проведенных мониторингах в
регионе и сформированном
ежегодном докладе
</c:v>
                </c:pt>
              </c:strCache>
            </c:strRef>
          </c:cat>
          <c:val>
            <c:numRef>
              <c:f>Sheet1!$B$2:$G$2</c:f>
              <c:numCache>
                <c:formatCode>0%</c:formatCode>
                <c:ptCount val="6"/>
                <c:pt idx="0">
                  <c:v>0.26</c:v>
                </c:pt>
                <c:pt idx="1">
                  <c:v>0.28199999999999997</c:v>
                </c:pt>
                <c:pt idx="2">
                  <c:v>0.27200000000000002</c:v>
                </c:pt>
                <c:pt idx="3">
                  <c:v>0.28199999999999997</c:v>
                </c:pt>
                <c:pt idx="4">
                  <c:v>0.24199999999999999</c:v>
                </c:pt>
                <c:pt idx="5">
                  <c:v>0.24399999999999999</c:v>
                </c:pt>
              </c:numCache>
            </c:numRef>
          </c:val>
          <c:extLst xmlns:c16r2="http://schemas.microsoft.com/office/drawing/2015/06/chart">
            <c:ext xmlns:c16="http://schemas.microsoft.com/office/drawing/2014/chart" uri="{C3380CC4-5D6E-409C-BE32-E72D297353CC}">
              <c16:uniqueId val="{00000000-FFF4-4FCA-9996-351B84594A7E}"/>
            </c:ext>
          </c:extLst>
        </c:ser>
        <c:ser>
          <c:idx val="1"/>
          <c:order val="1"/>
          <c:tx>
            <c:strRef>
              <c:f>Sheet1!$A$3</c:f>
              <c:strCache>
                <c:ptCount val="1"/>
                <c:pt idx="0">
                  <c:v>Скорее удовлетворительно</c:v>
                </c:pt>
              </c:strCache>
            </c:strRef>
          </c:tx>
          <c:spPr>
            <a:solidFill>
              <a:srgbClr val="70AD47">
                <a:lumMod val="60000"/>
                <a:lumOff val="40000"/>
              </a:srgbClr>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Sheet1!$B$1:$G$1</c:f>
              <c:strCache>
                <c:ptCount val="6"/>
                <c:pt idx="0">
                  <c:v>Доступность информации о перечне товарных рынков для содействия развитию конкуренции в регионе</c:v>
                </c:pt>
                <c:pt idx="1">
                  <c:v>Предоставление возможности прохождения электронных анкет, связанных с оценкой удовлетворенности потребителей и предпринимателей состоянием конкурентной среды региона</c:v>
                </c:pt>
                <c:pt idx="2">
                  <c:v>Доступность информации о
проведенных обучающих
мероприятиях для органов
местного самоуправления
региона
</c:v>
                </c:pt>
                <c:pt idx="3">
                  <c:v>Доступность информации о нормативной базе, связанной с внедрением Стандарта в регионе</c:v>
                </c:pt>
                <c:pt idx="4">
                  <c:v>Обеспечение доступности «дорожной карты» региона </c:v>
                </c:pt>
                <c:pt idx="5">
                  <c:v>Доступность информации о
проведенных мониторингах в
регионе и сформированном
ежегодном докладе
</c:v>
                </c:pt>
              </c:strCache>
            </c:strRef>
          </c:cat>
          <c:val>
            <c:numRef>
              <c:f>Sheet1!$B$3:$G$3</c:f>
              <c:numCache>
                <c:formatCode>0%</c:formatCode>
                <c:ptCount val="6"/>
                <c:pt idx="0">
                  <c:v>0.32600000000000001</c:v>
                </c:pt>
                <c:pt idx="1">
                  <c:v>0.28000000000000003</c:v>
                </c:pt>
                <c:pt idx="2">
                  <c:v>0.28999999999999998</c:v>
                </c:pt>
                <c:pt idx="3">
                  <c:v>0.27800000000000002</c:v>
                </c:pt>
                <c:pt idx="4">
                  <c:v>0.31</c:v>
                </c:pt>
                <c:pt idx="5">
                  <c:v>0.308</c:v>
                </c:pt>
              </c:numCache>
            </c:numRef>
          </c:val>
          <c:extLst xmlns:c16r2="http://schemas.microsoft.com/office/drawing/2015/06/chart">
            <c:ext xmlns:c16="http://schemas.microsoft.com/office/drawing/2014/chart" uri="{C3380CC4-5D6E-409C-BE32-E72D297353CC}">
              <c16:uniqueId val="{00000001-FFF4-4FCA-9996-351B84594A7E}"/>
            </c:ext>
          </c:extLst>
        </c:ser>
        <c:ser>
          <c:idx val="2"/>
          <c:order val="2"/>
          <c:tx>
            <c:strRef>
              <c:f>Sheet1!$A$4</c:f>
              <c:strCache>
                <c:ptCount val="1"/>
                <c:pt idx="0">
                  <c:v>Скорее неудовлетворительно</c:v>
                </c:pt>
              </c:strCache>
            </c:strRef>
          </c:tx>
          <c:spPr>
            <a:solidFill>
              <a:srgbClr val="D97A8D"/>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Sheet1!$B$1:$G$1</c:f>
              <c:strCache>
                <c:ptCount val="6"/>
                <c:pt idx="0">
                  <c:v>Доступность информации о перечне товарных рынков для содействия развитию конкуренции в регионе</c:v>
                </c:pt>
                <c:pt idx="1">
                  <c:v>Предоставление возможности прохождения электронных анкет, связанных с оценкой удовлетворенности потребителей и предпринимателей состоянием конкурентной среды региона</c:v>
                </c:pt>
                <c:pt idx="2">
                  <c:v>Доступность информации о
проведенных обучающих
мероприятиях для органов
местного самоуправления
региона
</c:v>
                </c:pt>
                <c:pt idx="3">
                  <c:v>Доступность информации о нормативной базе, связанной с внедрением Стандарта в регионе</c:v>
                </c:pt>
                <c:pt idx="4">
                  <c:v>Обеспечение доступности «дорожной карты» региона </c:v>
                </c:pt>
                <c:pt idx="5">
                  <c:v>Доступность информации о
проведенных мониторингах в
регионе и сформированном
ежегодном докладе
</c:v>
                </c:pt>
              </c:strCache>
            </c:strRef>
          </c:cat>
          <c:val>
            <c:numRef>
              <c:f>Sheet1!$B$4:$G$4</c:f>
              <c:numCache>
                <c:formatCode>0%</c:formatCode>
                <c:ptCount val="6"/>
                <c:pt idx="0">
                  <c:v>0.106</c:v>
                </c:pt>
                <c:pt idx="1">
                  <c:v>0.1</c:v>
                </c:pt>
                <c:pt idx="2">
                  <c:v>0.10800000000000001</c:v>
                </c:pt>
                <c:pt idx="3">
                  <c:v>9.8000000000000004E-2</c:v>
                </c:pt>
                <c:pt idx="4">
                  <c:v>0.1</c:v>
                </c:pt>
                <c:pt idx="5">
                  <c:v>0.10199999999999999</c:v>
                </c:pt>
              </c:numCache>
            </c:numRef>
          </c:val>
          <c:extLst xmlns:c16r2="http://schemas.microsoft.com/office/drawing/2015/06/chart">
            <c:ext xmlns:c16="http://schemas.microsoft.com/office/drawing/2014/chart" uri="{C3380CC4-5D6E-409C-BE32-E72D297353CC}">
              <c16:uniqueId val="{00000002-FFF4-4FCA-9996-351B84594A7E}"/>
            </c:ext>
          </c:extLst>
        </c:ser>
        <c:ser>
          <c:idx val="3"/>
          <c:order val="3"/>
          <c:tx>
            <c:strRef>
              <c:f>Sheet1!$A$5</c:f>
              <c:strCache>
                <c:ptCount val="1"/>
                <c:pt idx="0">
                  <c:v>Неудовлетворительно</c:v>
                </c:pt>
              </c:strCache>
            </c:strRef>
          </c:tx>
          <c:spPr>
            <a:solidFill>
              <a:srgbClr val="59221B"/>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Sheet1!$B$1:$G$1</c:f>
              <c:strCache>
                <c:ptCount val="6"/>
                <c:pt idx="0">
                  <c:v>Доступность информации о перечне товарных рынков для содействия развитию конкуренции в регионе</c:v>
                </c:pt>
                <c:pt idx="1">
                  <c:v>Предоставление возможности прохождения электронных анкет, связанных с оценкой удовлетворенности потребителей и предпринимателей состоянием конкурентной среды региона</c:v>
                </c:pt>
                <c:pt idx="2">
                  <c:v>Доступность информации о
проведенных обучающих
мероприятиях для органов
местного самоуправления
региона
</c:v>
                </c:pt>
                <c:pt idx="3">
                  <c:v>Доступность информации о нормативной базе, связанной с внедрением Стандарта в регионе</c:v>
                </c:pt>
                <c:pt idx="4">
                  <c:v>Обеспечение доступности «дорожной карты» региона </c:v>
                </c:pt>
                <c:pt idx="5">
                  <c:v>Доступность информации о
проведенных мониторингах в
регионе и сформированном
ежегодном докладе
</c:v>
                </c:pt>
              </c:strCache>
            </c:strRef>
          </c:cat>
          <c:val>
            <c:numRef>
              <c:f>Sheet1!$B$5:$G$5</c:f>
              <c:numCache>
                <c:formatCode>0%</c:formatCode>
                <c:ptCount val="6"/>
                <c:pt idx="0">
                  <c:v>2.7999999999999997E-2</c:v>
                </c:pt>
                <c:pt idx="1">
                  <c:v>0.03</c:v>
                </c:pt>
                <c:pt idx="2">
                  <c:v>3.6000000000000004E-2</c:v>
                </c:pt>
                <c:pt idx="3">
                  <c:v>3.6000000000000004E-2</c:v>
                </c:pt>
                <c:pt idx="4">
                  <c:v>3.4000000000000002E-2</c:v>
                </c:pt>
                <c:pt idx="5">
                  <c:v>3.7999999999999999E-2</c:v>
                </c:pt>
              </c:numCache>
            </c:numRef>
          </c:val>
          <c:extLst xmlns:c16r2="http://schemas.microsoft.com/office/drawing/2015/06/chart">
            <c:ext xmlns:c16="http://schemas.microsoft.com/office/drawing/2014/chart" uri="{C3380CC4-5D6E-409C-BE32-E72D297353CC}">
              <c16:uniqueId val="{00000003-FFF4-4FCA-9996-351B84594A7E}"/>
            </c:ext>
          </c:extLst>
        </c:ser>
        <c:ser>
          <c:idx val="4"/>
          <c:order val="4"/>
          <c:tx>
            <c:strRef>
              <c:f>Sheet1!$A$6</c:f>
              <c:strCache>
                <c:ptCount val="1"/>
                <c:pt idx="0">
                  <c:v>Затрудняюсь ответить/ Мне ничего не известно о такой информации</c:v>
                </c:pt>
              </c:strCache>
            </c:strRef>
          </c:tx>
          <c:spPr>
            <a:solidFill>
              <a:srgbClr val="7F7F7F"/>
            </a:solidFill>
          </c:spPr>
          <c:invertIfNegative val="0"/>
          <c:dLbls>
            <c:dLbl>
              <c:idx val="0"/>
              <c:layout>
                <c:manualLayout>
                  <c:x val="8.602150537634408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FF4-4FCA-9996-351B84594A7E}"/>
                </c:ext>
              </c:extLst>
            </c:dLbl>
            <c:dLbl>
              <c:idx val="1"/>
              <c:layout>
                <c:manualLayout>
                  <c:x val="8.6021505376344086E-3"/>
                  <c:y val="5.1382067117569478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FF4-4FCA-9996-351B84594A7E}"/>
                </c:ext>
              </c:extLst>
            </c:dLbl>
            <c:dLbl>
              <c:idx val="2"/>
              <c:layout>
                <c:manualLayout>
                  <c:x val="1.0752688172042854E-2"/>
                  <c:y val="-5.1382067117569478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FF4-4FCA-9996-351B84594A7E}"/>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Sheet1!$B$1:$G$1</c:f>
              <c:strCache>
                <c:ptCount val="6"/>
                <c:pt idx="0">
                  <c:v>Доступность информации о перечне товарных рынков для содействия развитию конкуренции в регионе</c:v>
                </c:pt>
                <c:pt idx="1">
                  <c:v>Предоставление возможности прохождения электронных анкет, связанных с оценкой удовлетворенности потребителей и предпринимателей состоянием конкурентной среды региона</c:v>
                </c:pt>
                <c:pt idx="2">
                  <c:v>Доступность информации о
проведенных обучающих
мероприятиях для органов
местного самоуправления
региона
</c:v>
                </c:pt>
                <c:pt idx="3">
                  <c:v>Доступность информации о нормативной базе, связанной с внедрением Стандарта в регионе</c:v>
                </c:pt>
                <c:pt idx="4">
                  <c:v>Обеспечение доступности «дорожной карты» региона </c:v>
                </c:pt>
                <c:pt idx="5">
                  <c:v>Доступность информации о
проведенных мониторингах в
регионе и сформированном
ежегодном докладе
</c:v>
                </c:pt>
              </c:strCache>
            </c:strRef>
          </c:cat>
          <c:val>
            <c:numRef>
              <c:f>Sheet1!$B$6:$G$6</c:f>
              <c:numCache>
                <c:formatCode>0%</c:formatCode>
                <c:ptCount val="6"/>
                <c:pt idx="0">
                  <c:v>0.28000000000000003</c:v>
                </c:pt>
                <c:pt idx="1">
                  <c:v>0.308</c:v>
                </c:pt>
                <c:pt idx="2">
                  <c:v>0.29399999999999998</c:v>
                </c:pt>
                <c:pt idx="3">
                  <c:v>0.30599999999999999</c:v>
                </c:pt>
                <c:pt idx="4">
                  <c:v>0.314</c:v>
                </c:pt>
                <c:pt idx="5">
                  <c:v>0.308</c:v>
                </c:pt>
              </c:numCache>
            </c:numRef>
          </c:val>
          <c:extLst xmlns:c16r2="http://schemas.microsoft.com/office/drawing/2015/06/chart">
            <c:ext xmlns:c16="http://schemas.microsoft.com/office/drawing/2014/chart" uri="{C3380CC4-5D6E-409C-BE32-E72D297353CC}">
              <c16:uniqueId val="{00000007-FFF4-4FCA-9996-351B84594A7E}"/>
            </c:ext>
          </c:extLst>
        </c:ser>
        <c:dLbls>
          <c:showLegendKey val="0"/>
          <c:showVal val="0"/>
          <c:showCatName val="0"/>
          <c:showSerName val="0"/>
          <c:showPercent val="0"/>
          <c:showBubbleSize val="0"/>
        </c:dLbls>
        <c:gapWidth val="175"/>
        <c:overlap val="100"/>
        <c:axId val="148354560"/>
        <c:axId val="78882496"/>
      </c:barChart>
      <c:catAx>
        <c:axId val="148354560"/>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1100">
                <a:latin typeface="Times New Roman" panose="02020603050405020304" pitchFamily="18" charset="0"/>
                <a:cs typeface="Times New Roman" panose="02020603050405020304" pitchFamily="18" charset="0"/>
              </a:defRPr>
            </a:pPr>
            <a:endParaRPr lang="ru-RU"/>
          </a:p>
        </c:txPr>
        <c:crossAx val="78882496"/>
        <c:crosses val="autoZero"/>
        <c:auto val="1"/>
        <c:lblAlgn val="ctr"/>
        <c:lblOffset val="100"/>
        <c:noMultiLvlLbl val="1"/>
      </c:catAx>
      <c:valAx>
        <c:axId val="78882496"/>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148354560"/>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0.14859485997040281"/>
          <c:y val="0.84792277658294968"/>
          <c:w val="0.70218362046485194"/>
          <c:h val="0.13387707885272807"/>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270228270556909"/>
          <c:y val="9.5414160186498426E-3"/>
          <c:w val="0.51392322854207462"/>
          <c:h val="0.87261136446120591"/>
        </c:manualLayout>
      </c:layout>
      <c:barChart>
        <c:barDir val="bar"/>
        <c:grouping val="percentStacked"/>
        <c:varyColors val="0"/>
        <c:ser>
          <c:idx val="0"/>
          <c:order val="0"/>
          <c:tx>
            <c:strRef>
              <c:f>Sheet1!$A$2</c:f>
              <c:strCache>
                <c:ptCount val="1"/>
                <c:pt idx="0">
                  <c:v>Большое число поставщиков</c:v>
                </c:pt>
              </c:strCache>
            </c:strRef>
          </c:tx>
          <c:spPr>
            <a:solidFill>
              <a:srgbClr val="548235"/>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Sheet1!$AF$1:$AK$1</c:f>
              <c:strCache>
                <c:ptCount val="6"/>
                <c:pt idx="0">
                  <c:v>Рынок производства кирпича</c:v>
                </c:pt>
                <c:pt idx="1">
                  <c:v>Рынок услуг жилищно-коммунального хозяйства</c:v>
                </c:pt>
                <c:pt idx="2">
                  <c:v>Рынок переработки водных биоресурсов</c:v>
                </c:pt>
                <c:pt idx="3">
                  <c:v>Рынок услуг дошкольного образования</c:v>
                </c:pt>
                <c:pt idx="4">
                  <c:v>Рынок услуг дополнительного образования детей</c:v>
                </c:pt>
                <c:pt idx="5">
                  <c:v>Рынок вылова водных биоресурсов</c:v>
                </c:pt>
              </c:strCache>
            </c:strRef>
          </c:cat>
          <c:val>
            <c:numRef>
              <c:f>Sheet1!$AF$2:$AK$2</c:f>
              <c:numCache>
                <c:formatCode>0%</c:formatCode>
                <c:ptCount val="6"/>
                <c:pt idx="0">
                  <c:v>0.16666666666666699</c:v>
                </c:pt>
                <c:pt idx="1">
                  <c:v>0.133333333333333</c:v>
                </c:pt>
                <c:pt idx="2">
                  <c:v>0.2</c:v>
                </c:pt>
                <c:pt idx="5">
                  <c:v>0.2</c:v>
                </c:pt>
              </c:numCache>
            </c:numRef>
          </c:val>
          <c:extLst xmlns:c16r2="http://schemas.microsoft.com/office/drawing/2015/06/chart">
            <c:ext xmlns:c16="http://schemas.microsoft.com/office/drawing/2014/chart" uri="{C3380CC4-5D6E-409C-BE32-E72D297353CC}">
              <c16:uniqueId val="{00000000-9423-4580-BD84-043E3B69B553}"/>
            </c:ext>
          </c:extLst>
        </c:ser>
        <c:ser>
          <c:idx val="1"/>
          <c:order val="1"/>
          <c:tx>
            <c:strRef>
              <c:f>Sheet1!$A$3</c:f>
              <c:strCache>
                <c:ptCount val="1"/>
                <c:pt idx="0">
                  <c:v>4 и более поставщика</c:v>
                </c:pt>
              </c:strCache>
            </c:strRef>
          </c:tx>
          <c:spPr>
            <a:solidFill>
              <a:srgbClr val="A9D18E"/>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Sheet1!$AF$1:$AK$1</c:f>
              <c:strCache>
                <c:ptCount val="6"/>
                <c:pt idx="0">
                  <c:v>Рынок производства кирпича</c:v>
                </c:pt>
                <c:pt idx="1">
                  <c:v>Рынок услуг жилищно-коммунального хозяйства</c:v>
                </c:pt>
                <c:pt idx="2">
                  <c:v>Рынок переработки водных биоресурсов</c:v>
                </c:pt>
                <c:pt idx="3">
                  <c:v>Рынок услуг дошкольного образования</c:v>
                </c:pt>
                <c:pt idx="4">
                  <c:v>Рынок услуг дополнительного образования детей</c:v>
                </c:pt>
                <c:pt idx="5">
                  <c:v>Рынок вылова водных биоресурсов</c:v>
                </c:pt>
              </c:strCache>
            </c:strRef>
          </c:cat>
          <c:val>
            <c:numRef>
              <c:f>Sheet1!$AF$3:$AK$3</c:f>
              <c:numCache>
                <c:formatCode>0%</c:formatCode>
                <c:ptCount val="6"/>
                <c:pt idx="0">
                  <c:v>0.16666666666666699</c:v>
                </c:pt>
                <c:pt idx="1">
                  <c:v>0.2</c:v>
                </c:pt>
                <c:pt idx="2">
                  <c:v>0.1</c:v>
                </c:pt>
                <c:pt idx="3">
                  <c:v>0.27272727272727298</c:v>
                </c:pt>
                <c:pt idx="4">
                  <c:v>0.25</c:v>
                </c:pt>
              </c:numCache>
            </c:numRef>
          </c:val>
          <c:extLst xmlns:c16r2="http://schemas.microsoft.com/office/drawing/2015/06/chart">
            <c:ext xmlns:c16="http://schemas.microsoft.com/office/drawing/2014/chart" uri="{C3380CC4-5D6E-409C-BE32-E72D297353CC}">
              <c16:uniqueId val="{00000001-9423-4580-BD84-043E3B69B553}"/>
            </c:ext>
          </c:extLst>
        </c:ser>
        <c:ser>
          <c:idx val="2"/>
          <c:order val="2"/>
          <c:tx>
            <c:strRef>
              <c:f>Sheet1!$A$4</c:f>
              <c:strCache>
                <c:ptCount val="1"/>
                <c:pt idx="0">
                  <c:v>2-3 поставщика</c:v>
                </c:pt>
              </c:strCache>
            </c:strRef>
          </c:tx>
          <c:spPr>
            <a:solidFill>
              <a:srgbClr val="FFC000"/>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Sheet1!$AF$1:$AK$1</c:f>
              <c:strCache>
                <c:ptCount val="6"/>
                <c:pt idx="0">
                  <c:v>Рынок производства кирпича</c:v>
                </c:pt>
                <c:pt idx="1">
                  <c:v>Рынок услуг жилищно-коммунального хозяйства</c:v>
                </c:pt>
                <c:pt idx="2">
                  <c:v>Рынок переработки водных биоресурсов</c:v>
                </c:pt>
                <c:pt idx="3">
                  <c:v>Рынок услуг дошкольного образования</c:v>
                </c:pt>
                <c:pt idx="4">
                  <c:v>Рынок услуг дополнительного образования детей</c:v>
                </c:pt>
                <c:pt idx="5">
                  <c:v>Рынок вылова водных биоресурсов</c:v>
                </c:pt>
              </c:strCache>
            </c:strRef>
          </c:cat>
          <c:val>
            <c:numRef>
              <c:f>Sheet1!$AF$4:$AK$4</c:f>
              <c:numCache>
                <c:formatCode>0%</c:formatCode>
                <c:ptCount val="6"/>
                <c:pt idx="0">
                  <c:v>0.16666666666666699</c:v>
                </c:pt>
                <c:pt idx="1">
                  <c:v>0.4</c:v>
                </c:pt>
                <c:pt idx="2">
                  <c:v>0.7</c:v>
                </c:pt>
                <c:pt idx="3">
                  <c:v>0.18181818181818202</c:v>
                </c:pt>
                <c:pt idx="4">
                  <c:v>0.33333333333333298</c:v>
                </c:pt>
                <c:pt idx="5">
                  <c:v>0.5</c:v>
                </c:pt>
              </c:numCache>
            </c:numRef>
          </c:val>
          <c:extLst xmlns:c16r2="http://schemas.microsoft.com/office/drawing/2015/06/chart">
            <c:ext xmlns:c16="http://schemas.microsoft.com/office/drawing/2014/chart" uri="{C3380CC4-5D6E-409C-BE32-E72D297353CC}">
              <c16:uniqueId val="{00000002-9423-4580-BD84-043E3B69B553}"/>
            </c:ext>
          </c:extLst>
        </c:ser>
        <c:ser>
          <c:idx val="3"/>
          <c:order val="3"/>
          <c:tx>
            <c:strRef>
              <c:f>Sheet1!$A$5</c:f>
              <c:strCache>
                <c:ptCount val="1"/>
                <c:pt idx="0">
                  <c:v>Единственный поставщик</c:v>
                </c:pt>
              </c:strCache>
            </c:strRef>
          </c:tx>
          <c:spPr>
            <a:solidFill>
              <a:srgbClr val="D97A8D"/>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Sheet1!$AF$1:$AK$1</c:f>
              <c:strCache>
                <c:ptCount val="6"/>
                <c:pt idx="0">
                  <c:v>Рынок производства кирпича</c:v>
                </c:pt>
                <c:pt idx="1">
                  <c:v>Рынок услуг жилищно-коммунального хозяйства</c:v>
                </c:pt>
                <c:pt idx="2">
                  <c:v>Рынок переработки водных биоресурсов</c:v>
                </c:pt>
                <c:pt idx="3">
                  <c:v>Рынок услуг дошкольного образования</c:v>
                </c:pt>
                <c:pt idx="4">
                  <c:v>Рынок услуг дополнительного образования детей</c:v>
                </c:pt>
                <c:pt idx="5">
                  <c:v>Рынок вылова водных биоресурсов</c:v>
                </c:pt>
              </c:strCache>
            </c:strRef>
          </c:cat>
          <c:val>
            <c:numRef>
              <c:f>Sheet1!$AF$5:$AK$5</c:f>
              <c:numCache>
                <c:formatCode>0%</c:formatCode>
                <c:ptCount val="6"/>
                <c:pt idx="1">
                  <c:v>0.133333333333333</c:v>
                </c:pt>
                <c:pt idx="3">
                  <c:v>0.18181818181818202</c:v>
                </c:pt>
                <c:pt idx="5">
                  <c:v>0.1</c:v>
                </c:pt>
              </c:numCache>
            </c:numRef>
          </c:val>
          <c:extLst xmlns:c16r2="http://schemas.microsoft.com/office/drawing/2015/06/chart">
            <c:ext xmlns:c16="http://schemas.microsoft.com/office/drawing/2014/chart" uri="{C3380CC4-5D6E-409C-BE32-E72D297353CC}">
              <c16:uniqueId val="{00000003-9423-4580-BD84-043E3B69B553}"/>
            </c:ext>
          </c:extLst>
        </c:ser>
        <c:ser>
          <c:idx val="4"/>
          <c:order val="4"/>
          <c:tx>
            <c:strRef>
              <c:f>Sheet1!$A$6</c:f>
              <c:strCache>
                <c:ptCount val="1"/>
                <c:pt idx="0">
                  <c:v>Не пользуемся услугами поставщиков</c:v>
                </c:pt>
              </c:strCache>
            </c:strRef>
          </c:tx>
          <c:spPr>
            <a:solidFill>
              <a:srgbClr val="59221B"/>
            </a:solidFill>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Sheet1!$AF$1:$AK$1</c:f>
              <c:strCache>
                <c:ptCount val="6"/>
                <c:pt idx="0">
                  <c:v>Рынок производства кирпича</c:v>
                </c:pt>
                <c:pt idx="1">
                  <c:v>Рынок услуг жилищно-коммунального хозяйства</c:v>
                </c:pt>
                <c:pt idx="2">
                  <c:v>Рынок переработки водных биоресурсов</c:v>
                </c:pt>
                <c:pt idx="3">
                  <c:v>Рынок услуг дошкольного образования</c:v>
                </c:pt>
                <c:pt idx="4">
                  <c:v>Рынок услуг дополнительного образования детей</c:v>
                </c:pt>
                <c:pt idx="5">
                  <c:v>Рынок вылова водных биоресурсов</c:v>
                </c:pt>
              </c:strCache>
            </c:strRef>
          </c:cat>
          <c:val>
            <c:numRef>
              <c:f>Sheet1!$AF$6:$AK$6</c:f>
              <c:numCache>
                <c:formatCode>0%</c:formatCode>
                <c:ptCount val="6"/>
                <c:pt idx="0">
                  <c:v>8.3333333333333301E-2</c:v>
                </c:pt>
                <c:pt idx="1">
                  <c:v>0.133333333333333</c:v>
                </c:pt>
                <c:pt idx="3">
                  <c:v>0.27272727272727298</c:v>
                </c:pt>
                <c:pt idx="4">
                  <c:v>0.33333333333333298</c:v>
                </c:pt>
                <c:pt idx="5">
                  <c:v>0.1</c:v>
                </c:pt>
              </c:numCache>
            </c:numRef>
          </c:val>
          <c:extLst xmlns:c16r2="http://schemas.microsoft.com/office/drawing/2015/06/chart">
            <c:ext xmlns:c16="http://schemas.microsoft.com/office/drawing/2014/chart" uri="{C3380CC4-5D6E-409C-BE32-E72D297353CC}">
              <c16:uniqueId val="{00000004-9423-4580-BD84-043E3B69B553}"/>
            </c:ext>
          </c:extLst>
        </c:ser>
        <c:ser>
          <c:idx val="5"/>
          <c:order val="5"/>
          <c:tx>
            <c:strRef>
              <c:f>Sheet1!$A$7</c:f>
              <c:strCache>
                <c:ptCount val="1"/>
                <c:pt idx="0">
                  <c:v>Затрудняюсь ответить</c:v>
                </c:pt>
              </c:strCache>
            </c:strRef>
          </c:tx>
          <c:spPr>
            <a:solidFill>
              <a:srgbClr val="E7E6E6">
                <a:lumMod val="75000"/>
              </a:srgbClr>
            </a:solidFill>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Sheet1!$AF$1:$AK$1</c:f>
              <c:strCache>
                <c:ptCount val="6"/>
                <c:pt idx="0">
                  <c:v>Рынок производства кирпича</c:v>
                </c:pt>
                <c:pt idx="1">
                  <c:v>Рынок услуг жилищно-коммунального хозяйства</c:v>
                </c:pt>
                <c:pt idx="2">
                  <c:v>Рынок переработки водных биоресурсов</c:v>
                </c:pt>
                <c:pt idx="3">
                  <c:v>Рынок услуг дошкольного образования</c:v>
                </c:pt>
                <c:pt idx="4">
                  <c:v>Рынок услуг дополнительного образования детей</c:v>
                </c:pt>
                <c:pt idx="5">
                  <c:v>Рынок вылова водных биоресурсов</c:v>
                </c:pt>
              </c:strCache>
            </c:strRef>
          </c:cat>
          <c:val>
            <c:numRef>
              <c:f>Sheet1!$AF$7:$AK$7</c:f>
              <c:numCache>
                <c:formatCode>General</c:formatCode>
                <c:ptCount val="6"/>
                <c:pt idx="0" formatCode="0%">
                  <c:v>0.41666666666666702</c:v>
                </c:pt>
                <c:pt idx="3" formatCode="0%">
                  <c:v>9.0909090909090898E-2</c:v>
                </c:pt>
                <c:pt idx="4" formatCode="0%">
                  <c:v>8.3333333333333301E-2</c:v>
                </c:pt>
                <c:pt idx="5" formatCode="0%">
                  <c:v>0.1</c:v>
                </c:pt>
              </c:numCache>
            </c:numRef>
          </c:val>
          <c:extLst xmlns:c16r2="http://schemas.microsoft.com/office/drawing/2015/06/chart">
            <c:ext xmlns:c16="http://schemas.microsoft.com/office/drawing/2014/chart" uri="{C3380CC4-5D6E-409C-BE32-E72D297353CC}">
              <c16:uniqueId val="{00000005-9423-4580-BD84-043E3B69B553}"/>
            </c:ext>
          </c:extLst>
        </c:ser>
        <c:dLbls>
          <c:showLegendKey val="0"/>
          <c:showVal val="0"/>
          <c:showCatName val="0"/>
          <c:showSerName val="0"/>
          <c:showPercent val="0"/>
          <c:showBubbleSize val="0"/>
        </c:dLbls>
        <c:gapWidth val="105"/>
        <c:overlap val="100"/>
        <c:axId val="119872000"/>
        <c:axId val="119802112"/>
      </c:barChart>
      <c:catAx>
        <c:axId val="119872000"/>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950">
                <a:latin typeface="Times New Roman" panose="02020603050405020304" pitchFamily="18" charset="0"/>
                <a:cs typeface="Times New Roman" panose="02020603050405020304" pitchFamily="18" charset="0"/>
              </a:defRPr>
            </a:pPr>
            <a:endParaRPr lang="ru-RU"/>
          </a:p>
        </c:txPr>
        <c:crossAx val="119802112"/>
        <c:crosses val="autoZero"/>
        <c:auto val="1"/>
        <c:lblAlgn val="ctr"/>
        <c:lblOffset val="100"/>
        <c:noMultiLvlLbl val="1"/>
      </c:catAx>
      <c:valAx>
        <c:axId val="119802112"/>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119872000"/>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2.6945518821972748E-2"/>
          <c:y val="0.88521820543975094"/>
          <c:w val="0.89153513964386566"/>
          <c:h val="0.1147817945602491"/>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2785315084825757"/>
          <c:y val="2.1876662111450944E-2"/>
          <c:w val="0.44436904377489089"/>
          <c:h val="0.95200030103763911"/>
        </c:manualLayout>
      </c:layout>
      <c:barChart>
        <c:barDir val="bar"/>
        <c:grouping val="clustered"/>
        <c:varyColors val="0"/>
        <c:ser>
          <c:idx val="0"/>
          <c:order val="0"/>
          <c:tx>
            <c:strRef>
              <c:f>Лист1!$B$1</c:f>
              <c:strCache>
                <c:ptCount val="1"/>
                <c:pt idx="0">
                  <c:v>Столбец1</c:v>
                </c:pt>
              </c:strCache>
            </c:strRef>
          </c:tx>
          <c:spPr>
            <a:solidFill>
              <a:srgbClr val="591825"/>
            </a:solidFill>
            <a:ln>
              <a:noFill/>
            </a:ln>
            <a:effectLst/>
          </c:spPr>
          <c:invertIfNegative val="0"/>
          <c:dLbls>
            <c:dLbl>
              <c:idx val="2"/>
              <c:layout>
                <c:manualLayout>
                  <c:x val="-2.3148148148148147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6C2-43B8-BF41-B230F84F7E95}"/>
                </c:ext>
              </c:extLst>
            </c:dLbl>
            <c:dLbl>
              <c:idx val="4"/>
              <c:layout>
                <c:manualLayout>
                  <c:x val="-6.9444444444445291E-3"/>
                  <c:y val="6.611570247933803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6C2-43B8-BF41-B230F84F7E95}"/>
                </c:ext>
              </c:extLst>
            </c:dLbl>
            <c:dLbl>
              <c:idx val="6"/>
              <c:layout>
                <c:manualLayout>
                  <c:x val="-4.6296296296297144E-3"/>
                  <c:y val="6.611570247933884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6C2-43B8-BF41-B230F84F7E95}"/>
                </c:ext>
              </c:extLst>
            </c:dLbl>
            <c:dLbl>
              <c:idx val="7"/>
              <c:layout>
                <c:manualLayout>
                  <c:x val="-4.6296296296295444E-3"/>
                  <c:y val="4.407713498622508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6C2-43B8-BF41-B230F84F7E95}"/>
                </c:ext>
              </c:extLst>
            </c:dLbl>
            <c:dLbl>
              <c:idx val="8"/>
              <c:layout>
                <c:manualLayout>
                  <c:x val="-2.3148148148148997E-3"/>
                  <c:y val="6.611570247933884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6C2-43B8-BF41-B230F84F7E95}"/>
                </c:ext>
              </c:extLst>
            </c:dLbl>
            <c:dLbl>
              <c:idx val="11"/>
              <c:layout>
                <c:manualLayout>
                  <c:x val="-2.3148148148149847E-3"/>
                  <c:y val="6.611570247933884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6C2-43B8-BF41-B230F84F7E95}"/>
                </c:ext>
              </c:extLst>
            </c:dLbl>
            <c:dLbl>
              <c:idx val="12"/>
              <c:layout>
                <c:manualLayout>
                  <c:x val="-6.9444444444444441E-3"/>
                  <c:y val="4.407713498622569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6C2-43B8-BF41-B230F84F7E95}"/>
                </c:ext>
              </c:extLst>
            </c:dLbl>
            <c:spPr>
              <a:noFill/>
              <a:ln>
                <a:noFill/>
              </a:ln>
              <a:effectLst/>
            </c:spPr>
            <c:txPr>
              <a:bodyPr rot="0" vert="horz"/>
              <a:lstStyle/>
              <a:p>
                <a:pPr>
                  <a:defRPr sz="1100"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Официальная информация, размещенная на сайте уполномоченного органа в сети Интернет</c:v>
                </c:pt>
                <c:pt idx="1">
                  <c:v>Специальные блоги, порталы и прочие эл. ресурсы</c:v>
                </c:pt>
                <c:pt idx="2">
                  <c:v>Официальная информация, размещенная на интернет-портале об инвестиционной деятельности в Ленинградской области</c:v>
                </c:pt>
                <c:pt idx="3">
                  <c:v>Информация, размещенная на официальных сайтах других исполнительных органов государственной власти и органов местного самоуправления в сети Интернет</c:v>
                </c:pt>
                <c:pt idx="4">
                  <c:v>Телевидение</c:v>
                </c:pt>
                <c:pt idx="5">
                  <c:v>Официальная информация, размещенная на сайте Федеральной антимонопольной службы</c:v>
                </c:pt>
                <c:pt idx="6">
                  <c:v>Печатные СМИ</c:v>
                </c:pt>
                <c:pt idx="7">
                  <c:v>Радио</c:v>
                </c:pt>
                <c:pt idx="8">
                  <c:v>Другое</c:v>
                </c:pt>
                <c:pt idx="9">
                  <c:v>Ничего из перечисленного</c:v>
                </c:pt>
              </c:strCache>
            </c:strRef>
          </c:cat>
          <c:val>
            <c:numRef>
              <c:f>Лист1!$B$2:$B$11</c:f>
              <c:numCache>
                <c:formatCode>0%</c:formatCode>
                <c:ptCount val="10"/>
                <c:pt idx="0">
                  <c:v>0.56200000000000006</c:v>
                </c:pt>
                <c:pt idx="1">
                  <c:v>0.36399999999999999</c:v>
                </c:pt>
                <c:pt idx="2">
                  <c:v>0.314</c:v>
                </c:pt>
                <c:pt idx="3">
                  <c:v>0.28999999999999998</c:v>
                </c:pt>
                <c:pt idx="4">
                  <c:v>0.22</c:v>
                </c:pt>
                <c:pt idx="5">
                  <c:v>0.21</c:v>
                </c:pt>
                <c:pt idx="6">
                  <c:v>0.188</c:v>
                </c:pt>
                <c:pt idx="7">
                  <c:v>0.106</c:v>
                </c:pt>
                <c:pt idx="8">
                  <c:v>0.02</c:v>
                </c:pt>
                <c:pt idx="9">
                  <c:v>0.114</c:v>
                </c:pt>
              </c:numCache>
            </c:numRef>
          </c:val>
          <c:extLst xmlns:c16r2="http://schemas.microsoft.com/office/drawing/2015/06/chart">
            <c:ext xmlns:c16="http://schemas.microsoft.com/office/drawing/2014/chart" uri="{C3380CC4-5D6E-409C-BE32-E72D297353CC}">
              <c16:uniqueId val="{00000007-56C2-43B8-BF41-B230F84F7E95}"/>
            </c:ext>
          </c:extLst>
        </c:ser>
        <c:dLbls>
          <c:showLegendKey val="0"/>
          <c:showVal val="0"/>
          <c:showCatName val="0"/>
          <c:showSerName val="0"/>
          <c:showPercent val="0"/>
          <c:showBubbleSize val="0"/>
        </c:dLbls>
        <c:gapWidth val="70"/>
        <c:axId val="148356096"/>
        <c:axId val="78884800"/>
      </c:barChart>
      <c:catAx>
        <c:axId val="1483560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baseline="0">
                <a:latin typeface="Times New Roman" panose="02020603050405020304" pitchFamily="18" charset="0"/>
              </a:defRPr>
            </a:pPr>
            <a:endParaRPr lang="ru-RU"/>
          </a:p>
        </c:txPr>
        <c:crossAx val="78884800"/>
        <c:crosses val="autoZero"/>
        <c:auto val="1"/>
        <c:lblAlgn val="ctr"/>
        <c:lblOffset val="100"/>
        <c:noMultiLvlLbl val="0"/>
      </c:catAx>
      <c:valAx>
        <c:axId val="78884800"/>
        <c:scaling>
          <c:orientation val="minMax"/>
        </c:scaling>
        <c:delete val="1"/>
        <c:axPos val="t"/>
        <c:majorGridlines>
          <c:spPr>
            <a:ln w="9525" cap="flat" cmpd="sng" algn="ctr">
              <a:noFill/>
              <a:round/>
            </a:ln>
            <a:effectLst/>
          </c:spPr>
        </c:majorGridlines>
        <c:numFmt formatCode="0%" sourceLinked="1"/>
        <c:majorTickMark val="none"/>
        <c:minorTickMark val="none"/>
        <c:tickLblPos val="nextTo"/>
        <c:crossAx val="1483560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b="0">
          <a:solidFill>
            <a:schemeClr val="tx1"/>
          </a:solidFill>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61225269273970029"/>
          <c:y val="7.825819496747688E-2"/>
          <c:w val="0.29915295547998233"/>
          <c:h val="0.80785587387415292"/>
        </c:manualLayout>
      </c:layout>
      <c:pieChart>
        <c:varyColors val="1"/>
        <c:ser>
          <c:idx val="0"/>
          <c:order val="0"/>
          <c:tx>
            <c:strRef>
              <c:f>Лист1!$B$1</c:f>
              <c:strCache>
                <c:ptCount val="1"/>
                <c:pt idx="0">
                  <c:v>Стаж</c:v>
                </c:pt>
              </c:strCache>
            </c:strRef>
          </c:tx>
          <c:dPt>
            <c:idx val="0"/>
            <c:bubble3D val="0"/>
            <c:spPr>
              <a:solidFill>
                <a:srgbClr val="70AD47">
                  <a:lumMod val="75000"/>
                </a:srgbClr>
              </a:solidFill>
              <a:ln w="19050">
                <a:solidFill>
                  <a:schemeClr val="lt1"/>
                </a:solidFill>
              </a:ln>
              <a:effectLst/>
            </c:spPr>
            <c:extLst xmlns:c16r2="http://schemas.microsoft.com/office/drawing/2015/06/chart">
              <c:ext xmlns:c16="http://schemas.microsoft.com/office/drawing/2014/chart" uri="{C3380CC4-5D6E-409C-BE32-E72D297353CC}">
                <c16:uniqueId val="{00000001-9A43-491B-A45F-DC909FE423D7}"/>
              </c:ext>
            </c:extLst>
          </c:dPt>
          <c:dPt>
            <c:idx val="1"/>
            <c:bubble3D val="0"/>
            <c:spPr>
              <a:solidFill>
                <a:srgbClr val="70AD47">
                  <a:lumMod val="60000"/>
                  <a:lumOff val="40000"/>
                </a:srgbClr>
              </a:solidFill>
              <a:ln w="19050">
                <a:solidFill>
                  <a:schemeClr val="lt1"/>
                </a:solidFill>
              </a:ln>
              <a:effectLst/>
            </c:spPr>
            <c:extLst xmlns:c16r2="http://schemas.microsoft.com/office/drawing/2015/06/chart">
              <c:ext xmlns:c16="http://schemas.microsoft.com/office/drawing/2014/chart" uri="{C3380CC4-5D6E-409C-BE32-E72D297353CC}">
                <c16:uniqueId val="{00000003-9A43-491B-A45F-DC909FE423D7}"/>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9A43-491B-A45F-DC909FE423D7}"/>
              </c:ext>
            </c:extLst>
          </c:dPt>
          <c:dPt>
            <c:idx val="3"/>
            <c:bubble3D val="0"/>
            <c:spPr>
              <a:solidFill>
                <a:srgbClr val="59221B"/>
              </a:solidFill>
              <a:ln w="19050">
                <a:solidFill>
                  <a:schemeClr val="lt1"/>
                </a:solidFill>
              </a:ln>
              <a:effectLst/>
            </c:spPr>
            <c:extLst xmlns:c16r2="http://schemas.microsoft.com/office/drawing/2015/06/chart">
              <c:ext xmlns:c16="http://schemas.microsoft.com/office/drawing/2014/chart" uri="{C3380CC4-5D6E-409C-BE32-E72D297353CC}">
                <c16:uniqueId val="{00000007-9A43-491B-A45F-DC909FE423D7}"/>
              </c:ext>
            </c:extLst>
          </c:dPt>
          <c:dPt>
            <c:idx val="4"/>
            <c:bubble3D val="0"/>
            <c:spPr>
              <a:solidFill>
                <a:schemeClr val="bg1">
                  <a:lumMod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9A43-491B-A45F-DC909FE423D7}"/>
              </c:ext>
            </c:extLst>
          </c:dPt>
          <c:dLbls>
            <c:dLbl>
              <c:idx val="0"/>
              <c:layout>
                <c:manualLayout>
                  <c:x val="1.6647591301633392E-2"/>
                  <c:y val="8.9027375918094807E-3"/>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A43-491B-A45F-DC909FE423D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Удовлетворен (-а)</c:v>
                </c:pt>
                <c:pt idx="1">
                  <c:v>Скорее удовлетворен (-а)</c:v>
                </c:pt>
                <c:pt idx="2">
                  <c:v>Скорее не удовлетворен (-а)</c:v>
                </c:pt>
                <c:pt idx="3">
                  <c:v>Не удовлетворен (-а)</c:v>
                </c:pt>
                <c:pt idx="4">
                  <c:v>Затрудняюсь ответить</c:v>
                </c:pt>
              </c:strCache>
            </c:strRef>
          </c:cat>
          <c:val>
            <c:numRef>
              <c:f>Лист1!$B$2:$B$6</c:f>
              <c:numCache>
                <c:formatCode>0%</c:formatCode>
                <c:ptCount val="5"/>
                <c:pt idx="0">
                  <c:v>0.18</c:v>
                </c:pt>
                <c:pt idx="1">
                  <c:v>0.41600000000000004</c:v>
                </c:pt>
                <c:pt idx="2">
                  <c:v>0.20199999999999999</c:v>
                </c:pt>
                <c:pt idx="3">
                  <c:v>6.2E-2</c:v>
                </c:pt>
                <c:pt idx="4">
                  <c:v>0.14000000000000001</c:v>
                </c:pt>
              </c:numCache>
            </c:numRef>
          </c:val>
          <c:extLst xmlns:c16r2="http://schemas.microsoft.com/office/drawing/2015/06/chart">
            <c:ext xmlns:c16="http://schemas.microsoft.com/office/drawing/2014/chart" uri="{C3380CC4-5D6E-409C-BE32-E72D297353CC}">
              <c16:uniqueId val="{0000000A-9A43-491B-A45F-DC909FE423D7}"/>
            </c:ext>
          </c:extLst>
        </c:ser>
        <c:dLbls>
          <c:showLegendKey val="0"/>
          <c:showVal val="0"/>
          <c:showCatName val="0"/>
          <c:showSerName val="0"/>
          <c:showPercent val="0"/>
          <c:showBubbleSize val="0"/>
          <c:showLeaderLines val="0"/>
        </c:dLbls>
        <c:firstSliceAng val="0"/>
      </c:pieChart>
      <c:spPr>
        <a:noFill/>
        <a:ln>
          <a:noFill/>
        </a:ln>
        <a:effectLst/>
      </c:spPr>
    </c:plotArea>
    <c:legend>
      <c:legendPos val="l"/>
      <c:layout>
        <c:manualLayout>
          <c:xMode val="edge"/>
          <c:yMode val="edge"/>
          <c:x val="1.4566642388929352E-2"/>
          <c:y val="0.2761105418329558"/>
          <c:w val="0.30618263030304022"/>
          <c:h val="0.499148779347786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ru-RU"/>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861801456608142"/>
          <c:y val="1.5314377369495478E-2"/>
          <c:w val="0.69992984189803098"/>
          <c:h val="0.85237037037037022"/>
        </c:manualLayout>
      </c:layout>
      <c:barChart>
        <c:barDir val="bar"/>
        <c:grouping val="percentStacked"/>
        <c:varyColors val="0"/>
        <c:ser>
          <c:idx val="0"/>
          <c:order val="0"/>
          <c:tx>
            <c:strRef>
              <c:f>Sheet1!$A$2</c:f>
              <c:strCache>
                <c:ptCount val="1"/>
                <c:pt idx="0">
                  <c:v>Улучшилось</c:v>
                </c:pt>
              </c:strCache>
            </c:strRef>
          </c:tx>
          <c:spPr>
            <a:solidFill>
              <a:srgbClr val="A9D18E"/>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Sheet1!$B$1:$G$1</c:f>
              <c:strCache>
                <c:ptCount val="6"/>
                <c:pt idx="0">
                  <c:v>Телефонная связь</c:v>
                </c:pt>
                <c:pt idx="1">
                  <c:v>Газоснабжение</c:v>
                </c:pt>
                <c:pt idx="2">
                  <c:v>Электроснабжение</c:v>
                </c:pt>
                <c:pt idx="3">
                  <c:v>Теплоснабжение</c:v>
                </c:pt>
                <c:pt idx="4">
                  <c:v>Водоочистка</c:v>
                </c:pt>
                <c:pt idx="5">
                  <c:v>Водоснабжение, водоотведение</c:v>
                </c:pt>
              </c:strCache>
            </c:strRef>
          </c:cat>
          <c:val>
            <c:numRef>
              <c:f>Sheet1!$B$2:$G$2</c:f>
              <c:numCache>
                <c:formatCode>0%</c:formatCode>
                <c:ptCount val="6"/>
                <c:pt idx="0">
                  <c:v>0.21621621621621601</c:v>
                </c:pt>
                <c:pt idx="1">
                  <c:v>0.17133956386292801</c:v>
                </c:pt>
                <c:pt idx="2">
                  <c:v>0.16708860759493699</c:v>
                </c:pt>
                <c:pt idx="3">
                  <c:v>0.15363881401617299</c:v>
                </c:pt>
                <c:pt idx="4">
                  <c:v>0.13370473537604499</c:v>
                </c:pt>
                <c:pt idx="5">
                  <c:v>0.12201591511936299</c:v>
                </c:pt>
              </c:numCache>
            </c:numRef>
          </c:val>
          <c:extLst xmlns:c16r2="http://schemas.microsoft.com/office/drawing/2015/06/chart">
            <c:ext xmlns:c16="http://schemas.microsoft.com/office/drawing/2014/chart" uri="{C3380CC4-5D6E-409C-BE32-E72D297353CC}">
              <c16:uniqueId val="{00000000-FD62-43BF-8176-7A4AA84D3232}"/>
            </c:ext>
          </c:extLst>
        </c:ser>
        <c:ser>
          <c:idx val="1"/>
          <c:order val="1"/>
          <c:tx>
            <c:strRef>
              <c:f>Sheet1!$A$3</c:f>
              <c:strCache>
                <c:ptCount val="1"/>
                <c:pt idx="0">
                  <c:v>Ухудшилось</c:v>
                </c:pt>
              </c:strCache>
            </c:strRef>
          </c:tx>
          <c:spPr>
            <a:solidFill>
              <a:srgbClr val="D97A8D"/>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Sheet1!$B$1:$G$1</c:f>
              <c:strCache>
                <c:ptCount val="6"/>
                <c:pt idx="0">
                  <c:v>Телефонная связь</c:v>
                </c:pt>
                <c:pt idx="1">
                  <c:v>Газоснабжение</c:v>
                </c:pt>
                <c:pt idx="2">
                  <c:v>Электроснабжение</c:v>
                </c:pt>
                <c:pt idx="3">
                  <c:v>Теплоснабжение</c:v>
                </c:pt>
                <c:pt idx="4">
                  <c:v>Водоочистка</c:v>
                </c:pt>
                <c:pt idx="5">
                  <c:v>Водоснабжение, водоотведение</c:v>
                </c:pt>
              </c:strCache>
            </c:strRef>
          </c:cat>
          <c:val>
            <c:numRef>
              <c:f>Sheet1!$B$3:$G$3</c:f>
              <c:numCache>
                <c:formatCode>0%</c:formatCode>
                <c:ptCount val="6"/>
                <c:pt idx="0">
                  <c:v>0.108108108108108</c:v>
                </c:pt>
                <c:pt idx="1">
                  <c:v>9.34579439252336E-2</c:v>
                </c:pt>
                <c:pt idx="2">
                  <c:v>7.8481012658227794E-2</c:v>
                </c:pt>
                <c:pt idx="3">
                  <c:v>0.10242587601078201</c:v>
                </c:pt>
                <c:pt idx="4">
                  <c:v>0.13370473537604499</c:v>
                </c:pt>
                <c:pt idx="5">
                  <c:v>0.129973474801061</c:v>
                </c:pt>
              </c:numCache>
            </c:numRef>
          </c:val>
          <c:extLst xmlns:c16r2="http://schemas.microsoft.com/office/drawing/2015/06/chart">
            <c:ext xmlns:c16="http://schemas.microsoft.com/office/drawing/2014/chart" uri="{C3380CC4-5D6E-409C-BE32-E72D297353CC}">
              <c16:uniqueId val="{00000001-FD62-43BF-8176-7A4AA84D3232}"/>
            </c:ext>
          </c:extLst>
        </c:ser>
        <c:ser>
          <c:idx val="2"/>
          <c:order val="2"/>
          <c:tx>
            <c:strRef>
              <c:f>Sheet1!$A$4</c:f>
              <c:strCache>
                <c:ptCount val="1"/>
                <c:pt idx="0">
                  <c:v>Не изменилось</c:v>
                </c:pt>
              </c:strCache>
            </c:strRef>
          </c:tx>
          <c:spPr>
            <a:solidFill>
              <a:srgbClr val="2E75B6"/>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Sheet1!$B$1:$G$1</c:f>
              <c:strCache>
                <c:ptCount val="6"/>
                <c:pt idx="0">
                  <c:v>Телефонная связь</c:v>
                </c:pt>
                <c:pt idx="1">
                  <c:v>Газоснабжение</c:v>
                </c:pt>
                <c:pt idx="2">
                  <c:v>Электроснабжение</c:v>
                </c:pt>
                <c:pt idx="3">
                  <c:v>Теплоснабжение</c:v>
                </c:pt>
                <c:pt idx="4">
                  <c:v>Водоочистка</c:v>
                </c:pt>
                <c:pt idx="5">
                  <c:v>Водоснабжение, водоотведение</c:v>
                </c:pt>
              </c:strCache>
            </c:strRef>
          </c:cat>
          <c:val>
            <c:numRef>
              <c:f>Sheet1!$B$4:$G$4</c:f>
              <c:numCache>
                <c:formatCode>0%</c:formatCode>
                <c:ptCount val="6"/>
                <c:pt idx="0">
                  <c:v>0.67567567567567588</c:v>
                </c:pt>
                <c:pt idx="1">
                  <c:v>0.73520249221183809</c:v>
                </c:pt>
                <c:pt idx="2">
                  <c:v>0.75443037974683502</c:v>
                </c:pt>
                <c:pt idx="3">
                  <c:v>0.74393530997304591</c:v>
                </c:pt>
                <c:pt idx="4">
                  <c:v>0.73259052924791102</c:v>
                </c:pt>
                <c:pt idx="5">
                  <c:v>0.74801061007957603</c:v>
                </c:pt>
              </c:numCache>
            </c:numRef>
          </c:val>
          <c:extLst xmlns:c16r2="http://schemas.microsoft.com/office/drawing/2015/06/chart">
            <c:ext xmlns:c16="http://schemas.microsoft.com/office/drawing/2014/chart" uri="{C3380CC4-5D6E-409C-BE32-E72D297353CC}">
              <c16:uniqueId val="{00000002-FD62-43BF-8176-7A4AA84D3232}"/>
            </c:ext>
          </c:extLst>
        </c:ser>
        <c:dLbls>
          <c:showLegendKey val="0"/>
          <c:showVal val="0"/>
          <c:showCatName val="0"/>
          <c:showSerName val="0"/>
          <c:showPercent val="0"/>
          <c:showBubbleSize val="0"/>
        </c:dLbls>
        <c:gapWidth val="105"/>
        <c:overlap val="100"/>
        <c:axId val="148355072"/>
        <c:axId val="149513920"/>
      </c:barChart>
      <c:catAx>
        <c:axId val="148355072"/>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1100">
                <a:latin typeface="Times New Roman" panose="02020603050405020304" pitchFamily="18" charset="0"/>
                <a:cs typeface="Times New Roman" panose="02020603050405020304" pitchFamily="18" charset="0"/>
              </a:defRPr>
            </a:pPr>
            <a:endParaRPr lang="ru-RU"/>
          </a:p>
        </c:txPr>
        <c:crossAx val="149513920"/>
        <c:crosses val="autoZero"/>
        <c:auto val="1"/>
        <c:lblAlgn val="ctr"/>
        <c:lblOffset val="100"/>
        <c:noMultiLvlLbl val="1"/>
      </c:catAx>
      <c:valAx>
        <c:axId val="149513920"/>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148355072"/>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0.15884811537899504"/>
          <c:y val="0.88277952755905509"/>
          <c:w val="0.70218362046485194"/>
          <c:h val="7.65185185185185E-2"/>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861801456608142"/>
          <c:y val="1.5314377369495478E-2"/>
          <c:w val="0.69992984189803098"/>
          <c:h val="0.85237037037037022"/>
        </c:manualLayout>
      </c:layout>
      <c:barChart>
        <c:barDir val="bar"/>
        <c:grouping val="percentStacked"/>
        <c:varyColors val="0"/>
        <c:ser>
          <c:idx val="0"/>
          <c:order val="0"/>
          <c:tx>
            <c:strRef>
              <c:f>Sheet1!$A$2</c:f>
              <c:strCache>
                <c:ptCount val="1"/>
                <c:pt idx="0">
                  <c:v>Увеличился</c:v>
                </c:pt>
              </c:strCache>
            </c:strRef>
          </c:tx>
          <c:spPr>
            <a:solidFill>
              <a:srgbClr val="D97A8D"/>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Sheet1!$B$1:$G$1</c:f>
              <c:strCache>
                <c:ptCount val="6"/>
                <c:pt idx="0">
                  <c:v>Водоснабжение, водоотведение</c:v>
                </c:pt>
                <c:pt idx="1">
                  <c:v>Теплоснабжение</c:v>
                </c:pt>
                <c:pt idx="2">
                  <c:v>Электроснабжение</c:v>
                </c:pt>
                <c:pt idx="3">
                  <c:v>Водоочистка</c:v>
                </c:pt>
                <c:pt idx="4">
                  <c:v>Газоснабжение</c:v>
                </c:pt>
                <c:pt idx="5">
                  <c:v>Телефонная связь</c:v>
                </c:pt>
              </c:strCache>
            </c:strRef>
          </c:cat>
          <c:val>
            <c:numRef>
              <c:f>Sheet1!$B$2:$G$2</c:f>
              <c:numCache>
                <c:formatCode>0%</c:formatCode>
                <c:ptCount val="6"/>
                <c:pt idx="0">
                  <c:v>0.77353689567429995</c:v>
                </c:pt>
                <c:pt idx="1">
                  <c:v>0.77040816326530603</c:v>
                </c:pt>
                <c:pt idx="2">
                  <c:v>0.76498800959232593</c:v>
                </c:pt>
                <c:pt idx="3">
                  <c:v>0.75342465753424703</c:v>
                </c:pt>
                <c:pt idx="4">
                  <c:v>0.71120000000000005</c:v>
                </c:pt>
                <c:pt idx="5">
                  <c:v>0.67857142857142905</c:v>
                </c:pt>
              </c:numCache>
            </c:numRef>
          </c:val>
          <c:extLst xmlns:c16r2="http://schemas.microsoft.com/office/drawing/2015/06/chart">
            <c:ext xmlns:c16="http://schemas.microsoft.com/office/drawing/2014/chart" uri="{C3380CC4-5D6E-409C-BE32-E72D297353CC}">
              <c16:uniqueId val="{00000000-EF91-46D3-8C85-01744D191C8B}"/>
            </c:ext>
          </c:extLst>
        </c:ser>
        <c:ser>
          <c:idx val="1"/>
          <c:order val="1"/>
          <c:tx>
            <c:strRef>
              <c:f>Sheet1!$A$3</c:f>
              <c:strCache>
                <c:ptCount val="1"/>
                <c:pt idx="0">
                  <c:v>Снизился</c:v>
                </c:pt>
              </c:strCache>
            </c:strRef>
          </c:tx>
          <c:spPr>
            <a:solidFill>
              <a:srgbClr val="A9D18E"/>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Sheet1!$B$1:$G$1</c:f>
              <c:strCache>
                <c:ptCount val="6"/>
                <c:pt idx="0">
                  <c:v>Водоснабжение, водоотведение</c:v>
                </c:pt>
                <c:pt idx="1">
                  <c:v>Теплоснабжение</c:v>
                </c:pt>
                <c:pt idx="2">
                  <c:v>Электроснабжение</c:v>
                </c:pt>
                <c:pt idx="3">
                  <c:v>Водоочистка</c:v>
                </c:pt>
                <c:pt idx="4">
                  <c:v>Газоснабжение</c:v>
                </c:pt>
                <c:pt idx="5">
                  <c:v>Телефонная связь</c:v>
                </c:pt>
              </c:strCache>
            </c:strRef>
          </c:cat>
          <c:val>
            <c:numRef>
              <c:f>Sheet1!$B$3:$G$3</c:f>
              <c:numCache>
                <c:formatCode>0%</c:formatCode>
                <c:ptCount val="6"/>
                <c:pt idx="0">
                  <c:v>1.2722646310432599E-2</c:v>
                </c:pt>
                <c:pt idx="1">
                  <c:v>1.7857142857142901E-2</c:v>
                </c:pt>
                <c:pt idx="2">
                  <c:v>1.4388489208633099E-2</c:v>
                </c:pt>
                <c:pt idx="3">
                  <c:v>3.2876712328767099E-2</c:v>
                </c:pt>
                <c:pt idx="4">
                  <c:v>5.7799999999999997E-2</c:v>
                </c:pt>
                <c:pt idx="5">
                  <c:v>3.8265306122449001E-2</c:v>
                </c:pt>
              </c:numCache>
            </c:numRef>
          </c:val>
          <c:extLst xmlns:c16r2="http://schemas.microsoft.com/office/drawing/2015/06/chart">
            <c:ext xmlns:c16="http://schemas.microsoft.com/office/drawing/2014/chart" uri="{C3380CC4-5D6E-409C-BE32-E72D297353CC}">
              <c16:uniqueId val="{00000001-EF91-46D3-8C85-01744D191C8B}"/>
            </c:ext>
          </c:extLst>
        </c:ser>
        <c:ser>
          <c:idx val="2"/>
          <c:order val="2"/>
          <c:tx>
            <c:strRef>
              <c:f>Sheet1!$A$4</c:f>
              <c:strCache>
                <c:ptCount val="1"/>
                <c:pt idx="0">
                  <c:v>Не изменился</c:v>
                </c:pt>
              </c:strCache>
            </c:strRef>
          </c:tx>
          <c:spPr>
            <a:solidFill>
              <a:srgbClr val="2E75B6"/>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Sheet1!$B$1:$G$1</c:f>
              <c:strCache>
                <c:ptCount val="6"/>
                <c:pt idx="0">
                  <c:v>Водоснабжение, водоотведение</c:v>
                </c:pt>
                <c:pt idx="1">
                  <c:v>Теплоснабжение</c:v>
                </c:pt>
                <c:pt idx="2">
                  <c:v>Электроснабжение</c:v>
                </c:pt>
                <c:pt idx="3">
                  <c:v>Водоочистка</c:v>
                </c:pt>
                <c:pt idx="4">
                  <c:v>Газоснабжение</c:v>
                </c:pt>
                <c:pt idx="5">
                  <c:v>Телефонная связь</c:v>
                </c:pt>
              </c:strCache>
            </c:strRef>
          </c:cat>
          <c:val>
            <c:numRef>
              <c:f>Sheet1!$B$4:$G$4</c:f>
              <c:numCache>
                <c:formatCode>0%</c:formatCode>
                <c:ptCount val="6"/>
                <c:pt idx="0">
                  <c:v>0.213740458015267</c:v>
                </c:pt>
                <c:pt idx="1">
                  <c:v>0.21173469387755101</c:v>
                </c:pt>
                <c:pt idx="2">
                  <c:v>0.22062350119904101</c:v>
                </c:pt>
                <c:pt idx="3">
                  <c:v>0.21369863013698598</c:v>
                </c:pt>
                <c:pt idx="4">
                  <c:v>0.23100000000000001</c:v>
                </c:pt>
                <c:pt idx="5">
                  <c:v>0.28316326530612201</c:v>
                </c:pt>
              </c:numCache>
            </c:numRef>
          </c:val>
          <c:extLst xmlns:c16r2="http://schemas.microsoft.com/office/drawing/2015/06/chart">
            <c:ext xmlns:c16="http://schemas.microsoft.com/office/drawing/2014/chart" uri="{C3380CC4-5D6E-409C-BE32-E72D297353CC}">
              <c16:uniqueId val="{00000002-EF91-46D3-8C85-01744D191C8B}"/>
            </c:ext>
          </c:extLst>
        </c:ser>
        <c:dLbls>
          <c:showLegendKey val="0"/>
          <c:showVal val="0"/>
          <c:showCatName val="0"/>
          <c:showSerName val="0"/>
          <c:showPercent val="0"/>
          <c:showBubbleSize val="0"/>
        </c:dLbls>
        <c:gapWidth val="105"/>
        <c:overlap val="100"/>
        <c:axId val="149468672"/>
        <c:axId val="78867264"/>
      </c:barChart>
      <c:catAx>
        <c:axId val="149468672"/>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1100">
                <a:latin typeface="Times New Roman" panose="02020603050405020304" pitchFamily="18" charset="0"/>
                <a:cs typeface="Times New Roman" panose="02020603050405020304" pitchFamily="18" charset="0"/>
              </a:defRPr>
            </a:pPr>
            <a:endParaRPr lang="ru-RU"/>
          </a:p>
        </c:txPr>
        <c:crossAx val="78867264"/>
        <c:crosses val="autoZero"/>
        <c:auto val="1"/>
        <c:lblAlgn val="ctr"/>
        <c:lblOffset val="100"/>
        <c:noMultiLvlLbl val="1"/>
      </c:catAx>
      <c:valAx>
        <c:axId val="78867264"/>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149468672"/>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0.15884811537899504"/>
          <c:y val="0.88277952755905509"/>
          <c:w val="0.70218362046485194"/>
          <c:h val="7.65185185185185E-2"/>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861801456608142"/>
          <c:y val="1.5314377369495478E-2"/>
          <c:w val="0.69992984189803098"/>
          <c:h val="0.76363583892291242"/>
        </c:manualLayout>
      </c:layout>
      <c:barChart>
        <c:barDir val="bar"/>
        <c:grouping val="percentStacked"/>
        <c:varyColors val="0"/>
        <c:ser>
          <c:idx val="0"/>
          <c:order val="0"/>
          <c:tx>
            <c:strRef>
              <c:f>Sheet1!$A$2</c:f>
              <c:strCache>
                <c:ptCount val="1"/>
                <c:pt idx="0">
                  <c:v>Удовлетворительно</c:v>
                </c:pt>
              </c:strCache>
            </c:strRef>
          </c:tx>
          <c:spPr>
            <a:solidFill>
              <a:srgbClr val="548235"/>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Sheet1!$B$1:$G$1</c:f>
              <c:strCache>
                <c:ptCount val="6"/>
                <c:pt idx="0">
                  <c:v>Телефонная связь</c:v>
                </c:pt>
                <c:pt idx="1">
                  <c:v>Теплоснабжение</c:v>
                </c:pt>
                <c:pt idx="2">
                  <c:v>Электроснабжение</c:v>
                </c:pt>
                <c:pt idx="3">
                  <c:v>Водоснабжение, водоотведение</c:v>
                </c:pt>
                <c:pt idx="4">
                  <c:v>Водоочистка</c:v>
                </c:pt>
                <c:pt idx="5">
                  <c:v>Газоснабжение</c:v>
                </c:pt>
              </c:strCache>
            </c:strRef>
          </c:cat>
          <c:val>
            <c:numRef>
              <c:f>Sheet1!$B$2:$G$2</c:f>
              <c:numCache>
                <c:formatCode>0%</c:formatCode>
                <c:ptCount val="6"/>
                <c:pt idx="0">
                  <c:v>0.471849865951743</c:v>
                </c:pt>
                <c:pt idx="1">
                  <c:v>0.287390029325513</c:v>
                </c:pt>
                <c:pt idx="2">
                  <c:v>0.32727272727272699</c:v>
                </c:pt>
                <c:pt idx="3">
                  <c:v>0.29344729344729298</c:v>
                </c:pt>
                <c:pt idx="4">
                  <c:v>0.26139817629179302</c:v>
                </c:pt>
                <c:pt idx="5">
                  <c:v>0.27058823529411802</c:v>
                </c:pt>
              </c:numCache>
            </c:numRef>
          </c:val>
          <c:extLst xmlns:c16r2="http://schemas.microsoft.com/office/drawing/2015/06/chart">
            <c:ext xmlns:c16="http://schemas.microsoft.com/office/drawing/2014/chart" uri="{C3380CC4-5D6E-409C-BE32-E72D297353CC}">
              <c16:uniqueId val="{00000000-96BC-4020-B7D0-9750EAC4A892}"/>
            </c:ext>
          </c:extLst>
        </c:ser>
        <c:ser>
          <c:idx val="1"/>
          <c:order val="1"/>
          <c:tx>
            <c:strRef>
              <c:f>Sheet1!$A$3</c:f>
              <c:strCache>
                <c:ptCount val="1"/>
                <c:pt idx="0">
                  <c:v>Скорее удовлетворительно</c:v>
                </c:pt>
              </c:strCache>
            </c:strRef>
          </c:tx>
          <c:spPr>
            <a:solidFill>
              <a:srgbClr val="A9D18E"/>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Sheet1!$B$1:$G$1</c:f>
              <c:strCache>
                <c:ptCount val="6"/>
                <c:pt idx="0">
                  <c:v>Телефонная связь</c:v>
                </c:pt>
                <c:pt idx="1">
                  <c:v>Теплоснабжение</c:v>
                </c:pt>
                <c:pt idx="2">
                  <c:v>Электроснабжение</c:v>
                </c:pt>
                <c:pt idx="3">
                  <c:v>Водоснабжение, водоотведение</c:v>
                </c:pt>
                <c:pt idx="4">
                  <c:v>Водоочистка</c:v>
                </c:pt>
                <c:pt idx="5">
                  <c:v>Газоснабжение</c:v>
                </c:pt>
              </c:strCache>
            </c:strRef>
          </c:cat>
          <c:val>
            <c:numRef>
              <c:f>Sheet1!$B$3:$G$3</c:f>
              <c:numCache>
                <c:formatCode>0%</c:formatCode>
                <c:ptCount val="6"/>
                <c:pt idx="0">
                  <c:v>0.420911528150134</c:v>
                </c:pt>
                <c:pt idx="1">
                  <c:v>0.48973607038123196</c:v>
                </c:pt>
                <c:pt idx="2">
                  <c:v>0.41038961038960997</c:v>
                </c:pt>
                <c:pt idx="3">
                  <c:v>0.42450142450142503</c:v>
                </c:pt>
                <c:pt idx="4">
                  <c:v>0.41337386018237099</c:v>
                </c:pt>
                <c:pt idx="5">
                  <c:v>0.376470588235294</c:v>
                </c:pt>
              </c:numCache>
            </c:numRef>
          </c:val>
          <c:extLst xmlns:c16r2="http://schemas.microsoft.com/office/drawing/2015/06/chart">
            <c:ext xmlns:c16="http://schemas.microsoft.com/office/drawing/2014/chart" uri="{C3380CC4-5D6E-409C-BE32-E72D297353CC}">
              <c16:uniqueId val="{00000001-96BC-4020-B7D0-9750EAC4A892}"/>
            </c:ext>
          </c:extLst>
        </c:ser>
        <c:ser>
          <c:idx val="2"/>
          <c:order val="2"/>
          <c:tx>
            <c:strRef>
              <c:f>Sheet1!$A$4</c:f>
              <c:strCache>
                <c:ptCount val="1"/>
                <c:pt idx="0">
                  <c:v>Скорее не удовлетворительно</c:v>
                </c:pt>
              </c:strCache>
            </c:strRef>
          </c:tx>
          <c:spPr>
            <a:solidFill>
              <a:srgbClr val="D97A8D"/>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Sheet1!$B$1:$G$1</c:f>
              <c:strCache>
                <c:ptCount val="6"/>
                <c:pt idx="0">
                  <c:v>Телефонная связь</c:v>
                </c:pt>
                <c:pt idx="1">
                  <c:v>Теплоснабжение</c:v>
                </c:pt>
                <c:pt idx="2">
                  <c:v>Электроснабжение</c:v>
                </c:pt>
                <c:pt idx="3">
                  <c:v>Водоснабжение, водоотведение</c:v>
                </c:pt>
                <c:pt idx="4">
                  <c:v>Водоочистка</c:v>
                </c:pt>
                <c:pt idx="5">
                  <c:v>Газоснабжение</c:v>
                </c:pt>
              </c:strCache>
            </c:strRef>
          </c:cat>
          <c:val>
            <c:numRef>
              <c:f>Sheet1!$B$4:$G$4</c:f>
              <c:numCache>
                <c:formatCode>0%</c:formatCode>
                <c:ptCount val="6"/>
                <c:pt idx="0">
                  <c:v>8.5790884718498703E-2</c:v>
                </c:pt>
                <c:pt idx="1">
                  <c:v>0.175953079178886</c:v>
                </c:pt>
                <c:pt idx="2">
                  <c:v>0.18961038961039001</c:v>
                </c:pt>
                <c:pt idx="3">
                  <c:v>0.20512820512820501</c:v>
                </c:pt>
                <c:pt idx="4">
                  <c:v>0.237082066869301</c:v>
                </c:pt>
                <c:pt idx="5">
                  <c:v>0.217647058823529</c:v>
                </c:pt>
              </c:numCache>
            </c:numRef>
          </c:val>
          <c:extLst xmlns:c16r2="http://schemas.microsoft.com/office/drawing/2015/06/chart">
            <c:ext xmlns:c16="http://schemas.microsoft.com/office/drawing/2014/chart" uri="{C3380CC4-5D6E-409C-BE32-E72D297353CC}">
              <c16:uniqueId val="{00000002-96BC-4020-B7D0-9750EAC4A892}"/>
            </c:ext>
          </c:extLst>
        </c:ser>
        <c:ser>
          <c:idx val="3"/>
          <c:order val="3"/>
          <c:tx>
            <c:strRef>
              <c:f>Sheet1!$A$5</c:f>
              <c:strCache>
                <c:ptCount val="1"/>
                <c:pt idx="0">
                  <c:v>Не удовлетворительно</c:v>
                </c:pt>
              </c:strCache>
            </c:strRef>
          </c:tx>
          <c:spPr>
            <a:solidFill>
              <a:srgbClr val="59221B"/>
            </a:solidFill>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Sheet1!$B$1:$G$1</c:f>
              <c:strCache>
                <c:ptCount val="6"/>
                <c:pt idx="0">
                  <c:v>Телефонная связь</c:v>
                </c:pt>
                <c:pt idx="1">
                  <c:v>Теплоснабжение</c:v>
                </c:pt>
                <c:pt idx="2">
                  <c:v>Электроснабжение</c:v>
                </c:pt>
                <c:pt idx="3">
                  <c:v>Водоснабжение, водоотведение</c:v>
                </c:pt>
                <c:pt idx="4">
                  <c:v>Водоочистка</c:v>
                </c:pt>
                <c:pt idx="5">
                  <c:v>Газоснабжение</c:v>
                </c:pt>
              </c:strCache>
            </c:strRef>
          </c:cat>
          <c:val>
            <c:numRef>
              <c:f>Sheet1!$B$5:$G$5</c:f>
              <c:numCache>
                <c:formatCode>0%</c:formatCode>
                <c:ptCount val="6"/>
                <c:pt idx="0">
                  <c:v>2.14477211796247E-2</c:v>
                </c:pt>
                <c:pt idx="1">
                  <c:v>4.6920821114369501E-2</c:v>
                </c:pt>
                <c:pt idx="2">
                  <c:v>7.2727272727272696E-2</c:v>
                </c:pt>
                <c:pt idx="3">
                  <c:v>7.69230769230769E-2</c:v>
                </c:pt>
                <c:pt idx="4">
                  <c:v>8.8145896656534897E-2</c:v>
                </c:pt>
                <c:pt idx="5">
                  <c:v>0.13529411764705901</c:v>
                </c:pt>
              </c:numCache>
            </c:numRef>
          </c:val>
          <c:extLst xmlns:c16r2="http://schemas.microsoft.com/office/drawing/2015/06/chart">
            <c:ext xmlns:c16="http://schemas.microsoft.com/office/drawing/2014/chart" uri="{C3380CC4-5D6E-409C-BE32-E72D297353CC}">
              <c16:uniqueId val="{00000003-96BC-4020-B7D0-9750EAC4A892}"/>
            </c:ext>
          </c:extLst>
        </c:ser>
        <c:dLbls>
          <c:showLegendKey val="0"/>
          <c:showVal val="0"/>
          <c:showCatName val="0"/>
          <c:showSerName val="0"/>
          <c:showPercent val="0"/>
          <c:showBubbleSize val="0"/>
        </c:dLbls>
        <c:gapWidth val="105"/>
        <c:overlap val="100"/>
        <c:axId val="149120512"/>
        <c:axId val="149516800"/>
      </c:barChart>
      <c:catAx>
        <c:axId val="149120512"/>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1100">
                <a:latin typeface="Times New Roman" panose="02020603050405020304" pitchFamily="18" charset="0"/>
                <a:cs typeface="Times New Roman" panose="02020603050405020304" pitchFamily="18" charset="0"/>
              </a:defRPr>
            </a:pPr>
            <a:endParaRPr lang="ru-RU"/>
          </a:p>
        </c:txPr>
        <c:crossAx val="149516800"/>
        <c:crosses val="autoZero"/>
        <c:auto val="1"/>
        <c:lblAlgn val="ctr"/>
        <c:lblOffset val="100"/>
        <c:noMultiLvlLbl val="1"/>
      </c:catAx>
      <c:valAx>
        <c:axId val="149516800"/>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149120512"/>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0.16089876646071347"/>
          <c:y val="0.81719281617575579"/>
          <c:w val="0.79682972572138122"/>
          <c:h val="0.13355023330417029"/>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861801456608142"/>
          <c:y val="1.5314377369495478E-2"/>
          <c:w val="0.69992984189803098"/>
          <c:h val="0.85237037037037022"/>
        </c:manualLayout>
      </c:layout>
      <c:barChart>
        <c:barDir val="bar"/>
        <c:grouping val="percentStacked"/>
        <c:varyColors val="0"/>
        <c:ser>
          <c:idx val="0"/>
          <c:order val="0"/>
          <c:tx>
            <c:strRef>
              <c:f>Sheet1!$A$2</c:f>
              <c:strCache>
                <c:ptCount val="1"/>
                <c:pt idx="0">
                  <c:v>Снизилась</c:v>
                </c:pt>
              </c:strCache>
            </c:strRef>
          </c:tx>
          <c:spPr>
            <a:solidFill>
              <a:srgbClr val="A9D18E"/>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Sheet1!$B$1:$G$1</c:f>
              <c:strCache>
                <c:ptCount val="6"/>
                <c:pt idx="0">
                  <c:v>Телефонная связь</c:v>
                </c:pt>
                <c:pt idx="1">
                  <c:v>Газоснабжение</c:v>
                </c:pt>
                <c:pt idx="2">
                  <c:v>Электроснабжение</c:v>
                </c:pt>
                <c:pt idx="3">
                  <c:v>Теплоснабжение</c:v>
                </c:pt>
                <c:pt idx="4">
                  <c:v>Водоснабжение, водоотведение</c:v>
                </c:pt>
                <c:pt idx="5">
                  <c:v>Водоочистка</c:v>
                </c:pt>
              </c:strCache>
            </c:strRef>
          </c:cat>
          <c:val>
            <c:numRef>
              <c:f>Sheet1!$B$2:$G$2</c:f>
              <c:numCache>
                <c:formatCode>0%</c:formatCode>
                <c:ptCount val="6"/>
                <c:pt idx="0">
                  <c:v>0.19614147909967802</c:v>
                </c:pt>
                <c:pt idx="1">
                  <c:v>0.16428571428571398</c:v>
                </c:pt>
                <c:pt idx="2">
                  <c:v>0.158064516129032</c:v>
                </c:pt>
                <c:pt idx="3">
                  <c:v>0.125</c:v>
                </c:pt>
                <c:pt idx="4">
                  <c:v>0.10879999999999999</c:v>
                </c:pt>
                <c:pt idx="5">
                  <c:v>9.1872791519434602E-2</c:v>
                </c:pt>
              </c:numCache>
            </c:numRef>
          </c:val>
          <c:extLst xmlns:c16r2="http://schemas.microsoft.com/office/drawing/2015/06/chart">
            <c:ext xmlns:c16="http://schemas.microsoft.com/office/drawing/2014/chart" uri="{C3380CC4-5D6E-409C-BE32-E72D297353CC}">
              <c16:uniqueId val="{00000000-2F8F-44DB-A023-D6CDEAB9A1A7}"/>
            </c:ext>
          </c:extLst>
        </c:ser>
        <c:ser>
          <c:idx val="1"/>
          <c:order val="1"/>
          <c:tx>
            <c:strRef>
              <c:f>Sheet1!$A$3</c:f>
              <c:strCache>
                <c:ptCount val="1"/>
                <c:pt idx="0">
                  <c:v>Увеличилась</c:v>
                </c:pt>
              </c:strCache>
            </c:strRef>
          </c:tx>
          <c:spPr>
            <a:solidFill>
              <a:srgbClr val="D97A8D"/>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Sheet1!$B$1:$G$1</c:f>
              <c:strCache>
                <c:ptCount val="6"/>
                <c:pt idx="0">
                  <c:v>Телефонная связь</c:v>
                </c:pt>
                <c:pt idx="1">
                  <c:v>Газоснабжение</c:v>
                </c:pt>
                <c:pt idx="2">
                  <c:v>Электроснабжение</c:v>
                </c:pt>
                <c:pt idx="3">
                  <c:v>Теплоснабжение</c:v>
                </c:pt>
                <c:pt idx="4">
                  <c:v>Водоснабжение, водоотведение</c:v>
                </c:pt>
                <c:pt idx="5">
                  <c:v>Водоочистка</c:v>
                </c:pt>
              </c:strCache>
            </c:strRef>
          </c:cat>
          <c:val>
            <c:numRef>
              <c:f>Sheet1!$B$3:$G$3</c:f>
              <c:numCache>
                <c:formatCode>0%</c:formatCode>
                <c:ptCount val="6"/>
                <c:pt idx="0">
                  <c:v>0.15112540192925999</c:v>
                </c:pt>
                <c:pt idx="1">
                  <c:v>0.16428571428571398</c:v>
                </c:pt>
                <c:pt idx="2">
                  <c:v>0.190322580645161</c:v>
                </c:pt>
                <c:pt idx="3">
                  <c:v>0.16666666666666699</c:v>
                </c:pt>
                <c:pt idx="4">
                  <c:v>0.1633</c:v>
                </c:pt>
                <c:pt idx="5">
                  <c:v>0.151943462897526</c:v>
                </c:pt>
              </c:numCache>
            </c:numRef>
          </c:val>
          <c:extLst xmlns:c16r2="http://schemas.microsoft.com/office/drawing/2015/06/chart">
            <c:ext xmlns:c16="http://schemas.microsoft.com/office/drawing/2014/chart" uri="{C3380CC4-5D6E-409C-BE32-E72D297353CC}">
              <c16:uniqueId val="{00000001-2F8F-44DB-A023-D6CDEAB9A1A7}"/>
            </c:ext>
          </c:extLst>
        </c:ser>
        <c:ser>
          <c:idx val="2"/>
          <c:order val="2"/>
          <c:tx>
            <c:strRef>
              <c:f>Sheet1!$A$4</c:f>
              <c:strCache>
                <c:ptCount val="1"/>
                <c:pt idx="0">
                  <c:v>Не изменилась</c:v>
                </c:pt>
              </c:strCache>
            </c:strRef>
          </c:tx>
          <c:spPr>
            <a:solidFill>
              <a:srgbClr val="2E75B6"/>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Sheet1!$B$1:$G$1</c:f>
              <c:strCache>
                <c:ptCount val="6"/>
                <c:pt idx="0">
                  <c:v>Телефонная связь</c:v>
                </c:pt>
                <c:pt idx="1">
                  <c:v>Газоснабжение</c:v>
                </c:pt>
                <c:pt idx="2">
                  <c:v>Электроснабжение</c:v>
                </c:pt>
                <c:pt idx="3">
                  <c:v>Теплоснабжение</c:v>
                </c:pt>
                <c:pt idx="4">
                  <c:v>Водоснабжение, водоотведение</c:v>
                </c:pt>
                <c:pt idx="5">
                  <c:v>Водоочистка</c:v>
                </c:pt>
              </c:strCache>
            </c:strRef>
          </c:cat>
          <c:val>
            <c:numRef>
              <c:f>Sheet1!$B$4:$G$4</c:f>
              <c:numCache>
                <c:formatCode>0%</c:formatCode>
                <c:ptCount val="6"/>
                <c:pt idx="0">
                  <c:v>0.65273311897106101</c:v>
                </c:pt>
                <c:pt idx="1">
                  <c:v>0.67142857142857093</c:v>
                </c:pt>
                <c:pt idx="2">
                  <c:v>0.65161290322580601</c:v>
                </c:pt>
                <c:pt idx="3">
                  <c:v>0.70833333333333304</c:v>
                </c:pt>
                <c:pt idx="4">
                  <c:v>0.72789999999999999</c:v>
                </c:pt>
                <c:pt idx="5">
                  <c:v>0.75618374558303902</c:v>
                </c:pt>
              </c:numCache>
            </c:numRef>
          </c:val>
          <c:extLst xmlns:c16r2="http://schemas.microsoft.com/office/drawing/2015/06/chart">
            <c:ext xmlns:c16="http://schemas.microsoft.com/office/drawing/2014/chart" uri="{C3380CC4-5D6E-409C-BE32-E72D297353CC}">
              <c16:uniqueId val="{00000002-2F8F-44DB-A023-D6CDEAB9A1A7}"/>
            </c:ext>
          </c:extLst>
        </c:ser>
        <c:dLbls>
          <c:showLegendKey val="0"/>
          <c:showVal val="0"/>
          <c:showCatName val="0"/>
          <c:showSerName val="0"/>
          <c:showPercent val="0"/>
          <c:showBubbleSize val="0"/>
        </c:dLbls>
        <c:gapWidth val="105"/>
        <c:overlap val="100"/>
        <c:axId val="149626880"/>
        <c:axId val="149518528"/>
      </c:barChart>
      <c:catAx>
        <c:axId val="149626880"/>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1100">
                <a:latin typeface="Times New Roman" panose="02020603050405020304" pitchFamily="18" charset="0"/>
                <a:cs typeface="Times New Roman" panose="02020603050405020304" pitchFamily="18" charset="0"/>
              </a:defRPr>
            </a:pPr>
            <a:endParaRPr lang="ru-RU"/>
          </a:p>
        </c:txPr>
        <c:crossAx val="149518528"/>
        <c:crosses val="autoZero"/>
        <c:auto val="1"/>
        <c:lblAlgn val="ctr"/>
        <c:lblOffset val="100"/>
        <c:noMultiLvlLbl val="1"/>
      </c:catAx>
      <c:valAx>
        <c:axId val="149518528"/>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149626880"/>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0.15884811537899504"/>
          <c:y val="0.88277952755905509"/>
          <c:w val="0.70218362046485194"/>
          <c:h val="7.65185185185185E-2"/>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861801456608142"/>
          <c:y val="1.5314377369495478E-2"/>
          <c:w val="0.69992984189803098"/>
          <c:h val="0.76363583892291242"/>
        </c:manualLayout>
      </c:layout>
      <c:barChart>
        <c:barDir val="bar"/>
        <c:grouping val="percentStacked"/>
        <c:varyColors val="0"/>
        <c:ser>
          <c:idx val="0"/>
          <c:order val="0"/>
          <c:tx>
            <c:strRef>
              <c:f>Sheet1!$A$2</c:f>
              <c:strCache>
                <c:ptCount val="1"/>
                <c:pt idx="0">
                  <c:v>Удовлетворительно</c:v>
                </c:pt>
              </c:strCache>
            </c:strRef>
          </c:tx>
          <c:spPr>
            <a:solidFill>
              <a:srgbClr val="548235"/>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Sheet1!$B$1:$G$1</c:f>
              <c:strCache>
                <c:ptCount val="6"/>
                <c:pt idx="0">
                  <c:v>Телефонная связь</c:v>
                </c:pt>
                <c:pt idx="1">
                  <c:v>Электроснабжение</c:v>
                </c:pt>
                <c:pt idx="2">
                  <c:v>Теплоснабжение</c:v>
                </c:pt>
                <c:pt idx="3">
                  <c:v>Водоснабжение, водоотведение</c:v>
                </c:pt>
                <c:pt idx="4">
                  <c:v>Водоочистка</c:v>
                </c:pt>
                <c:pt idx="5">
                  <c:v>Газоснабжение</c:v>
                </c:pt>
              </c:strCache>
            </c:strRef>
          </c:cat>
          <c:val>
            <c:numRef>
              <c:f>Sheet1!$B$2:$G$2</c:f>
              <c:numCache>
                <c:formatCode>0%</c:formatCode>
                <c:ptCount val="6"/>
                <c:pt idx="0">
                  <c:v>0.50260000000000005</c:v>
                </c:pt>
                <c:pt idx="1">
                  <c:v>0.365979381443299</c:v>
                </c:pt>
                <c:pt idx="2">
                  <c:v>0.33428571428571402</c:v>
                </c:pt>
                <c:pt idx="3">
                  <c:v>0.32876712328767099</c:v>
                </c:pt>
                <c:pt idx="4">
                  <c:v>0.30563798219584604</c:v>
                </c:pt>
                <c:pt idx="5">
                  <c:v>0.30563798219584604</c:v>
                </c:pt>
              </c:numCache>
            </c:numRef>
          </c:val>
          <c:extLst xmlns:c16r2="http://schemas.microsoft.com/office/drawing/2015/06/chart">
            <c:ext xmlns:c16="http://schemas.microsoft.com/office/drawing/2014/chart" uri="{C3380CC4-5D6E-409C-BE32-E72D297353CC}">
              <c16:uniqueId val="{00000000-EAA3-4BB4-89E6-C97810042A00}"/>
            </c:ext>
          </c:extLst>
        </c:ser>
        <c:ser>
          <c:idx val="1"/>
          <c:order val="1"/>
          <c:tx>
            <c:strRef>
              <c:f>Sheet1!$A$3</c:f>
              <c:strCache>
                <c:ptCount val="1"/>
                <c:pt idx="0">
                  <c:v>Скорее удовлетворительно</c:v>
                </c:pt>
              </c:strCache>
            </c:strRef>
          </c:tx>
          <c:spPr>
            <a:solidFill>
              <a:srgbClr val="A9D18E"/>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Sheet1!$B$1:$G$1</c:f>
              <c:strCache>
                <c:ptCount val="6"/>
                <c:pt idx="0">
                  <c:v>Телефонная связь</c:v>
                </c:pt>
                <c:pt idx="1">
                  <c:v>Электроснабжение</c:v>
                </c:pt>
                <c:pt idx="2">
                  <c:v>Теплоснабжение</c:v>
                </c:pt>
                <c:pt idx="3">
                  <c:v>Водоснабжение, водоотведение</c:v>
                </c:pt>
                <c:pt idx="4">
                  <c:v>Водоочистка</c:v>
                </c:pt>
                <c:pt idx="5">
                  <c:v>Газоснабжение</c:v>
                </c:pt>
              </c:strCache>
            </c:strRef>
          </c:cat>
          <c:val>
            <c:numRef>
              <c:f>Sheet1!$B$3:$G$3</c:f>
              <c:numCache>
                <c:formatCode>0%</c:formatCode>
                <c:ptCount val="6"/>
                <c:pt idx="0">
                  <c:v>0.40100000000000002</c:v>
                </c:pt>
                <c:pt idx="1">
                  <c:v>0.43556701030927797</c:v>
                </c:pt>
                <c:pt idx="2">
                  <c:v>0.45428571428571402</c:v>
                </c:pt>
                <c:pt idx="3">
                  <c:v>0.42191780821917801</c:v>
                </c:pt>
                <c:pt idx="4">
                  <c:v>0.39465875370919901</c:v>
                </c:pt>
                <c:pt idx="5">
                  <c:v>0.39465875370919901</c:v>
                </c:pt>
              </c:numCache>
            </c:numRef>
          </c:val>
          <c:extLst xmlns:c16r2="http://schemas.microsoft.com/office/drawing/2015/06/chart">
            <c:ext xmlns:c16="http://schemas.microsoft.com/office/drawing/2014/chart" uri="{C3380CC4-5D6E-409C-BE32-E72D297353CC}">
              <c16:uniqueId val="{00000001-EAA3-4BB4-89E6-C97810042A00}"/>
            </c:ext>
          </c:extLst>
        </c:ser>
        <c:ser>
          <c:idx val="2"/>
          <c:order val="2"/>
          <c:tx>
            <c:strRef>
              <c:f>Sheet1!$A$4</c:f>
              <c:strCache>
                <c:ptCount val="1"/>
                <c:pt idx="0">
                  <c:v>Скорее не удовлетворительно</c:v>
                </c:pt>
              </c:strCache>
            </c:strRef>
          </c:tx>
          <c:spPr>
            <a:solidFill>
              <a:srgbClr val="D97A8D"/>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Sheet1!$B$1:$G$1</c:f>
              <c:strCache>
                <c:ptCount val="6"/>
                <c:pt idx="0">
                  <c:v>Телефонная связь</c:v>
                </c:pt>
                <c:pt idx="1">
                  <c:v>Электроснабжение</c:v>
                </c:pt>
                <c:pt idx="2">
                  <c:v>Теплоснабжение</c:v>
                </c:pt>
                <c:pt idx="3">
                  <c:v>Водоснабжение, водоотведение</c:v>
                </c:pt>
                <c:pt idx="4">
                  <c:v>Водоочистка</c:v>
                </c:pt>
                <c:pt idx="5">
                  <c:v>Газоснабжение</c:v>
                </c:pt>
              </c:strCache>
            </c:strRef>
          </c:cat>
          <c:val>
            <c:numRef>
              <c:f>Sheet1!$B$4:$G$4</c:f>
              <c:numCache>
                <c:formatCode>0%</c:formatCode>
                <c:ptCount val="6"/>
                <c:pt idx="0">
                  <c:v>8.0699999999999994E-2</c:v>
                </c:pt>
                <c:pt idx="1">
                  <c:v>0.123711340206186</c:v>
                </c:pt>
                <c:pt idx="2">
                  <c:v>0.16571428571428601</c:v>
                </c:pt>
                <c:pt idx="3">
                  <c:v>0.16986301369862999</c:v>
                </c:pt>
                <c:pt idx="4">
                  <c:v>0.19287833827893197</c:v>
                </c:pt>
                <c:pt idx="5">
                  <c:v>0.186943620178042</c:v>
                </c:pt>
              </c:numCache>
            </c:numRef>
          </c:val>
          <c:extLst xmlns:c16r2="http://schemas.microsoft.com/office/drawing/2015/06/chart">
            <c:ext xmlns:c16="http://schemas.microsoft.com/office/drawing/2014/chart" uri="{C3380CC4-5D6E-409C-BE32-E72D297353CC}">
              <c16:uniqueId val="{00000002-EAA3-4BB4-89E6-C97810042A00}"/>
            </c:ext>
          </c:extLst>
        </c:ser>
        <c:ser>
          <c:idx val="3"/>
          <c:order val="3"/>
          <c:tx>
            <c:strRef>
              <c:f>Sheet1!$A$5</c:f>
              <c:strCache>
                <c:ptCount val="1"/>
                <c:pt idx="0">
                  <c:v>Не удовлетворительно</c:v>
                </c:pt>
              </c:strCache>
            </c:strRef>
          </c:tx>
          <c:spPr>
            <a:solidFill>
              <a:srgbClr val="59221B"/>
            </a:solidFill>
          </c:spPr>
          <c:invertIfNegative val="0"/>
          <c:dLbls>
            <c:dLbl>
              <c:idx val="0"/>
              <c:layout>
                <c:manualLayout>
                  <c:x val="4.101302163436891E-3"/>
                  <c:y val="3.0378147176047436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AA3-4BB4-89E6-C97810042A00}"/>
                </c:ext>
              </c:extLst>
            </c:dLbl>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Sheet1!$B$1:$G$1</c:f>
              <c:strCache>
                <c:ptCount val="6"/>
                <c:pt idx="0">
                  <c:v>Телефонная связь</c:v>
                </c:pt>
                <c:pt idx="1">
                  <c:v>Электроснабжение</c:v>
                </c:pt>
                <c:pt idx="2">
                  <c:v>Теплоснабжение</c:v>
                </c:pt>
                <c:pt idx="3">
                  <c:v>Водоснабжение, водоотведение</c:v>
                </c:pt>
                <c:pt idx="4">
                  <c:v>Водоочистка</c:v>
                </c:pt>
                <c:pt idx="5">
                  <c:v>Газоснабжение</c:v>
                </c:pt>
              </c:strCache>
            </c:strRef>
          </c:cat>
          <c:val>
            <c:numRef>
              <c:f>Sheet1!$B$5:$G$5</c:f>
              <c:numCache>
                <c:formatCode>0%</c:formatCode>
                <c:ptCount val="6"/>
                <c:pt idx="0">
                  <c:v>1.5599999999999999E-2</c:v>
                </c:pt>
                <c:pt idx="1">
                  <c:v>7.4742268041237098E-2</c:v>
                </c:pt>
                <c:pt idx="2">
                  <c:v>4.57142857142857E-2</c:v>
                </c:pt>
                <c:pt idx="3">
                  <c:v>7.9452054794520499E-2</c:v>
                </c:pt>
                <c:pt idx="4">
                  <c:v>0.106824925816024</c:v>
                </c:pt>
                <c:pt idx="5">
                  <c:v>0.112759643916914</c:v>
                </c:pt>
              </c:numCache>
            </c:numRef>
          </c:val>
          <c:extLst xmlns:c16r2="http://schemas.microsoft.com/office/drawing/2015/06/chart">
            <c:ext xmlns:c16="http://schemas.microsoft.com/office/drawing/2014/chart" uri="{C3380CC4-5D6E-409C-BE32-E72D297353CC}">
              <c16:uniqueId val="{00000004-EAA3-4BB4-89E6-C97810042A00}"/>
            </c:ext>
          </c:extLst>
        </c:ser>
        <c:dLbls>
          <c:showLegendKey val="0"/>
          <c:showVal val="0"/>
          <c:showCatName val="0"/>
          <c:showSerName val="0"/>
          <c:showPercent val="0"/>
          <c:showBubbleSize val="0"/>
        </c:dLbls>
        <c:gapWidth val="105"/>
        <c:overlap val="100"/>
        <c:axId val="149628928"/>
        <c:axId val="149517376"/>
      </c:barChart>
      <c:catAx>
        <c:axId val="149628928"/>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1100">
                <a:latin typeface="Times New Roman" panose="02020603050405020304" pitchFamily="18" charset="0"/>
                <a:cs typeface="Times New Roman" panose="02020603050405020304" pitchFamily="18" charset="0"/>
              </a:defRPr>
            </a:pPr>
            <a:endParaRPr lang="ru-RU"/>
          </a:p>
        </c:txPr>
        <c:crossAx val="149517376"/>
        <c:crosses val="autoZero"/>
        <c:auto val="1"/>
        <c:lblAlgn val="ctr"/>
        <c:lblOffset val="100"/>
        <c:noMultiLvlLbl val="1"/>
      </c:catAx>
      <c:valAx>
        <c:axId val="149517376"/>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149628928"/>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0.16089876646071347"/>
          <c:y val="0.81719281617575579"/>
          <c:w val="0.79682972572138122"/>
          <c:h val="0.13355023330417029"/>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4938023450586362"/>
          <c:y val="1.0887283806216411E-2"/>
          <c:w val="0.50036850921272713"/>
          <c:h val="0.95200030103763733"/>
        </c:manualLayout>
      </c:layout>
      <c:barChart>
        <c:barDir val="bar"/>
        <c:grouping val="clustered"/>
        <c:varyColors val="0"/>
        <c:ser>
          <c:idx val="0"/>
          <c:order val="0"/>
          <c:tx>
            <c:strRef>
              <c:f>Лист1!$B$1</c:f>
              <c:strCache>
                <c:ptCount val="1"/>
                <c:pt idx="0">
                  <c:v>2022</c:v>
                </c:pt>
              </c:strCache>
            </c:strRef>
          </c:tx>
          <c:spPr>
            <a:solidFill>
              <a:srgbClr val="591825"/>
            </a:solidFill>
            <a:ln>
              <a:noFill/>
            </a:ln>
            <a:effectLst/>
          </c:spPr>
          <c:invertIfNegative val="0"/>
          <c:dPt>
            <c:idx val="4"/>
            <c:invertIfNegative val="0"/>
            <c:bubble3D val="0"/>
            <c:extLst xmlns:c16r2="http://schemas.microsoft.com/office/drawing/2015/06/chart">
              <c:ext xmlns:c16="http://schemas.microsoft.com/office/drawing/2014/chart" uri="{C3380CC4-5D6E-409C-BE32-E72D297353CC}">
                <c16:uniqueId val="{00000000-08D8-44F6-970A-EFABEA1EED76}"/>
              </c:ext>
            </c:extLst>
          </c:dPt>
          <c:dPt>
            <c:idx val="5"/>
            <c:invertIfNegative val="0"/>
            <c:bubble3D val="0"/>
            <c:spPr>
              <a:solidFill>
                <a:srgbClr val="D97A8D"/>
              </a:solidFill>
              <a:ln>
                <a:noFill/>
              </a:ln>
              <a:effectLst/>
            </c:spPr>
            <c:extLst xmlns:c16r2="http://schemas.microsoft.com/office/drawing/2015/06/chart">
              <c:ext xmlns:c16="http://schemas.microsoft.com/office/drawing/2014/chart" uri="{C3380CC4-5D6E-409C-BE32-E72D297353CC}">
                <c16:uniqueId val="{00000002-08D8-44F6-970A-EFABEA1EED76}"/>
              </c:ext>
            </c:extLst>
          </c:dPt>
          <c:dPt>
            <c:idx val="6"/>
            <c:invertIfNegative val="0"/>
            <c:bubble3D val="0"/>
            <c:spPr>
              <a:solidFill>
                <a:srgbClr val="E7E6E6">
                  <a:lumMod val="75000"/>
                </a:srgbClr>
              </a:solidFill>
              <a:ln>
                <a:noFill/>
              </a:ln>
              <a:effectLst/>
            </c:spPr>
            <c:extLst xmlns:c16r2="http://schemas.microsoft.com/office/drawing/2015/06/chart">
              <c:ext xmlns:c16="http://schemas.microsoft.com/office/drawing/2014/chart" uri="{C3380CC4-5D6E-409C-BE32-E72D297353CC}">
                <c16:uniqueId val="{00000004-08D8-44F6-970A-EFABEA1EED76}"/>
              </c:ext>
            </c:extLst>
          </c:dPt>
          <c:dLbls>
            <c:spPr>
              <a:noFill/>
              <a:ln>
                <a:noFill/>
              </a:ln>
              <a:effectLst/>
            </c:spPr>
            <c:txPr>
              <a:bodyPr rot="0" vert="horz"/>
              <a:lstStyle/>
              <a:p>
                <a:pPr>
                  <a:defRPr sz="1100" baseline="0">
                    <a:latin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Навязывание дополнительных услуг</c:v>
                </c:pt>
                <c:pt idx="1">
                  <c:v>Взимание дополнительной платы</c:v>
                </c:pt>
                <c:pt idx="2">
                  <c:v>Проблемы с заменой приборов учета</c:v>
                </c:pt>
                <c:pt idx="3">
                  <c:v>Требование заказа необходимых работ у подконтрольных коммерческих структур</c:v>
                </c:pt>
                <c:pt idx="4">
                  <c:v>Отказ в установке приборов учета</c:v>
                </c:pt>
                <c:pt idx="5">
                  <c:v>Не сталкивался (-ась) с проблемами</c:v>
                </c:pt>
                <c:pt idx="6">
                  <c:v>Затрудняюсь ответить</c:v>
                </c:pt>
                <c:pt idx="7">
                  <c:v>Другое</c:v>
                </c:pt>
              </c:strCache>
            </c:strRef>
          </c:cat>
          <c:val>
            <c:numRef>
              <c:f>Лист1!$B$2:$B$9</c:f>
              <c:numCache>
                <c:formatCode>0%</c:formatCode>
                <c:ptCount val="8"/>
                <c:pt idx="0">
                  <c:v>0.36029716549397101</c:v>
                </c:pt>
                <c:pt idx="1">
                  <c:v>0.30042142497245899</c:v>
                </c:pt>
                <c:pt idx="2">
                  <c:v>9.0656828616767798E-2</c:v>
                </c:pt>
                <c:pt idx="3">
                  <c:v>7.8512952469648803E-2</c:v>
                </c:pt>
                <c:pt idx="4">
                  <c:v>2.64586505640209E-2</c:v>
                </c:pt>
                <c:pt idx="5">
                  <c:v>0.38926131512607498</c:v>
                </c:pt>
                <c:pt idx="6">
                  <c:v>8.3114749900022003E-2</c:v>
                </c:pt>
                <c:pt idx="7">
                  <c:v>2.9343240639565803E-2</c:v>
                </c:pt>
              </c:numCache>
            </c:numRef>
          </c:val>
          <c:extLst xmlns:c16r2="http://schemas.microsoft.com/office/drawing/2015/06/chart">
            <c:ext xmlns:c16="http://schemas.microsoft.com/office/drawing/2014/chart" uri="{C3380CC4-5D6E-409C-BE32-E72D297353CC}">
              <c16:uniqueId val="{00000005-08D8-44F6-970A-EFABEA1EED76}"/>
            </c:ext>
          </c:extLst>
        </c:ser>
        <c:dLbls>
          <c:showLegendKey val="0"/>
          <c:showVal val="0"/>
          <c:showCatName val="0"/>
          <c:showSerName val="0"/>
          <c:showPercent val="0"/>
          <c:showBubbleSize val="0"/>
        </c:dLbls>
        <c:gapWidth val="76"/>
        <c:axId val="149630464"/>
        <c:axId val="149519680"/>
      </c:barChart>
      <c:catAx>
        <c:axId val="1496304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1100" baseline="0">
                <a:latin typeface="Times New Roman" panose="02020603050405020304" pitchFamily="18" charset="0"/>
              </a:defRPr>
            </a:pPr>
            <a:endParaRPr lang="ru-RU"/>
          </a:p>
        </c:txPr>
        <c:crossAx val="149519680"/>
        <c:crosses val="autoZero"/>
        <c:auto val="1"/>
        <c:lblAlgn val="ctr"/>
        <c:lblOffset val="100"/>
        <c:noMultiLvlLbl val="0"/>
      </c:catAx>
      <c:valAx>
        <c:axId val="149519680"/>
        <c:scaling>
          <c:orientation val="minMax"/>
        </c:scaling>
        <c:delete val="1"/>
        <c:axPos val="t"/>
        <c:majorGridlines>
          <c:spPr>
            <a:ln w="9525" cap="flat" cmpd="sng" algn="ctr">
              <a:noFill/>
              <a:round/>
            </a:ln>
            <a:effectLst/>
          </c:spPr>
        </c:majorGridlines>
        <c:numFmt formatCode="0%" sourceLinked="1"/>
        <c:majorTickMark val="none"/>
        <c:minorTickMark val="none"/>
        <c:tickLblPos val="none"/>
        <c:crossAx val="1496304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0"/>
      </a:pPr>
      <a:endParaRPr lang="ru-RU"/>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861801456608142"/>
          <c:y val="1.5314377369495478E-2"/>
          <c:w val="0.69992984189803098"/>
          <c:h val="0.72586122047244095"/>
        </c:manualLayout>
      </c:layout>
      <c:barChart>
        <c:barDir val="bar"/>
        <c:grouping val="percentStacked"/>
        <c:varyColors val="0"/>
        <c:ser>
          <c:idx val="0"/>
          <c:order val="0"/>
          <c:tx>
            <c:strRef>
              <c:f>Sheet1!$A$2</c:f>
              <c:strCache>
                <c:ptCount val="1"/>
                <c:pt idx="0">
                  <c:v>Удовлетворительно</c:v>
                </c:pt>
              </c:strCache>
            </c:strRef>
          </c:tx>
          <c:spPr>
            <a:solidFill>
              <a:srgbClr val="548235"/>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Sheet1!$B$1:$G$1</c:f>
              <c:strCache>
                <c:ptCount val="6"/>
                <c:pt idx="0">
                  <c:v>Газоснабжение</c:v>
                </c:pt>
                <c:pt idx="1">
                  <c:v>Электроснабжение</c:v>
                </c:pt>
                <c:pt idx="2">
                  <c:v>Телефонная связь</c:v>
                </c:pt>
                <c:pt idx="3">
                  <c:v>Теплоснабжение</c:v>
                </c:pt>
                <c:pt idx="4">
                  <c:v>Водоснабжение, водоотведение</c:v>
                </c:pt>
                <c:pt idx="5">
                  <c:v>Водоочистка</c:v>
                </c:pt>
              </c:strCache>
            </c:strRef>
          </c:cat>
          <c:val>
            <c:numRef>
              <c:f>Sheet1!$B$2:$G$2</c:f>
              <c:numCache>
                <c:formatCode>0%</c:formatCode>
                <c:ptCount val="6"/>
                <c:pt idx="0">
                  <c:v>0.39733388375173073</c:v>
                </c:pt>
                <c:pt idx="1">
                  <c:v>0.33957198760383883</c:v>
                </c:pt>
                <c:pt idx="2">
                  <c:v>0.3117256696287295</c:v>
                </c:pt>
                <c:pt idx="3">
                  <c:v>0.25740676783254451</c:v>
                </c:pt>
                <c:pt idx="4">
                  <c:v>0.22406634917723259</c:v>
                </c:pt>
                <c:pt idx="5">
                  <c:v>0.16450712743921145</c:v>
                </c:pt>
              </c:numCache>
            </c:numRef>
          </c:val>
          <c:extLst xmlns:c16r2="http://schemas.microsoft.com/office/drawing/2015/06/chart">
            <c:ext xmlns:c16="http://schemas.microsoft.com/office/drawing/2014/chart" uri="{C3380CC4-5D6E-409C-BE32-E72D297353CC}">
              <c16:uniqueId val="{00000000-06FA-4D8F-8C14-1238CFFC8526}"/>
            </c:ext>
          </c:extLst>
        </c:ser>
        <c:ser>
          <c:idx val="1"/>
          <c:order val="1"/>
          <c:tx>
            <c:strRef>
              <c:f>Sheet1!$A$3</c:f>
              <c:strCache>
                <c:ptCount val="1"/>
                <c:pt idx="0">
                  <c:v>Скорее удовлетворительно</c:v>
                </c:pt>
              </c:strCache>
            </c:strRef>
          </c:tx>
          <c:spPr>
            <a:solidFill>
              <a:srgbClr val="A9D18E"/>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Sheet1!$B$1:$G$1</c:f>
              <c:strCache>
                <c:ptCount val="6"/>
                <c:pt idx="0">
                  <c:v>Газоснабжение</c:v>
                </c:pt>
                <c:pt idx="1">
                  <c:v>Электроснабжение</c:v>
                </c:pt>
                <c:pt idx="2">
                  <c:v>Телефонная связь</c:v>
                </c:pt>
                <c:pt idx="3">
                  <c:v>Теплоснабжение</c:v>
                </c:pt>
                <c:pt idx="4">
                  <c:v>Водоснабжение, водоотведение</c:v>
                </c:pt>
                <c:pt idx="5">
                  <c:v>Водоочистка</c:v>
                </c:pt>
              </c:strCache>
            </c:strRef>
          </c:cat>
          <c:val>
            <c:numRef>
              <c:f>Sheet1!$B$3:$G$3</c:f>
              <c:numCache>
                <c:formatCode>0%</c:formatCode>
                <c:ptCount val="6"/>
                <c:pt idx="0">
                  <c:v>0.45245513837025103</c:v>
                </c:pt>
                <c:pt idx="1">
                  <c:v>0.50092834351640236</c:v>
                </c:pt>
                <c:pt idx="2">
                  <c:v>0.50019625451762173</c:v>
                </c:pt>
                <c:pt idx="3">
                  <c:v>0.45138432087244557</c:v>
                </c:pt>
                <c:pt idx="4">
                  <c:v>0.42793072403610699</c:v>
                </c:pt>
                <c:pt idx="5">
                  <c:v>0.35277679720074384</c:v>
                </c:pt>
              </c:numCache>
            </c:numRef>
          </c:val>
          <c:extLst xmlns:c16r2="http://schemas.microsoft.com/office/drawing/2015/06/chart">
            <c:ext xmlns:c16="http://schemas.microsoft.com/office/drawing/2014/chart" uri="{C3380CC4-5D6E-409C-BE32-E72D297353CC}">
              <c16:uniqueId val="{00000001-06FA-4D8F-8C14-1238CFFC8526}"/>
            </c:ext>
          </c:extLst>
        </c:ser>
        <c:ser>
          <c:idx val="2"/>
          <c:order val="2"/>
          <c:tx>
            <c:strRef>
              <c:f>Sheet1!$A$4</c:f>
              <c:strCache>
                <c:ptCount val="1"/>
                <c:pt idx="0">
                  <c:v>Скорее неудовлетворительно</c:v>
                </c:pt>
              </c:strCache>
            </c:strRef>
          </c:tx>
          <c:spPr>
            <a:solidFill>
              <a:srgbClr val="D97A8D"/>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Sheet1!$B$1:$G$1</c:f>
              <c:strCache>
                <c:ptCount val="6"/>
                <c:pt idx="0">
                  <c:v>Газоснабжение</c:v>
                </c:pt>
                <c:pt idx="1">
                  <c:v>Электроснабжение</c:v>
                </c:pt>
                <c:pt idx="2">
                  <c:v>Телефонная связь</c:v>
                </c:pt>
                <c:pt idx="3">
                  <c:v>Теплоснабжение</c:v>
                </c:pt>
                <c:pt idx="4">
                  <c:v>Водоснабжение, водоотведение</c:v>
                </c:pt>
                <c:pt idx="5">
                  <c:v>Водоочистка</c:v>
                </c:pt>
              </c:strCache>
            </c:strRef>
          </c:cat>
          <c:val>
            <c:numRef>
              <c:f>Sheet1!$B$4:$G$4</c:f>
              <c:numCache>
                <c:formatCode>0%</c:formatCode>
                <c:ptCount val="6"/>
                <c:pt idx="0">
                  <c:v>7.599617195603145E-2</c:v>
                </c:pt>
                <c:pt idx="1">
                  <c:v>0.11678514583039289</c:v>
                </c:pt>
                <c:pt idx="2">
                  <c:v>0.11995660178875402</c:v>
                </c:pt>
                <c:pt idx="3">
                  <c:v>0.19781626902622057</c:v>
                </c:pt>
                <c:pt idx="4">
                  <c:v>0.21257050148619924</c:v>
                </c:pt>
                <c:pt idx="5">
                  <c:v>0.29722348165012252</c:v>
                </c:pt>
              </c:numCache>
            </c:numRef>
          </c:val>
          <c:extLst xmlns:c16r2="http://schemas.microsoft.com/office/drawing/2015/06/chart">
            <c:ext xmlns:c16="http://schemas.microsoft.com/office/drawing/2014/chart" uri="{C3380CC4-5D6E-409C-BE32-E72D297353CC}">
              <c16:uniqueId val="{00000002-06FA-4D8F-8C14-1238CFFC8526}"/>
            </c:ext>
          </c:extLst>
        </c:ser>
        <c:ser>
          <c:idx val="3"/>
          <c:order val="3"/>
          <c:tx>
            <c:strRef>
              <c:f>Sheet1!$A$5</c:f>
              <c:strCache>
                <c:ptCount val="1"/>
                <c:pt idx="0">
                  <c:v>Неудовлетворительно</c:v>
                </c:pt>
              </c:strCache>
            </c:strRef>
          </c:tx>
          <c:spPr>
            <a:solidFill>
              <a:srgbClr val="59221B"/>
            </a:solidFill>
          </c:spPr>
          <c:invertIfNegative val="0"/>
          <c:dLbls>
            <c:dLbl>
              <c:idx val="0"/>
              <c:layout>
                <c:manualLayout>
                  <c:x val="4.101302163436891E-3"/>
                  <c:y val="3.0378147176047436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6FA-4D8F-8C14-1238CFFC8526}"/>
                </c:ext>
              </c:extLst>
            </c:dLbl>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Sheet1!$B$1:$G$1</c:f>
              <c:strCache>
                <c:ptCount val="6"/>
                <c:pt idx="0">
                  <c:v>Газоснабжение</c:v>
                </c:pt>
                <c:pt idx="1">
                  <c:v>Электроснабжение</c:v>
                </c:pt>
                <c:pt idx="2">
                  <c:v>Телефонная связь</c:v>
                </c:pt>
                <c:pt idx="3">
                  <c:v>Теплоснабжение</c:v>
                </c:pt>
                <c:pt idx="4">
                  <c:v>Водоснабжение, водоотведение</c:v>
                </c:pt>
                <c:pt idx="5">
                  <c:v>Водоочистка</c:v>
                </c:pt>
              </c:strCache>
            </c:strRef>
          </c:cat>
          <c:val>
            <c:numRef>
              <c:f>Sheet1!$B$5:$G$5</c:f>
              <c:numCache>
                <c:formatCode>0%</c:formatCode>
                <c:ptCount val="6"/>
                <c:pt idx="0">
                  <c:v>7.4214805921986857E-2</c:v>
                </c:pt>
                <c:pt idx="1">
                  <c:v>4.2714523049366009E-2</c:v>
                </c:pt>
                <c:pt idx="2">
                  <c:v>6.8121474064894896E-2</c:v>
                </c:pt>
                <c:pt idx="3">
                  <c:v>9.3392642268789308E-2</c:v>
                </c:pt>
                <c:pt idx="4">
                  <c:v>0.1354324253004611</c:v>
                </c:pt>
                <c:pt idx="5">
                  <c:v>0.18549259370992224</c:v>
                </c:pt>
              </c:numCache>
            </c:numRef>
          </c:val>
          <c:extLst xmlns:c16r2="http://schemas.microsoft.com/office/drawing/2015/06/chart">
            <c:ext xmlns:c16="http://schemas.microsoft.com/office/drawing/2014/chart" uri="{C3380CC4-5D6E-409C-BE32-E72D297353CC}">
              <c16:uniqueId val="{00000004-06FA-4D8F-8C14-1238CFFC8526}"/>
            </c:ext>
          </c:extLst>
        </c:ser>
        <c:dLbls>
          <c:showLegendKey val="0"/>
          <c:showVal val="0"/>
          <c:showCatName val="0"/>
          <c:showSerName val="0"/>
          <c:showPercent val="0"/>
          <c:showBubbleSize val="0"/>
        </c:dLbls>
        <c:gapWidth val="105"/>
        <c:overlap val="100"/>
        <c:axId val="150115840"/>
        <c:axId val="150670720"/>
      </c:barChart>
      <c:catAx>
        <c:axId val="150115840"/>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1100">
                <a:latin typeface="Times New Roman" panose="02020603050405020304" pitchFamily="18" charset="0"/>
                <a:cs typeface="Times New Roman" panose="02020603050405020304" pitchFamily="18" charset="0"/>
              </a:defRPr>
            </a:pPr>
            <a:endParaRPr lang="ru-RU"/>
          </a:p>
        </c:txPr>
        <c:crossAx val="150670720"/>
        <c:crosses val="autoZero"/>
        <c:auto val="1"/>
        <c:lblAlgn val="ctr"/>
        <c:lblOffset val="100"/>
        <c:noMultiLvlLbl val="1"/>
      </c:catAx>
      <c:valAx>
        <c:axId val="150670720"/>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150115840"/>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0.16089876646071347"/>
          <c:y val="0.77772237604914773"/>
          <c:w val="0.71172770583006562"/>
          <c:h val="0.18280718382424418"/>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Количество хозяйствующих субъектов</a:t>
            </a:r>
            <a:r>
              <a:rPr lang="ru-RU" sz="1200" baseline="0">
                <a:latin typeface="Times New Roman" panose="02020603050405020304" pitchFamily="18" charset="0"/>
                <a:cs typeface="Times New Roman" panose="02020603050405020304" pitchFamily="18" charset="0"/>
              </a:rPr>
              <a:t> в ресурсоснабжающих сферах деятельности, ед.</a:t>
            </a:r>
            <a:endParaRPr lang="ru-RU" sz="12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bar"/>
        <c:grouping val="clustered"/>
        <c:varyColors val="0"/>
        <c:ser>
          <c:idx val="0"/>
          <c:order val="0"/>
          <c:tx>
            <c:strRef>
              <c:f>Лист1!$B$1</c:f>
              <c:strCache>
                <c:ptCount val="1"/>
                <c:pt idx="0">
                  <c:v>на 01.11.2021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Производственные кооперативы (кроме сельскохозяйственных производственных кооперативов)</c:v>
                </c:pt>
                <c:pt idx="1">
                  <c:v>Ассоциации (союзы)</c:v>
                </c:pt>
                <c:pt idx="2">
                  <c:v>Жилищные или жилищно-строительные кооперативы</c:v>
                </c:pt>
                <c:pt idx="3">
                  <c:v>Муниципальные казенные предприятия</c:v>
                </c:pt>
                <c:pt idx="4">
                  <c:v>Государственные унитарные предприятия субъектов Российской Федерации</c:v>
                </c:pt>
                <c:pt idx="5">
                  <c:v>Некоммерческие партнерства</c:v>
                </c:pt>
                <c:pt idx="6">
                  <c:v>Обособленные подразделения юридических лиц</c:v>
                </c:pt>
                <c:pt idx="7">
                  <c:v>Публичные акционерные общества</c:v>
                </c:pt>
                <c:pt idx="8">
                  <c:v>Потребительские кооперативы</c:v>
                </c:pt>
                <c:pt idx="9">
                  <c:v>Филиалы юридических лиц</c:v>
                </c:pt>
                <c:pt idx="10">
                  <c:v>Непубличные акционерные общества</c:v>
                </c:pt>
                <c:pt idx="11">
                  <c:v>Муниципальные унитарные предприятия</c:v>
                </c:pt>
                <c:pt idx="12">
                  <c:v>Индивидуальные предприниматели</c:v>
                </c:pt>
                <c:pt idx="13">
                  <c:v>Общества с ограниченной ответственностью</c:v>
                </c:pt>
                <c:pt idx="14">
                  <c:v>Структурные подразделения обособленных подразделений юридических лиц</c:v>
                </c:pt>
              </c:strCache>
            </c:strRef>
          </c:cat>
          <c:val>
            <c:numRef>
              <c:f>Лист1!$B$2:$B$16</c:f>
              <c:numCache>
                <c:formatCode>General</c:formatCode>
                <c:ptCount val="15"/>
                <c:pt idx="0">
                  <c:v>1</c:v>
                </c:pt>
                <c:pt idx="1">
                  <c:v>1</c:v>
                </c:pt>
                <c:pt idx="2">
                  <c:v>3</c:v>
                </c:pt>
                <c:pt idx="3">
                  <c:v>3</c:v>
                </c:pt>
                <c:pt idx="4">
                  <c:v>2</c:v>
                </c:pt>
                <c:pt idx="5">
                  <c:v>3</c:v>
                </c:pt>
                <c:pt idx="6">
                  <c:v>3</c:v>
                </c:pt>
                <c:pt idx="7">
                  <c:v>6</c:v>
                </c:pt>
                <c:pt idx="8">
                  <c:v>13</c:v>
                </c:pt>
                <c:pt idx="9">
                  <c:v>22</c:v>
                </c:pt>
                <c:pt idx="10">
                  <c:v>22</c:v>
                </c:pt>
                <c:pt idx="11">
                  <c:v>32</c:v>
                </c:pt>
                <c:pt idx="12">
                  <c:v>108</c:v>
                </c:pt>
                <c:pt idx="13">
                  <c:v>252</c:v>
                </c:pt>
                <c:pt idx="14">
                  <c:v>308</c:v>
                </c:pt>
              </c:numCache>
            </c:numRef>
          </c:val>
          <c:extLst xmlns:c16r2="http://schemas.microsoft.com/office/drawing/2015/06/chart">
            <c:ext xmlns:c16="http://schemas.microsoft.com/office/drawing/2014/chart" uri="{C3380CC4-5D6E-409C-BE32-E72D297353CC}">
              <c16:uniqueId val="{00000000-C48C-4FB3-893E-A65C1ADC4D6C}"/>
            </c:ext>
          </c:extLst>
        </c:ser>
        <c:ser>
          <c:idx val="1"/>
          <c:order val="1"/>
          <c:tx>
            <c:strRef>
              <c:f>Лист1!$C$1</c:f>
              <c:strCache>
                <c:ptCount val="1"/>
                <c:pt idx="0">
                  <c:v>на 01.11.2022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Производственные кооперативы (кроме сельскохозяйственных производственных кооперативов)</c:v>
                </c:pt>
                <c:pt idx="1">
                  <c:v>Ассоциации (союзы)</c:v>
                </c:pt>
                <c:pt idx="2">
                  <c:v>Жилищные или жилищно-строительные кооперативы</c:v>
                </c:pt>
                <c:pt idx="3">
                  <c:v>Муниципальные казенные предприятия</c:v>
                </c:pt>
                <c:pt idx="4">
                  <c:v>Государственные унитарные предприятия субъектов Российской Федерации</c:v>
                </c:pt>
                <c:pt idx="5">
                  <c:v>Некоммерческие партнерства</c:v>
                </c:pt>
                <c:pt idx="6">
                  <c:v>Обособленные подразделения юридических лиц</c:v>
                </c:pt>
                <c:pt idx="7">
                  <c:v>Публичные акционерные общества</c:v>
                </c:pt>
                <c:pt idx="8">
                  <c:v>Потребительские кооперативы</c:v>
                </c:pt>
                <c:pt idx="9">
                  <c:v>Филиалы юридических лиц</c:v>
                </c:pt>
                <c:pt idx="10">
                  <c:v>Непубличные акционерные общества</c:v>
                </c:pt>
                <c:pt idx="11">
                  <c:v>Муниципальные унитарные предприятия</c:v>
                </c:pt>
                <c:pt idx="12">
                  <c:v>Индивидуальные предприниматели</c:v>
                </c:pt>
                <c:pt idx="13">
                  <c:v>Общества с ограниченной ответственностью</c:v>
                </c:pt>
                <c:pt idx="14">
                  <c:v>Структурные подразделения обособленных подразделений юридических лиц</c:v>
                </c:pt>
              </c:strCache>
            </c:strRef>
          </c:cat>
          <c:val>
            <c:numRef>
              <c:f>Лист1!$C$2:$C$16</c:f>
              <c:numCache>
                <c:formatCode>General</c:formatCode>
                <c:ptCount val="15"/>
                <c:pt idx="0">
                  <c:v>1</c:v>
                </c:pt>
                <c:pt idx="1">
                  <c:v>1</c:v>
                </c:pt>
                <c:pt idx="2">
                  <c:v>2</c:v>
                </c:pt>
                <c:pt idx="3">
                  <c:v>2</c:v>
                </c:pt>
                <c:pt idx="4">
                  <c:v>2</c:v>
                </c:pt>
                <c:pt idx="5">
                  <c:v>3</c:v>
                </c:pt>
                <c:pt idx="6">
                  <c:v>3</c:v>
                </c:pt>
                <c:pt idx="7">
                  <c:v>4</c:v>
                </c:pt>
                <c:pt idx="8">
                  <c:v>14</c:v>
                </c:pt>
                <c:pt idx="9">
                  <c:v>21</c:v>
                </c:pt>
                <c:pt idx="10">
                  <c:v>22</c:v>
                </c:pt>
                <c:pt idx="11">
                  <c:v>34</c:v>
                </c:pt>
                <c:pt idx="12">
                  <c:v>112</c:v>
                </c:pt>
                <c:pt idx="13">
                  <c:v>247</c:v>
                </c:pt>
                <c:pt idx="14">
                  <c:v>283</c:v>
                </c:pt>
              </c:numCache>
            </c:numRef>
          </c:val>
          <c:extLst xmlns:c16r2="http://schemas.microsoft.com/office/drawing/2015/06/chart">
            <c:ext xmlns:c16="http://schemas.microsoft.com/office/drawing/2014/chart" uri="{C3380CC4-5D6E-409C-BE32-E72D297353CC}">
              <c16:uniqueId val="{00000001-C48C-4FB3-893E-A65C1ADC4D6C}"/>
            </c:ext>
          </c:extLst>
        </c:ser>
        <c:dLbls>
          <c:showLegendKey val="0"/>
          <c:showVal val="0"/>
          <c:showCatName val="0"/>
          <c:showSerName val="0"/>
          <c:showPercent val="0"/>
          <c:showBubbleSize val="0"/>
        </c:dLbls>
        <c:gapWidth val="109"/>
        <c:overlap val="-41"/>
        <c:axId val="150116352"/>
        <c:axId val="150672448"/>
      </c:barChart>
      <c:catAx>
        <c:axId val="1501163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0672448"/>
        <c:crosses val="autoZero"/>
        <c:auto val="1"/>
        <c:lblAlgn val="ctr"/>
        <c:lblOffset val="100"/>
        <c:noMultiLvlLbl val="0"/>
      </c:catAx>
      <c:valAx>
        <c:axId val="150672448"/>
        <c:scaling>
          <c:orientation val="minMax"/>
        </c:scaling>
        <c:delete val="1"/>
        <c:axPos val="b"/>
        <c:numFmt formatCode="General" sourceLinked="1"/>
        <c:majorTickMark val="none"/>
        <c:minorTickMark val="none"/>
        <c:tickLblPos val="nextTo"/>
        <c:crossAx val="150116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270228270556909"/>
          <c:y val="9.5414160186498426E-3"/>
          <c:w val="0.51392322854207462"/>
          <c:h val="0.84034154821556395"/>
        </c:manualLayout>
      </c:layout>
      <c:barChart>
        <c:barDir val="bar"/>
        <c:grouping val="percentStacked"/>
        <c:varyColors val="0"/>
        <c:ser>
          <c:idx val="0"/>
          <c:order val="0"/>
          <c:tx>
            <c:strRef>
              <c:f>Sheet1!$A$2</c:f>
              <c:strCache>
                <c:ptCount val="1"/>
                <c:pt idx="0">
                  <c:v>Большое число поставщиков</c:v>
                </c:pt>
              </c:strCache>
            </c:strRef>
          </c:tx>
          <c:spPr>
            <a:solidFill>
              <a:srgbClr val="548235"/>
            </a:solidFill>
            <a:ln w="9525" cap="flat">
              <a:noFill/>
              <a:prstDash val="solid"/>
              <a:round/>
            </a:ln>
            <a:effectLst/>
          </c:spPr>
          <c:invertIfNegative val="0"/>
          <c:dLbls>
            <c:dLbl>
              <c:idx val="2"/>
              <c:layout>
                <c:manualLayout>
                  <c:x val="1.5899831064294868E-2"/>
                  <c:y val="3.3755274261603376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0F0-4CC2-9E59-D9D5C5B78933}"/>
                </c:ext>
              </c:extLst>
            </c:dLbl>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Sheet1!$B$1:$F$1</c:f>
              <c:strCache>
                <c:ptCount val="5"/>
                <c:pt idx="0">
                  <c:v>В целом по выборке</c:v>
                </c:pt>
                <c:pt idx="1">
                  <c:v>Микропредприятие</c:v>
                </c:pt>
                <c:pt idx="2">
                  <c:v>Малое предприятие</c:v>
                </c:pt>
                <c:pt idx="3">
                  <c:v>Среднее предприятие</c:v>
                </c:pt>
                <c:pt idx="4">
                  <c:v>Крупное предприятие</c:v>
                </c:pt>
              </c:strCache>
            </c:strRef>
          </c:cat>
          <c:val>
            <c:numRef>
              <c:f>Sheet1!$B$2:$F$2</c:f>
              <c:numCache>
                <c:formatCode>0%</c:formatCode>
                <c:ptCount val="5"/>
                <c:pt idx="0">
                  <c:v>0.28199999999999997</c:v>
                </c:pt>
                <c:pt idx="1">
                  <c:v>0.183431952662722</c:v>
                </c:pt>
                <c:pt idx="2">
                  <c:v>0.22</c:v>
                </c:pt>
                <c:pt idx="3">
                  <c:v>0.37209302325581395</c:v>
                </c:pt>
                <c:pt idx="4">
                  <c:v>0.55932203389830493</c:v>
                </c:pt>
              </c:numCache>
            </c:numRef>
          </c:val>
          <c:extLst xmlns:c16r2="http://schemas.microsoft.com/office/drawing/2015/06/chart">
            <c:ext xmlns:c16="http://schemas.microsoft.com/office/drawing/2014/chart" uri="{C3380CC4-5D6E-409C-BE32-E72D297353CC}">
              <c16:uniqueId val="{00000001-50F0-4CC2-9E59-D9D5C5B78933}"/>
            </c:ext>
          </c:extLst>
        </c:ser>
        <c:ser>
          <c:idx val="1"/>
          <c:order val="1"/>
          <c:tx>
            <c:strRef>
              <c:f>Sheet1!$A$3</c:f>
              <c:strCache>
                <c:ptCount val="1"/>
                <c:pt idx="0">
                  <c:v>4 и более поставщика</c:v>
                </c:pt>
              </c:strCache>
            </c:strRef>
          </c:tx>
          <c:spPr>
            <a:solidFill>
              <a:srgbClr val="A9D18E"/>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Sheet1!$B$1:$F$1</c:f>
              <c:strCache>
                <c:ptCount val="5"/>
                <c:pt idx="0">
                  <c:v>В целом по выборке</c:v>
                </c:pt>
                <c:pt idx="1">
                  <c:v>Микропредприятие</c:v>
                </c:pt>
                <c:pt idx="2">
                  <c:v>Малое предприятие</c:v>
                </c:pt>
                <c:pt idx="3">
                  <c:v>Среднее предприятие</c:v>
                </c:pt>
                <c:pt idx="4">
                  <c:v>Крупное предприятие</c:v>
                </c:pt>
              </c:strCache>
            </c:strRef>
          </c:cat>
          <c:val>
            <c:numRef>
              <c:f>Sheet1!$B$3:$F$3</c:f>
              <c:numCache>
                <c:formatCode>0%</c:formatCode>
                <c:ptCount val="5"/>
                <c:pt idx="0">
                  <c:v>0.27600000000000002</c:v>
                </c:pt>
                <c:pt idx="1">
                  <c:v>0.36094674556213002</c:v>
                </c:pt>
                <c:pt idx="2">
                  <c:v>0.28999999999999998</c:v>
                </c:pt>
                <c:pt idx="3">
                  <c:v>0.32558139534883701</c:v>
                </c:pt>
                <c:pt idx="4">
                  <c:v>0.169491525423729</c:v>
                </c:pt>
              </c:numCache>
            </c:numRef>
          </c:val>
          <c:extLst xmlns:c16r2="http://schemas.microsoft.com/office/drawing/2015/06/chart">
            <c:ext xmlns:c16="http://schemas.microsoft.com/office/drawing/2014/chart" uri="{C3380CC4-5D6E-409C-BE32-E72D297353CC}">
              <c16:uniqueId val="{00000002-50F0-4CC2-9E59-D9D5C5B78933}"/>
            </c:ext>
          </c:extLst>
        </c:ser>
        <c:ser>
          <c:idx val="2"/>
          <c:order val="2"/>
          <c:tx>
            <c:strRef>
              <c:f>Sheet1!$A$4</c:f>
              <c:strCache>
                <c:ptCount val="1"/>
                <c:pt idx="0">
                  <c:v>2-3 поставщика</c:v>
                </c:pt>
              </c:strCache>
            </c:strRef>
          </c:tx>
          <c:spPr>
            <a:solidFill>
              <a:srgbClr val="FFC000"/>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Sheet1!$B$1:$F$1</c:f>
              <c:strCache>
                <c:ptCount val="5"/>
                <c:pt idx="0">
                  <c:v>В целом по выборке</c:v>
                </c:pt>
                <c:pt idx="1">
                  <c:v>Микропредприятие</c:v>
                </c:pt>
                <c:pt idx="2">
                  <c:v>Малое предприятие</c:v>
                </c:pt>
                <c:pt idx="3">
                  <c:v>Среднее предприятие</c:v>
                </c:pt>
                <c:pt idx="4">
                  <c:v>Крупное предприятие</c:v>
                </c:pt>
              </c:strCache>
            </c:strRef>
          </c:cat>
          <c:val>
            <c:numRef>
              <c:f>Sheet1!$B$4:$F$4</c:f>
              <c:numCache>
                <c:formatCode>0%</c:formatCode>
                <c:ptCount val="5"/>
                <c:pt idx="0">
                  <c:v>0.22</c:v>
                </c:pt>
                <c:pt idx="1">
                  <c:v>0.24852071005917201</c:v>
                </c:pt>
                <c:pt idx="2">
                  <c:v>0.27</c:v>
                </c:pt>
                <c:pt idx="3">
                  <c:v>0.232558139534884</c:v>
                </c:pt>
                <c:pt idx="4">
                  <c:v>0.13559322033898299</c:v>
                </c:pt>
              </c:numCache>
            </c:numRef>
          </c:val>
          <c:extLst xmlns:c16r2="http://schemas.microsoft.com/office/drawing/2015/06/chart">
            <c:ext xmlns:c16="http://schemas.microsoft.com/office/drawing/2014/chart" uri="{C3380CC4-5D6E-409C-BE32-E72D297353CC}">
              <c16:uniqueId val="{00000003-50F0-4CC2-9E59-D9D5C5B78933}"/>
            </c:ext>
          </c:extLst>
        </c:ser>
        <c:ser>
          <c:idx val="3"/>
          <c:order val="3"/>
          <c:tx>
            <c:strRef>
              <c:f>Sheet1!$A$5</c:f>
              <c:strCache>
                <c:ptCount val="1"/>
                <c:pt idx="0">
                  <c:v>Единственный поставщик</c:v>
                </c:pt>
              </c:strCache>
            </c:strRef>
          </c:tx>
          <c:spPr>
            <a:solidFill>
              <a:srgbClr val="D97A8D"/>
            </a:solidFill>
            <a:ln w="9525" cap="flat">
              <a:noFill/>
              <a:prstDash val="solid"/>
              <a:round/>
            </a:ln>
            <a:effectLst/>
          </c:spPr>
          <c:invertIfNegative val="0"/>
          <c:dLbls>
            <c:dLbl>
              <c:idx val="0"/>
              <c:layout>
                <c:manualLayout>
                  <c:x val="5.9624366491106036E-3"/>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0F0-4CC2-9E59-D9D5C5B78933}"/>
                </c:ext>
              </c:extLst>
            </c:dLbl>
            <c:dLbl>
              <c:idx val="1"/>
              <c:layout>
                <c:manualLayout>
                  <c:x val="5.9624366491104579E-3"/>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0F0-4CC2-9E59-D9D5C5B78933}"/>
                </c:ext>
              </c:extLst>
            </c:dLbl>
            <c:dLbl>
              <c:idx val="4"/>
              <c:layout>
                <c:manualLayout>
                  <c:x val="5.9624366491104579E-3"/>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0F0-4CC2-9E59-D9D5C5B78933}"/>
                </c:ext>
              </c:extLst>
            </c:dLbl>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Sheet1!$B$1:$F$1</c:f>
              <c:strCache>
                <c:ptCount val="5"/>
                <c:pt idx="0">
                  <c:v>В целом по выборке</c:v>
                </c:pt>
                <c:pt idx="1">
                  <c:v>Микропредприятие</c:v>
                </c:pt>
                <c:pt idx="2">
                  <c:v>Малое предприятие</c:v>
                </c:pt>
                <c:pt idx="3">
                  <c:v>Среднее предприятие</c:v>
                </c:pt>
                <c:pt idx="4">
                  <c:v>Крупное предприятие</c:v>
                </c:pt>
              </c:strCache>
            </c:strRef>
          </c:cat>
          <c:val>
            <c:numRef>
              <c:f>Sheet1!$B$5:$F$5</c:f>
              <c:numCache>
                <c:formatCode>0%</c:formatCode>
                <c:ptCount val="5"/>
                <c:pt idx="0">
                  <c:v>0.04</c:v>
                </c:pt>
                <c:pt idx="1">
                  <c:v>2.3668639053254399E-2</c:v>
                </c:pt>
                <c:pt idx="2">
                  <c:v>7.0000000000000007E-2</c:v>
                </c:pt>
                <c:pt idx="3">
                  <c:v>6.9767441860465101E-2</c:v>
                </c:pt>
                <c:pt idx="4">
                  <c:v>1.6949152542372902E-2</c:v>
                </c:pt>
              </c:numCache>
            </c:numRef>
          </c:val>
          <c:extLst xmlns:c16r2="http://schemas.microsoft.com/office/drawing/2015/06/chart">
            <c:ext xmlns:c16="http://schemas.microsoft.com/office/drawing/2014/chart" uri="{C3380CC4-5D6E-409C-BE32-E72D297353CC}">
              <c16:uniqueId val="{00000007-50F0-4CC2-9E59-D9D5C5B78933}"/>
            </c:ext>
          </c:extLst>
        </c:ser>
        <c:ser>
          <c:idx val="4"/>
          <c:order val="4"/>
          <c:tx>
            <c:strRef>
              <c:f>Sheet1!$A$6</c:f>
              <c:strCache>
                <c:ptCount val="1"/>
                <c:pt idx="0">
                  <c:v>Не пользуемся услугами поставщиков</c:v>
                </c:pt>
              </c:strCache>
            </c:strRef>
          </c:tx>
          <c:spPr>
            <a:solidFill>
              <a:srgbClr val="59221B"/>
            </a:solidFill>
          </c:spPr>
          <c:invertIfNegative val="0"/>
          <c:dLbls>
            <c:dLbl>
              <c:idx val="4"/>
              <c:layout>
                <c:manualLayout>
                  <c:x val="1.9874788830368676E-3"/>
                  <c:y val="6.4935064935065012E-2"/>
                </c:manualLayout>
              </c:layout>
              <c:spPr>
                <a:noFill/>
                <a:ln>
                  <a:noFill/>
                </a:ln>
                <a:effectLst/>
              </c:spPr>
              <c:txPr>
                <a:bodyPr wrap="square" lIns="38100" tIns="19050" rIns="38100" bIns="19050" anchor="ctr">
                  <a:spAutoFit/>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0F0-4CC2-9E59-D9D5C5B78933}"/>
                </c:ext>
              </c:extLst>
            </c:dLbl>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Sheet1!$B$1:$F$1</c:f>
              <c:strCache>
                <c:ptCount val="5"/>
                <c:pt idx="0">
                  <c:v>В целом по выборке</c:v>
                </c:pt>
                <c:pt idx="1">
                  <c:v>Микропредприятие</c:v>
                </c:pt>
                <c:pt idx="2">
                  <c:v>Малое предприятие</c:v>
                </c:pt>
                <c:pt idx="3">
                  <c:v>Среднее предприятие</c:v>
                </c:pt>
                <c:pt idx="4">
                  <c:v>Крупное предприятие</c:v>
                </c:pt>
              </c:strCache>
            </c:strRef>
          </c:cat>
          <c:val>
            <c:numRef>
              <c:f>Sheet1!$B$6:$F$6</c:f>
              <c:numCache>
                <c:formatCode>0%</c:formatCode>
                <c:ptCount val="5"/>
                <c:pt idx="0">
                  <c:v>0.114</c:v>
                </c:pt>
                <c:pt idx="1">
                  <c:v>0.15976331360946699</c:v>
                </c:pt>
                <c:pt idx="2">
                  <c:v>0.11</c:v>
                </c:pt>
                <c:pt idx="4">
                  <c:v>5.0847457627118599E-2</c:v>
                </c:pt>
              </c:numCache>
            </c:numRef>
          </c:val>
          <c:extLst xmlns:c16r2="http://schemas.microsoft.com/office/drawing/2015/06/chart">
            <c:ext xmlns:c16="http://schemas.microsoft.com/office/drawing/2014/chart" uri="{C3380CC4-5D6E-409C-BE32-E72D297353CC}">
              <c16:uniqueId val="{00000009-50F0-4CC2-9E59-D9D5C5B78933}"/>
            </c:ext>
          </c:extLst>
        </c:ser>
        <c:ser>
          <c:idx val="5"/>
          <c:order val="5"/>
          <c:tx>
            <c:strRef>
              <c:f>Sheet1!$A$7</c:f>
              <c:strCache>
                <c:ptCount val="1"/>
                <c:pt idx="0">
                  <c:v>Затрудняюсь ответить</c:v>
                </c:pt>
              </c:strCache>
            </c:strRef>
          </c:tx>
          <c:spPr>
            <a:solidFill>
              <a:srgbClr val="E7E6E6">
                <a:lumMod val="75000"/>
              </a:srgbClr>
            </a:solidFill>
          </c:spPr>
          <c:invertIfNegative val="0"/>
          <c:dLbls>
            <c:dLbl>
              <c:idx val="1"/>
              <c:layout>
                <c:manualLayout>
                  <c:x val="0"/>
                  <c:y val="6.9264069264069264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0F0-4CC2-9E59-D9D5C5B78933}"/>
                </c:ext>
              </c:extLst>
            </c:dLbl>
            <c:dLbl>
              <c:idx val="2"/>
              <c:layout>
                <c:manualLayout>
                  <c:x val="0"/>
                  <c:y val="6.4935064935064929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50F0-4CC2-9E59-D9D5C5B78933}"/>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Sheet1!$B$1:$F$1</c:f>
              <c:strCache>
                <c:ptCount val="5"/>
                <c:pt idx="0">
                  <c:v>В целом по выборке</c:v>
                </c:pt>
                <c:pt idx="1">
                  <c:v>Микропредприятие</c:v>
                </c:pt>
                <c:pt idx="2">
                  <c:v>Малое предприятие</c:v>
                </c:pt>
                <c:pt idx="3">
                  <c:v>Среднее предприятие</c:v>
                </c:pt>
                <c:pt idx="4">
                  <c:v>Крупное предприятие</c:v>
                </c:pt>
              </c:strCache>
            </c:strRef>
          </c:cat>
          <c:val>
            <c:numRef>
              <c:f>Sheet1!$B$7:$F$7</c:f>
              <c:numCache>
                <c:formatCode>0%</c:formatCode>
                <c:ptCount val="5"/>
                <c:pt idx="0">
                  <c:v>6.8000000000000005E-2</c:v>
                </c:pt>
                <c:pt idx="1">
                  <c:v>2.3668639053254399E-2</c:v>
                </c:pt>
                <c:pt idx="2">
                  <c:v>0.04</c:v>
                </c:pt>
                <c:pt idx="4">
                  <c:v>6.7796610169491497E-2</c:v>
                </c:pt>
              </c:numCache>
            </c:numRef>
          </c:val>
          <c:extLst xmlns:c16r2="http://schemas.microsoft.com/office/drawing/2015/06/chart">
            <c:ext xmlns:c16="http://schemas.microsoft.com/office/drawing/2014/chart" uri="{C3380CC4-5D6E-409C-BE32-E72D297353CC}">
              <c16:uniqueId val="{0000000C-50F0-4CC2-9E59-D9D5C5B78933}"/>
            </c:ext>
          </c:extLst>
        </c:ser>
        <c:dLbls>
          <c:showLegendKey val="0"/>
          <c:showVal val="0"/>
          <c:showCatName val="0"/>
          <c:showSerName val="0"/>
          <c:showPercent val="0"/>
          <c:showBubbleSize val="0"/>
        </c:dLbls>
        <c:gapWidth val="105"/>
        <c:overlap val="100"/>
        <c:axId val="119872512"/>
        <c:axId val="118089984"/>
      </c:barChart>
      <c:catAx>
        <c:axId val="119872512"/>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950">
                <a:latin typeface="Times New Roman" panose="02020603050405020304" pitchFamily="18" charset="0"/>
                <a:cs typeface="Times New Roman" panose="02020603050405020304" pitchFamily="18" charset="0"/>
              </a:defRPr>
            </a:pPr>
            <a:endParaRPr lang="ru-RU"/>
          </a:p>
        </c:txPr>
        <c:crossAx val="118089984"/>
        <c:crosses val="autoZero"/>
        <c:auto val="1"/>
        <c:lblAlgn val="ctr"/>
        <c:lblOffset val="100"/>
        <c:noMultiLvlLbl val="1"/>
      </c:catAx>
      <c:valAx>
        <c:axId val="118089984"/>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119872512"/>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2.6945518821972748E-2"/>
          <c:y val="0.84000170433241295"/>
          <c:w val="0.89153513964386566"/>
          <c:h val="0.159998295667587"/>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100">
                <a:latin typeface="Times New Roman" panose="02020603050405020304" pitchFamily="18" charset="0"/>
                <a:cs typeface="Times New Roman" panose="02020603050405020304" pitchFamily="18" charset="0"/>
              </a:rPr>
              <a:t>Количество</a:t>
            </a:r>
            <a:r>
              <a:rPr lang="ru-RU" sz="1100" baseline="0">
                <a:latin typeface="Times New Roman" panose="02020603050405020304" pitchFamily="18" charset="0"/>
                <a:cs typeface="Times New Roman" panose="02020603050405020304" pitchFamily="18" charset="0"/>
              </a:rPr>
              <a:t> ресурсоснабжающих организаций (по данным портала раскрытия информации), ед.</a:t>
            </a:r>
            <a:endParaRPr lang="ru-RU" sz="11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2020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Холодное водоснабжение</c:v>
                </c:pt>
                <c:pt idx="1">
                  <c:v>Водоотведение</c:v>
                </c:pt>
                <c:pt idx="2">
                  <c:v>Горячее водоснабжение</c:v>
                </c:pt>
                <c:pt idx="3">
                  <c:v>Теплоснабжение</c:v>
                </c:pt>
                <c:pt idx="4">
                  <c:v>Обращение с отходами</c:v>
                </c:pt>
              </c:strCache>
            </c:strRef>
          </c:cat>
          <c:val>
            <c:numRef>
              <c:f>Лист1!$B$2:$B$6</c:f>
              <c:numCache>
                <c:formatCode>General</c:formatCode>
                <c:ptCount val="5"/>
                <c:pt idx="0">
                  <c:v>117</c:v>
                </c:pt>
                <c:pt idx="1">
                  <c:v>123</c:v>
                </c:pt>
                <c:pt idx="2">
                  <c:v>85</c:v>
                </c:pt>
                <c:pt idx="3">
                  <c:v>140</c:v>
                </c:pt>
                <c:pt idx="4">
                  <c:v>17</c:v>
                </c:pt>
              </c:numCache>
            </c:numRef>
          </c:val>
          <c:extLst xmlns:c16r2="http://schemas.microsoft.com/office/drawing/2015/06/chart">
            <c:ext xmlns:c16="http://schemas.microsoft.com/office/drawing/2014/chart" uri="{C3380CC4-5D6E-409C-BE32-E72D297353CC}">
              <c16:uniqueId val="{00000000-E088-40CA-B8E2-AC76909FFA6F}"/>
            </c:ext>
          </c:extLst>
        </c:ser>
        <c:ser>
          <c:idx val="1"/>
          <c:order val="1"/>
          <c:tx>
            <c:strRef>
              <c:f>Лист1!$C$1</c:f>
              <c:strCache>
                <c:ptCount val="1"/>
                <c:pt idx="0">
                  <c:v>2021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Холодное водоснабжение</c:v>
                </c:pt>
                <c:pt idx="1">
                  <c:v>Водоотведение</c:v>
                </c:pt>
                <c:pt idx="2">
                  <c:v>Горячее водоснабжение</c:v>
                </c:pt>
                <c:pt idx="3">
                  <c:v>Теплоснабжение</c:v>
                </c:pt>
                <c:pt idx="4">
                  <c:v>Обращение с отходами</c:v>
                </c:pt>
              </c:strCache>
            </c:strRef>
          </c:cat>
          <c:val>
            <c:numRef>
              <c:f>Лист1!$C$2:$C$6</c:f>
              <c:numCache>
                <c:formatCode>General</c:formatCode>
                <c:ptCount val="5"/>
                <c:pt idx="0">
                  <c:v>112</c:v>
                </c:pt>
                <c:pt idx="1">
                  <c:v>114</c:v>
                </c:pt>
                <c:pt idx="2">
                  <c:v>90</c:v>
                </c:pt>
                <c:pt idx="3">
                  <c:v>144</c:v>
                </c:pt>
                <c:pt idx="4">
                  <c:v>17</c:v>
                </c:pt>
              </c:numCache>
            </c:numRef>
          </c:val>
          <c:extLst xmlns:c16r2="http://schemas.microsoft.com/office/drawing/2015/06/chart">
            <c:ext xmlns:c16="http://schemas.microsoft.com/office/drawing/2014/chart" uri="{C3380CC4-5D6E-409C-BE32-E72D297353CC}">
              <c16:uniqueId val="{00000001-E088-40CA-B8E2-AC76909FFA6F}"/>
            </c:ext>
          </c:extLst>
        </c:ser>
        <c:ser>
          <c:idx val="2"/>
          <c:order val="2"/>
          <c:tx>
            <c:strRef>
              <c:f>Лист1!$D$1</c:f>
              <c:strCache>
                <c:ptCount val="1"/>
                <c:pt idx="0">
                  <c:v>2022 г.</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Холодное водоснабжение</c:v>
                </c:pt>
                <c:pt idx="1">
                  <c:v>Водоотведение</c:v>
                </c:pt>
                <c:pt idx="2">
                  <c:v>Горячее водоснабжение</c:v>
                </c:pt>
                <c:pt idx="3">
                  <c:v>Теплоснабжение</c:v>
                </c:pt>
                <c:pt idx="4">
                  <c:v>Обращение с отходами</c:v>
                </c:pt>
              </c:strCache>
            </c:strRef>
          </c:cat>
          <c:val>
            <c:numRef>
              <c:f>Лист1!$D$2:$D$6</c:f>
              <c:numCache>
                <c:formatCode>General</c:formatCode>
                <c:ptCount val="5"/>
                <c:pt idx="0">
                  <c:v>107</c:v>
                </c:pt>
                <c:pt idx="1">
                  <c:v>110</c:v>
                </c:pt>
                <c:pt idx="2">
                  <c:v>87</c:v>
                </c:pt>
                <c:pt idx="3">
                  <c:v>146</c:v>
                </c:pt>
                <c:pt idx="4">
                  <c:v>15</c:v>
                </c:pt>
              </c:numCache>
            </c:numRef>
          </c:val>
          <c:extLst xmlns:c16r2="http://schemas.microsoft.com/office/drawing/2015/06/chart">
            <c:ext xmlns:c16="http://schemas.microsoft.com/office/drawing/2014/chart" uri="{C3380CC4-5D6E-409C-BE32-E72D297353CC}">
              <c16:uniqueId val="{00000002-E088-40CA-B8E2-AC76909FFA6F}"/>
            </c:ext>
          </c:extLst>
        </c:ser>
        <c:dLbls>
          <c:showLegendKey val="0"/>
          <c:showVal val="0"/>
          <c:showCatName val="0"/>
          <c:showSerName val="0"/>
          <c:showPercent val="0"/>
          <c:showBubbleSize val="0"/>
        </c:dLbls>
        <c:gapWidth val="219"/>
        <c:overlap val="-27"/>
        <c:axId val="150749696"/>
        <c:axId val="150673600"/>
      </c:barChart>
      <c:catAx>
        <c:axId val="150749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0673600"/>
        <c:crosses val="autoZero"/>
        <c:auto val="1"/>
        <c:lblAlgn val="ctr"/>
        <c:lblOffset val="100"/>
        <c:noMultiLvlLbl val="0"/>
      </c:catAx>
      <c:valAx>
        <c:axId val="150673600"/>
        <c:scaling>
          <c:orientation val="minMax"/>
          <c:max val="16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0749696"/>
        <c:crosses val="autoZero"/>
        <c:crossBetween val="between"/>
        <c:majorUnit val="5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451671240264452"/>
          <c:y val="8.3499065281138242E-3"/>
          <c:w val="0.69992984189803098"/>
          <c:h val="0.87111975123891061"/>
        </c:manualLayout>
      </c:layout>
      <c:barChart>
        <c:barDir val="bar"/>
        <c:grouping val="percentStacked"/>
        <c:varyColors val="0"/>
        <c:ser>
          <c:idx val="0"/>
          <c:order val="0"/>
          <c:tx>
            <c:strRef>
              <c:f>Sheet1!$A$2</c:f>
              <c:strCache>
                <c:ptCount val="1"/>
                <c:pt idx="0">
                  <c:v>Полностью удовлетворен(-а)</c:v>
                </c:pt>
              </c:strCache>
            </c:strRef>
          </c:tx>
          <c:spPr>
            <a:solidFill>
              <a:srgbClr val="70AD47">
                <a:lumMod val="75000"/>
              </a:srgbClr>
            </a:solidFill>
            <a:ln w="9525" cap="flat">
              <a:noFill/>
              <a:prstDash val="solid"/>
              <a:round/>
            </a:ln>
            <a:effectLst/>
          </c:spPr>
          <c:invertIfNegative val="0"/>
          <c:dLbls>
            <c:dLbl>
              <c:idx val="1"/>
              <c:layout>
                <c:manualLayout>
                  <c:x val="8.202604326873745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B40-457C-8677-BBB357853497}"/>
                </c:ext>
              </c:extLst>
            </c:dLbl>
            <c:dLbl>
              <c:idx val="2"/>
              <c:layout>
                <c:manualLayout>
                  <c:x val="1.0253255408592229E-2"/>
                  <c:y val="1.6851826106006413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B40-457C-8677-BBB357853497}"/>
                </c:ext>
              </c:extLst>
            </c:dLbl>
            <c:dLbl>
              <c:idx val="3"/>
              <c:layout>
                <c:manualLayout>
                  <c:x val="1.0253255408592229E-2"/>
                  <c:y val="1.6851826113853655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B40-457C-8677-BBB357853497}"/>
                </c:ext>
              </c:extLst>
            </c:dLbl>
            <c:dLbl>
              <c:idx val="4"/>
              <c:layout>
                <c:manualLayout>
                  <c:x val="1.025325540859222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B40-457C-8677-BBB357853497}"/>
                </c:ext>
              </c:extLst>
            </c:dLbl>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Sheet1!$B$1:$F$1</c:f>
              <c:strCache>
                <c:ptCount val="5"/>
                <c:pt idx="0">
                  <c:v>Банки</c:v>
                </c:pt>
                <c:pt idx="1">
                  <c:v>Субъекты страхового дела</c:v>
                </c:pt>
                <c:pt idx="2">
                  <c:v>Негосударственные пенсионные фонды</c:v>
                </c:pt>
                <c:pt idx="3">
                  <c:v>Микрофинансовые организации, ломбарды, кредитные потребительские кооперативы и сельскохозяйственные кредитные потребительские кооперативы </c:v>
                </c:pt>
                <c:pt idx="4">
                  <c:v>Брокеры</c:v>
                </c:pt>
              </c:strCache>
            </c:strRef>
          </c:cat>
          <c:val>
            <c:numRef>
              <c:f>Sheet1!$B$2:$F$2</c:f>
              <c:numCache>
                <c:formatCode>0%</c:formatCode>
                <c:ptCount val="5"/>
                <c:pt idx="0">
                  <c:v>0.120762104256257</c:v>
                </c:pt>
                <c:pt idx="1">
                  <c:v>3.9336262456066501E-2</c:v>
                </c:pt>
                <c:pt idx="2">
                  <c:v>3.4018534527431601E-2</c:v>
                </c:pt>
                <c:pt idx="3">
                  <c:v>2.7246514797275401E-2</c:v>
                </c:pt>
                <c:pt idx="4">
                  <c:v>2.41172492034217E-2</c:v>
                </c:pt>
              </c:numCache>
            </c:numRef>
          </c:val>
          <c:extLst xmlns:c16r2="http://schemas.microsoft.com/office/drawing/2015/06/chart">
            <c:ext xmlns:c16="http://schemas.microsoft.com/office/drawing/2014/chart" uri="{C3380CC4-5D6E-409C-BE32-E72D297353CC}">
              <c16:uniqueId val="{00000004-3B40-457C-8677-BBB357853497}"/>
            </c:ext>
          </c:extLst>
        </c:ser>
        <c:ser>
          <c:idx val="1"/>
          <c:order val="1"/>
          <c:tx>
            <c:strRef>
              <c:f>Sheet1!$A$3</c:f>
              <c:strCache>
                <c:ptCount val="1"/>
                <c:pt idx="0">
                  <c:v>Скорее удовлетворен(-а)</c:v>
                </c:pt>
              </c:strCache>
            </c:strRef>
          </c:tx>
          <c:spPr>
            <a:solidFill>
              <a:srgbClr val="70AD47">
                <a:lumMod val="60000"/>
                <a:lumOff val="40000"/>
              </a:srgbClr>
            </a:solidFill>
            <a:ln w="9525" cap="flat">
              <a:noFill/>
              <a:prstDash val="solid"/>
              <a:round/>
            </a:ln>
            <a:effectLst/>
          </c:spPr>
          <c:invertIfNegative val="0"/>
          <c:dLbls>
            <c:dLbl>
              <c:idx val="4"/>
              <c:layout>
                <c:manualLayout>
                  <c:x val="8.202604326873745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B40-457C-8677-BBB357853497}"/>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Sheet1!$B$1:$F$1</c:f>
              <c:strCache>
                <c:ptCount val="5"/>
                <c:pt idx="0">
                  <c:v>Банки</c:v>
                </c:pt>
                <c:pt idx="1">
                  <c:v>Субъекты страхового дела</c:v>
                </c:pt>
                <c:pt idx="2">
                  <c:v>Негосударственные пенсионные фонды</c:v>
                </c:pt>
                <c:pt idx="3">
                  <c:v>Микрофинансовые организации, ломбарды, кредитные потребительские кооперативы и сельскохозяйственные кредитные потребительские кооперативы </c:v>
                </c:pt>
                <c:pt idx="4">
                  <c:v>Брокеры</c:v>
                </c:pt>
              </c:strCache>
            </c:strRef>
          </c:cat>
          <c:val>
            <c:numRef>
              <c:f>Sheet1!$B$3:$F$3</c:f>
              <c:numCache>
                <c:formatCode>0%</c:formatCode>
                <c:ptCount val="5"/>
                <c:pt idx="0">
                  <c:v>0.47138944739369598</c:v>
                </c:pt>
                <c:pt idx="1">
                  <c:v>0.28054263002694702</c:v>
                </c:pt>
                <c:pt idx="2">
                  <c:v>0.14237229576909699</c:v>
                </c:pt>
                <c:pt idx="3">
                  <c:v>0.13867544394779999</c:v>
                </c:pt>
                <c:pt idx="4">
                  <c:v>8.9939832287672813E-2</c:v>
                </c:pt>
              </c:numCache>
            </c:numRef>
          </c:val>
          <c:extLst xmlns:c16r2="http://schemas.microsoft.com/office/drawing/2015/06/chart">
            <c:ext xmlns:c16="http://schemas.microsoft.com/office/drawing/2014/chart" uri="{C3380CC4-5D6E-409C-BE32-E72D297353CC}">
              <c16:uniqueId val="{00000006-3B40-457C-8677-BBB357853497}"/>
            </c:ext>
          </c:extLst>
        </c:ser>
        <c:ser>
          <c:idx val="2"/>
          <c:order val="2"/>
          <c:tx>
            <c:strRef>
              <c:f>Sheet1!$A$4</c:f>
              <c:strCache>
                <c:ptCount val="1"/>
                <c:pt idx="0">
                  <c:v>Скорее НЕ удовлетворен(-а)</c:v>
                </c:pt>
              </c:strCache>
            </c:strRef>
          </c:tx>
          <c:spPr>
            <a:solidFill>
              <a:srgbClr val="D97A8D"/>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Sheet1!$B$1:$F$1</c:f>
              <c:strCache>
                <c:ptCount val="5"/>
                <c:pt idx="0">
                  <c:v>Банки</c:v>
                </c:pt>
                <c:pt idx="1">
                  <c:v>Субъекты страхового дела</c:v>
                </c:pt>
                <c:pt idx="2">
                  <c:v>Негосударственные пенсионные фонды</c:v>
                </c:pt>
                <c:pt idx="3">
                  <c:v>Микрофинансовые организации, ломбарды, кредитные потребительские кооперативы и сельскохозяйственные кредитные потребительские кооперативы </c:v>
                </c:pt>
                <c:pt idx="4">
                  <c:v>Брокеры</c:v>
                </c:pt>
              </c:strCache>
            </c:strRef>
          </c:cat>
          <c:val>
            <c:numRef>
              <c:f>Sheet1!$B$4:$F$4</c:f>
              <c:numCache>
                <c:formatCode>0%</c:formatCode>
                <c:ptCount val="5"/>
                <c:pt idx="0">
                  <c:v>0.200186530137482</c:v>
                </c:pt>
                <c:pt idx="1">
                  <c:v>0.105729056369427</c:v>
                </c:pt>
                <c:pt idx="2">
                  <c:v>0.145568002213777</c:v>
                </c:pt>
                <c:pt idx="3">
                  <c:v>0.115557013185111</c:v>
                </c:pt>
                <c:pt idx="4">
                  <c:v>6.90480974530953E-2</c:v>
                </c:pt>
              </c:numCache>
            </c:numRef>
          </c:val>
          <c:extLst xmlns:c16r2="http://schemas.microsoft.com/office/drawing/2015/06/chart">
            <c:ext xmlns:c16="http://schemas.microsoft.com/office/drawing/2014/chart" uri="{C3380CC4-5D6E-409C-BE32-E72D297353CC}">
              <c16:uniqueId val="{00000007-3B40-457C-8677-BBB357853497}"/>
            </c:ext>
          </c:extLst>
        </c:ser>
        <c:ser>
          <c:idx val="3"/>
          <c:order val="3"/>
          <c:tx>
            <c:strRef>
              <c:f>Sheet1!$A$5</c:f>
              <c:strCache>
                <c:ptCount val="1"/>
                <c:pt idx="0">
                  <c:v>Полностью НЕ удовлетворен(-а)</c:v>
                </c:pt>
              </c:strCache>
            </c:strRef>
          </c:tx>
          <c:spPr>
            <a:solidFill>
              <a:srgbClr val="59221B"/>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Sheet1!$B$1:$F$1</c:f>
              <c:strCache>
                <c:ptCount val="5"/>
                <c:pt idx="0">
                  <c:v>Банки</c:v>
                </c:pt>
                <c:pt idx="1">
                  <c:v>Субъекты страхового дела</c:v>
                </c:pt>
                <c:pt idx="2">
                  <c:v>Негосударственные пенсионные фонды</c:v>
                </c:pt>
                <c:pt idx="3">
                  <c:v>Микрофинансовые организации, ломбарды, кредитные потребительские кооперативы и сельскохозяйственные кредитные потребительские кооперативы </c:v>
                </c:pt>
                <c:pt idx="4">
                  <c:v>Брокеры</c:v>
                </c:pt>
              </c:strCache>
            </c:strRef>
          </c:cat>
          <c:val>
            <c:numRef>
              <c:f>Sheet1!$B$5:$F$5</c:f>
              <c:numCache>
                <c:formatCode>0%</c:formatCode>
                <c:ptCount val="5"/>
                <c:pt idx="0">
                  <c:v>7.8577574898809108E-2</c:v>
                </c:pt>
                <c:pt idx="1">
                  <c:v>6.1410956673859006E-2</c:v>
                </c:pt>
                <c:pt idx="2">
                  <c:v>7.1454964063687995E-2</c:v>
                </c:pt>
                <c:pt idx="3">
                  <c:v>7.0353569492131396E-2</c:v>
                </c:pt>
                <c:pt idx="4">
                  <c:v>5.6163523692717099E-2</c:v>
                </c:pt>
              </c:numCache>
            </c:numRef>
          </c:val>
          <c:extLst xmlns:c16r2="http://schemas.microsoft.com/office/drawing/2015/06/chart">
            <c:ext xmlns:c16="http://schemas.microsoft.com/office/drawing/2014/chart" uri="{C3380CC4-5D6E-409C-BE32-E72D297353CC}">
              <c16:uniqueId val="{00000008-3B40-457C-8677-BBB357853497}"/>
            </c:ext>
          </c:extLst>
        </c:ser>
        <c:ser>
          <c:idx val="4"/>
          <c:order val="4"/>
          <c:tx>
            <c:strRef>
              <c:f>Sheet1!$A$6</c:f>
              <c:strCache>
                <c:ptCount val="1"/>
                <c:pt idx="0">
                  <c:v>Не сталкивался(-лась)</c:v>
                </c:pt>
              </c:strCache>
            </c:strRef>
          </c:tx>
          <c:spPr>
            <a:solidFill>
              <a:srgbClr val="7F7F7F"/>
            </a:solidFill>
          </c:spPr>
          <c:invertIfNegative val="0"/>
          <c:dLbls>
            <c:dLbl>
              <c:idx val="0"/>
              <c:layout>
                <c:manualLayout>
                  <c:x val="8.602150537634408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B40-457C-8677-BBB357853497}"/>
                </c:ext>
              </c:extLst>
            </c:dLbl>
            <c:dLbl>
              <c:idx val="1"/>
              <c:layout>
                <c:manualLayout>
                  <c:x val="1.0752688172042854E-2"/>
                  <c:y val="-5.1382067117569478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3B40-457C-8677-BBB357853497}"/>
                </c:ext>
              </c:extLst>
            </c:dLbl>
            <c:dLbl>
              <c:idx val="3"/>
              <c:layout>
                <c:manualLayout>
                  <c:x val="8.6021505376344086E-3"/>
                  <c:y val="5.1382067117569478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3B40-457C-8677-BBB357853497}"/>
                </c:ext>
              </c:extLst>
            </c:dLbl>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Sheet1!$B$1:$F$1</c:f>
              <c:strCache>
                <c:ptCount val="5"/>
                <c:pt idx="0">
                  <c:v>Банки</c:v>
                </c:pt>
                <c:pt idx="1">
                  <c:v>Субъекты страхового дела</c:v>
                </c:pt>
                <c:pt idx="2">
                  <c:v>Негосударственные пенсионные фонды</c:v>
                </c:pt>
                <c:pt idx="3">
                  <c:v>Микрофинансовые организации, ломбарды, кредитные потребительские кооперативы и сельскохозяйственные кредитные потребительские кооперативы </c:v>
                </c:pt>
                <c:pt idx="4">
                  <c:v>Брокеры</c:v>
                </c:pt>
              </c:strCache>
            </c:strRef>
          </c:cat>
          <c:val>
            <c:numRef>
              <c:f>Sheet1!$B$6:$F$6</c:f>
              <c:numCache>
                <c:formatCode>0%</c:formatCode>
                <c:ptCount val="5"/>
                <c:pt idx="0">
                  <c:v>0.12908434331375901</c:v>
                </c:pt>
                <c:pt idx="1">
                  <c:v>0.51298109447370399</c:v>
                </c:pt>
                <c:pt idx="2">
                  <c:v>0.60658620342601099</c:v>
                </c:pt>
                <c:pt idx="3">
                  <c:v>0.64816745857768698</c:v>
                </c:pt>
                <c:pt idx="4">
                  <c:v>0.76073129736309697</c:v>
                </c:pt>
              </c:numCache>
            </c:numRef>
          </c:val>
          <c:extLst xmlns:c16r2="http://schemas.microsoft.com/office/drawing/2015/06/chart">
            <c:ext xmlns:c16="http://schemas.microsoft.com/office/drawing/2014/chart" uri="{C3380CC4-5D6E-409C-BE32-E72D297353CC}">
              <c16:uniqueId val="{0000000C-3B40-457C-8677-BBB357853497}"/>
            </c:ext>
          </c:extLst>
        </c:ser>
        <c:dLbls>
          <c:showLegendKey val="0"/>
          <c:showVal val="0"/>
          <c:showCatName val="0"/>
          <c:showSerName val="0"/>
          <c:showPercent val="0"/>
          <c:showBubbleSize val="0"/>
        </c:dLbls>
        <c:gapWidth val="105"/>
        <c:overlap val="100"/>
        <c:axId val="150303744"/>
        <c:axId val="79414400"/>
      </c:barChart>
      <c:catAx>
        <c:axId val="150303744"/>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900">
                <a:latin typeface="Times New Roman" panose="02020603050405020304" pitchFamily="18" charset="0"/>
                <a:cs typeface="Times New Roman" panose="02020603050405020304" pitchFamily="18" charset="0"/>
              </a:defRPr>
            </a:pPr>
            <a:endParaRPr lang="ru-RU"/>
          </a:p>
        </c:txPr>
        <c:crossAx val="79414400"/>
        <c:crosses val="autoZero"/>
        <c:auto val="1"/>
        <c:lblAlgn val="ctr"/>
        <c:lblOffset val="100"/>
        <c:noMultiLvlLbl val="1"/>
      </c:catAx>
      <c:valAx>
        <c:axId val="79414400"/>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150303744"/>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2.3505143985577626E-2"/>
          <c:y val="0.88713536444616747"/>
          <c:w val="0.97492021433340537"/>
          <c:h val="0.10880516339951889"/>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451671240264452"/>
          <c:y val="1.7822881701540297E-2"/>
          <c:w val="0.69992984189803098"/>
          <c:h val="0.83900944966148894"/>
        </c:manualLayout>
      </c:layout>
      <c:barChart>
        <c:barDir val="bar"/>
        <c:grouping val="percentStacked"/>
        <c:varyColors val="0"/>
        <c:ser>
          <c:idx val="0"/>
          <c:order val="0"/>
          <c:tx>
            <c:strRef>
              <c:f>Sheet1!$A$2</c:f>
              <c:strCache>
                <c:ptCount val="1"/>
                <c:pt idx="0">
                  <c:v>Полностью удовлетворен(-а)</c:v>
                </c:pt>
              </c:strCache>
            </c:strRef>
          </c:tx>
          <c:spPr>
            <a:solidFill>
              <a:srgbClr val="70AD47">
                <a:lumMod val="75000"/>
              </a:srgbClr>
            </a:solidFill>
            <a:ln w="9525" cap="flat">
              <a:noFill/>
              <a:prstDash val="solid"/>
              <a:round/>
            </a:ln>
            <a:effectLst/>
          </c:spPr>
          <c:invertIfNegative val="0"/>
          <c:dLbls>
            <c:dLbl>
              <c:idx val="1"/>
              <c:layout>
                <c:manualLayout>
                  <c:x val="8.202604326873745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43E-468F-90E8-9A8D36523E8A}"/>
                </c:ext>
              </c:extLst>
            </c:dLbl>
            <c:dLbl>
              <c:idx val="2"/>
              <c:layout>
                <c:manualLayout>
                  <c:x val="1.025325540859222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43E-468F-90E8-9A8D36523E8A}"/>
                </c:ext>
              </c:extLst>
            </c:dLbl>
            <c:dLbl>
              <c:idx val="3"/>
              <c:layout>
                <c:manualLayout>
                  <c:x val="1.0253255408592229E-2"/>
                  <c:y val="1.6851826113853655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43E-468F-90E8-9A8D36523E8A}"/>
                </c:ext>
              </c:extLst>
            </c:dLbl>
            <c:dLbl>
              <c:idx val="4"/>
              <c:layout>
                <c:manualLayout>
                  <c:x val="1.0253255408592229E-2"/>
                  <c:y val="1.6851826106006413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43E-468F-90E8-9A8D36523E8A}"/>
                </c:ext>
              </c:extLst>
            </c:dLbl>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Sheet1!$B$1:$F$1</c:f>
              <c:strCache>
                <c:ptCount val="5"/>
                <c:pt idx="0">
                  <c:v>Банки</c:v>
                </c:pt>
                <c:pt idx="1">
                  <c:v>Субъекты страхового дела</c:v>
                </c:pt>
                <c:pt idx="2">
                  <c:v>Брокеры</c:v>
                </c:pt>
                <c:pt idx="3">
                  <c:v>Микрофинансовые организации, ломбарды, кредитные потребительские кооперативы и сельскохозяйственные кредитные потребительские кооперативы </c:v>
                </c:pt>
                <c:pt idx="4">
                  <c:v>Негосударственные пенсионные фонды</c:v>
                </c:pt>
              </c:strCache>
            </c:strRef>
          </c:cat>
          <c:val>
            <c:numRef>
              <c:f>Sheet1!$B$2:$F$2</c:f>
              <c:numCache>
                <c:formatCode>0%</c:formatCode>
                <c:ptCount val="5"/>
                <c:pt idx="0">
                  <c:v>0.138661078520217</c:v>
                </c:pt>
                <c:pt idx="1">
                  <c:v>8.0769477344123694E-2</c:v>
                </c:pt>
                <c:pt idx="2">
                  <c:v>0.10079567004640699</c:v>
                </c:pt>
                <c:pt idx="3">
                  <c:v>7.7441713285327993E-2</c:v>
                </c:pt>
                <c:pt idx="4">
                  <c:v>8.6470110666374E-2</c:v>
                </c:pt>
              </c:numCache>
            </c:numRef>
          </c:val>
          <c:extLst xmlns:c16r2="http://schemas.microsoft.com/office/drawing/2015/06/chart">
            <c:ext xmlns:c16="http://schemas.microsoft.com/office/drawing/2014/chart" uri="{C3380CC4-5D6E-409C-BE32-E72D297353CC}">
              <c16:uniqueId val="{00000004-143E-468F-90E8-9A8D36523E8A}"/>
            </c:ext>
          </c:extLst>
        </c:ser>
        <c:ser>
          <c:idx val="1"/>
          <c:order val="1"/>
          <c:tx>
            <c:strRef>
              <c:f>Sheet1!$A$3</c:f>
              <c:strCache>
                <c:ptCount val="1"/>
                <c:pt idx="0">
                  <c:v>Скорее удовлетворен(-а)</c:v>
                </c:pt>
              </c:strCache>
            </c:strRef>
          </c:tx>
          <c:spPr>
            <a:solidFill>
              <a:srgbClr val="70AD47">
                <a:lumMod val="60000"/>
                <a:lumOff val="40000"/>
              </a:srgbClr>
            </a:solidFill>
            <a:ln w="9525" cap="flat">
              <a:noFill/>
              <a:prstDash val="solid"/>
              <a:round/>
            </a:ln>
            <a:effectLst/>
          </c:spPr>
          <c:invertIfNegative val="0"/>
          <c:dLbls>
            <c:dLbl>
              <c:idx val="2"/>
              <c:layout>
                <c:manualLayout>
                  <c:x val="8.202604326873745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43E-468F-90E8-9A8D36523E8A}"/>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Sheet1!$B$1:$F$1</c:f>
              <c:strCache>
                <c:ptCount val="5"/>
                <c:pt idx="0">
                  <c:v>Банки</c:v>
                </c:pt>
                <c:pt idx="1">
                  <c:v>Субъекты страхового дела</c:v>
                </c:pt>
                <c:pt idx="2">
                  <c:v>Брокеры</c:v>
                </c:pt>
                <c:pt idx="3">
                  <c:v>Микрофинансовые организации, ломбарды, кредитные потребительские кооперативы и сельскохозяйственные кредитные потребительские кооперативы </c:v>
                </c:pt>
                <c:pt idx="4">
                  <c:v>Негосударственные пенсионные фонды</c:v>
                </c:pt>
              </c:strCache>
            </c:strRef>
          </c:cat>
          <c:val>
            <c:numRef>
              <c:f>Sheet1!$B$3:$F$3</c:f>
              <c:numCache>
                <c:formatCode>0%</c:formatCode>
                <c:ptCount val="5"/>
                <c:pt idx="0">
                  <c:v>0.54125728912405902</c:v>
                </c:pt>
                <c:pt idx="1">
                  <c:v>0.57604053321867699</c:v>
                </c:pt>
                <c:pt idx="2">
                  <c:v>0.37589467948157596</c:v>
                </c:pt>
                <c:pt idx="3">
                  <c:v>0.39415184106390599</c:v>
                </c:pt>
                <c:pt idx="4">
                  <c:v>0.36188943298108001</c:v>
                </c:pt>
              </c:numCache>
            </c:numRef>
          </c:val>
          <c:extLst xmlns:c16r2="http://schemas.microsoft.com/office/drawing/2015/06/chart">
            <c:ext xmlns:c16="http://schemas.microsoft.com/office/drawing/2014/chart" uri="{C3380CC4-5D6E-409C-BE32-E72D297353CC}">
              <c16:uniqueId val="{00000006-143E-468F-90E8-9A8D36523E8A}"/>
            </c:ext>
          </c:extLst>
        </c:ser>
        <c:ser>
          <c:idx val="2"/>
          <c:order val="2"/>
          <c:tx>
            <c:strRef>
              <c:f>Sheet1!$A$4</c:f>
              <c:strCache>
                <c:ptCount val="1"/>
                <c:pt idx="0">
                  <c:v>Скорее НЕ удовлетворен(-а)</c:v>
                </c:pt>
              </c:strCache>
            </c:strRef>
          </c:tx>
          <c:spPr>
            <a:solidFill>
              <a:srgbClr val="D97A8D"/>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Sheet1!$B$1:$F$1</c:f>
              <c:strCache>
                <c:ptCount val="5"/>
                <c:pt idx="0">
                  <c:v>Банки</c:v>
                </c:pt>
                <c:pt idx="1">
                  <c:v>Субъекты страхового дела</c:v>
                </c:pt>
                <c:pt idx="2">
                  <c:v>Брокеры</c:v>
                </c:pt>
                <c:pt idx="3">
                  <c:v>Микрофинансовые организации, ломбарды, кредитные потребительские кооперативы и сельскохозяйственные кредитные потребительские кооперативы </c:v>
                </c:pt>
                <c:pt idx="4">
                  <c:v>Негосударственные пенсионные фонды</c:v>
                </c:pt>
              </c:strCache>
            </c:strRef>
          </c:cat>
          <c:val>
            <c:numRef>
              <c:f>Sheet1!$B$4:$F$4</c:f>
              <c:numCache>
                <c:formatCode>0%</c:formatCode>
                <c:ptCount val="5"/>
                <c:pt idx="0">
                  <c:v>0.22985753970616901</c:v>
                </c:pt>
                <c:pt idx="1">
                  <c:v>0.21709435746682199</c:v>
                </c:pt>
                <c:pt idx="2">
                  <c:v>0.28857972936759901</c:v>
                </c:pt>
                <c:pt idx="3">
                  <c:v>0.32844322107887003</c:v>
                </c:pt>
                <c:pt idx="4">
                  <c:v>0.37001244867730099</c:v>
                </c:pt>
              </c:numCache>
            </c:numRef>
          </c:val>
          <c:extLst xmlns:c16r2="http://schemas.microsoft.com/office/drawing/2015/06/chart">
            <c:ext xmlns:c16="http://schemas.microsoft.com/office/drawing/2014/chart" uri="{C3380CC4-5D6E-409C-BE32-E72D297353CC}">
              <c16:uniqueId val="{00000007-143E-468F-90E8-9A8D36523E8A}"/>
            </c:ext>
          </c:extLst>
        </c:ser>
        <c:ser>
          <c:idx val="3"/>
          <c:order val="3"/>
          <c:tx>
            <c:strRef>
              <c:f>Sheet1!$A$5</c:f>
              <c:strCache>
                <c:ptCount val="1"/>
                <c:pt idx="0">
                  <c:v>Полностью НЕ удовлетворен(-а)</c:v>
                </c:pt>
              </c:strCache>
            </c:strRef>
          </c:tx>
          <c:spPr>
            <a:solidFill>
              <a:srgbClr val="59221B"/>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Sheet1!$B$1:$F$1</c:f>
              <c:strCache>
                <c:ptCount val="5"/>
                <c:pt idx="0">
                  <c:v>Банки</c:v>
                </c:pt>
                <c:pt idx="1">
                  <c:v>Субъекты страхового дела</c:v>
                </c:pt>
                <c:pt idx="2">
                  <c:v>Брокеры</c:v>
                </c:pt>
                <c:pt idx="3">
                  <c:v>Микрофинансовые организации, ломбарды, кредитные потребительские кооперативы и сельскохозяйственные кредитные потребительские кооперативы </c:v>
                </c:pt>
                <c:pt idx="4">
                  <c:v>Негосударственные пенсионные фонды</c:v>
                </c:pt>
              </c:strCache>
            </c:strRef>
          </c:cat>
          <c:val>
            <c:numRef>
              <c:f>Sheet1!$B$5:$F$5</c:f>
              <c:numCache>
                <c:formatCode>0%</c:formatCode>
                <c:ptCount val="5"/>
                <c:pt idx="0">
                  <c:v>9.0224092649556498E-2</c:v>
                </c:pt>
                <c:pt idx="1">
                  <c:v>0.12609563197037502</c:v>
                </c:pt>
                <c:pt idx="2">
                  <c:v>0.23472992110441598</c:v>
                </c:pt>
                <c:pt idx="3">
                  <c:v>0.199963224571895</c:v>
                </c:pt>
                <c:pt idx="4">
                  <c:v>0.18162800767524298</c:v>
                </c:pt>
              </c:numCache>
            </c:numRef>
          </c:val>
          <c:extLst xmlns:c16r2="http://schemas.microsoft.com/office/drawing/2015/06/chart">
            <c:ext xmlns:c16="http://schemas.microsoft.com/office/drawing/2014/chart" uri="{C3380CC4-5D6E-409C-BE32-E72D297353CC}">
              <c16:uniqueId val="{00000008-143E-468F-90E8-9A8D36523E8A}"/>
            </c:ext>
          </c:extLst>
        </c:ser>
        <c:dLbls>
          <c:showLegendKey val="0"/>
          <c:showVal val="0"/>
          <c:showCatName val="0"/>
          <c:showSerName val="0"/>
          <c:showPercent val="0"/>
          <c:showBubbleSize val="0"/>
        </c:dLbls>
        <c:gapWidth val="105"/>
        <c:overlap val="100"/>
        <c:axId val="150556160"/>
        <c:axId val="79413248"/>
      </c:barChart>
      <c:catAx>
        <c:axId val="150556160"/>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900">
                <a:latin typeface="Times New Roman" panose="02020603050405020304" pitchFamily="18" charset="0"/>
                <a:cs typeface="Times New Roman" panose="02020603050405020304" pitchFamily="18" charset="0"/>
              </a:defRPr>
            </a:pPr>
            <a:endParaRPr lang="ru-RU"/>
          </a:p>
        </c:txPr>
        <c:crossAx val="79413248"/>
        <c:crosses val="autoZero"/>
        <c:auto val="1"/>
        <c:lblAlgn val="ctr"/>
        <c:lblOffset val="100"/>
        <c:noMultiLvlLbl val="1"/>
      </c:catAx>
      <c:valAx>
        <c:axId val="79413248"/>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150556160"/>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1.9403841822140722E-2"/>
          <c:y val="0.87581670268744494"/>
          <c:w val="0.97492021433340537"/>
          <c:h val="0.10880516339951889"/>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451671240264452"/>
          <c:y val="1.7822881701540297E-2"/>
          <c:w val="0.69992984189803098"/>
          <c:h val="0.8606732854045418"/>
        </c:manualLayout>
      </c:layout>
      <c:barChart>
        <c:barDir val="bar"/>
        <c:grouping val="percentStacked"/>
        <c:varyColors val="0"/>
        <c:ser>
          <c:idx val="0"/>
          <c:order val="0"/>
          <c:tx>
            <c:strRef>
              <c:f>Sheet1!$A$2</c:f>
              <c:strCache>
                <c:ptCount val="1"/>
                <c:pt idx="0">
                  <c:v>Полностью удовлетворен(-а)</c:v>
                </c:pt>
              </c:strCache>
            </c:strRef>
          </c:tx>
          <c:spPr>
            <a:solidFill>
              <a:srgbClr val="70AD47">
                <a:lumMod val="75000"/>
              </a:srgbClr>
            </a:solidFill>
            <a:ln w="9525" cap="flat">
              <a:noFill/>
              <a:prstDash val="solid"/>
              <a:round/>
            </a:ln>
            <a:effectLst/>
          </c:spPr>
          <c:invertIfNegative val="0"/>
          <c:dLbls>
            <c:dLbl>
              <c:idx val="2"/>
              <c:layout>
                <c:manualLayout>
                  <c:x val="1.0253255408592229E-2"/>
                  <c:y val="1.6851826106006413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6E5-4F5D-930F-152011C5FD82}"/>
                </c:ext>
              </c:extLst>
            </c:dLbl>
            <c:dLbl>
              <c:idx val="3"/>
              <c:layout>
                <c:manualLayout>
                  <c:x val="1.0253255408592229E-2"/>
                  <c:y val="1.6851826113853655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6E5-4F5D-930F-152011C5FD82}"/>
                </c:ext>
              </c:extLst>
            </c:dLbl>
            <c:dLbl>
              <c:idx val="4"/>
              <c:layout>
                <c:manualLayout>
                  <c:x val="1.025325540859222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6E5-4F5D-930F-152011C5FD82}"/>
                </c:ext>
              </c:extLst>
            </c:dLbl>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Sheet1!$B$1:$F$1</c:f>
              <c:strCache>
                <c:ptCount val="5"/>
                <c:pt idx="0">
                  <c:v>Банки</c:v>
                </c:pt>
                <c:pt idx="1">
                  <c:v>Субъекты страхового дела</c:v>
                </c:pt>
                <c:pt idx="2">
                  <c:v>Микрофинансовые организации, ломбарды, кредитные потребительские кооперативы и сельскохозяйственные кредитные потребительские кооперативы </c:v>
                </c:pt>
                <c:pt idx="3">
                  <c:v>Негосударственные пенсионные фонды</c:v>
                </c:pt>
                <c:pt idx="4">
                  <c:v>Брокеры</c:v>
                </c:pt>
              </c:strCache>
            </c:strRef>
          </c:cat>
          <c:val>
            <c:numRef>
              <c:f>Sheet1!$B$2:$F$2</c:f>
              <c:numCache>
                <c:formatCode>0%</c:formatCode>
                <c:ptCount val="5"/>
                <c:pt idx="0">
                  <c:v>0.11798345200320201</c:v>
                </c:pt>
                <c:pt idx="1">
                  <c:v>3.8697782261130298E-2</c:v>
                </c:pt>
                <c:pt idx="2">
                  <c:v>5.3292575818004201E-2</c:v>
                </c:pt>
                <c:pt idx="3">
                  <c:v>3.5729694133927098E-2</c:v>
                </c:pt>
                <c:pt idx="4">
                  <c:v>3.17964379709871E-2</c:v>
                </c:pt>
              </c:numCache>
            </c:numRef>
          </c:val>
          <c:extLst xmlns:c16r2="http://schemas.microsoft.com/office/drawing/2015/06/chart">
            <c:ext xmlns:c16="http://schemas.microsoft.com/office/drawing/2014/chart" uri="{C3380CC4-5D6E-409C-BE32-E72D297353CC}">
              <c16:uniqueId val="{00000003-C6E5-4F5D-930F-152011C5FD82}"/>
            </c:ext>
          </c:extLst>
        </c:ser>
        <c:ser>
          <c:idx val="1"/>
          <c:order val="1"/>
          <c:tx>
            <c:strRef>
              <c:f>Sheet1!$A$3</c:f>
              <c:strCache>
                <c:ptCount val="1"/>
                <c:pt idx="0">
                  <c:v>Скорее удовлетворен(-а)</c:v>
                </c:pt>
              </c:strCache>
            </c:strRef>
          </c:tx>
          <c:spPr>
            <a:solidFill>
              <a:srgbClr val="70AD47">
                <a:lumMod val="60000"/>
                <a:lumOff val="40000"/>
              </a:srgbClr>
            </a:solidFill>
            <a:ln w="9525" cap="flat">
              <a:noFill/>
              <a:prstDash val="solid"/>
              <a:round/>
            </a:ln>
            <a:effectLst/>
          </c:spPr>
          <c:invertIfNegative val="0"/>
          <c:dLbls>
            <c:dLbl>
              <c:idx val="4"/>
              <c:layout>
                <c:manualLayout>
                  <c:x val="8.202604326873745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6E5-4F5D-930F-152011C5FD82}"/>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Sheet1!$B$1:$F$1</c:f>
              <c:strCache>
                <c:ptCount val="5"/>
                <c:pt idx="0">
                  <c:v>Банки</c:v>
                </c:pt>
                <c:pt idx="1">
                  <c:v>Субъекты страхового дела</c:v>
                </c:pt>
                <c:pt idx="2">
                  <c:v>Микрофинансовые организации, ломбарды, кредитные потребительские кооперативы и сельскохозяйственные кредитные потребительские кооперативы </c:v>
                </c:pt>
                <c:pt idx="3">
                  <c:v>Негосударственные пенсионные фонды</c:v>
                </c:pt>
                <c:pt idx="4">
                  <c:v>Брокеры</c:v>
                </c:pt>
              </c:strCache>
            </c:strRef>
          </c:cat>
          <c:val>
            <c:numRef>
              <c:f>Sheet1!$B$3:$F$3</c:f>
              <c:numCache>
                <c:formatCode>0%</c:formatCode>
                <c:ptCount val="5"/>
                <c:pt idx="0">
                  <c:v>0.50266326569723507</c:v>
                </c:pt>
                <c:pt idx="1">
                  <c:v>0.27974928249036002</c:v>
                </c:pt>
                <c:pt idx="2">
                  <c:v>0.14461617912387201</c:v>
                </c:pt>
                <c:pt idx="3">
                  <c:v>0.15478106891202201</c:v>
                </c:pt>
                <c:pt idx="4">
                  <c:v>9.6208774538712613E-2</c:v>
                </c:pt>
              </c:numCache>
            </c:numRef>
          </c:val>
          <c:extLst xmlns:c16r2="http://schemas.microsoft.com/office/drawing/2015/06/chart">
            <c:ext xmlns:c16="http://schemas.microsoft.com/office/drawing/2014/chart" uri="{C3380CC4-5D6E-409C-BE32-E72D297353CC}">
              <c16:uniqueId val="{00000005-C6E5-4F5D-930F-152011C5FD82}"/>
            </c:ext>
          </c:extLst>
        </c:ser>
        <c:ser>
          <c:idx val="2"/>
          <c:order val="2"/>
          <c:tx>
            <c:strRef>
              <c:f>Sheet1!$A$4</c:f>
              <c:strCache>
                <c:ptCount val="1"/>
                <c:pt idx="0">
                  <c:v>Скорее НЕ удовлетворен(-а)</c:v>
                </c:pt>
              </c:strCache>
            </c:strRef>
          </c:tx>
          <c:spPr>
            <a:solidFill>
              <a:srgbClr val="D97A8D"/>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Sheet1!$B$1:$F$1</c:f>
              <c:strCache>
                <c:ptCount val="5"/>
                <c:pt idx="0">
                  <c:v>Банки</c:v>
                </c:pt>
                <c:pt idx="1">
                  <c:v>Субъекты страхового дела</c:v>
                </c:pt>
                <c:pt idx="2">
                  <c:v>Микрофинансовые организации, ломбарды, кредитные потребительские кооперативы и сельскохозяйственные кредитные потребительские кооперативы </c:v>
                </c:pt>
                <c:pt idx="3">
                  <c:v>Негосударственные пенсионные фонды</c:v>
                </c:pt>
                <c:pt idx="4">
                  <c:v>Брокеры</c:v>
                </c:pt>
              </c:strCache>
            </c:strRef>
          </c:cat>
          <c:val>
            <c:numRef>
              <c:f>Sheet1!$B$4:$F$4</c:f>
              <c:numCache>
                <c:formatCode>0%</c:formatCode>
                <c:ptCount val="5"/>
                <c:pt idx="0">
                  <c:v>0.20302219768719901</c:v>
                </c:pt>
                <c:pt idx="1">
                  <c:v>0.115648410871769</c:v>
                </c:pt>
                <c:pt idx="2">
                  <c:v>0.10587668865357899</c:v>
                </c:pt>
                <c:pt idx="3">
                  <c:v>0.140632227375104</c:v>
                </c:pt>
                <c:pt idx="4">
                  <c:v>8.2740903019226111E-2</c:v>
                </c:pt>
              </c:numCache>
            </c:numRef>
          </c:val>
          <c:extLst xmlns:c16r2="http://schemas.microsoft.com/office/drawing/2015/06/chart">
            <c:ext xmlns:c16="http://schemas.microsoft.com/office/drawing/2014/chart" uri="{C3380CC4-5D6E-409C-BE32-E72D297353CC}">
              <c16:uniqueId val="{00000006-C6E5-4F5D-930F-152011C5FD82}"/>
            </c:ext>
          </c:extLst>
        </c:ser>
        <c:ser>
          <c:idx val="3"/>
          <c:order val="3"/>
          <c:tx>
            <c:strRef>
              <c:f>Sheet1!$A$5</c:f>
              <c:strCache>
                <c:ptCount val="1"/>
                <c:pt idx="0">
                  <c:v>Полностью НЕ удовлетворен(-а)</c:v>
                </c:pt>
              </c:strCache>
            </c:strRef>
          </c:tx>
          <c:spPr>
            <a:solidFill>
              <a:srgbClr val="59221B"/>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Sheet1!$B$1:$F$1</c:f>
              <c:strCache>
                <c:ptCount val="5"/>
                <c:pt idx="0">
                  <c:v>Банки</c:v>
                </c:pt>
                <c:pt idx="1">
                  <c:v>Субъекты страхового дела</c:v>
                </c:pt>
                <c:pt idx="2">
                  <c:v>Микрофинансовые организации, ломбарды, кредитные потребительские кооперативы и сельскохозяйственные кредитные потребительские кооперативы </c:v>
                </c:pt>
                <c:pt idx="3">
                  <c:v>Негосударственные пенсионные фонды</c:v>
                </c:pt>
                <c:pt idx="4">
                  <c:v>Брокеры</c:v>
                </c:pt>
              </c:strCache>
            </c:strRef>
          </c:cat>
          <c:val>
            <c:numRef>
              <c:f>Sheet1!$B$5:$F$5</c:f>
              <c:numCache>
                <c:formatCode>0%</c:formatCode>
                <c:ptCount val="5"/>
                <c:pt idx="0">
                  <c:v>8.1254931704374714E-2</c:v>
                </c:pt>
                <c:pt idx="1">
                  <c:v>4.8276171431839196E-2</c:v>
                </c:pt>
                <c:pt idx="2">
                  <c:v>6.9457684048887691E-2</c:v>
                </c:pt>
                <c:pt idx="3">
                  <c:v>8.9147013546918799E-2</c:v>
                </c:pt>
                <c:pt idx="4">
                  <c:v>5.28387061738829E-2</c:v>
                </c:pt>
              </c:numCache>
            </c:numRef>
          </c:val>
          <c:extLst xmlns:c16r2="http://schemas.microsoft.com/office/drawing/2015/06/chart">
            <c:ext xmlns:c16="http://schemas.microsoft.com/office/drawing/2014/chart" uri="{C3380CC4-5D6E-409C-BE32-E72D297353CC}">
              <c16:uniqueId val="{00000007-C6E5-4F5D-930F-152011C5FD82}"/>
            </c:ext>
          </c:extLst>
        </c:ser>
        <c:ser>
          <c:idx val="4"/>
          <c:order val="4"/>
          <c:tx>
            <c:strRef>
              <c:f>Sheet1!$A$6</c:f>
              <c:strCache>
                <c:ptCount val="1"/>
                <c:pt idx="0">
                  <c:v>Не сталкивался(-лась)</c:v>
                </c:pt>
              </c:strCache>
            </c:strRef>
          </c:tx>
          <c:spPr>
            <a:solidFill>
              <a:srgbClr val="7F7F7F"/>
            </a:solidFill>
          </c:spPr>
          <c:invertIfNegative val="0"/>
          <c:dLbls>
            <c:dLbl>
              <c:idx val="0"/>
              <c:layout>
                <c:manualLayout>
                  <c:x val="8.602150537634408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6E5-4F5D-930F-152011C5FD82}"/>
                </c:ext>
              </c:extLst>
            </c:dLbl>
            <c:dLbl>
              <c:idx val="1"/>
              <c:layout>
                <c:manualLayout>
                  <c:x val="1.0752688172042854E-2"/>
                  <c:y val="-5.1382067117569478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6E5-4F5D-930F-152011C5FD82}"/>
                </c:ext>
              </c:extLst>
            </c:dLbl>
            <c:dLbl>
              <c:idx val="3"/>
              <c:layout>
                <c:manualLayout>
                  <c:x val="8.6021505376344086E-3"/>
                  <c:y val="5.1382067117569478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6E5-4F5D-930F-152011C5FD82}"/>
                </c:ext>
              </c:extLst>
            </c:dLbl>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Sheet1!$B$1:$F$1</c:f>
              <c:strCache>
                <c:ptCount val="5"/>
                <c:pt idx="0">
                  <c:v>Банки</c:v>
                </c:pt>
                <c:pt idx="1">
                  <c:v>Субъекты страхового дела</c:v>
                </c:pt>
                <c:pt idx="2">
                  <c:v>Микрофинансовые организации, ломбарды, кредитные потребительские кооперативы и сельскохозяйственные кредитные потребительские кооперативы </c:v>
                </c:pt>
                <c:pt idx="3">
                  <c:v>Негосударственные пенсионные фонды</c:v>
                </c:pt>
                <c:pt idx="4">
                  <c:v>Брокеры</c:v>
                </c:pt>
              </c:strCache>
            </c:strRef>
          </c:cat>
          <c:val>
            <c:numRef>
              <c:f>Sheet1!$B$6:$F$6</c:f>
              <c:numCache>
                <c:formatCode>0%</c:formatCode>
                <c:ptCount val="5"/>
                <c:pt idx="0">
                  <c:v>9.5076152907992512E-2</c:v>
                </c:pt>
                <c:pt idx="1">
                  <c:v>0.51762835294490595</c:v>
                </c:pt>
                <c:pt idx="2">
                  <c:v>0.62675687235566102</c:v>
                </c:pt>
                <c:pt idx="3">
                  <c:v>0.57970999603203099</c:v>
                </c:pt>
                <c:pt idx="4">
                  <c:v>0.73641517829719505</c:v>
                </c:pt>
              </c:numCache>
            </c:numRef>
          </c:val>
          <c:extLst xmlns:c16r2="http://schemas.microsoft.com/office/drawing/2015/06/chart">
            <c:ext xmlns:c16="http://schemas.microsoft.com/office/drawing/2014/chart" uri="{C3380CC4-5D6E-409C-BE32-E72D297353CC}">
              <c16:uniqueId val="{0000000B-C6E5-4F5D-930F-152011C5FD82}"/>
            </c:ext>
          </c:extLst>
        </c:ser>
        <c:dLbls>
          <c:showLegendKey val="0"/>
          <c:showVal val="0"/>
          <c:showCatName val="0"/>
          <c:showSerName val="0"/>
          <c:showPercent val="0"/>
          <c:showBubbleSize val="0"/>
        </c:dLbls>
        <c:gapWidth val="105"/>
        <c:overlap val="100"/>
        <c:axId val="150304768"/>
        <c:axId val="79417856"/>
      </c:barChart>
      <c:catAx>
        <c:axId val="150304768"/>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900">
                <a:latin typeface="Times New Roman" panose="02020603050405020304" pitchFamily="18" charset="0"/>
                <a:cs typeface="Times New Roman" panose="02020603050405020304" pitchFamily="18" charset="0"/>
              </a:defRPr>
            </a:pPr>
            <a:endParaRPr lang="ru-RU"/>
          </a:p>
        </c:txPr>
        <c:crossAx val="79417856"/>
        <c:crosses val="autoZero"/>
        <c:auto val="1"/>
        <c:lblAlgn val="ctr"/>
        <c:lblOffset val="100"/>
        <c:noMultiLvlLbl val="1"/>
      </c:catAx>
      <c:valAx>
        <c:axId val="79417856"/>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150304768"/>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7.0999353318300477E-3"/>
          <c:y val="0.88676565187805634"/>
          <c:w val="0.9851734697419976"/>
          <c:h val="9.7856053017527422E-2"/>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451671240264452"/>
          <c:y val="9.5414160186498426E-3"/>
          <c:w val="0.69992984189803098"/>
          <c:h val="0.86895485890350677"/>
        </c:manualLayout>
      </c:layout>
      <c:barChart>
        <c:barDir val="bar"/>
        <c:grouping val="percentStacked"/>
        <c:varyColors val="0"/>
        <c:ser>
          <c:idx val="0"/>
          <c:order val="0"/>
          <c:tx>
            <c:strRef>
              <c:f>Sheet1!$A$2</c:f>
              <c:strCache>
                <c:ptCount val="1"/>
                <c:pt idx="0">
                  <c:v>Полностью удовлетворен(-а)</c:v>
                </c:pt>
              </c:strCache>
            </c:strRef>
          </c:tx>
          <c:spPr>
            <a:solidFill>
              <a:srgbClr val="70AD47">
                <a:lumMod val="75000"/>
              </a:srgbClr>
            </a:solidFill>
            <a:ln w="9525" cap="flat">
              <a:noFill/>
              <a:prstDash val="solid"/>
              <a:round/>
            </a:ln>
            <a:effectLst/>
          </c:spPr>
          <c:invertIfNegative val="0"/>
          <c:dLbls>
            <c:dLbl>
              <c:idx val="1"/>
              <c:layout>
                <c:manualLayout>
                  <c:x val="-4.101302163436891E-3"/>
                  <c:y val="2.1736413385640171E-7"/>
                </c:manualLayout>
              </c:layout>
              <c:spPr>
                <a:noFill/>
                <a:ln>
                  <a:noFill/>
                </a:ln>
                <a:effectLst/>
              </c:spPr>
              <c:txPr>
                <a:bodyPr wrap="square" lIns="38100" tIns="19050" rIns="38100" bIns="19050" anchor="ctr">
                  <a:spAutoFit/>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76F-465C-AC31-19696395D495}"/>
                </c:ext>
              </c:extLst>
            </c:dLbl>
            <c:dLbl>
              <c:idx val="2"/>
              <c:layout>
                <c:manualLayout>
                  <c:x val="1.0253255408592229E-2"/>
                  <c:y val="1.6851826106006413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76F-465C-AC31-19696395D495}"/>
                </c:ext>
              </c:extLst>
            </c:dLbl>
            <c:dLbl>
              <c:idx val="3"/>
              <c:layout>
                <c:manualLayout>
                  <c:x val="1.0253255408592229E-2"/>
                  <c:y val="1.6851826113853655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76F-465C-AC31-19696395D495}"/>
                </c:ext>
              </c:extLst>
            </c:dLbl>
            <c:dLbl>
              <c:idx val="4"/>
              <c:layout>
                <c:manualLayout>
                  <c:x val="-2.0506510817184455E-3"/>
                  <c:y val="4.3472826766219441E-7"/>
                </c:manualLayout>
              </c:layout>
              <c:spPr>
                <a:noFill/>
                <a:ln>
                  <a:noFill/>
                </a:ln>
                <a:effectLst/>
              </c:spPr>
              <c:txPr>
                <a:bodyPr wrap="square" lIns="38100" tIns="19050" rIns="38100" bIns="19050" anchor="ctr">
                  <a:spAutoFit/>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76F-465C-AC31-19696395D495}"/>
                </c:ext>
              </c:extLst>
            </c:dLbl>
            <c:dLbl>
              <c:idx val="5"/>
              <c:spPr>
                <a:noFill/>
                <a:ln>
                  <a:noFill/>
                </a:ln>
                <a:effectLst/>
              </c:spPr>
              <c:txPr>
                <a:bodyPr wrap="square" lIns="38100" tIns="19050" rIns="38100" bIns="19050" anchor="ctr">
                  <a:spAutoFit/>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dLbl>
              <c:idx val="6"/>
              <c:spPr>
                <a:noFill/>
                <a:ln>
                  <a:noFill/>
                </a:ln>
                <a:effectLst/>
              </c:spPr>
              <c:txPr>
                <a:bodyPr wrap="square" lIns="38100" tIns="19050" rIns="38100" bIns="19050" anchor="ctr">
                  <a:spAutoFit/>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dLbl>
              <c:idx val="7"/>
              <c:spPr>
                <a:noFill/>
                <a:ln>
                  <a:noFill/>
                </a:ln>
                <a:effectLst/>
              </c:spPr>
              <c:txPr>
                <a:bodyPr wrap="square" lIns="38100" tIns="19050" rIns="38100" bIns="19050" anchor="ctr">
                  <a:spAutoFit/>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Банки</c:v>
                </c:pt>
                <c:pt idx="1">
                  <c:v>Субъекты страхового дела</c:v>
                </c:pt>
                <c:pt idx="2">
                  <c:v>Негосударственные пенсионные фонды</c:v>
                </c:pt>
                <c:pt idx="3">
                  <c:v>Ломбарды</c:v>
                </c:pt>
                <c:pt idx="4">
                  <c:v>Брокеры</c:v>
                </c:pt>
                <c:pt idx="5">
                  <c:v>Кредитные потребительские кооперативы</c:v>
                </c:pt>
                <c:pt idx="6">
                  <c:v>Микрофинансовые организации</c:v>
                </c:pt>
                <c:pt idx="7">
                  <c:v>Сельскохозяйственные кредитные потребительские кооперативы</c:v>
                </c:pt>
              </c:strCache>
            </c:strRef>
          </c:cat>
          <c:val>
            <c:numRef>
              <c:f>Sheet1!$B$2:$I$2</c:f>
              <c:numCache>
                <c:formatCode>0%</c:formatCode>
                <c:ptCount val="8"/>
                <c:pt idx="0">
                  <c:v>9.1943644084972395E-2</c:v>
                </c:pt>
                <c:pt idx="1">
                  <c:v>2.5631459974103602E-2</c:v>
                </c:pt>
                <c:pt idx="2">
                  <c:v>4.8244596298509003E-2</c:v>
                </c:pt>
                <c:pt idx="3">
                  <c:v>4.0164116618483695E-2</c:v>
                </c:pt>
                <c:pt idx="4">
                  <c:v>2.4162912619250399E-2</c:v>
                </c:pt>
                <c:pt idx="5">
                  <c:v>1.7361967971597201E-2</c:v>
                </c:pt>
                <c:pt idx="6">
                  <c:v>1.92071776514127E-2</c:v>
                </c:pt>
                <c:pt idx="7">
                  <c:v>1.5013894839332E-2</c:v>
                </c:pt>
              </c:numCache>
            </c:numRef>
          </c:val>
          <c:extLst xmlns:c16r2="http://schemas.microsoft.com/office/drawing/2015/06/chart">
            <c:ext xmlns:c16="http://schemas.microsoft.com/office/drawing/2014/chart" uri="{C3380CC4-5D6E-409C-BE32-E72D297353CC}">
              <c16:uniqueId val="{00000007-B76F-465C-AC31-19696395D495}"/>
            </c:ext>
          </c:extLst>
        </c:ser>
        <c:ser>
          <c:idx val="1"/>
          <c:order val="1"/>
          <c:tx>
            <c:strRef>
              <c:f>Sheet1!$A$3</c:f>
              <c:strCache>
                <c:ptCount val="1"/>
                <c:pt idx="0">
                  <c:v>Скорее удовлетворен(-а)</c:v>
                </c:pt>
              </c:strCache>
            </c:strRef>
          </c:tx>
          <c:spPr>
            <a:solidFill>
              <a:srgbClr val="70AD47">
                <a:lumMod val="60000"/>
                <a:lumOff val="40000"/>
              </a:srgbClr>
            </a:solidFill>
            <a:ln w="9525" cap="flat">
              <a:noFill/>
              <a:prstDash val="solid"/>
              <a:round/>
            </a:ln>
            <a:effectLst/>
          </c:spPr>
          <c:invertIfNegative val="0"/>
          <c:dLbls>
            <c:dLbl>
              <c:idx val="4"/>
              <c:layout>
                <c:manualLayout>
                  <c:x val="8.202604326873745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76F-465C-AC31-19696395D495}"/>
                </c:ext>
              </c:extLst>
            </c:dLbl>
            <c:dLbl>
              <c:idx val="7"/>
              <c:layout>
                <c:manualLayout>
                  <c:x val="1.0253255408592191E-2"/>
                  <c:y val="-1.0121806237432044E-1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76F-465C-AC31-19696395D495}"/>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Банки</c:v>
                </c:pt>
                <c:pt idx="1">
                  <c:v>Субъекты страхового дела</c:v>
                </c:pt>
                <c:pt idx="2">
                  <c:v>Негосударственные пенсионные фонды</c:v>
                </c:pt>
                <c:pt idx="3">
                  <c:v>Ломбарды</c:v>
                </c:pt>
                <c:pt idx="4">
                  <c:v>Брокеры</c:v>
                </c:pt>
                <c:pt idx="5">
                  <c:v>Кредитные потребительские кооперативы</c:v>
                </c:pt>
                <c:pt idx="6">
                  <c:v>Микрофинансовые организации</c:v>
                </c:pt>
                <c:pt idx="7">
                  <c:v>Сельскохозяйственные кредитные потребительские кооперативы</c:v>
                </c:pt>
              </c:strCache>
            </c:strRef>
          </c:cat>
          <c:val>
            <c:numRef>
              <c:f>Sheet1!$B$3:$I$3</c:f>
              <c:numCache>
                <c:formatCode>0%</c:formatCode>
                <c:ptCount val="8"/>
                <c:pt idx="0">
                  <c:v>0.61697489586913801</c:v>
                </c:pt>
                <c:pt idx="1">
                  <c:v>0.16851101959481599</c:v>
                </c:pt>
                <c:pt idx="2">
                  <c:v>0.121741032506993</c:v>
                </c:pt>
                <c:pt idx="3">
                  <c:v>9.4117398242255096E-2</c:v>
                </c:pt>
                <c:pt idx="4">
                  <c:v>9.0511989764282305E-2</c:v>
                </c:pt>
                <c:pt idx="5">
                  <c:v>6.5784120485921707E-2</c:v>
                </c:pt>
                <c:pt idx="6">
                  <c:v>5.2779724968888803E-2</c:v>
                </c:pt>
                <c:pt idx="7">
                  <c:v>4.3152302822351496E-2</c:v>
                </c:pt>
              </c:numCache>
            </c:numRef>
          </c:val>
          <c:extLst xmlns:c16r2="http://schemas.microsoft.com/office/drawing/2015/06/chart">
            <c:ext xmlns:c16="http://schemas.microsoft.com/office/drawing/2014/chart" uri="{C3380CC4-5D6E-409C-BE32-E72D297353CC}">
              <c16:uniqueId val="{0000000A-B76F-465C-AC31-19696395D495}"/>
            </c:ext>
          </c:extLst>
        </c:ser>
        <c:ser>
          <c:idx val="2"/>
          <c:order val="2"/>
          <c:tx>
            <c:strRef>
              <c:f>Sheet1!$A$4</c:f>
              <c:strCache>
                <c:ptCount val="1"/>
                <c:pt idx="0">
                  <c:v>Скорее НЕ удовлетворен(-а)</c:v>
                </c:pt>
              </c:strCache>
            </c:strRef>
          </c:tx>
          <c:spPr>
            <a:solidFill>
              <a:srgbClr val="D97A8D"/>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Банки</c:v>
                </c:pt>
                <c:pt idx="1">
                  <c:v>Субъекты страхового дела</c:v>
                </c:pt>
                <c:pt idx="2">
                  <c:v>Негосударственные пенсионные фонды</c:v>
                </c:pt>
                <c:pt idx="3">
                  <c:v>Ломбарды</c:v>
                </c:pt>
                <c:pt idx="4">
                  <c:v>Брокеры</c:v>
                </c:pt>
                <c:pt idx="5">
                  <c:v>Кредитные потребительские кооперативы</c:v>
                </c:pt>
                <c:pt idx="6">
                  <c:v>Микрофинансовые организации</c:v>
                </c:pt>
                <c:pt idx="7">
                  <c:v>Сельскохозяйственные кредитные потребительские кооперативы</c:v>
                </c:pt>
              </c:strCache>
            </c:strRef>
          </c:cat>
          <c:val>
            <c:numRef>
              <c:f>Sheet1!$B$4:$I$4</c:f>
              <c:numCache>
                <c:formatCode>0%</c:formatCode>
                <c:ptCount val="8"/>
                <c:pt idx="0">
                  <c:v>0.14642461758952499</c:v>
                </c:pt>
                <c:pt idx="1">
                  <c:v>9.6735722123659898E-2</c:v>
                </c:pt>
                <c:pt idx="2">
                  <c:v>0.17734470189976601</c:v>
                </c:pt>
                <c:pt idx="3">
                  <c:v>6.14361524288565E-2</c:v>
                </c:pt>
                <c:pt idx="4">
                  <c:v>6.6782351816655303E-2</c:v>
                </c:pt>
                <c:pt idx="5">
                  <c:v>6.8702068377296602E-2</c:v>
                </c:pt>
                <c:pt idx="6">
                  <c:v>7.00354595354966E-2</c:v>
                </c:pt>
                <c:pt idx="7">
                  <c:v>6.5266888655973507E-2</c:v>
                </c:pt>
              </c:numCache>
            </c:numRef>
          </c:val>
          <c:extLst xmlns:c16r2="http://schemas.microsoft.com/office/drawing/2015/06/chart">
            <c:ext xmlns:c16="http://schemas.microsoft.com/office/drawing/2014/chart" uri="{C3380CC4-5D6E-409C-BE32-E72D297353CC}">
              <c16:uniqueId val="{0000000B-B76F-465C-AC31-19696395D495}"/>
            </c:ext>
          </c:extLst>
        </c:ser>
        <c:ser>
          <c:idx val="3"/>
          <c:order val="3"/>
          <c:tx>
            <c:strRef>
              <c:f>Sheet1!$A$5</c:f>
              <c:strCache>
                <c:ptCount val="1"/>
                <c:pt idx="0">
                  <c:v>Полностью НЕ удовлетворен(-а)</c:v>
                </c:pt>
              </c:strCache>
            </c:strRef>
          </c:tx>
          <c:spPr>
            <a:solidFill>
              <a:srgbClr val="59221B"/>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Банки</c:v>
                </c:pt>
                <c:pt idx="1">
                  <c:v>Субъекты страхового дела</c:v>
                </c:pt>
                <c:pt idx="2">
                  <c:v>Негосударственные пенсионные фонды</c:v>
                </c:pt>
                <c:pt idx="3">
                  <c:v>Ломбарды</c:v>
                </c:pt>
                <c:pt idx="4">
                  <c:v>Брокеры</c:v>
                </c:pt>
                <c:pt idx="5">
                  <c:v>Кредитные потребительские кооперативы</c:v>
                </c:pt>
                <c:pt idx="6">
                  <c:v>Микрофинансовые организации</c:v>
                </c:pt>
                <c:pt idx="7">
                  <c:v>Сельскохозяйственные кредитные потребительские кооперативы</c:v>
                </c:pt>
              </c:strCache>
            </c:strRef>
          </c:cat>
          <c:val>
            <c:numRef>
              <c:f>Sheet1!$B$5:$I$5</c:f>
              <c:numCache>
                <c:formatCode>0%</c:formatCode>
                <c:ptCount val="8"/>
                <c:pt idx="0">
                  <c:v>3.8609233702805897E-2</c:v>
                </c:pt>
                <c:pt idx="1">
                  <c:v>3.6524075004681002E-2</c:v>
                </c:pt>
                <c:pt idx="2">
                  <c:v>2.8278765668838898E-2</c:v>
                </c:pt>
                <c:pt idx="3">
                  <c:v>4.22484335207753E-2</c:v>
                </c:pt>
                <c:pt idx="4">
                  <c:v>4.7179042496948903E-2</c:v>
                </c:pt>
                <c:pt idx="5">
                  <c:v>4.2713409365728802E-2</c:v>
                </c:pt>
                <c:pt idx="6">
                  <c:v>9.4857116786347812E-2</c:v>
                </c:pt>
                <c:pt idx="7">
                  <c:v>3.10934954127241E-2</c:v>
                </c:pt>
              </c:numCache>
            </c:numRef>
          </c:val>
          <c:extLst xmlns:c16r2="http://schemas.microsoft.com/office/drawing/2015/06/chart">
            <c:ext xmlns:c16="http://schemas.microsoft.com/office/drawing/2014/chart" uri="{C3380CC4-5D6E-409C-BE32-E72D297353CC}">
              <c16:uniqueId val="{0000000C-B76F-465C-AC31-19696395D495}"/>
            </c:ext>
          </c:extLst>
        </c:ser>
        <c:ser>
          <c:idx val="4"/>
          <c:order val="4"/>
          <c:tx>
            <c:strRef>
              <c:f>Sheet1!$A$6</c:f>
              <c:strCache>
                <c:ptCount val="1"/>
                <c:pt idx="0">
                  <c:v>Не сталкивался(-лась)</c:v>
                </c:pt>
              </c:strCache>
            </c:strRef>
          </c:tx>
          <c:spPr>
            <a:solidFill>
              <a:srgbClr val="7F7F7F"/>
            </a:solidFill>
          </c:spPr>
          <c:invertIfNegative val="0"/>
          <c:dLbls>
            <c:dLbl>
              <c:idx val="0"/>
              <c:layout>
                <c:manualLayout>
                  <c:x val="8.602150537634408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B76F-465C-AC31-19696395D495}"/>
                </c:ext>
              </c:extLst>
            </c:dLbl>
            <c:dLbl>
              <c:idx val="1"/>
              <c:layout>
                <c:manualLayout>
                  <c:x val="1.0752688172042854E-2"/>
                  <c:y val="-5.1382067117569478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B76F-465C-AC31-19696395D495}"/>
                </c:ext>
              </c:extLst>
            </c:dLbl>
            <c:dLbl>
              <c:idx val="3"/>
              <c:layout>
                <c:manualLayout>
                  <c:x val="8.6021505376344086E-3"/>
                  <c:y val="5.1382067117569478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B76F-465C-AC31-19696395D495}"/>
                </c:ext>
              </c:extLst>
            </c:dLbl>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Банки</c:v>
                </c:pt>
                <c:pt idx="1">
                  <c:v>Субъекты страхового дела</c:v>
                </c:pt>
                <c:pt idx="2">
                  <c:v>Негосударственные пенсионные фонды</c:v>
                </c:pt>
                <c:pt idx="3">
                  <c:v>Ломбарды</c:v>
                </c:pt>
                <c:pt idx="4">
                  <c:v>Брокеры</c:v>
                </c:pt>
                <c:pt idx="5">
                  <c:v>Кредитные потребительские кооперативы</c:v>
                </c:pt>
                <c:pt idx="6">
                  <c:v>Микрофинансовые организации</c:v>
                </c:pt>
                <c:pt idx="7">
                  <c:v>Сельскохозяйственные кредитные потребительские кооперативы</c:v>
                </c:pt>
              </c:strCache>
            </c:strRef>
          </c:cat>
          <c:val>
            <c:numRef>
              <c:f>Sheet1!$B$6:$I$6</c:f>
              <c:numCache>
                <c:formatCode>0%</c:formatCode>
                <c:ptCount val="8"/>
                <c:pt idx="0">
                  <c:v>0.10604760875356201</c:v>
                </c:pt>
                <c:pt idx="1">
                  <c:v>0.67259772330274303</c:v>
                </c:pt>
                <c:pt idx="2">
                  <c:v>0.624390903625897</c:v>
                </c:pt>
                <c:pt idx="3">
                  <c:v>0.76203389918963393</c:v>
                </c:pt>
                <c:pt idx="4">
                  <c:v>0.77136370330286697</c:v>
                </c:pt>
                <c:pt idx="5">
                  <c:v>0.80543843379946001</c:v>
                </c:pt>
                <c:pt idx="6">
                  <c:v>0.76312052105785799</c:v>
                </c:pt>
                <c:pt idx="7">
                  <c:v>0.84547341826962297</c:v>
                </c:pt>
              </c:numCache>
            </c:numRef>
          </c:val>
          <c:extLst xmlns:c16r2="http://schemas.microsoft.com/office/drawing/2015/06/chart">
            <c:ext xmlns:c16="http://schemas.microsoft.com/office/drawing/2014/chart" uri="{C3380CC4-5D6E-409C-BE32-E72D297353CC}">
              <c16:uniqueId val="{00000010-B76F-465C-AC31-19696395D495}"/>
            </c:ext>
          </c:extLst>
        </c:ser>
        <c:dLbls>
          <c:showLegendKey val="0"/>
          <c:showVal val="0"/>
          <c:showCatName val="0"/>
          <c:showSerName val="0"/>
          <c:showPercent val="0"/>
          <c:showBubbleSize val="0"/>
        </c:dLbls>
        <c:gapWidth val="105"/>
        <c:overlap val="100"/>
        <c:axId val="150305792"/>
        <c:axId val="79419584"/>
      </c:barChart>
      <c:catAx>
        <c:axId val="150305792"/>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900">
                <a:latin typeface="Times New Roman" panose="02020603050405020304" pitchFamily="18" charset="0"/>
                <a:cs typeface="Times New Roman" panose="02020603050405020304" pitchFamily="18" charset="0"/>
              </a:defRPr>
            </a:pPr>
            <a:endParaRPr lang="ru-RU"/>
          </a:p>
        </c:txPr>
        <c:crossAx val="79419584"/>
        <c:crosses val="autoZero"/>
        <c:auto val="1"/>
        <c:lblAlgn val="ctr"/>
        <c:lblOffset val="100"/>
        <c:noMultiLvlLbl val="1"/>
      </c:catAx>
      <c:valAx>
        <c:axId val="79419584"/>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150305792"/>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0.19165853268649014"/>
          <c:y val="0.88676565187805634"/>
          <c:w val="0.80061487238733742"/>
          <c:h val="9.7856053017527422E-2"/>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451671240264452"/>
          <c:y val="9.5414160186498426E-3"/>
          <c:w val="0.69992984189803098"/>
          <c:h val="0.86895485890350677"/>
        </c:manualLayout>
      </c:layout>
      <c:barChart>
        <c:barDir val="bar"/>
        <c:grouping val="percentStacked"/>
        <c:varyColors val="0"/>
        <c:ser>
          <c:idx val="0"/>
          <c:order val="0"/>
          <c:tx>
            <c:strRef>
              <c:f>Sheet1!$A$2</c:f>
              <c:strCache>
                <c:ptCount val="1"/>
                <c:pt idx="0">
                  <c:v>Полностью удовлетворен(-а)</c:v>
                </c:pt>
              </c:strCache>
            </c:strRef>
          </c:tx>
          <c:spPr>
            <a:solidFill>
              <a:srgbClr val="70AD47">
                <a:lumMod val="75000"/>
              </a:srgbClr>
            </a:solidFill>
            <a:ln w="9525" cap="flat">
              <a:noFill/>
              <a:prstDash val="solid"/>
              <a:round/>
            </a:ln>
            <a:effectLst/>
          </c:spPr>
          <c:invertIfNegative val="0"/>
          <c:dLbls>
            <c:dLbl>
              <c:idx val="1"/>
              <c:layout>
                <c:manualLayout>
                  <c:x val="-4.101302163436891E-3"/>
                  <c:y val="2.1736413385640171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BCF-4C02-9E7F-71CC597A03A2}"/>
                </c:ext>
              </c:extLst>
            </c:dLbl>
            <c:dLbl>
              <c:idx val="2"/>
              <c:layout>
                <c:manualLayout>
                  <c:x val="1.0253255408592229E-2"/>
                  <c:y val="1.6851826106006413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BCF-4C02-9E7F-71CC597A03A2}"/>
                </c:ext>
              </c:extLst>
            </c:dLbl>
            <c:dLbl>
              <c:idx val="3"/>
              <c:layout>
                <c:manualLayout>
                  <c:x val="1.0253255408592229E-2"/>
                  <c:y val="1.6851826113853655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BCF-4C02-9E7F-71CC597A03A2}"/>
                </c:ext>
              </c:extLst>
            </c:dLbl>
            <c:dLbl>
              <c:idx val="4"/>
              <c:layout>
                <c:manualLayout>
                  <c:x val="-2.0506510817184455E-3"/>
                  <c:y val="4.3472826766219441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BCF-4C02-9E7F-71CC597A03A2}"/>
                </c:ext>
              </c:extLst>
            </c:dLbl>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Банки</c:v>
                </c:pt>
                <c:pt idx="1">
                  <c:v>Субъекты страхового дела</c:v>
                </c:pt>
                <c:pt idx="2">
                  <c:v>Ломбарды</c:v>
                </c:pt>
                <c:pt idx="3">
                  <c:v>Негосударственные пенсионные фонды</c:v>
                </c:pt>
                <c:pt idx="4">
                  <c:v>Брокеры</c:v>
                </c:pt>
                <c:pt idx="5">
                  <c:v>Кредитные потребительские кооперативы</c:v>
                </c:pt>
                <c:pt idx="6">
                  <c:v>Сельскохозяйственные кредитные потребительские кооперативы</c:v>
                </c:pt>
                <c:pt idx="7">
                  <c:v>Микрофинансовые организации</c:v>
                </c:pt>
              </c:strCache>
            </c:strRef>
          </c:cat>
          <c:val>
            <c:numRef>
              <c:f>Sheet1!$B$2:$I$2</c:f>
              <c:numCache>
                <c:formatCode>0%</c:formatCode>
                <c:ptCount val="8"/>
                <c:pt idx="0">
                  <c:v>0.102850716643618</c:v>
                </c:pt>
                <c:pt idx="1">
                  <c:v>7.8287360224450098E-2</c:v>
                </c:pt>
                <c:pt idx="2">
                  <c:v>0.16878083257114601</c:v>
                </c:pt>
                <c:pt idx="3">
                  <c:v>7.5287755120480707E-2</c:v>
                </c:pt>
                <c:pt idx="4">
                  <c:v>0.10568275015081201</c:v>
                </c:pt>
                <c:pt idx="5">
                  <c:v>8.9236370320442793E-2</c:v>
                </c:pt>
                <c:pt idx="6">
                  <c:v>9.7160596391941689E-2</c:v>
                </c:pt>
                <c:pt idx="7">
                  <c:v>8.1084177224586287E-2</c:v>
                </c:pt>
              </c:numCache>
            </c:numRef>
          </c:val>
          <c:extLst xmlns:c16r2="http://schemas.microsoft.com/office/drawing/2015/06/chart">
            <c:ext xmlns:c16="http://schemas.microsoft.com/office/drawing/2014/chart" uri="{C3380CC4-5D6E-409C-BE32-E72D297353CC}">
              <c16:uniqueId val="{00000004-ABCF-4C02-9E7F-71CC597A03A2}"/>
            </c:ext>
          </c:extLst>
        </c:ser>
        <c:ser>
          <c:idx val="1"/>
          <c:order val="1"/>
          <c:tx>
            <c:strRef>
              <c:f>Sheet1!$A$3</c:f>
              <c:strCache>
                <c:ptCount val="1"/>
                <c:pt idx="0">
                  <c:v>Скорее удовлетворен(-а)</c:v>
                </c:pt>
              </c:strCache>
            </c:strRef>
          </c:tx>
          <c:spPr>
            <a:solidFill>
              <a:srgbClr val="70AD47">
                <a:lumMod val="60000"/>
                <a:lumOff val="40000"/>
              </a:srgbClr>
            </a:solidFill>
            <a:ln w="9525" cap="flat">
              <a:noFill/>
              <a:prstDash val="solid"/>
              <a:round/>
            </a:ln>
            <a:effectLst/>
          </c:spPr>
          <c:invertIfNegative val="0"/>
          <c:dLbls>
            <c:dLbl>
              <c:idx val="4"/>
              <c:layout>
                <c:manualLayout>
                  <c:x val="8.202604326873745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BCF-4C02-9E7F-71CC597A03A2}"/>
                </c:ext>
              </c:extLst>
            </c:dLbl>
            <c:dLbl>
              <c:idx val="7"/>
              <c:layout>
                <c:manualLayout>
                  <c:x val="1.0253255408592191E-2"/>
                  <c:y val="-1.0121806237432044E-1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BCF-4C02-9E7F-71CC597A03A2}"/>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Банки</c:v>
                </c:pt>
                <c:pt idx="1">
                  <c:v>Субъекты страхового дела</c:v>
                </c:pt>
                <c:pt idx="2">
                  <c:v>Ломбарды</c:v>
                </c:pt>
                <c:pt idx="3">
                  <c:v>Негосударственные пенсионные фонды</c:v>
                </c:pt>
                <c:pt idx="4">
                  <c:v>Брокеры</c:v>
                </c:pt>
                <c:pt idx="5">
                  <c:v>Кредитные потребительские кооперативы</c:v>
                </c:pt>
                <c:pt idx="6">
                  <c:v>Сельскохозяйственные кредитные потребительские кооперативы</c:v>
                </c:pt>
                <c:pt idx="7">
                  <c:v>Микрофинансовые организации</c:v>
                </c:pt>
              </c:strCache>
            </c:strRef>
          </c:cat>
          <c:val>
            <c:numRef>
              <c:f>Sheet1!$B$3:$I$3</c:f>
              <c:numCache>
                <c:formatCode>0%</c:formatCode>
                <c:ptCount val="8"/>
                <c:pt idx="0">
                  <c:v>0.69016527268179206</c:v>
                </c:pt>
                <c:pt idx="1">
                  <c:v>0.51469104398022703</c:v>
                </c:pt>
                <c:pt idx="2">
                  <c:v>0.39550758667620001</c:v>
                </c:pt>
                <c:pt idx="3">
                  <c:v>0.47215230837522298</c:v>
                </c:pt>
                <c:pt idx="4">
                  <c:v>0.39587760592614402</c:v>
                </c:pt>
                <c:pt idx="5">
                  <c:v>0.33811467377947901</c:v>
                </c:pt>
                <c:pt idx="6">
                  <c:v>0.27925488507630297</c:v>
                </c:pt>
                <c:pt idx="7">
                  <c:v>0.222812567828129</c:v>
                </c:pt>
              </c:numCache>
            </c:numRef>
          </c:val>
          <c:extLst xmlns:c16r2="http://schemas.microsoft.com/office/drawing/2015/06/chart">
            <c:ext xmlns:c16="http://schemas.microsoft.com/office/drawing/2014/chart" uri="{C3380CC4-5D6E-409C-BE32-E72D297353CC}">
              <c16:uniqueId val="{00000007-ABCF-4C02-9E7F-71CC597A03A2}"/>
            </c:ext>
          </c:extLst>
        </c:ser>
        <c:ser>
          <c:idx val="2"/>
          <c:order val="2"/>
          <c:tx>
            <c:strRef>
              <c:f>Sheet1!$A$4</c:f>
              <c:strCache>
                <c:ptCount val="1"/>
                <c:pt idx="0">
                  <c:v>Скорее НЕ удовлетворен(-а)</c:v>
                </c:pt>
              </c:strCache>
            </c:strRef>
          </c:tx>
          <c:spPr>
            <a:solidFill>
              <a:srgbClr val="D97A8D"/>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Банки</c:v>
                </c:pt>
                <c:pt idx="1">
                  <c:v>Субъекты страхового дела</c:v>
                </c:pt>
                <c:pt idx="2">
                  <c:v>Ломбарды</c:v>
                </c:pt>
                <c:pt idx="3">
                  <c:v>Негосударственные пенсионные фонды</c:v>
                </c:pt>
                <c:pt idx="4">
                  <c:v>Брокеры</c:v>
                </c:pt>
                <c:pt idx="5">
                  <c:v>Кредитные потребительские кооперативы</c:v>
                </c:pt>
                <c:pt idx="6">
                  <c:v>Сельскохозяйственные кредитные потребительские кооперативы</c:v>
                </c:pt>
                <c:pt idx="7">
                  <c:v>Микрофинансовые организации</c:v>
                </c:pt>
              </c:strCache>
            </c:strRef>
          </c:cat>
          <c:val>
            <c:numRef>
              <c:f>Sheet1!$B$4:$I$4</c:f>
              <c:numCache>
                <c:formatCode>0%</c:formatCode>
                <c:ptCount val="8"/>
                <c:pt idx="0">
                  <c:v>0.163794648376481</c:v>
                </c:pt>
                <c:pt idx="1">
                  <c:v>0.295464414907256</c:v>
                </c:pt>
                <c:pt idx="2">
                  <c:v>0.25817186657949004</c:v>
                </c:pt>
                <c:pt idx="3">
                  <c:v>0.32411630517525702</c:v>
                </c:pt>
                <c:pt idx="4">
                  <c:v>0.29208989465534602</c:v>
                </c:pt>
                <c:pt idx="5">
                  <c:v>0.35311222930063002</c:v>
                </c:pt>
                <c:pt idx="6">
                  <c:v>0.42236674056410201</c:v>
                </c:pt>
                <c:pt idx="7">
                  <c:v>0.295658618670812</c:v>
                </c:pt>
              </c:numCache>
            </c:numRef>
          </c:val>
          <c:extLst xmlns:c16r2="http://schemas.microsoft.com/office/drawing/2015/06/chart">
            <c:ext xmlns:c16="http://schemas.microsoft.com/office/drawing/2014/chart" uri="{C3380CC4-5D6E-409C-BE32-E72D297353CC}">
              <c16:uniqueId val="{00000008-ABCF-4C02-9E7F-71CC597A03A2}"/>
            </c:ext>
          </c:extLst>
        </c:ser>
        <c:ser>
          <c:idx val="3"/>
          <c:order val="3"/>
          <c:tx>
            <c:strRef>
              <c:f>Sheet1!$A$5</c:f>
              <c:strCache>
                <c:ptCount val="1"/>
                <c:pt idx="0">
                  <c:v>Полностью НЕ удовлетворен(-а)</c:v>
                </c:pt>
              </c:strCache>
            </c:strRef>
          </c:tx>
          <c:spPr>
            <a:solidFill>
              <a:srgbClr val="59221B"/>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Банки</c:v>
                </c:pt>
                <c:pt idx="1">
                  <c:v>Субъекты страхового дела</c:v>
                </c:pt>
                <c:pt idx="2">
                  <c:v>Ломбарды</c:v>
                </c:pt>
                <c:pt idx="3">
                  <c:v>Негосударственные пенсионные фонды</c:v>
                </c:pt>
                <c:pt idx="4">
                  <c:v>Брокеры</c:v>
                </c:pt>
                <c:pt idx="5">
                  <c:v>Кредитные потребительские кооперативы</c:v>
                </c:pt>
                <c:pt idx="6">
                  <c:v>Сельскохозяйственные кредитные потребительские кооперативы</c:v>
                </c:pt>
                <c:pt idx="7">
                  <c:v>Микрофинансовые организации</c:v>
                </c:pt>
              </c:strCache>
            </c:strRef>
          </c:cat>
          <c:val>
            <c:numRef>
              <c:f>Sheet1!$B$5:$I$5</c:f>
              <c:numCache>
                <c:formatCode>0%</c:formatCode>
                <c:ptCount val="8"/>
                <c:pt idx="0">
                  <c:v>4.3189362298111794E-2</c:v>
                </c:pt>
                <c:pt idx="1">
                  <c:v>0.111557180888066</c:v>
                </c:pt>
                <c:pt idx="2">
                  <c:v>0.177539714173163</c:v>
                </c:pt>
                <c:pt idx="3">
                  <c:v>0.12844363132903799</c:v>
                </c:pt>
                <c:pt idx="4">
                  <c:v>0.206349749267696</c:v>
                </c:pt>
                <c:pt idx="5">
                  <c:v>0.21953672659944498</c:v>
                </c:pt>
                <c:pt idx="6">
                  <c:v>0.201217777967652</c:v>
                </c:pt>
                <c:pt idx="7">
                  <c:v>0.40044463627647098</c:v>
                </c:pt>
              </c:numCache>
            </c:numRef>
          </c:val>
          <c:extLst xmlns:c16r2="http://schemas.microsoft.com/office/drawing/2015/06/chart">
            <c:ext xmlns:c16="http://schemas.microsoft.com/office/drawing/2014/chart" uri="{C3380CC4-5D6E-409C-BE32-E72D297353CC}">
              <c16:uniqueId val="{00000009-ABCF-4C02-9E7F-71CC597A03A2}"/>
            </c:ext>
          </c:extLst>
        </c:ser>
        <c:dLbls>
          <c:showLegendKey val="0"/>
          <c:showVal val="0"/>
          <c:showCatName val="0"/>
          <c:showSerName val="0"/>
          <c:showPercent val="0"/>
          <c:showBubbleSize val="0"/>
        </c:dLbls>
        <c:gapWidth val="105"/>
        <c:overlap val="100"/>
        <c:axId val="151099904"/>
        <c:axId val="79418432"/>
      </c:barChart>
      <c:catAx>
        <c:axId val="151099904"/>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900">
                <a:latin typeface="Times New Roman" panose="02020603050405020304" pitchFamily="18" charset="0"/>
                <a:cs typeface="Times New Roman" panose="02020603050405020304" pitchFamily="18" charset="0"/>
              </a:defRPr>
            </a:pPr>
            <a:endParaRPr lang="ru-RU"/>
          </a:p>
        </c:txPr>
        <c:crossAx val="79418432"/>
        <c:crosses val="autoZero"/>
        <c:auto val="1"/>
        <c:lblAlgn val="ctr"/>
        <c:lblOffset val="100"/>
        <c:noMultiLvlLbl val="1"/>
      </c:catAx>
      <c:valAx>
        <c:axId val="79418432"/>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151099904"/>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7.0999353318300477E-3"/>
          <c:y val="0.88676565187805634"/>
          <c:w val="0.96859226032611812"/>
          <c:h val="9.820204389344947E-2"/>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2557161898902903E-2"/>
          <c:y val="9.5414160186498426E-3"/>
          <c:w val="0.95010927386768129"/>
          <c:h val="0.97902632170978632"/>
        </c:manualLayout>
      </c:layout>
      <c:barChart>
        <c:barDir val="bar"/>
        <c:grouping val="percentStacked"/>
        <c:varyColors val="0"/>
        <c:ser>
          <c:idx val="0"/>
          <c:order val="0"/>
          <c:tx>
            <c:strRef>
              <c:f>Sheet1!$A$2</c:f>
              <c:strCache>
                <c:ptCount val="1"/>
                <c:pt idx="0">
                  <c:v>Полностью удовлетворен(-а)</c:v>
                </c:pt>
              </c:strCache>
            </c:strRef>
          </c:tx>
          <c:spPr>
            <a:solidFill>
              <a:srgbClr val="70AD47">
                <a:lumMod val="75000"/>
              </a:srgbClr>
            </a:solidFill>
            <a:ln w="9525" cap="flat">
              <a:noFill/>
              <a:prstDash val="solid"/>
              <a:round/>
            </a:ln>
            <a:effectLst/>
          </c:spPr>
          <c:invertIfNegative val="0"/>
          <c:dLbls>
            <c:dLbl>
              <c:idx val="1"/>
              <c:layout>
                <c:manualLayout>
                  <c:x val="-4.101302163436891E-3"/>
                  <c:y val="2.1736413385640171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110-4697-9D38-DCE104A8A975}"/>
                </c:ext>
              </c:extLst>
            </c:dLbl>
            <c:dLbl>
              <c:idx val="2"/>
              <c:layout>
                <c:manualLayout>
                  <c:x val="1.0253255408592229E-2"/>
                  <c:y val="1.6851826106006413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110-4697-9D38-DCE104A8A975}"/>
                </c:ext>
              </c:extLst>
            </c:dLbl>
            <c:dLbl>
              <c:idx val="3"/>
              <c:layout>
                <c:manualLayout>
                  <c:x val="1.0253255408592229E-2"/>
                  <c:y val="1.6851826113853655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110-4697-9D38-DCE104A8A975}"/>
                </c:ext>
              </c:extLst>
            </c:dLbl>
            <c:dLbl>
              <c:idx val="4"/>
              <c:layout>
                <c:manualLayout>
                  <c:x val="-2.0506510817184455E-3"/>
                  <c:y val="4.3472826766219441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110-4697-9D38-DCE104A8A975}"/>
                </c:ext>
              </c:extLst>
            </c:dLbl>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Sheet1!$B$1:$F$1</c:f>
              <c:strCache>
                <c:ptCount val="5"/>
                <c:pt idx="0">
                  <c:v>Кредиты</c:v>
                </c:pt>
                <c:pt idx="1">
                  <c:v> Вклады</c:v>
                </c:pt>
                <c:pt idx="2">
                  <c:v>Дебетовые карты, включая зарплатные</c:v>
                </c:pt>
                <c:pt idx="3">
                  <c:v>Кредитные карты</c:v>
                </c:pt>
                <c:pt idx="4">
                  <c:v>Переводы и платежи</c:v>
                </c:pt>
              </c:strCache>
            </c:strRef>
          </c:cat>
          <c:val>
            <c:numRef>
              <c:f>Sheet1!$B$2:$F$2</c:f>
              <c:numCache>
                <c:formatCode>0%</c:formatCode>
                <c:ptCount val="5"/>
                <c:pt idx="0">
                  <c:v>5.5783340251921797E-2</c:v>
                </c:pt>
                <c:pt idx="1">
                  <c:v>6.0068593770660005E-2</c:v>
                </c:pt>
                <c:pt idx="2">
                  <c:v>0.135910934058909</c:v>
                </c:pt>
                <c:pt idx="3">
                  <c:v>5.5236972575309802E-2</c:v>
                </c:pt>
                <c:pt idx="4">
                  <c:v>0.19739327096692899</c:v>
                </c:pt>
              </c:numCache>
            </c:numRef>
          </c:val>
          <c:extLst xmlns:c16r2="http://schemas.microsoft.com/office/drawing/2015/06/chart">
            <c:ext xmlns:c16="http://schemas.microsoft.com/office/drawing/2014/chart" uri="{C3380CC4-5D6E-409C-BE32-E72D297353CC}">
              <c16:uniqueId val="{00000004-5110-4697-9D38-DCE104A8A975}"/>
            </c:ext>
          </c:extLst>
        </c:ser>
        <c:ser>
          <c:idx val="1"/>
          <c:order val="1"/>
          <c:tx>
            <c:strRef>
              <c:f>Sheet1!$A$3</c:f>
              <c:strCache>
                <c:ptCount val="1"/>
                <c:pt idx="0">
                  <c:v>Скорее удовлетворен(-а)</c:v>
                </c:pt>
              </c:strCache>
            </c:strRef>
          </c:tx>
          <c:spPr>
            <a:solidFill>
              <a:srgbClr val="70AD47">
                <a:lumMod val="60000"/>
                <a:lumOff val="40000"/>
              </a:srgbClr>
            </a:solidFill>
            <a:ln w="9525" cap="flat">
              <a:noFill/>
              <a:prstDash val="solid"/>
              <a:round/>
            </a:ln>
            <a:effectLst/>
          </c:spPr>
          <c:invertIfNegative val="0"/>
          <c:dLbls>
            <c:dLbl>
              <c:idx val="4"/>
              <c:layout>
                <c:manualLayout>
                  <c:x val="8.202604326873745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110-4697-9D38-DCE104A8A975}"/>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Sheet1!$B$1:$F$1</c:f>
              <c:strCache>
                <c:ptCount val="5"/>
                <c:pt idx="0">
                  <c:v>Кредиты</c:v>
                </c:pt>
                <c:pt idx="1">
                  <c:v> Вклады</c:v>
                </c:pt>
                <c:pt idx="2">
                  <c:v>Дебетовые карты, включая зарплатные</c:v>
                </c:pt>
                <c:pt idx="3">
                  <c:v>Кредитные карты</c:v>
                </c:pt>
                <c:pt idx="4">
                  <c:v>Переводы и платежи</c:v>
                </c:pt>
              </c:strCache>
            </c:strRef>
          </c:cat>
          <c:val>
            <c:numRef>
              <c:f>Sheet1!$B$3:$F$3</c:f>
              <c:numCache>
                <c:formatCode>0%</c:formatCode>
                <c:ptCount val="5"/>
                <c:pt idx="0">
                  <c:v>0.38603436481306502</c:v>
                </c:pt>
                <c:pt idx="1">
                  <c:v>0.432118244737623</c:v>
                </c:pt>
                <c:pt idx="2">
                  <c:v>0.63708671012379403</c:v>
                </c:pt>
                <c:pt idx="3">
                  <c:v>0.34275583895655898</c:v>
                </c:pt>
                <c:pt idx="4">
                  <c:v>0.59737126968443199</c:v>
                </c:pt>
              </c:numCache>
            </c:numRef>
          </c:val>
          <c:extLst xmlns:c16r2="http://schemas.microsoft.com/office/drawing/2015/06/chart">
            <c:ext xmlns:c16="http://schemas.microsoft.com/office/drawing/2014/chart" uri="{C3380CC4-5D6E-409C-BE32-E72D297353CC}">
              <c16:uniqueId val="{00000006-5110-4697-9D38-DCE104A8A975}"/>
            </c:ext>
          </c:extLst>
        </c:ser>
        <c:ser>
          <c:idx val="2"/>
          <c:order val="2"/>
          <c:tx>
            <c:strRef>
              <c:f>Sheet1!$A$4</c:f>
              <c:strCache>
                <c:ptCount val="1"/>
                <c:pt idx="0">
                  <c:v>Скорее НЕ удовлетворен(-а)</c:v>
                </c:pt>
              </c:strCache>
            </c:strRef>
          </c:tx>
          <c:spPr>
            <a:solidFill>
              <a:srgbClr val="D97A8D"/>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Sheet1!$B$1:$F$1</c:f>
              <c:strCache>
                <c:ptCount val="5"/>
                <c:pt idx="0">
                  <c:v>Кредиты</c:v>
                </c:pt>
                <c:pt idx="1">
                  <c:v> Вклады</c:v>
                </c:pt>
                <c:pt idx="2">
                  <c:v>Дебетовые карты, включая зарплатные</c:v>
                </c:pt>
                <c:pt idx="3">
                  <c:v>Кредитные карты</c:v>
                </c:pt>
                <c:pt idx="4">
                  <c:v>Переводы и платежи</c:v>
                </c:pt>
              </c:strCache>
            </c:strRef>
          </c:cat>
          <c:val>
            <c:numRef>
              <c:f>Sheet1!$B$4:$F$4</c:f>
              <c:numCache>
                <c:formatCode>0%</c:formatCode>
                <c:ptCount val="5"/>
                <c:pt idx="0">
                  <c:v>0.195999793083734</c:v>
                </c:pt>
                <c:pt idx="1">
                  <c:v>0.17732449593476801</c:v>
                </c:pt>
                <c:pt idx="2">
                  <c:v>8.6790255302987798E-2</c:v>
                </c:pt>
                <c:pt idx="3">
                  <c:v>0.149053465970095</c:v>
                </c:pt>
                <c:pt idx="4">
                  <c:v>8.6643720241335806E-2</c:v>
                </c:pt>
              </c:numCache>
            </c:numRef>
          </c:val>
          <c:extLst xmlns:c16r2="http://schemas.microsoft.com/office/drawing/2015/06/chart">
            <c:ext xmlns:c16="http://schemas.microsoft.com/office/drawing/2014/chart" uri="{C3380CC4-5D6E-409C-BE32-E72D297353CC}">
              <c16:uniqueId val="{00000007-5110-4697-9D38-DCE104A8A975}"/>
            </c:ext>
          </c:extLst>
        </c:ser>
        <c:ser>
          <c:idx val="3"/>
          <c:order val="3"/>
          <c:tx>
            <c:strRef>
              <c:f>Sheet1!$A$5</c:f>
              <c:strCache>
                <c:ptCount val="1"/>
                <c:pt idx="0">
                  <c:v>Полностью НЕ удовлетворен(-а)</c:v>
                </c:pt>
              </c:strCache>
            </c:strRef>
          </c:tx>
          <c:spPr>
            <a:solidFill>
              <a:srgbClr val="59221B"/>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Sheet1!$B$1:$F$1</c:f>
              <c:strCache>
                <c:ptCount val="5"/>
                <c:pt idx="0">
                  <c:v>Кредиты</c:v>
                </c:pt>
                <c:pt idx="1">
                  <c:v> Вклады</c:v>
                </c:pt>
                <c:pt idx="2">
                  <c:v>Дебетовые карты, включая зарплатные</c:v>
                </c:pt>
                <c:pt idx="3">
                  <c:v>Кредитные карты</c:v>
                </c:pt>
                <c:pt idx="4">
                  <c:v>Переводы и платежи</c:v>
                </c:pt>
              </c:strCache>
            </c:strRef>
          </c:cat>
          <c:val>
            <c:numRef>
              <c:f>Sheet1!$B$5:$F$5</c:f>
              <c:numCache>
                <c:formatCode>0%</c:formatCode>
                <c:ptCount val="5"/>
                <c:pt idx="0">
                  <c:v>5.9874520267345993E-2</c:v>
                </c:pt>
                <c:pt idx="1">
                  <c:v>4.1381569433361902E-2</c:v>
                </c:pt>
                <c:pt idx="2">
                  <c:v>3.4704961393196301E-2</c:v>
                </c:pt>
                <c:pt idx="3">
                  <c:v>6.09862672597348E-2</c:v>
                </c:pt>
                <c:pt idx="4">
                  <c:v>3.0298658897803497E-2</c:v>
                </c:pt>
              </c:numCache>
            </c:numRef>
          </c:val>
          <c:extLst xmlns:c16r2="http://schemas.microsoft.com/office/drawing/2015/06/chart">
            <c:ext xmlns:c16="http://schemas.microsoft.com/office/drawing/2014/chart" uri="{C3380CC4-5D6E-409C-BE32-E72D297353CC}">
              <c16:uniqueId val="{00000008-5110-4697-9D38-DCE104A8A975}"/>
            </c:ext>
          </c:extLst>
        </c:ser>
        <c:ser>
          <c:idx val="4"/>
          <c:order val="4"/>
          <c:tx>
            <c:strRef>
              <c:f>Sheet1!$A$6</c:f>
              <c:strCache>
                <c:ptCount val="1"/>
                <c:pt idx="0">
                  <c:v>Не сталкивался(-лась)</c:v>
                </c:pt>
              </c:strCache>
            </c:strRef>
          </c:tx>
          <c:spPr>
            <a:solidFill>
              <a:sysClr val="window" lastClr="FFFFFF">
                <a:lumMod val="50000"/>
              </a:sysClr>
            </a:solidFill>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Sheet1!$B$1:$F$1</c:f>
              <c:strCache>
                <c:ptCount val="5"/>
                <c:pt idx="0">
                  <c:v>Кредиты</c:v>
                </c:pt>
                <c:pt idx="1">
                  <c:v> Вклады</c:v>
                </c:pt>
                <c:pt idx="2">
                  <c:v>Дебетовые карты, включая зарплатные</c:v>
                </c:pt>
                <c:pt idx="3">
                  <c:v>Кредитные карты</c:v>
                </c:pt>
                <c:pt idx="4">
                  <c:v>Переводы и платежи</c:v>
                </c:pt>
              </c:strCache>
            </c:strRef>
          </c:cat>
          <c:val>
            <c:numRef>
              <c:f>Sheet1!$B$6:$F$6</c:f>
              <c:numCache>
                <c:formatCode>0%</c:formatCode>
                <c:ptCount val="5"/>
                <c:pt idx="0">
                  <c:v>0.30230798158393701</c:v>
                </c:pt>
                <c:pt idx="1">
                  <c:v>0.28910709612358998</c:v>
                </c:pt>
                <c:pt idx="2">
                  <c:v>0.10550713912111601</c:v>
                </c:pt>
                <c:pt idx="3">
                  <c:v>0.39196745523830401</c:v>
                </c:pt>
                <c:pt idx="4">
                  <c:v>8.8293080209504105E-2</c:v>
                </c:pt>
              </c:numCache>
            </c:numRef>
          </c:val>
          <c:extLst xmlns:c16r2="http://schemas.microsoft.com/office/drawing/2015/06/chart">
            <c:ext xmlns:c16="http://schemas.microsoft.com/office/drawing/2014/chart" uri="{C3380CC4-5D6E-409C-BE32-E72D297353CC}">
              <c16:uniqueId val="{00000009-5110-4697-9D38-DCE104A8A975}"/>
            </c:ext>
          </c:extLst>
        </c:ser>
        <c:dLbls>
          <c:showLegendKey val="0"/>
          <c:showVal val="0"/>
          <c:showCatName val="0"/>
          <c:showSerName val="0"/>
          <c:showPercent val="0"/>
          <c:showBubbleSize val="0"/>
        </c:dLbls>
        <c:gapWidth val="105"/>
        <c:overlap val="100"/>
        <c:axId val="150752768"/>
        <c:axId val="79420736"/>
      </c:barChart>
      <c:catAx>
        <c:axId val="150752768"/>
        <c:scaling>
          <c:orientation val="maxMin"/>
        </c:scaling>
        <c:delete val="1"/>
        <c:axPos val="l"/>
        <c:numFmt formatCode="General" sourceLinked="0"/>
        <c:majorTickMark val="out"/>
        <c:minorTickMark val="none"/>
        <c:tickLblPos val="nextTo"/>
        <c:crossAx val="79420736"/>
        <c:crosses val="autoZero"/>
        <c:auto val="1"/>
        <c:lblAlgn val="ctr"/>
        <c:lblOffset val="100"/>
        <c:noMultiLvlLbl val="1"/>
      </c:catAx>
      <c:valAx>
        <c:axId val="79420736"/>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150752768"/>
        <c:crosses val="autoZero"/>
        <c:crossBetween val="between"/>
        <c:majorUnit val="0.25"/>
        <c:minorUnit val="0.125"/>
      </c:valAx>
      <c:spPr>
        <a:solidFill>
          <a:srgbClr val="FFFFFF"/>
        </a:solidFill>
        <a:ln w="12700" cap="flat">
          <a:noFill/>
          <a:miter lim="400000"/>
        </a:ln>
        <a:effectLst/>
      </c:spPr>
    </c:plotArea>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2557161898902903E-2"/>
          <c:y val="9.5414160186498426E-3"/>
          <c:w val="0.95010927386768129"/>
          <c:h val="0.99045872997218631"/>
        </c:manualLayout>
      </c:layout>
      <c:barChart>
        <c:barDir val="bar"/>
        <c:grouping val="percentStacked"/>
        <c:varyColors val="0"/>
        <c:ser>
          <c:idx val="0"/>
          <c:order val="0"/>
          <c:tx>
            <c:strRef>
              <c:f>Sheet1!$A$2</c:f>
              <c:strCache>
                <c:ptCount val="1"/>
                <c:pt idx="0">
                  <c:v>Полностью удовлетворен(-а)</c:v>
                </c:pt>
              </c:strCache>
            </c:strRef>
          </c:tx>
          <c:spPr>
            <a:solidFill>
              <a:srgbClr val="70AD47">
                <a:lumMod val="75000"/>
              </a:srgbClr>
            </a:solidFill>
            <a:ln w="9525" cap="flat">
              <a:noFill/>
              <a:prstDash val="solid"/>
              <a:round/>
            </a:ln>
            <a:effectLst/>
          </c:spPr>
          <c:invertIfNegative val="0"/>
          <c:dLbls>
            <c:dLbl>
              <c:idx val="1"/>
              <c:layout>
                <c:manualLayout>
                  <c:x val="-4.101302163436891E-3"/>
                  <c:y val="2.1736413385640171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D7A-441E-88F8-1D557EA76337}"/>
                </c:ext>
              </c:extLst>
            </c:dLbl>
            <c:spPr>
              <a:noFill/>
              <a:ln>
                <a:noFill/>
              </a:ln>
              <a:effectLst/>
            </c:spPr>
            <c:txPr>
              <a:bodyPr wrap="square" lIns="38100" tIns="19050" rIns="38100" bIns="19050" anchor="ctr">
                <a:spAutoFit/>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Sheet1!$B$1:$C$1</c:f>
              <c:strCache>
                <c:ptCount val="2"/>
                <c:pt idx="0">
                  <c:v>Займы в микрофинансовых организациях</c:v>
                </c:pt>
                <c:pt idx="1">
                  <c:v>Размещение средств в форме договора займа в микрофинансовых организациях</c:v>
                </c:pt>
              </c:strCache>
            </c:strRef>
          </c:cat>
          <c:val>
            <c:numRef>
              <c:f>Sheet1!$B$2:$C$2</c:f>
              <c:numCache>
                <c:formatCode>0%</c:formatCode>
                <c:ptCount val="2"/>
                <c:pt idx="0">
                  <c:v>9.8792602265120998E-3</c:v>
                </c:pt>
                <c:pt idx="1">
                  <c:v>1.8394393868160597E-2</c:v>
                </c:pt>
              </c:numCache>
            </c:numRef>
          </c:val>
          <c:extLst xmlns:c16r2="http://schemas.microsoft.com/office/drawing/2015/06/chart">
            <c:ext xmlns:c16="http://schemas.microsoft.com/office/drawing/2014/chart" uri="{C3380CC4-5D6E-409C-BE32-E72D297353CC}">
              <c16:uniqueId val="{00000001-BD7A-441E-88F8-1D557EA76337}"/>
            </c:ext>
          </c:extLst>
        </c:ser>
        <c:ser>
          <c:idx val="1"/>
          <c:order val="1"/>
          <c:tx>
            <c:strRef>
              <c:f>Sheet1!$A$3</c:f>
              <c:strCache>
                <c:ptCount val="1"/>
                <c:pt idx="0">
                  <c:v>Скорее удовлетворен(-а)</c:v>
                </c:pt>
              </c:strCache>
            </c:strRef>
          </c:tx>
          <c:spPr>
            <a:solidFill>
              <a:srgbClr val="70AD47">
                <a:lumMod val="60000"/>
                <a:lumOff val="40000"/>
              </a:srgbClr>
            </a:solidFill>
            <a:ln w="9525" cap="flat">
              <a:noFill/>
              <a:prstDash val="solid"/>
              <a:round/>
            </a:ln>
            <a:effectLst/>
          </c:spPr>
          <c:invertIfNegative val="0"/>
          <c:dLbls>
            <c:dLbl>
              <c:idx val="0"/>
              <c:layout>
                <c:manualLayout>
                  <c:x val="1.3065490772497135E-2"/>
                  <c:y val="2.425016077718094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D7A-441E-88F8-1D557EA76337}"/>
                </c:ext>
              </c:extLst>
            </c:dLbl>
            <c:dLbl>
              <c:idx val="1"/>
              <c:layout>
                <c:manualLayout>
                  <c:x val="1.9598236158745713E-2"/>
                  <c:y val="9.7000643108723759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D7A-441E-88F8-1D557EA76337}"/>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Sheet1!$B$1:$C$1</c:f>
              <c:strCache>
                <c:ptCount val="2"/>
                <c:pt idx="0">
                  <c:v>Займы в микрофинансовых организациях</c:v>
                </c:pt>
                <c:pt idx="1">
                  <c:v>Размещение средств в форме договора займа в микрофинансовых организациях</c:v>
                </c:pt>
              </c:strCache>
            </c:strRef>
          </c:cat>
          <c:val>
            <c:numRef>
              <c:f>Sheet1!$B$3:$C$3</c:f>
              <c:numCache>
                <c:formatCode>0%</c:formatCode>
                <c:ptCount val="2"/>
                <c:pt idx="0">
                  <c:v>7.2183393951948491E-2</c:v>
                </c:pt>
                <c:pt idx="1">
                  <c:v>4.3826652543950802E-2</c:v>
                </c:pt>
              </c:numCache>
            </c:numRef>
          </c:val>
          <c:extLst xmlns:c16r2="http://schemas.microsoft.com/office/drawing/2015/06/chart">
            <c:ext xmlns:c16="http://schemas.microsoft.com/office/drawing/2014/chart" uri="{C3380CC4-5D6E-409C-BE32-E72D297353CC}">
              <c16:uniqueId val="{00000004-BD7A-441E-88F8-1D557EA76337}"/>
            </c:ext>
          </c:extLst>
        </c:ser>
        <c:ser>
          <c:idx val="2"/>
          <c:order val="2"/>
          <c:tx>
            <c:strRef>
              <c:f>Sheet1!$A$4</c:f>
              <c:strCache>
                <c:ptCount val="1"/>
                <c:pt idx="0">
                  <c:v>Скорее НЕ удовлетворен(-а)</c:v>
                </c:pt>
              </c:strCache>
            </c:strRef>
          </c:tx>
          <c:spPr>
            <a:solidFill>
              <a:srgbClr val="D97A8D"/>
            </a:solidFill>
            <a:ln w="9525" cap="flat">
              <a:noFill/>
              <a:prstDash val="solid"/>
              <a:round/>
            </a:ln>
            <a:effectLst/>
          </c:spPr>
          <c:invertIfNegative val="0"/>
          <c:dLbls>
            <c:dLbl>
              <c:idx val="0"/>
              <c:layout>
                <c:manualLayout>
                  <c:x val="9.7991180793728719E-3"/>
                  <c:y val="2.425016077718094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D7A-441E-88F8-1D557EA76337}"/>
                </c:ext>
              </c:extLst>
            </c:dLbl>
            <c:dLbl>
              <c:idx val="1"/>
              <c:layout>
                <c:manualLayout>
                  <c:x val="1.3065490772497128E-2"/>
                  <c:y val="9.7000643108723759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D7A-441E-88F8-1D557EA76337}"/>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Sheet1!$B$1:$C$1</c:f>
              <c:strCache>
                <c:ptCount val="2"/>
                <c:pt idx="0">
                  <c:v>Займы в микрофинансовых организациях</c:v>
                </c:pt>
                <c:pt idx="1">
                  <c:v>Размещение средств в форме договора займа в микрофинансовых организациях</c:v>
                </c:pt>
              </c:strCache>
            </c:strRef>
          </c:cat>
          <c:val>
            <c:numRef>
              <c:f>Sheet1!$B$4:$C$4</c:f>
              <c:numCache>
                <c:formatCode>0%</c:formatCode>
                <c:ptCount val="2"/>
                <c:pt idx="0">
                  <c:v>7.2059016234460899E-2</c:v>
                </c:pt>
                <c:pt idx="1">
                  <c:v>6.8618569614804906E-2</c:v>
                </c:pt>
              </c:numCache>
            </c:numRef>
          </c:val>
          <c:extLst xmlns:c16r2="http://schemas.microsoft.com/office/drawing/2015/06/chart">
            <c:ext xmlns:c16="http://schemas.microsoft.com/office/drawing/2014/chart" uri="{C3380CC4-5D6E-409C-BE32-E72D297353CC}">
              <c16:uniqueId val="{00000007-BD7A-441E-88F8-1D557EA76337}"/>
            </c:ext>
          </c:extLst>
        </c:ser>
        <c:ser>
          <c:idx val="3"/>
          <c:order val="3"/>
          <c:tx>
            <c:strRef>
              <c:f>Sheet1!$A$5</c:f>
              <c:strCache>
                <c:ptCount val="1"/>
                <c:pt idx="0">
                  <c:v>Полностью НЕ удовлетворен(-а)</c:v>
                </c:pt>
              </c:strCache>
            </c:strRef>
          </c:tx>
          <c:spPr>
            <a:solidFill>
              <a:srgbClr val="59221B"/>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Sheet1!$B$1:$C$1</c:f>
              <c:strCache>
                <c:ptCount val="2"/>
                <c:pt idx="0">
                  <c:v>Займы в микрофинансовых организациях</c:v>
                </c:pt>
                <c:pt idx="1">
                  <c:v>Размещение средств в форме договора займа в микрофинансовых организациях</c:v>
                </c:pt>
              </c:strCache>
            </c:strRef>
          </c:cat>
          <c:val>
            <c:numRef>
              <c:f>Sheet1!$B$5:$C$5</c:f>
              <c:numCache>
                <c:formatCode>0%</c:formatCode>
                <c:ptCount val="2"/>
                <c:pt idx="0">
                  <c:v>9.8022922868531204E-2</c:v>
                </c:pt>
                <c:pt idx="1">
                  <c:v>8.9908706718509201E-2</c:v>
                </c:pt>
              </c:numCache>
            </c:numRef>
          </c:val>
          <c:extLst xmlns:c16r2="http://schemas.microsoft.com/office/drawing/2015/06/chart">
            <c:ext xmlns:c16="http://schemas.microsoft.com/office/drawing/2014/chart" uri="{C3380CC4-5D6E-409C-BE32-E72D297353CC}">
              <c16:uniqueId val="{00000008-BD7A-441E-88F8-1D557EA76337}"/>
            </c:ext>
          </c:extLst>
        </c:ser>
        <c:ser>
          <c:idx val="4"/>
          <c:order val="4"/>
          <c:tx>
            <c:strRef>
              <c:f>Sheet1!$A$6</c:f>
              <c:strCache>
                <c:ptCount val="1"/>
                <c:pt idx="0">
                  <c:v>Не сталкивался(-лась)</c:v>
                </c:pt>
              </c:strCache>
            </c:strRef>
          </c:tx>
          <c:spPr>
            <a:solidFill>
              <a:sysClr val="window" lastClr="FFFFFF">
                <a:lumMod val="50000"/>
              </a:sysClr>
            </a:solidFill>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Sheet1!$B$1:$C$1</c:f>
              <c:strCache>
                <c:ptCount val="2"/>
                <c:pt idx="0">
                  <c:v>Займы в микрофинансовых организациях</c:v>
                </c:pt>
                <c:pt idx="1">
                  <c:v>Размещение средств в форме договора займа в микрофинансовых организациях</c:v>
                </c:pt>
              </c:strCache>
            </c:strRef>
          </c:cat>
          <c:val>
            <c:numRef>
              <c:f>Sheet1!$B$6:$C$6</c:f>
              <c:numCache>
                <c:formatCode>0%</c:formatCode>
                <c:ptCount val="2"/>
                <c:pt idx="0">
                  <c:v>0.747855406718551</c:v>
                </c:pt>
                <c:pt idx="1">
                  <c:v>0.779251677254579</c:v>
                </c:pt>
              </c:numCache>
            </c:numRef>
          </c:val>
          <c:extLst xmlns:c16r2="http://schemas.microsoft.com/office/drawing/2015/06/chart">
            <c:ext xmlns:c16="http://schemas.microsoft.com/office/drawing/2014/chart" uri="{C3380CC4-5D6E-409C-BE32-E72D297353CC}">
              <c16:uniqueId val="{00000009-BD7A-441E-88F8-1D557EA76337}"/>
            </c:ext>
          </c:extLst>
        </c:ser>
        <c:dLbls>
          <c:showLegendKey val="0"/>
          <c:showVal val="0"/>
          <c:showCatName val="0"/>
          <c:showSerName val="0"/>
          <c:showPercent val="0"/>
          <c:showBubbleSize val="0"/>
        </c:dLbls>
        <c:gapWidth val="105"/>
        <c:overlap val="100"/>
        <c:axId val="161985024"/>
        <c:axId val="151555456"/>
      </c:barChart>
      <c:catAx>
        <c:axId val="161985024"/>
        <c:scaling>
          <c:orientation val="maxMin"/>
        </c:scaling>
        <c:delete val="1"/>
        <c:axPos val="l"/>
        <c:numFmt formatCode="General" sourceLinked="0"/>
        <c:majorTickMark val="out"/>
        <c:minorTickMark val="none"/>
        <c:tickLblPos val="nextTo"/>
        <c:crossAx val="151555456"/>
        <c:crosses val="autoZero"/>
        <c:auto val="1"/>
        <c:lblAlgn val="ctr"/>
        <c:lblOffset val="100"/>
        <c:noMultiLvlLbl val="1"/>
      </c:catAx>
      <c:valAx>
        <c:axId val="151555456"/>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161985024"/>
        <c:crosses val="autoZero"/>
        <c:crossBetween val="between"/>
        <c:majorUnit val="0.25"/>
        <c:minorUnit val="0.125"/>
      </c:valAx>
      <c:spPr>
        <a:solidFill>
          <a:srgbClr val="FFFFFF"/>
        </a:solidFill>
        <a:ln w="12700" cap="flat">
          <a:noFill/>
          <a:miter lim="400000"/>
        </a:ln>
        <a:effectLst/>
      </c:spPr>
    </c:plotArea>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9061135650726589E-2"/>
          <c:y val="2.9475912285157908E-2"/>
          <c:w val="0.9371010818769604"/>
          <c:h val="0.61361011691720357"/>
        </c:manualLayout>
      </c:layout>
      <c:barChart>
        <c:barDir val="bar"/>
        <c:grouping val="percentStacked"/>
        <c:varyColors val="0"/>
        <c:ser>
          <c:idx val="0"/>
          <c:order val="0"/>
          <c:tx>
            <c:strRef>
              <c:f>Sheet1!$A$2</c:f>
              <c:strCache>
                <c:ptCount val="1"/>
                <c:pt idx="0">
                  <c:v>Полностью удовлетворен(-а)</c:v>
                </c:pt>
              </c:strCache>
            </c:strRef>
          </c:tx>
          <c:spPr>
            <a:solidFill>
              <a:srgbClr val="70AD47">
                <a:lumMod val="75000"/>
              </a:srgbClr>
            </a:solidFill>
            <a:ln w="9525" cap="flat">
              <a:noFill/>
              <a:prstDash val="solid"/>
              <a:round/>
            </a:ln>
            <a:effectLst/>
          </c:spPr>
          <c:invertIfNegative val="0"/>
          <c:dLbls>
            <c:dLbl>
              <c:idx val="1"/>
              <c:layout>
                <c:manualLayout>
                  <c:x val="-4.101302163436891E-3"/>
                  <c:y val="2.1736413385640171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B35-44D5-ABF2-74878EEE58A2}"/>
                </c:ext>
              </c:extLst>
            </c:dLbl>
            <c:spPr>
              <a:noFill/>
              <a:ln>
                <a:noFill/>
              </a:ln>
              <a:effectLst/>
            </c:spPr>
            <c:txPr>
              <a:bodyPr wrap="square" lIns="38100" tIns="19050" rIns="38100" bIns="19050" anchor="ctr">
                <a:spAutoFit/>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Sheet1!$B$1:$C$1</c:f>
              <c:strCache>
                <c:ptCount val="2"/>
                <c:pt idx="0">
                  <c:v>Займы в кредитных потребительских кооперативах</c:v>
                </c:pt>
                <c:pt idx="1">
                  <c:v>Размещение средств в форме договора займа в кредитных потребительских кооперативах</c:v>
                </c:pt>
              </c:strCache>
            </c:strRef>
          </c:cat>
          <c:val>
            <c:numRef>
              <c:f>Sheet1!$B$2:$C$2</c:f>
              <c:numCache>
                <c:formatCode>0%</c:formatCode>
                <c:ptCount val="2"/>
                <c:pt idx="0">
                  <c:v>1.4783326984355001E-2</c:v>
                </c:pt>
                <c:pt idx="1">
                  <c:v>4.4791310018854301E-2</c:v>
                </c:pt>
              </c:numCache>
            </c:numRef>
          </c:val>
          <c:extLst xmlns:c16r2="http://schemas.microsoft.com/office/drawing/2015/06/chart">
            <c:ext xmlns:c16="http://schemas.microsoft.com/office/drawing/2014/chart" uri="{C3380CC4-5D6E-409C-BE32-E72D297353CC}">
              <c16:uniqueId val="{00000001-8B35-44D5-ABF2-74878EEE58A2}"/>
            </c:ext>
          </c:extLst>
        </c:ser>
        <c:ser>
          <c:idx val="1"/>
          <c:order val="1"/>
          <c:tx>
            <c:strRef>
              <c:f>Sheet1!$A$3</c:f>
              <c:strCache>
                <c:ptCount val="1"/>
                <c:pt idx="0">
                  <c:v>Скорее удовлетворен(-а)</c:v>
                </c:pt>
              </c:strCache>
            </c:strRef>
          </c:tx>
          <c:spPr>
            <a:solidFill>
              <a:srgbClr val="70AD47">
                <a:lumMod val="60000"/>
                <a:lumOff val="40000"/>
              </a:srgbClr>
            </a:solidFill>
            <a:ln w="9525" cap="flat">
              <a:noFill/>
              <a:prstDash val="solid"/>
              <a:round/>
            </a:ln>
            <a:effectLst/>
          </c:spPr>
          <c:invertIfNegative val="0"/>
          <c:dLbls>
            <c:dLbl>
              <c:idx val="0"/>
              <c:layout>
                <c:manualLayout>
                  <c:x val="1.3065490772497135E-2"/>
                  <c:y val="2.425016077718094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B35-44D5-ABF2-74878EEE58A2}"/>
                </c:ext>
              </c:extLst>
            </c:dLbl>
            <c:dLbl>
              <c:idx val="1"/>
              <c:layout>
                <c:manualLayout>
                  <c:x val="1.9598236158745713E-2"/>
                  <c:y val="9.7000643108723759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B35-44D5-ABF2-74878EEE58A2}"/>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Sheet1!$B$1:$C$1</c:f>
              <c:strCache>
                <c:ptCount val="2"/>
                <c:pt idx="0">
                  <c:v>Займы в кредитных потребительских кооперативах</c:v>
                </c:pt>
                <c:pt idx="1">
                  <c:v>Размещение средств в форме договора займа в кредитных потребительских кооперативах</c:v>
                </c:pt>
              </c:strCache>
            </c:strRef>
          </c:cat>
          <c:val>
            <c:numRef>
              <c:f>Sheet1!$B$3:$C$3</c:f>
              <c:numCache>
                <c:formatCode>0%</c:formatCode>
                <c:ptCount val="2"/>
                <c:pt idx="0">
                  <c:v>5.5403450556959798E-2</c:v>
                </c:pt>
                <c:pt idx="1">
                  <c:v>7.4743383946692499E-2</c:v>
                </c:pt>
              </c:numCache>
            </c:numRef>
          </c:val>
          <c:extLst xmlns:c16r2="http://schemas.microsoft.com/office/drawing/2015/06/chart">
            <c:ext xmlns:c16="http://schemas.microsoft.com/office/drawing/2014/chart" uri="{C3380CC4-5D6E-409C-BE32-E72D297353CC}">
              <c16:uniqueId val="{00000004-8B35-44D5-ABF2-74878EEE58A2}"/>
            </c:ext>
          </c:extLst>
        </c:ser>
        <c:ser>
          <c:idx val="2"/>
          <c:order val="2"/>
          <c:tx>
            <c:strRef>
              <c:f>Sheet1!$A$4</c:f>
              <c:strCache>
                <c:ptCount val="1"/>
                <c:pt idx="0">
                  <c:v>Скорее НЕ удовлетворен(-а)</c:v>
                </c:pt>
              </c:strCache>
            </c:strRef>
          </c:tx>
          <c:spPr>
            <a:solidFill>
              <a:srgbClr val="D97A8D"/>
            </a:solidFill>
            <a:ln w="9525" cap="flat">
              <a:noFill/>
              <a:prstDash val="solid"/>
              <a:round/>
            </a:ln>
            <a:effectLst/>
          </c:spPr>
          <c:invertIfNegative val="0"/>
          <c:dLbls>
            <c:dLbl>
              <c:idx val="0"/>
              <c:layout>
                <c:manualLayout>
                  <c:x val="9.7991180793728719E-3"/>
                  <c:y val="2.425016077718094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B35-44D5-ABF2-74878EEE58A2}"/>
                </c:ext>
              </c:extLst>
            </c:dLbl>
            <c:dLbl>
              <c:idx val="1"/>
              <c:layout>
                <c:manualLayout>
                  <c:x val="1.3065490772497128E-2"/>
                  <c:y val="9.7000643108723759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B35-44D5-ABF2-74878EEE58A2}"/>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Sheet1!$B$1:$C$1</c:f>
              <c:strCache>
                <c:ptCount val="2"/>
                <c:pt idx="0">
                  <c:v>Займы в кредитных потребительских кооперативах</c:v>
                </c:pt>
                <c:pt idx="1">
                  <c:v>Размещение средств в форме договора займа в кредитных потребительских кооперативах</c:v>
                </c:pt>
              </c:strCache>
            </c:strRef>
          </c:cat>
          <c:val>
            <c:numRef>
              <c:f>Sheet1!$B$4:$C$4</c:f>
              <c:numCache>
                <c:formatCode>0%</c:formatCode>
                <c:ptCount val="2"/>
                <c:pt idx="0">
                  <c:v>7.1512940474515507E-2</c:v>
                </c:pt>
                <c:pt idx="1">
                  <c:v>6.8620259807304795E-2</c:v>
                </c:pt>
              </c:numCache>
            </c:numRef>
          </c:val>
          <c:extLst xmlns:c16r2="http://schemas.microsoft.com/office/drawing/2015/06/chart">
            <c:ext xmlns:c16="http://schemas.microsoft.com/office/drawing/2014/chart" uri="{C3380CC4-5D6E-409C-BE32-E72D297353CC}">
              <c16:uniqueId val="{00000007-8B35-44D5-ABF2-74878EEE58A2}"/>
            </c:ext>
          </c:extLst>
        </c:ser>
        <c:ser>
          <c:idx val="3"/>
          <c:order val="3"/>
          <c:tx>
            <c:strRef>
              <c:f>Sheet1!$A$5</c:f>
              <c:strCache>
                <c:ptCount val="1"/>
                <c:pt idx="0">
                  <c:v>Полностью НЕ удовлетворен(-а)</c:v>
                </c:pt>
              </c:strCache>
            </c:strRef>
          </c:tx>
          <c:spPr>
            <a:solidFill>
              <a:srgbClr val="59221B"/>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Sheet1!$B$1:$C$1</c:f>
              <c:strCache>
                <c:ptCount val="2"/>
                <c:pt idx="0">
                  <c:v>Займы в кредитных потребительских кооперативах</c:v>
                </c:pt>
                <c:pt idx="1">
                  <c:v>Размещение средств в форме договора займа в кредитных потребительских кооперативах</c:v>
                </c:pt>
              </c:strCache>
            </c:strRef>
          </c:cat>
          <c:val>
            <c:numRef>
              <c:f>Sheet1!$B$5:$C$5</c:f>
              <c:numCache>
                <c:formatCode>0%</c:formatCode>
                <c:ptCount val="2"/>
                <c:pt idx="0">
                  <c:v>4.98552907891813E-2</c:v>
                </c:pt>
                <c:pt idx="1">
                  <c:v>5.1535967309013199E-2</c:v>
                </c:pt>
              </c:numCache>
            </c:numRef>
          </c:val>
          <c:extLst xmlns:c16r2="http://schemas.microsoft.com/office/drawing/2015/06/chart">
            <c:ext xmlns:c16="http://schemas.microsoft.com/office/drawing/2014/chart" uri="{C3380CC4-5D6E-409C-BE32-E72D297353CC}">
              <c16:uniqueId val="{00000008-8B35-44D5-ABF2-74878EEE58A2}"/>
            </c:ext>
          </c:extLst>
        </c:ser>
        <c:ser>
          <c:idx val="4"/>
          <c:order val="4"/>
          <c:tx>
            <c:strRef>
              <c:f>Sheet1!$A$6</c:f>
              <c:strCache>
                <c:ptCount val="1"/>
                <c:pt idx="0">
                  <c:v>Не сталкивался(-лась)</c:v>
                </c:pt>
              </c:strCache>
            </c:strRef>
          </c:tx>
          <c:spPr>
            <a:solidFill>
              <a:sysClr val="window" lastClr="FFFFFF">
                <a:lumMod val="50000"/>
              </a:sysClr>
            </a:solidFill>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Sheet1!$B$1:$C$1</c:f>
              <c:strCache>
                <c:ptCount val="2"/>
                <c:pt idx="0">
                  <c:v>Займы в кредитных потребительских кооперативах</c:v>
                </c:pt>
                <c:pt idx="1">
                  <c:v>Размещение средств в форме договора займа в кредитных потребительских кооперативах</c:v>
                </c:pt>
              </c:strCache>
            </c:strRef>
          </c:cat>
          <c:val>
            <c:numRef>
              <c:f>Sheet1!$B$6:$C$6</c:f>
              <c:numCache>
                <c:formatCode>0%</c:formatCode>
                <c:ptCount val="2"/>
                <c:pt idx="0">
                  <c:v>0.80844499119499302</c:v>
                </c:pt>
                <c:pt idx="1">
                  <c:v>0.76030907891813893</c:v>
                </c:pt>
              </c:numCache>
            </c:numRef>
          </c:val>
          <c:extLst xmlns:c16r2="http://schemas.microsoft.com/office/drawing/2015/06/chart">
            <c:ext xmlns:c16="http://schemas.microsoft.com/office/drawing/2014/chart" uri="{C3380CC4-5D6E-409C-BE32-E72D297353CC}">
              <c16:uniqueId val="{00000009-8B35-44D5-ABF2-74878EEE58A2}"/>
            </c:ext>
          </c:extLst>
        </c:ser>
        <c:dLbls>
          <c:showLegendKey val="0"/>
          <c:showVal val="0"/>
          <c:showCatName val="0"/>
          <c:showSerName val="0"/>
          <c:showPercent val="0"/>
          <c:showBubbleSize val="0"/>
        </c:dLbls>
        <c:gapWidth val="105"/>
        <c:overlap val="100"/>
        <c:axId val="161987072"/>
        <c:axId val="151557184"/>
      </c:barChart>
      <c:catAx>
        <c:axId val="161987072"/>
        <c:scaling>
          <c:orientation val="maxMin"/>
        </c:scaling>
        <c:delete val="1"/>
        <c:axPos val="l"/>
        <c:numFmt formatCode="General" sourceLinked="0"/>
        <c:majorTickMark val="out"/>
        <c:minorTickMark val="none"/>
        <c:tickLblPos val="nextTo"/>
        <c:crossAx val="151557184"/>
        <c:crosses val="autoZero"/>
        <c:auto val="1"/>
        <c:lblAlgn val="ctr"/>
        <c:lblOffset val="100"/>
        <c:noMultiLvlLbl val="1"/>
      </c:catAx>
      <c:valAx>
        <c:axId val="151557184"/>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161987072"/>
        <c:crosses val="autoZero"/>
        <c:crossBetween val="between"/>
        <c:majorUnit val="0.25"/>
        <c:minorUnit val="0.125"/>
      </c:valAx>
      <c:spPr>
        <a:solidFill>
          <a:srgbClr val="FFFFFF"/>
        </a:solidFill>
        <a:ln w="12700" cap="flat">
          <a:noFill/>
          <a:miter lim="400000"/>
        </a:ln>
        <a:effectLst/>
      </c:spPr>
    </c:plotArea>
    <c:legend>
      <c:legendPos val="b"/>
      <c:legendEntry>
        <c:idx val="1"/>
        <c:txPr>
          <a:bodyPr/>
          <a:lstStyle/>
          <a:p>
            <a:pPr>
              <a:defRPr sz="900">
                <a:latin typeface="Times New Roman" panose="02020603050405020304" pitchFamily="18" charset="0"/>
                <a:cs typeface="Times New Roman" panose="02020603050405020304" pitchFamily="18" charset="0"/>
              </a:defRPr>
            </a:pPr>
            <a:endParaRPr lang="ru-RU"/>
          </a:p>
        </c:txPr>
      </c:legendEntry>
      <c:layout>
        <c:manualLayout>
          <c:xMode val="edge"/>
          <c:yMode val="edge"/>
          <c:x val="0"/>
          <c:y val="0.6269118034886787"/>
          <c:w val="1"/>
          <c:h val="0.35875120873048766"/>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2557161898902903E-2"/>
          <c:y val="9.5414160186498426E-3"/>
          <c:w val="0.95010927386768129"/>
          <c:h val="0.99045869266341702"/>
        </c:manualLayout>
      </c:layout>
      <c:barChart>
        <c:barDir val="bar"/>
        <c:grouping val="percentStacked"/>
        <c:varyColors val="0"/>
        <c:ser>
          <c:idx val="0"/>
          <c:order val="0"/>
          <c:tx>
            <c:strRef>
              <c:f>Sheet1!$A$2</c:f>
              <c:strCache>
                <c:ptCount val="1"/>
                <c:pt idx="0">
                  <c:v>Полностью удовлетворен(-а)</c:v>
                </c:pt>
              </c:strCache>
            </c:strRef>
          </c:tx>
          <c:spPr>
            <a:solidFill>
              <a:srgbClr val="70AD47">
                <a:lumMod val="75000"/>
              </a:srgbClr>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f>
              <c:strCache>
                <c:ptCount val="1"/>
                <c:pt idx="0">
                  <c:v>Займы в ломбардах</c:v>
                </c:pt>
              </c:strCache>
            </c:strRef>
          </c:cat>
          <c:val>
            <c:numRef>
              <c:f>Sheet1!$B$2</c:f>
              <c:numCache>
                <c:formatCode>0%</c:formatCode>
                <c:ptCount val="1"/>
                <c:pt idx="0">
                  <c:v>3.0692418491930801E-2</c:v>
                </c:pt>
              </c:numCache>
            </c:numRef>
          </c:val>
          <c:extLst xmlns:c16r2="http://schemas.microsoft.com/office/drawing/2015/06/chart">
            <c:ext xmlns:c16="http://schemas.microsoft.com/office/drawing/2014/chart" uri="{C3380CC4-5D6E-409C-BE32-E72D297353CC}">
              <c16:uniqueId val="{00000000-642F-4B0B-8E9F-783465FC0046}"/>
            </c:ext>
          </c:extLst>
        </c:ser>
        <c:ser>
          <c:idx val="1"/>
          <c:order val="1"/>
          <c:tx>
            <c:strRef>
              <c:f>Sheet1!$A$3</c:f>
              <c:strCache>
                <c:ptCount val="1"/>
                <c:pt idx="0">
                  <c:v>Скорее удовлетворен(-а)</c:v>
                </c:pt>
              </c:strCache>
            </c:strRef>
          </c:tx>
          <c:spPr>
            <a:solidFill>
              <a:srgbClr val="70AD47">
                <a:lumMod val="60000"/>
                <a:lumOff val="40000"/>
              </a:srgbClr>
            </a:solidFill>
            <a:ln w="9525" cap="flat">
              <a:noFill/>
              <a:prstDash val="solid"/>
              <a:round/>
            </a:ln>
            <a:effectLst/>
          </c:spPr>
          <c:invertIfNegative val="0"/>
          <c:dLbls>
            <c:dLbl>
              <c:idx val="0"/>
              <c:layout>
                <c:manualLayout>
                  <c:x val="1.3065490772497135E-2"/>
                  <c:y val="2.425016077718094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42F-4B0B-8E9F-783465FC0046}"/>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f>
              <c:strCache>
                <c:ptCount val="1"/>
                <c:pt idx="0">
                  <c:v>Займы в ломбардах</c:v>
                </c:pt>
              </c:strCache>
            </c:strRef>
          </c:cat>
          <c:val>
            <c:numRef>
              <c:f>Sheet1!$B$3</c:f>
              <c:numCache>
                <c:formatCode>0%</c:formatCode>
                <c:ptCount val="1"/>
                <c:pt idx="0">
                  <c:v>9.13676784366967E-2</c:v>
                </c:pt>
              </c:numCache>
            </c:numRef>
          </c:val>
          <c:extLst xmlns:c16r2="http://schemas.microsoft.com/office/drawing/2015/06/chart">
            <c:ext xmlns:c16="http://schemas.microsoft.com/office/drawing/2014/chart" uri="{C3380CC4-5D6E-409C-BE32-E72D297353CC}">
              <c16:uniqueId val="{00000002-642F-4B0B-8E9F-783465FC0046}"/>
            </c:ext>
          </c:extLst>
        </c:ser>
        <c:ser>
          <c:idx val="2"/>
          <c:order val="2"/>
          <c:tx>
            <c:strRef>
              <c:f>Sheet1!$A$4</c:f>
              <c:strCache>
                <c:ptCount val="1"/>
                <c:pt idx="0">
                  <c:v>Скорее НЕ удовлетворен(-а)</c:v>
                </c:pt>
              </c:strCache>
            </c:strRef>
          </c:tx>
          <c:spPr>
            <a:solidFill>
              <a:srgbClr val="D97A8D"/>
            </a:solidFill>
            <a:ln w="9525" cap="flat">
              <a:noFill/>
              <a:prstDash val="solid"/>
              <a:round/>
            </a:ln>
            <a:effectLst/>
          </c:spPr>
          <c:invertIfNegative val="0"/>
          <c:dLbls>
            <c:dLbl>
              <c:idx val="0"/>
              <c:layout>
                <c:manualLayout>
                  <c:x val="9.7991180793728719E-3"/>
                  <c:y val="2.425016077718094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42F-4B0B-8E9F-783465FC0046}"/>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f>
              <c:strCache>
                <c:ptCount val="1"/>
                <c:pt idx="0">
                  <c:v>Займы в ломбардах</c:v>
                </c:pt>
              </c:strCache>
            </c:strRef>
          </c:cat>
          <c:val>
            <c:numRef>
              <c:f>Sheet1!$B$4</c:f>
              <c:numCache>
                <c:formatCode>0%</c:formatCode>
                <c:ptCount val="1"/>
                <c:pt idx="0">
                  <c:v>5.6693341089330801E-2</c:v>
                </c:pt>
              </c:numCache>
            </c:numRef>
          </c:val>
          <c:extLst xmlns:c16r2="http://schemas.microsoft.com/office/drawing/2015/06/chart">
            <c:ext xmlns:c16="http://schemas.microsoft.com/office/drawing/2014/chart" uri="{C3380CC4-5D6E-409C-BE32-E72D297353CC}">
              <c16:uniqueId val="{00000004-642F-4B0B-8E9F-783465FC0046}"/>
            </c:ext>
          </c:extLst>
        </c:ser>
        <c:ser>
          <c:idx val="3"/>
          <c:order val="3"/>
          <c:tx>
            <c:strRef>
              <c:f>Sheet1!$A$5</c:f>
              <c:strCache>
                <c:ptCount val="1"/>
                <c:pt idx="0">
                  <c:v>Полностью НЕ удовлетворен(-а)</c:v>
                </c:pt>
              </c:strCache>
            </c:strRef>
          </c:tx>
          <c:spPr>
            <a:solidFill>
              <a:srgbClr val="59221B"/>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f>
              <c:strCache>
                <c:ptCount val="1"/>
                <c:pt idx="0">
                  <c:v>Займы в ломбардах</c:v>
                </c:pt>
              </c:strCache>
            </c:strRef>
          </c:cat>
          <c:val>
            <c:numRef>
              <c:f>Sheet1!$B$5</c:f>
              <c:numCache>
                <c:formatCode>0%</c:formatCode>
                <c:ptCount val="1"/>
                <c:pt idx="0">
                  <c:v>5.4052546997928205E-2</c:v>
                </c:pt>
              </c:numCache>
            </c:numRef>
          </c:val>
          <c:extLst xmlns:c16r2="http://schemas.microsoft.com/office/drawing/2015/06/chart">
            <c:ext xmlns:c16="http://schemas.microsoft.com/office/drawing/2014/chart" uri="{C3380CC4-5D6E-409C-BE32-E72D297353CC}">
              <c16:uniqueId val="{00000005-642F-4B0B-8E9F-783465FC0046}"/>
            </c:ext>
          </c:extLst>
        </c:ser>
        <c:ser>
          <c:idx val="4"/>
          <c:order val="4"/>
          <c:tx>
            <c:strRef>
              <c:f>Sheet1!$A$6</c:f>
              <c:strCache>
                <c:ptCount val="1"/>
                <c:pt idx="0">
                  <c:v>Не сталкивался(-лась)</c:v>
                </c:pt>
              </c:strCache>
            </c:strRef>
          </c:tx>
          <c:spPr>
            <a:solidFill>
              <a:sysClr val="window" lastClr="FFFFFF">
                <a:lumMod val="50000"/>
              </a:sysClr>
            </a:solidFill>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f>
              <c:strCache>
                <c:ptCount val="1"/>
                <c:pt idx="0">
                  <c:v>Займы в ломбардах</c:v>
                </c:pt>
              </c:strCache>
            </c:strRef>
          </c:cat>
          <c:val>
            <c:numRef>
              <c:f>Sheet1!$B$6</c:f>
              <c:numCache>
                <c:formatCode>0%</c:formatCode>
                <c:ptCount val="1"/>
                <c:pt idx="0">
                  <c:v>0.76719401498411799</c:v>
                </c:pt>
              </c:numCache>
            </c:numRef>
          </c:val>
          <c:extLst xmlns:c16r2="http://schemas.microsoft.com/office/drawing/2015/06/chart">
            <c:ext xmlns:c16="http://schemas.microsoft.com/office/drawing/2014/chart" uri="{C3380CC4-5D6E-409C-BE32-E72D297353CC}">
              <c16:uniqueId val="{00000006-642F-4B0B-8E9F-783465FC0046}"/>
            </c:ext>
          </c:extLst>
        </c:ser>
        <c:dLbls>
          <c:showLegendKey val="0"/>
          <c:showVal val="0"/>
          <c:showCatName val="0"/>
          <c:showSerName val="0"/>
          <c:showPercent val="0"/>
          <c:showBubbleSize val="0"/>
        </c:dLbls>
        <c:gapWidth val="105"/>
        <c:overlap val="100"/>
        <c:axId val="162178048"/>
        <c:axId val="151556608"/>
      </c:barChart>
      <c:catAx>
        <c:axId val="162178048"/>
        <c:scaling>
          <c:orientation val="maxMin"/>
        </c:scaling>
        <c:delete val="1"/>
        <c:axPos val="l"/>
        <c:numFmt formatCode="General" sourceLinked="0"/>
        <c:majorTickMark val="out"/>
        <c:minorTickMark val="none"/>
        <c:tickLblPos val="nextTo"/>
        <c:crossAx val="151556608"/>
        <c:crosses val="autoZero"/>
        <c:auto val="1"/>
        <c:lblAlgn val="ctr"/>
        <c:lblOffset val="100"/>
        <c:noMultiLvlLbl val="1"/>
      </c:catAx>
      <c:valAx>
        <c:axId val="151556608"/>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162178048"/>
        <c:crosses val="autoZero"/>
        <c:crossBetween val="between"/>
        <c:majorUnit val="0.25"/>
        <c:minorUnit val="0.125"/>
      </c:valAx>
      <c:spPr>
        <a:solidFill>
          <a:srgbClr val="FFFFFF"/>
        </a:solidFill>
        <a:ln w="12700" cap="flat">
          <a:noFill/>
          <a:miter lim="400000"/>
        </a:ln>
        <a:effectLst/>
      </c:spPr>
    </c:plotArea>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974716570532698"/>
          <c:y val="0.11551834740780764"/>
          <c:w val="0.30090975800799769"/>
          <c:h val="0.83006591247151296"/>
        </c:manualLayout>
      </c:layout>
      <c:doughnutChart>
        <c:varyColors val="1"/>
        <c:ser>
          <c:idx val="0"/>
          <c:order val="0"/>
          <c:tx>
            <c:strRef>
              <c:f>Лист1!$B$1</c:f>
              <c:strCache>
                <c:ptCount val="1"/>
                <c:pt idx="0">
                  <c:v>Продажи</c:v>
                </c:pt>
              </c:strCache>
            </c:strRef>
          </c:tx>
          <c:dPt>
            <c:idx val="0"/>
            <c:bubble3D val="0"/>
            <c:spPr>
              <a:solidFill>
                <a:srgbClr val="59221B"/>
              </a:solidFill>
              <a:ln w="19050">
                <a:solidFill>
                  <a:schemeClr val="lt1"/>
                </a:solidFill>
              </a:ln>
              <a:effectLst/>
            </c:spPr>
            <c:extLst xmlns:c16r2="http://schemas.microsoft.com/office/drawing/2015/06/chart">
              <c:ext xmlns:c16="http://schemas.microsoft.com/office/drawing/2014/chart" uri="{C3380CC4-5D6E-409C-BE32-E72D297353CC}">
                <c16:uniqueId val="{00000001-D65A-4A53-849B-29F71E5C5B0F}"/>
              </c:ext>
            </c:extLst>
          </c:dPt>
          <c:dPt>
            <c:idx val="1"/>
            <c:bubble3D val="0"/>
            <c:spPr>
              <a:solidFill>
                <a:srgbClr val="D97A8D"/>
              </a:solidFill>
              <a:ln w="19050">
                <a:solidFill>
                  <a:schemeClr val="lt1"/>
                </a:solidFill>
              </a:ln>
              <a:effectLst/>
            </c:spPr>
            <c:extLst xmlns:c16r2="http://schemas.microsoft.com/office/drawing/2015/06/chart">
              <c:ext xmlns:c16="http://schemas.microsoft.com/office/drawing/2014/chart" uri="{C3380CC4-5D6E-409C-BE32-E72D297353CC}">
                <c16:uniqueId val="{00000003-D65A-4A53-849B-29F71E5C5B0F}"/>
              </c:ext>
            </c:extLst>
          </c:dPt>
          <c:dPt>
            <c:idx val="2"/>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5-D65A-4A53-849B-29F71E5C5B0F}"/>
              </c:ext>
            </c:extLst>
          </c:dPt>
          <c:dPt>
            <c:idx val="3"/>
            <c:bubble3D val="0"/>
            <c:spPr>
              <a:solidFill>
                <a:srgbClr val="A9D18E"/>
              </a:solidFill>
              <a:ln w="19050">
                <a:solidFill>
                  <a:schemeClr val="lt1"/>
                </a:solidFill>
              </a:ln>
              <a:effectLst/>
            </c:spPr>
            <c:extLst xmlns:c16r2="http://schemas.microsoft.com/office/drawing/2015/06/chart">
              <c:ext xmlns:c16="http://schemas.microsoft.com/office/drawing/2014/chart" uri="{C3380CC4-5D6E-409C-BE32-E72D297353CC}">
                <c16:uniqueId val="{00000007-D65A-4A53-849B-29F71E5C5B0F}"/>
              </c:ext>
            </c:extLst>
          </c:dPt>
          <c:dPt>
            <c:idx val="4"/>
            <c:bubble3D val="0"/>
            <c:spPr>
              <a:solidFill>
                <a:srgbClr val="70AD47">
                  <a:lumMod val="75000"/>
                </a:srgbClr>
              </a:solidFill>
              <a:ln w="19050">
                <a:solidFill>
                  <a:schemeClr val="lt1"/>
                </a:solidFill>
              </a:ln>
              <a:effectLst/>
            </c:spPr>
            <c:extLst xmlns:c16r2="http://schemas.microsoft.com/office/drawing/2015/06/chart">
              <c:ext xmlns:c16="http://schemas.microsoft.com/office/drawing/2014/chart" uri="{C3380CC4-5D6E-409C-BE32-E72D297353CC}">
                <c16:uniqueId val="{00000009-D65A-4A53-849B-29F71E5C5B0F}"/>
              </c:ext>
            </c:extLst>
          </c:dPt>
          <c:dPt>
            <c:idx val="5"/>
            <c:bubble3D val="0"/>
            <c:spPr>
              <a:solidFill>
                <a:srgbClr val="E7E6E6">
                  <a:lumMod val="75000"/>
                </a:srgbClr>
              </a:solidFill>
              <a:ln w="19050">
                <a:solidFill>
                  <a:schemeClr val="lt1"/>
                </a:solidFill>
              </a:ln>
              <a:effectLst/>
            </c:spPr>
            <c:extLst xmlns:c16r2="http://schemas.microsoft.com/office/drawing/2015/06/chart">
              <c:ext xmlns:c16="http://schemas.microsoft.com/office/drawing/2014/chart" uri="{C3380CC4-5D6E-409C-BE32-E72D297353CC}">
                <c16:uniqueId val="{0000000B-D65A-4A53-849B-29F71E5C5B0F}"/>
              </c:ext>
            </c:extLst>
          </c:dPt>
          <c:dLbls>
            <c:dLbl>
              <c:idx val="0"/>
              <c:layout>
                <c:manualLayout>
                  <c:x val="5.548860627190926E-4"/>
                  <c:y val="3.5284332712073054E-3"/>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65A-4A53-849B-29F71E5C5B0F}"/>
                </c:ext>
              </c:extLst>
            </c:dLbl>
            <c:dLbl>
              <c:idx val="1"/>
              <c:layout>
                <c:manualLayout>
                  <c:x val="-1.8950677227753663E-3"/>
                  <c:y val="-4.8624222666076231E-3"/>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65A-4A53-849B-29F71E5C5B0F}"/>
                </c:ext>
              </c:extLst>
            </c:dLbl>
            <c:dLbl>
              <c:idx val="2"/>
              <c:layout>
                <c:manualLayout>
                  <c:x val="1.543636888320897E-3"/>
                  <c:y val="-1.49166094286071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65A-4A53-849B-29F71E5C5B0F}"/>
                </c:ext>
              </c:extLst>
            </c:dLbl>
            <c:dLbl>
              <c:idx val="3"/>
              <c:layout>
                <c:manualLayout>
                  <c:x val="1.4819841427696724E-5"/>
                  <c:y val="2.05817179560341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65A-4A53-849B-29F71E5C5B0F}"/>
                </c:ext>
              </c:extLst>
            </c:dLbl>
            <c:dLbl>
              <c:idx val="4"/>
              <c:layout>
                <c:manualLayout>
                  <c:x val="-6.5737696606646303E-4"/>
                  <c:y val="-7.641296187244135E-4"/>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65A-4A53-849B-29F71E5C5B0F}"/>
                </c:ext>
              </c:extLst>
            </c:dLbl>
            <c:dLbl>
              <c:idx val="5"/>
              <c:layout>
                <c:manualLayout>
                  <c:x val="3.0006278932815417E-3"/>
                  <c:y val="-2.362002359573981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65A-4A53-849B-29F71E5C5B0F}"/>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Лист1!$A$2:$A$7</c:f>
              <c:strCache>
                <c:ptCount val="6"/>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pt idx="5">
                  <c:v>Затрудняюсь ответить</c:v>
                </c:pt>
              </c:strCache>
            </c:strRef>
          </c:cat>
          <c:val>
            <c:numRef>
              <c:f>Лист1!$B$2:$B$7</c:f>
              <c:numCache>
                <c:formatCode>0%</c:formatCode>
                <c:ptCount val="6"/>
                <c:pt idx="0">
                  <c:v>7.0000000000000007E-2</c:v>
                </c:pt>
                <c:pt idx="1">
                  <c:v>0.15</c:v>
                </c:pt>
                <c:pt idx="2">
                  <c:v>0.36</c:v>
                </c:pt>
                <c:pt idx="3">
                  <c:v>0.25</c:v>
                </c:pt>
                <c:pt idx="4">
                  <c:v>7.0000000000000007E-2</c:v>
                </c:pt>
                <c:pt idx="5">
                  <c:v>0.1</c:v>
                </c:pt>
              </c:numCache>
            </c:numRef>
          </c:val>
          <c:extLst xmlns:c16r2="http://schemas.microsoft.com/office/drawing/2015/06/chart">
            <c:ext xmlns:c16="http://schemas.microsoft.com/office/drawing/2014/chart" uri="{C3380CC4-5D6E-409C-BE32-E72D297353CC}">
              <c16:uniqueId val="{0000000C-D65A-4A53-849B-29F71E5C5B0F}"/>
            </c:ext>
          </c:extLst>
        </c:ser>
        <c:dLbls>
          <c:showLegendKey val="0"/>
          <c:showVal val="0"/>
          <c:showCatName val="0"/>
          <c:showSerName val="0"/>
          <c:showPercent val="0"/>
          <c:showBubbleSize val="0"/>
          <c:showLeaderLines val="0"/>
        </c:dLbls>
        <c:firstSliceAng val="0"/>
        <c:holeSize val="70"/>
      </c:doughnutChart>
      <c:spPr>
        <a:noFill/>
        <a:ln>
          <a:noFill/>
        </a:ln>
        <a:effectLst/>
      </c:spPr>
    </c:plotArea>
    <c:legend>
      <c:legendPos val="r"/>
      <c:layout>
        <c:manualLayout>
          <c:xMode val="edge"/>
          <c:yMode val="edge"/>
          <c:x val="0.51687207746877117"/>
          <c:y val="0.18286964129483815"/>
          <c:w val="0.47265684657174167"/>
          <c:h val="0.69082569000027305"/>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b="0">
          <a:solidFill>
            <a:sysClr val="windowText" lastClr="000000"/>
          </a:solidFill>
        </a:defRPr>
      </a:pPr>
      <a:endParaRPr lang="ru-RU"/>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2557161898902903E-2"/>
          <c:y val="9.5414160186498426E-3"/>
          <c:w val="0.95010927386768129"/>
          <c:h val="0.97902632170978632"/>
        </c:manualLayout>
      </c:layout>
      <c:barChart>
        <c:barDir val="bar"/>
        <c:grouping val="percentStacked"/>
        <c:varyColors val="0"/>
        <c:ser>
          <c:idx val="0"/>
          <c:order val="0"/>
          <c:tx>
            <c:strRef>
              <c:f>Sheet1!$A$2</c:f>
              <c:strCache>
                <c:ptCount val="1"/>
                <c:pt idx="0">
                  <c:v>Полностью удовлетворен(-а)</c:v>
                </c:pt>
              </c:strCache>
            </c:strRef>
          </c:tx>
          <c:spPr>
            <a:solidFill>
              <a:srgbClr val="70AD47">
                <a:lumMod val="75000"/>
              </a:srgbClr>
            </a:solidFill>
            <a:ln w="9525" cap="flat">
              <a:noFill/>
              <a:prstDash val="solid"/>
              <a:round/>
            </a:ln>
            <a:effectLst/>
          </c:spPr>
          <c:invertIfNegative val="0"/>
          <c:dLbls>
            <c:dLbl>
              <c:idx val="1"/>
              <c:layout>
                <c:manualLayout>
                  <c:x val="-4.101302163436891E-3"/>
                  <c:y val="2.1736413385640171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7CE-44F4-8700-E65F5E17D4C9}"/>
                </c:ext>
              </c:extLst>
            </c:dLbl>
            <c:dLbl>
              <c:idx val="2"/>
              <c:layout>
                <c:manualLayout>
                  <c:x val="1.0253255408592229E-2"/>
                  <c:y val="1.6851826106006413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7CE-44F4-8700-E65F5E17D4C9}"/>
                </c:ext>
              </c:extLst>
            </c:dLbl>
            <c:dLbl>
              <c:idx val="3"/>
              <c:layout>
                <c:manualLayout>
                  <c:x val="1.0253255408592229E-2"/>
                  <c:y val="1.6851826113853655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7CE-44F4-8700-E65F5E17D4C9}"/>
                </c:ext>
              </c:extLst>
            </c:dLbl>
            <c:spPr>
              <a:noFill/>
              <a:ln>
                <a:noFill/>
              </a:ln>
              <a:effectLst/>
            </c:spPr>
            <c:txPr>
              <a:bodyPr wrap="square" lIns="38100" tIns="19050" rIns="38100" bIns="19050" anchor="ctr">
                <a:spAutoFit/>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Sheet1!$B$1:$E$1</c:f>
              <c:strCache>
                <c:ptCount val="4"/>
                <c:pt idx="0">
                  <c:v>Добровольное страхование жизни</c:v>
                </c:pt>
                <c:pt idx="1">
                  <c:v>Другое добровольное страхование</c:v>
                </c:pt>
                <c:pt idx="2">
                  <c:v>Обязательное медицинское страхование</c:v>
                </c:pt>
                <c:pt idx="3">
                  <c:v>Другое обязательное страхование</c:v>
                </c:pt>
              </c:strCache>
            </c:strRef>
          </c:cat>
          <c:val>
            <c:numRef>
              <c:f>Sheet1!$B$2:$E$2</c:f>
              <c:numCache>
                <c:formatCode>0%</c:formatCode>
                <c:ptCount val="4"/>
                <c:pt idx="0">
                  <c:v>3.3355791698331201E-2</c:v>
                </c:pt>
                <c:pt idx="1">
                  <c:v>2.3174580270182599E-2</c:v>
                </c:pt>
                <c:pt idx="2">
                  <c:v>5.1056595729894495E-2</c:v>
                </c:pt>
                <c:pt idx="3">
                  <c:v>2.7177730765615599E-2</c:v>
                </c:pt>
              </c:numCache>
            </c:numRef>
          </c:val>
          <c:extLst xmlns:c16r2="http://schemas.microsoft.com/office/drawing/2015/06/chart">
            <c:ext xmlns:c16="http://schemas.microsoft.com/office/drawing/2014/chart" uri="{C3380CC4-5D6E-409C-BE32-E72D297353CC}">
              <c16:uniqueId val="{00000003-47CE-44F4-8700-E65F5E17D4C9}"/>
            </c:ext>
          </c:extLst>
        </c:ser>
        <c:ser>
          <c:idx val="1"/>
          <c:order val="1"/>
          <c:tx>
            <c:strRef>
              <c:f>Sheet1!$A$3</c:f>
              <c:strCache>
                <c:ptCount val="1"/>
                <c:pt idx="0">
                  <c:v>Скорее удовлетворен(-а)</c:v>
                </c:pt>
              </c:strCache>
            </c:strRef>
          </c:tx>
          <c:spPr>
            <a:solidFill>
              <a:srgbClr val="70AD47">
                <a:lumMod val="60000"/>
                <a:lumOff val="40000"/>
              </a:srgbClr>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Sheet1!$B$1:$E$1</c:f>
              <c:strCache>
                <c:ptCount val="4"/>
                <c:pt idx="0">
                  <c:v>Добровольное страхование жизни</c:v>
                </c:pt>
                <c:pt idx="1">
                  <c:v>Другое добровольное страхование</c:v>
                </c:pt>
                <c:pt idx="2">
                  <c:v>Обязательное медицинское страхование</c:v>
                </c:pt>
                <c:pt idx="3">
                  <c:v>Другое обязательное страхование</c:v>
                </c:pt>
              </c:strCache>
            </c:strRef>
          </c:cat>
          <c:val>
            <c:numRef>
              <c:f>Sheet1!$B$3:$E$3</c:f>
              <c:numCache>
                <c:formatCode>0%</c:formatCode>
                <c:ptCount val="4"/>
                <c:pt idx="0">
                  <c:v>0.17490590750250998</c:v>
                </c:pt>
                <c:pt idx="1">
                  <c:v>0.18029235947613798</c:v>
                </c:pt>
                <c:pt idx="2">
                  <c:v>0.30649460749851803</c:v>
                </c:pt>
                <c:pt idx="3">
                  <c:v>0.16368916507529899</c:v>
                </c:pt>
              </c:numCache>
            </c:numRef>
          </c:val>
          <c:extLst xmlns:c16r2="http://schemas.microsoft.com/office/drawing/2015/06/chart">
            <c:ext xmlns:c16="http://schemas.microsoft.com/office/drawing/2014/chart" uri="{C3380CC4-5D6E-409C-BE32-E72D297353CC}">
              <c16:uniqueId val="{00000004-47CE-44F4-8700-E65F5E17D4C9}"/>
            </c:ext>
          </c:extLst>
        </c:ser>
        <c:ser>
          <c:idx val="2"/>
          <c:order val="2"/>
          <c:tx>
            <c:strRef>
              <c:f>Sheet1!$A$4</c:f>
              <c:strCache>
                <c:ptCount val="1"/>
                <c:pt idx="0">
                  <c:v>Скорее НЕ удовлетворен(-а)</c:v>
                </c:pt>
              </c:strCache>
            </c:strRef>
          </c:tx>
          <c:spPr>
            <a:solidFill>
              <a:srgbClr val="D97A8D"/>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Sheet1!$B$1:$E$1</c:f>
              <c:strCache>
                <c:ptCount val="4"/>
                <c:pt idx="0">
                  <c:v>Добровольное страхование жизни</c:v>
                </c:pt>
                <c:pt idx="1">
                  <c:v>Другое добровольное страхование</c:v>
                </c:pt>
                <c:pt idx="2">
                  <c:v>Обязательное медицинское страхование</c:v>
                </c:pt>
                <c:pt idx="3">
                  <c:v>Другое обязательное страхование</c:v>
                </c:pt>
              </c:strCache>
            </c:strRef>
          </c:cat>
          <c:val>
            <c:numRef>
              <c:f>Sheet1!$B$4:$E$4</c:f>
              <c:numCache>
                <c:formatCode>0%</c:formatCode>
                <c:ptCount val="4"/>
                <c:pt idx="0">
                  <c:v>7.2290835559437702E-2</c:v>
                </c:pt>
                <c:pt idx="1">
                  <c:v>9.3061426006527392E-2</c:v>
                </c:pt>
                <c:pt idx="2">
                  <c:v>0.15622998221521101</c:v>
                </c:pt>
                <c:pt idx="3">
                  <c:v>8.6840347217982797E-2</c:v>
                </c:pt>
              </c:numCache>
            </c:numRef>
          </c:val>
          <c:extLst xmlns:c16r2="http://schemas.microsoft.com/office/drawing/2015/06/chart">
            <c:ext xmlns:c16="http://schemas.microsoft.com/office/drawing/2014/chart" uri="{C3380CC4-5D6E-409C-BE32-E72D297353CC}">
              <c16:uniqueId val="{00000005-47CE-44F4-8700-E65F5E17D4C9}"/>
            </c:ext>
          </c:extLst>
        </c:ser>
        <c:ser>
          <c:idx val="3"/>
          <c:order val="3"/>
          <c:tx>
            <c:strRef>
              <c:f>Sheet1!$A$5</c:f>
              <c:strCache>
                <c:ptCount val="1"/>
                <c:pt idx="0">
                  <c:v>Полностью НЕ удовлетворен(-а)</c:v>
                </c:pt>
              </c:strCache>
            </c:strRef>
          </c:tx>
          <c:spPr>
            <a:solidFill>
              <a:srgbClr val="59221B"/>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Sheet1!$B$1:$E$1</c:f>
              <c:strCache>
                <c:ptCount val="4"/>
                <c:pt idx="0">
                  <c:v>Добровольное страхование жизни</c:v>
                </c:pt>
                <c:pt idx="1">
                  <c:v>Другое добровольное страхование</c:v>
                </c:pt>
                <c:pt idx="2">
                  <c:v>Обязательное медицинское страхование</c:v>
                </c:pt>
                <c:pt idx="3">
                  <c:v>Другое обязательное страхование</c:v>
                </c:pt>
              </c:strCache>
            </c:strRef>
          </c:cat>
          <c:val>
            <c:numRef>
              <c:f>Sheet1!$B$5:$E$5</c:f>
              <c:numCache>
                <c:formatCode>0%</c:formatCode>
                <c:ptCount val="4"/>
                <c:pt idx="0">
                  <c:v>4.0345320751798905E-2</c:v>
                </c:pt>
                <c:pt idx="1">
                  <c:v>3.6843506714649102E-2</c:v>
                </c:pt>
                <c:pt idx="2">
                  <c:v>4.8061649487694001E-2</c:v>
                </c:pt>
                <c:pt idx="3">
                  <c:v>3.4593252197374101E-2</c:v>
                </c:pt>
              </c:numCache>
            </c:numRef>
          </c:val>
          <c:extLst xmlns:c16r2="http://schemas.microsoft.com/office/drawing/2015/06/chart">
            <c:ext xmlns:c16="http://schemas.microsoft.com/office/drawing/2014/chart" uri="{C3380CC4-5D6E-409C-BE32-E72D297353CC}">
              <c16:uniqueId val="{00000006-47CE-44F4-8700-E65F5E17D4C9}"/>
            </c:ext>
          </c:extLst>
        </c:ser>
        <c:ser>
          <c:idx val="4"/>
          <c:order val="4"/>
          <c:tx>
            <c:strRef>
              <c:f>Sheet1!$A$6</c:f>
              <c:strCache>
                <c:ptCount val="1"/>
                <c:pt idx="0">
                  <c:v>Не сталкивался(-лась)</c:v>
                </c:pt>
              </c:strCache>
            </c:strRef>
          </c:tx>
          <c:spPr>
            <a:solidFill>
              <a:sysClr val="window" lastClr="FFFFFF">
                <a:lumMod val="50000"/>
              </a:sysClr>
            </a:solidFill>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Sheet1!$B$1:$E$1</c:f>
              <c:strCache>
                <c:ptCount val="4"/>
                <c:pt idx="0">
                  <c:v>Добровольное страхование жизни</c:v>
                </c:pt>
                <c:pt idx="1">
                  <c:v>Другое добровольное страхование</c:v>
                </c:pt>
                <c:pt idx="2">
                  <c:v>Обязательное медицинское страхование</c:v>
                </c:pt>
                <c:pt idx="3">
                  <c:v>Другое обязательное страхование</c:v>
                </c:pt>
              </c:strCache>
            </c:strRef>
          </c:cat>
          <c:val>
            <c:numRef>
              <c:f>Sheet1!$B$6:$E$6</c:f>
              <c:numCache>
                <c:formatCode>0%</c:formatCode>
                <c:ptCount val="4"/>
                <c:pt idx="0">
                  <c:v>0.67910214448792605</c:v>
                </c:pt>
                <c:pt idx="1">
                  <c:v>0.66662812753250611</c:v>
                </c:pt>
                <c:pt idx="2">
                  <c:v>0.43815716506868596</c:v>
                </c:pt>
                <c:pt idx="3">
                  <c:v>0.68769950474373198</c:v>
                </c:pt>
              </c:numCache>
            </c:numRef>
          </c:val>
          <c:extLst xmlns:c16r2="http://schemas.microsoft.com/office/drawing/2015/06/chart">
            <c:ext xmlns:c16="http://schemas.microsoft.com/office/drawing/2014/chart" uri="{C3380CC4-5D6E-409C-BE32-E72D297353CC}">
              <c16:uniqueId val="{00000007-47CE-44F4-8700-E65F5E17D4C9}"/>
            </c:ext>
          </c:extLst>
        </c:ser>
        <c:dLbls>
          <c:showLegendKey val="0"/>
          <c:showVal val="0"/>
          <c:showCatName val="0"/>
          <c:showSerName val="0"/>
          <c:showPercent val="0"/>
          <c:showBubbleSize val="0"/>
        </c:dLbls>
        <c:gapWidth val="105"/>
        <c:overlap val="100"/>
        <c:axId val="161782272"/>
        <c:axId val="151558336"/>
      </c:barChart>
      <c:catAx>
        <c:axId val="161782272"/>
        <c:scaling>
          <c:orientation val="maxMin"/>
        </c:scaling>
        <c:delete val="1"/>
        <c:axPos val="l"/>
        <c:numFmt formatCode="General" sourceLinked="0"/>
        <c:majorTickMark val="out"/>
        <c:minorTickMark val="none"/>
        <c:tickLblPos val="nextTo"/>
        <c:crossAx val="151558336"/>
        <c:crosses val="autoZero"/>
        <c:auto val="1"/>
        <c:lblAlgn val="ctr"/>
        <c:lblOffset val="100"/>
        <c:noMultiLvlLbl val="1"/>
      </c:catAx>
      <c:valAx>
        <c:axId val="151558336"/>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161782272"/>
        <c:crosses val="autoZero"/>
        <c:crossBetween val="between"/>
        <c:majorUnit val="0.25"/>
        <c:minorUnit val="0.125"/>
      </c:valAx>
      <c:spPr>
        <a:solidFill>
          <a:srgbClr val="FFFFFF"/>
        </a:solidFill>
        <a:ln w="12700" cap="flat">
          <a:noFill/>
          <a:miter lim="400000"/>
        </a:ln>
        <a:effectLst/>
      </c:spPr>
    </c:plotArea>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2557161898902903E-2"/>
          <c:y val="9.5414160186498426E-3"/>
          <c:w val="0.95010927386768129"/>
          <c:h val="0.99045872997218631"/>
        </c:manualLayout>
      </c:layout>
      <c:barChart>
        <c:barDir val="bar"/>
        <c:grouping val="percentStacked"/>
        <c:varyColors val="0"/>
        <c:ser>
          <c:idx val="0"/>
          <c:order val="0"/>
          <c:tx>
            <c:strRef>
              <c:f>Sheet1!$A$2</c:f>
              <c:strCache>
                <c:ptCount val="1"/>
                <c:pt idx="0">
                  <c:v>Полностью удовлетворен(-а)</c:v>
                </c:pt>
              </c:strCache>
            </c:strRef>
          </c:tx>
          <c:spPr>
            <a:solidFill>
              <a:srgbClr val="70AD47">
                <a:lumMod val="75000"/>
              </a:srgbClr>
            </a:solidFill>
            <a:ln w="9525" cap="flat">
              <a:noFill/>
              <a:prstDash val="solid"/>
              <a:round/>
            </a:ln>
            <a:effectLst/>
          </c:spPr>
          <c:invertIfNegative val="0"/>
          <c:dLbls>
            <c:dLbl>
              <c:idx val="1"/>
              <c:layout>
                <c:manualLayout>
                  <c:x val="-4.101302163436891E-3"/>
                  <c:y val="2.1736413385640171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F4C-45A1-99A4-EC3D7FA12634}"/>
                </c:ext>
              </c:extLst>
            </c:dLbl>
            <c:spPr>
              <a:noFill/>
              <a:ln>
                <a:noFill/>
              </a:ln>
              <a:effectLst/>
            </c:spPr>
            <c:txPr>
              <a:bodyPr wrap="square" lIns="38100" tIns="19050" rIns="38100" bIns="19050" anchor="ctr">
                <a:spAutoFit/>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Sheet1!$B$1:$C$1</c:f>
              <c:strCache>
                <c:ptCount val="2"/>
                <c:pt idx="0">
                  <c:v>Займы в сельскохозяйственных кредитных потребительских кооперативах</c:v>
                </c:pt>
                <c:pt idx="1">
                  <c:v>Размещение средств в форме договора займа в сельскохозяйственных кредитных потребительских кооперативах</c:v>
                </c:pt>
              </c:strCache>
            </c:strRef>
          </c:cat>
          <c:val>
            <c:numRef>
              <c:f>Sheet1!$B$2:$C$2</c:f>
              <c:numCache>
                <c:formatCode>0%</c:formatCode>
                <c:ptCount val="2"/>
                <c:pt idx="0">
                  <c:v>4.6693537186164098E-2</c:v>
                </c:pt>
                <c:pt idx="1">
                  <c:v>1.8038652525696201E-2</c:v>
                </c:pt>
              </c:numCache>
            </c:numRef>
          </c:val>
          <c:extLst xmlns:c16r2="http://schemas.microsoft.com/office/drawing/2015/06/chart">
            <c:ext xmlns:c16="http://schemas.microsoft.com/office/drawing/2014/chart" uri="{C3380CC4-5D6E-409C-BE32-E72D297353CC}">
              <c16:uniqueId val="{00000001-AF4C-45A1-99A4-EC3D7FA12634}"/>
            </c:ext>
          </c:extLst>
        </c:ser>
        <c:ser>
          <c:idx val="1"/>
          <c:order val="1"/>
          <c:tx>
            <c:strRef>
              <c:f>Sheet1!$A$3</c:f>
              <c:strCache>
                <c:ptCount val="1"/>
                <c:pt idx="0">
                  <c:v>Скорее удовлетворен(-а)</c:v>
                </c:pt>
              </c:strCache>
            </c:strRef>
          </c:tx>
          <c:spPr>
            <a:solidFill>
              <a:srgbClr val="70AD47">
                <a:lumMod val="60000"/>
                <a:lumOff val="40000"/>
              </a:srgbClr>
            </a:solidFill>
            <a:ln w="9525" cap="flat">
              <a:noFill/>
              <a:prstDash val="solid"/>
              <a:round/>
            </a:ln>
            <a:effectLst/>
          </c:spPr>
          <c:invertIfNegative val="0"/>
          <c:dLbls>
            <c:dLbl>
              <c:idx val="0"/>
              <c:layout>
                <c:manualLayout>
                  <c:x val="1.3065490772497135E-2"/>
                  <c:y val="2.425016077718094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F4C-45A1-99A4-EC3D7FA12634}"/>
                </c:ext>
              </c:extLst>
            </c:dLbl>
            <c:dLbl>
              <c:idx val="1"/>
              <c:layout>
                <c:manualLayout>
                  <c:x val="1.9598236158745713E-2"/>
                  <c:y val="9.7000643108723759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F4C-45A1-99A4-EC3D7FA12634}"/>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Sheet1!$B$1:$C$1</c:f>
              <c:strCache>
                <c:ptCount val="2"/>
                <c:pt idx="0">
                  <c:v>Займы в сельскохозяйственных кредитных потребительских кооперативах</c:v>
                </c:pt>
                <c:pt idx="1">
                  <c:v>Размещение средств в форме договора займа в сельскохозяйственных кредитных потребительских кооперативах</c:v>
                </c:pt>
              </c:strCache>
            </c:strRef>
          </c:cat>
          <c:val>
            <c:numRef>
              <c:f>Sheet1!$B$3:$C$3</c:f>
              <c:numCache>
                <c:formatCode>0%</c:formatCode>
                <c:ptCount val="2"/>
                <c:pt idx="0">
                  <c:v>3.58016732714199E-2</c:v>
                </c:pt>
                <c:pt idx="1">
                  <c:v>5.4644865584535698E-2</c:v>
                </c:pt>
              </c:numCache>
            </c:numRef>
          </c:val>
          <c:extLst xmlns:c16r2="http://schemas.microsoft.com/office/drawing/2015/06/chart">
            <c:ext xmlns:c16="http://schemas.microsoft.com/office/drawing/2014/chart" uri="{C3380CC4-5D6E-409C-BE32-E72D297353CC}">
              <c16:uniqueId val="{00000004-AF4C-45A1-99A4-EC3D7FA12634}"/>
            </c:ext>
          </c:extLst>
        </c:ser>
        <c:ser>
          <c:idx val="2"/>
          <c:order val="2"/>
          <c:tx>
            <c:strRef>
              <c:f>Sheet1!$A$4</c:f>
              <c:strCache>
                <c:ptCount val="1"/>
                <c:pt idx="0">
                  <c:v>Скорее НЕ удовлетворен(-а)</c:v>
                </c:pt>
              </c:strCache>
            </c:strRef>
          </c:tx>
          <c:spPr>
            <a:solidFill>
              <a:srgbClr val="D97A8D"/>
            </a:solidFill>
            <a:ln w="9525" cap="flat">
              <a:noFill/>
              <a:prstDash val="solid"/>
              <a:round/>
            </a:ln>
            <a:effectLst/>
          </c:spPr>
          <c:invertIfNegative val="0"/>
          <c:dLbls>
            <c:dLbl>
              <c:idx val="0"/>
              <c:layout>
                <c:manualLayout>
                  <c:x val="9.7991180793728719E-3"/>
                  <c:y val="2.425016077718094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F4C-45A1-99A4-EC3D7FA12634}"/>
                </c:ext>
              </c:extLst>
            </c:dLbl>
            <c:dLbl>
              <c:idx val="1"/>
              <c:layout>
                <c:manualLayout>
                  <c:x val="1.3065490772497128E-2"/>
                  <c:y val="9.7000643108723759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F4C-45A1-99A4-EC3D7FA12634}"/>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Sheet1!$B$1:$C$1</c:f>
              <c:strCache>
                <c:ptCount val="2"/>
                <c:pt idx="0">
                  <c:v>Займы в сельскохозяйственных кредитных потребительских кооперативах</c:v>
                </c:pt>
                <c:pt idx="1">
                  <c:v>Размещение средств в форме договора займа в сельскохозяйственных кредитных потребительских кооперативах</c:v>
                </c:pt>
              </c:strCache>
            </c:strRef>
          </c:cat>
          <c:val>
            <c:numRef>
              <c:f>Sheet1!$B$4:$C$4</c:f>
              <c:numCache>
                <c:formatCode>0%</c:formatCode>
                <c:ptCount val="2"/>
                <c:pt idx="0">
                  <c:v>6.4159776334417509E-2</c:v>
                </c:pt>
                <c:pt idx="1">
                  <c:v>5.8226798403344097E-2</c:v>
                </c:pt>
              </c:numCache>
            </c:numRef>
          </c:val>
          <c:extLst xmlns:c16r2="http://schemas.microsoft.com/office/drawing/2015/06/chart">
            <c:ext xmlns:c16="http://schemas.microsoft.com/office/drawing/2014/chart" uri="{C3380CC4-5D6E-409C-BE32-E72D297353CC}">
              <c16:uniqueId val="{00000007-AF4C-45A1-99A4-EC3D7FA12634}"/>
            </c:ext>
          </c:extLst>
        </c:ser>
        <c:ser>
          <c:idx val="3"/>
          <c:order val="3"/>
          <c:tx>
            <c:strRef>
              <c:f>Sheet1!$A$5</c:f>
              <c:strCache>
                <c:ptCount val="1"/>
                <c:pt idx="0">
                  <c:v>Полностью НЕ удовлетворен(-а)</c:v>
                </c:pt>
              </c:strCache>
            </c:strRef>
          </c:tx>
          <c:spPr>
            <a:solidFill>
              <a:srgbClr val="59221B"/>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Sheet1!$B$1:$C$1</c:f>
              <c:strCache>
                <c:ptCount val="2"/>
                <c:pt idx="0">
                  <c:v>Займы в сельскохозяйственных кредитных потребительских кооперативах</c:v>
                </c:pt>
                <c:pt idx="1">
                  <c:v>Размещение средств в форме договора займа в сельскохозяйственных кредитных потребительских кооперативах</c:v>
                </c:pt>
              </c:strCache>
            </c:strRef>
          </c:cat>
          <c:val>
            <c:numRef>
              <c:f>Sheet1!$B$5:$C$5</c:f>
              <c:numCache>
                <c:formatCode>0%</c:formatCode>
                <c:ptCount val="2"/>
                <c:pt idx="0">
                  <c:v>4.9823018864184505E-2</c:v>
                </c:pt>
                <c:pt idx="1">
                  <c:v>5.9567913373210005E-2</c:v>
                </c:pt>
              </c:numCache>
            </c:numRef>
          </c:val>
          <c:extLst xmlns:c16r2="http://schemas.microsoft.com/office/drawing/2015/06/chart">
            <c:ext xmlns:c16="http://schemas.microsoft.com/office/drawing/2014/chart" uri="{C3380CC4-5D6E-409C-BE32-E72D297353CC}">
              <c16:uniqueId val="{00000008-AF4C-45A1-99A4-EC3D7FA12634}"/>
            </c:ext>
          </c:extLst>
        </c:ser>
        <c:ser>
          <c:idx val="4"/>
          <c:order val="4"/>
          <c:tx>
            <c:strRef>
              <c:f>Sheet1!$A$6</c:f>
              <c:strCache>
                <c:ptCount val="1"/>
                <c:pt idx="0">
                  <c:v>Не сталкивался(-лась)</c:v>
                </c:pt>
              </c:strCache>
            </c:strRef>
          </c:tx>
          <c:spPr>
            <a:solidFill>
              <a:sysClr val="window" lastClr="FFFFFF">
                <a:lumMod val="50000"/>
              </a:sysClr>
            </a:solidFill>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Sheet1!$B$1:$C$1</c:f>
              <c:strCache>
                <c:ptCount val="2"/>
                <c:pt idx="0">
                  <c:v>Займы в сельскохозяйственных кредитных потребительских кооперативах</c:v>
                </c:pt>
                <c:pt idx="1">
                  <c:v>Размещение средств в форме договора займа в сельскохозяйственных кредитных потребительских кооперативах</c:v>
                </c:pt>
              </c:strCache>
            </c:strRef>
          </c:cat>
          <c:val>
            <c:numRef>
              <c:f>Sheet1!$B$6:$C$6</c:f>
              <c:numCache>
                <c:formatCode>0%</c:formatCode>
                <c:ptCount val="2"/>
                <c:pt idx="0">
                  <c:v>0.80352199434381799</c:v>
                </c:pt>
                <c:pt idx="1">
                  <c:v>0.80952177011321791</c:v>
                </c:pt>
              </c:numCache>
            </c:numRef>
          </c:val>
          <c:extLst xmlns:c16r2="http://schemas.microsoft.com/office/drawing/2015/06/chart">
            <c:ext xmlns:c16="http://schemas.microsoft.com/office/drawing/2014/chart" uri="{C3380CC4-5D6E-409C-BE32-E72D297353CC}">
              <c16:uniqueId val="{00000009-AF4C-45A1-99A4-EC3D7FA12634}"/>
            </c:ext>
          </c:extLst>
        </c:ser>
        <c:dLbls>
          <c:showLegendKey val="0"/>
          <c:showVal val="0"/>
          <c:showCatName val="0"/>
          <c:showSerName val="0"/>
          <c:showPercent val="0"/>
          <c:showBubbleSize val="0"/>
        </c:dLbls>
        <c:gapWidth val="105"/>
        <c:overlap val="100"/>
        <c:axId val="162177024"/>
        <c:axId val="162203904"/>
      </c:barChart>
      <c:catAx>
        <c:axId val="162177024"/>
        <c:scaling>
          <c:orientation val="maxMin"/>
        </c:scaling>
        <c:delete val="1"/>
        <c:axPos val="l"/>
        <c:numFmt formatCode="General" sourceLinked="0"/>
        <c:majorTickMark val="out"/>
        <c:minorTickMark val="none"/>
        <c:tickLblPos val="nextTo"/>
        <c:crossAx val="162203904"/>
        <c:crosses val="autoZero"/>
        <c:auto val="1"/>
        <c:lblAlgn val="ctr"/>
        <c:lblOffset val="100"/>
        <c:noMultiLvlLbl val="1"/>
      </c:catAx>
      <c:valAx>
        <c:axId val="162203904"/>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162177024"/>
        <c:crosses val="autoZero"/>
        <c:crossBetween val="between"/>
        <c:majorUnit val="0.25"/>
        <c:minorUnit val="0.125"/>
      </c:valAx>
      <c:spPr>
        <a:solidFill>
          <a:srgbClr val="FFFFFF"/>
        </a:solidFill>
        <a:ln w="12700" cap="flat">
          <a:noFill/>
          <a:miter lim="400000"/>
        </a:ln>
        <a:effectLst/>
      </c:spPr>
    </c:plotArea>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2557161898902903E-2"/>
          <c:y val="9.5414160186498426E-3"/>
          <c:w val="0.95010927386768129"/>
          <c:h val="0.99045872997218631"/>
        </c:manualLayout>
      </c:layout>
      <c:barChart>
        <c:barDir val="bar"/>
        <c:grouping val="percentStacked"/>
        <c:varyColors val="0"/>
        <c:ser>
          <c:idx val="0"/>
          <c:order val="0"/>
          <c:tx>
            <c:strRef>
              <c:f>Sheet1!$A$2</c:f>
              <c:strCache>
                <c:ptCount val="1"/>
                <c:pt idx="0">
                  <c:v>Полностью удовлетворен(-а)</c:v>
                </c:pt>
              </c:strCache>
            </c:strRef>
          </c:tx>
          <c:spPr>
            <a:solidFill>
              <a:srgbClr val="70AD47">
                <a:lumMod val="75000"/>
              </a:srgbClr>
            </a:solidFill>
            <a:ln w="9525" cap="flat">
              <a:noFill/>
              <a:prstDash val="solid"/>
              <a:round/>
            </a:ln>
            <a:effectLst/>
          </c:spPr>
          <c:invertIfNegative val="0"/>
          <c:dLbls>
            <c:dLbl>
              <c:idx val="1"/>
              <c:layout>
                <c:manualLayout>
                  <c:x val="-4.101302163436891E-3"/>
                  <c:y val="2.1736413385640171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3F5-4C56-91D7-6307D0BEA333}"/>
                </c:ext>
              </c:extLst>
            </c:dLbl>
            <c:spPr>
              <a:noFill/>
              <a:ln>
                <a:noFill/>
              </a:ln>
              <a:effectLst/>
            </c:spPr>
            <c:txPr>
              <a:bodyPr wrap="square" lIns="38100" tIns="19050" rIns="38100" bIns="19050" anchor="ctr">
                <a:spAutoFit/>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Sheet1!$B$1:$C$1</c:f>
              <c:strCache>
                <c:ptCount val="2"/>
                <c:pt idx="0">
                  <c:v>Обязательное пенсионное страхование </c:v>
                </c:pt>
                <c:pt idx="1">
                  <c:v>Негосударственное пенсионное обеспечение </c:v>
                </c:pt>
              </c:strCache>
            </c:strRef>
          </c:cat>
          <c:val>
            <c:numRef>
              <c:f>Sheet1!$B$2:$C$2</c:f>
              <c:numCache>
                <c:formatCode>0%</c:formatCode>
                <c:ptCount val="2"/>
                <c:pt idx="0">
                  <c:v>3.0423792318624399E-2</c:v>
                </c:pt>
                <c:pt idx="1">
                  <c:v>3.4997122759833701E-2</c:v>
                </c:pt>
              </c:numCache>
            </c:numRef>
          </c:val>
          <c:extLst xmlns:c16r2="http://schemas.microsoft.com/office/drawing/2015/06/chart">
            <c:ext xmlns:c16="http://schemas.microsoft.com/office/drawing/2014/chart" uri="{C3380CC4-5D6E-409C-BE32-E72D297353CC}">
              <c16:uniqueId val="{00000001-93F5-4C56-91D7-6307D0BEA333}"/>
            </c:ext>
          </c:extLst>
        </c:ser>
        <c:ser>
          <c:idx val="1"/>
          <c:order val="1"/>
          <c:tx>
            <c:strRef>
              <c:f>Sheet1!$A$3</c:f>
              <c:strCache>
                <c:ptCount val="1"/>
                <c:pt idx="0">
                  <c:v>Скорее удовлетворен(-а)</c:v>
                </c:pt>
              </c:strCache>
            </c:strRef>
          </c:tx>
          <c:spPr>
            <a:solidFill>
              <a:srgbClr val="70AD47">
                <a:lumMod val="60000"/>
                <a:lumOff val="40000"/>
              </a:srgbClr>
            </a:solidFill>
            <a:ln w="9525" cap="flat">
              <a:noFill/>
              <a:prstDash val="solid"/>
              <a:round/>
            </a:ln>
            <a:effectLst/>
          </c:spPr>
          <c:invertIfNegative val="0"/>
          <c:dLbls>
            <c:dLbl>
              <c:idx val="0"/>
              <c:layout>
                <c:manualLayout>
                  <c:x val="1.3065490772497135E-2"/>
                  <c:y val="2.425016077718094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3F5-4C56-91D7-6307D0BEA333}"/>
                </c:ext>
              </c:extLst>
            </c:dLbl>
            <c:dLbl>
              <c:idx val="1"/>
              <c:layout>
                <c:manualLayout>
                  <c:x val="1.9598236158745713E-2"/>
                  <c:y val="9.7000643108723759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3F5-4C56-91D7-6307D0BEA333}"/>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Sheet1!$B$1:$C$1</c:f>
              <c:strCache>
                <c:ptCount val="2"/>
                <c:pt idx="0">
                  <c:v>Обязательное пенсионное страхование </c:v>
                </c:pt>
                <c:pt idx="1">
                  <c:v>Негосударственное пенсионное обеспечение </c:v>
                </c:pt>
              </c:strCache>
            </c:strRef>
          </c:cat>
          <c:val>
            <c:numRef>
              <c:f>Sheet1!$B$3:$C$3</c:f>
              <c:numCache>
                <c:formatCode>0%</c:formatCode>
                <c:ptCount val="2"/>
                <c:pt idx="0">
                  <c:v>0.19110086092422399</c:v>
                </c:pt>
                <c:pt idx="1">
                  <c:v>0.153382104842996</c:v>
                </c:pt>
              </c:numCache>
            </c:numRef>
          </c:val>
          <c:extLst xmlns:c16r2="http://schemas.microsoft.com/office/drawing/2015/06/chart">
            <c:ext xmlns:c16="http://schemas.microsoft.com/office/drawing/2014/chart" uri="{C3380CC4-5D6E-409C-BE32-E72D297353CC}">
              <c16:uniqueId val="{00000004-93F5-4C56-91D7-6307D0BEA333}"/>
            </c:ext>
          </c:extLst>
        </c:ser>
        <c:ser>
          <c:idx val="2"/>
          <c:order val="2"/>
          <c:tx>
            <c:strRef>
              <c:f>Sheet1!$A$4</c:f>
              <c:strCache>
                <c:ptCount val="1"/>
                <c:pt idx="0">
                  <c:v>Скорее НЕ удовлетворен(-а)</c:v>
                </c:pt>
              </c:strCache>
            </c:strRef>
          </c:tx>
          <c:spPr>
            <a:solidFill>
              <a:srgbClr val="D97A8D"/>
            </a:solidFill>
            <a:ln w="9525" cap="flat">
              <a:noFill/>
              <a:prstDash val="solid"/>
              <a:round/>
            </a:ln>
            <a:effectLst/>
          </c:spPr>
          <c:invertIfNegative val="0"/>
          <c:dLbls>
            <c:dLbl>
              <c:idx val="0"/>
              <c:layout>
                <c:manualLayout>
                  <c:x val="9.7991180793728719E-3"/>
                  <c:y val="2.425016077718094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3F5-4C56-91D7-6307D0BEA333}"/>
                </c:ext>
              </c:extLst>
            </c:dLbl>
            <c:dLbl>
              <c:idx val="1"/>
              <c:layout>
                <c:manualLayout>
                  <c:x val="1.3065490772497128E-2"/>
                  <c:y val="9.7000643108723759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3F5-4C56-91D7-6307D0BEA333}"/>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Sheet1!$B$1:$C$1</c:f>
              <c:strCache>
                <c:ptCount val="2"/>
                <c:pt idx="0">
                  <c:v>Обязательное пенсионное страхование </c:v>
                </c:pt>
                <c:pt idx="1">
                  <c:v>Негосударственное пенсионное обеспечение </c:v>
                </c:pt>
              </c:strCache>
            </c:strRef>
          </c:cat>
          <c:val>
            <c:numRef>
              <c:f>Sheet1!$B$4:$C$4</c:f>
              <c:numCache>
                <c:formatCode>0%</c:formatCode>
                <c:ptCount val="2"/>
                <c:pt idx="0">
                  <c:v>0.110596586903107</c:v>
                </c:pt>
                <c:pt idx="1">
                  <c:v>0.112958216081204</c:v>
                </c:pt>
              </c:numCache>
            </c:numRef>
          </c:val>
          <c:extLst xmlns:c16r2="http://schemas.microsoft.com/office/drawing/2015/06/chart">
            <c:ext xmlns:c16="http://schemas.microsoft.com/office/drawing/2014/chart" uri="{C3380CC4-5D6E-409C-BE32-E72D297353CC}">
              <c16:uniqueId val="{00000007-93F5-4C56-91D7-6307D0BEA333}"/>
            </c:ext>
          </c:extLst>
        </c:ser>
        <c:ser>
          <c:idx val="3"/>
          <c:order val="3"/>
          <c:tx>
            <c:strRef>
              <c:f>Sheet1!$A$5</c:f>
              <c:strCache>
                <c:ptCount val="1"/>
                <c:pt idx="0">
                  <c:v>Полностью НЕ удовлетворен(-а)</c:v>
                </c:pt>
              </c:strCache>
            </c:strRef>
          </c:tx>
          <c:spPr>
            <a:solidFill>
              <a:srgbClr val="59221B"/>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Sheet1!$B$1:$C$1</c:f>
              <c:strCache>
                <c:ptCount val="2"/>
                <c:pt idx="0">
                  <c:v>Обязательное пенсионное страхование </c:v>
                </c:pt>
                <c:pt idx="1">
                  <c:v>Негосударственное пенсионное обеспечение </c:v>
                </c:pt>
              </c:strCache>
            </c:strRef>
          </c:cat>
          <c:val>
            <c:numRef>
              <c:f>Sheet1!$B$5:$C$5</c:f>
              <c:numCache>
                <c:formatCode>0%</c:formatCode>
                <c:ptCount val="2"/>
                <c:pt idx="0">
                  <c:v>5.9315809010735202E-2</c:v>
                </c:pt>
                <c:pt idx="1">
                  <c:v>5.6385140957695E-2</c:v>
                </c:pt>
              </c:numCache>
            </c:numRef>
          </c:val>
          <c:extLst xmlns:c16r2="http://schemas.microsoft.com/office/drawing/2015/06/chart">
            <c:ext xmlns:c16="http://schemas.microsoft.com/office/drawing/2014/chart" uri="{C3380CC4-5D6E-409C-BE32-E72D297353CC}">
              <c16:uniqueId val="{00000008-93F5-4C56-91D7-6307D0BEA333}"/>
            </c:ext>
          </c:extLst>
        </c:ser>
        <c:ser>
          <c:idx val="4"/>
          <c:order val="4"/>
          <c:tx>
            <c:strRef>
              <c:f>Sheet1!$A$6</c:f>
              <c:strCache>
                <c:ptCount val="1"/>
                <c:pt idx="0">
                  <c:v>Не сталкивался(-лась)</c:v>
                </c:pt>
              </c:strCache>
            </c:strRef>
          </c:tx>
          <c:spPr>
            <a:solidFill>
              <a:sysClr val="window" lastClr="FFFFFF">
                <a:lumMod val="50000"/>
              </a:sysClr>
            </a:solidFill>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Sheet1!$B$1:$C$1</c:f>
              <c:strCache>
                <c:ptCount val="2"/>
                <c:pt idx="0">
                  <c:v>Обязательное пенсионное страхование </c:v>
                </c:pt>
                <c:pt idx="1">
                  <c:v>Негосударственное пенсионное обеспечение </c:v>
                </c:pt>
              </c:strCache>
            </c:strRef>
          </c:cat>
          <c:val>
            <c:numRef>
              <c:f>Sheet1!$B$6:$C$6</c:f>
              <c:numCache>
                <c:formatCode>0%</c:formatCode>
                <c:ptCount val="2"/>
                <c:pt idx="0">
                  <c:v>0.60856295084331302</c:v>
                </c:pt>
                <c:pt idx="1">
                  <c:v>0.64227741535827509</c:v>
                </c:pt>
              </c:numCache>
            </c:numRef>
          </c:val>
          <c:extLst xmlns:c16r2="http://schemas.microsoft.com/office/drawing/2015/06/chart">
            <c:ext xmlns:c16="http://schemas.microsoft.com/office/drawing/2014/chart" uri="{C3380CC4-5D6E-409C-BE32-E72D297353CC}">
              <c16:uniqueId val="{00000009-93F5-4C56-91D7-6307D0BEA333}"/>
            </c:ext>
          </c:extLst>
        </c:ser>
        <c:dLbls>
          <c:showLegendKey val="0"/>
          <c:showVal val="0"/>
          <c:showCatName val="0"/>
          <c:showSerName val="0"/>
          <c:showPercent val="0"/>
          <c:showBubbleSize val="0"/>
        </c:dLbls>
        <c:gapWidth val="105"/>
        <c:overlap val="100"/>
        <c:axId val="162178560"/>
        <c:axId val="151552000"/>
      </c:barChart>
      <c:catAx>
        <c:axId val="162178560"/>
        <c:scaling>
          <c:orientation val="maxMin"/>
        </c:scaling>
        <c:delete val="1"/>
        <c:axPos val="l"/>
        <c:numFmt formatCode="General" sourceLinked="0"/>
        <c:majorTickMark val="out"/>
        <c:minorTickMark val="none"/>
        <c:tickLblPos val="nextTo"/>
        <c:crossAx val="151552000"/>
        <c:crosses val="autoZero"/>
        <c:auto val="1"/>
        <c:lblAlgn val="ctr"/>
        <c:lblOffset val="100"/>
        <c:noMultiLvlLbl val="1"/>
      </c:catAx>
      <c:valAx>
        <c:axId val="151552000"/>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162178560"/>
        <c:crosses val="autoZero"/>
        <c:crossBetween val="between"/>
        <c:majorUnit val="0.25"/>
        <c:minorUnit val="0.125"/>
      </c:valAx>
      <c:spPr>
        <a:solidFill>
          <a:srgbClr val="FFFFFF"/>
        </a:solidFill>
        <a:ln w="12700" cap="flat">
          <a:noFill/>
          <a:miter lim="400000"/>
        </a:ln>
        <a:effectLst/>
      </c:spPr>
    </c:plotArea>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9061135650726589E-2"/>
          <c:y val="2.9475912285157908E-2"/>
          <c:w val="0.9371010818769604"/>
          <c:h val="0.49111167555668445"/>
        </c:manualLayout>
      </c:layout>
      <c:barChart>
        <c:barDir val="bar"/>
        <c:grouping val="percentStacked"/>
        <c:varyColors val="0"/>
        <c:ser>
          <c:idx val="0"/>
          <c:order val="0"/>
          <c:tx>
            <c:strRef>
              <c:f>Sheet1!$A$2</c:f>
              <c:strCache>
                <c:ptCount val="1"/>
                <c:pt idx="0">
                  <c:v>Полностью удовлетворен(-а)</c:v>
                </c:pt>
              </c:strCache>
            </c:strRef>
          </c:tx>
          <c:spPr>
            <a:solidFill>
              <a:srgbClr val="70AD47">
                <a:lumMod val="75000"/>
              </a:srgbClr>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f>
              <c:strCache>
                <c:ptCount val="1"/>
                <c:pt idx="0">
                  <c:v>Индивидуальные инвестиционные счета</c:v>
                </c:pt>
              </c:strCache>
            </c:strRef>
          </c:cat>
          <c:val>
            <c:numRef>
              <c:f>Sheet1!$B$2</c:f>
              <c:numCache>
                <c:formatCode>0%</c:formatCode>
                <c:ptCount val="1"/>
                <c:pt idx="0">
                  <c:v>2.57656985732568E-2</c:v>
                </c:pt>
              </c:numCache>
            </c:numRef>
          </c:val>
          <c:extLst xmlns:c16r2="http://schemas.microsoft.com/office/drawing/2015/06/chart">
            <c:ext xmlns:c16="http://schemas.microsoft.com/office/drawing/2014/chart" uri="{C3380CC4-5D6E-409C-BE32-E72D297353CC}">
              <c16:uniqueId val="{00000000-387B-408F-B6D7-B66E5A54CA90}"/>
            </c:ext>
          </c:extLst>
        </c:ser>
        <c:ser>
          <c:idx val="1"/>
          <c:order val="1"/>
          <c:tx>
            <c:strRef>
              <c:f>Sheet1!$A$3</c:f>
              <c:strCache>
                <c:ptCount val="1"/>
                <c:pt idx="0">
                  <c:v>Скорее удовлетворен(-а)</c:v>
                </c:pt>
              </c:strCache>
            </c:strRef>
          </c:tx>
          <c:spPr>
            <a:solidFill>
              <a:srgbClr val="70AD47">
                <a:lumMod val="60000"/>
                <a:lumOff val="40000"/>
              </a:srgbClr>
            </a:solidFill>
            <a:ln w="9525" cap="flat">
              <a:noFill/>
              <a:prstDash val="solid"/>
              <a:round/>
            </a:ln>
            <a:effectLst/>
          </c:spPr>
          <c:invertIfNegative val="0"/>
          <c:dLbls>
            <c:dLbl>
              <c:idx val="0"/>
              <c:layout>
                <c:manualLayout>
                  <c:x val="1.3065490772497135E-2"/>
                  <c:y val="2.425016077718094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87B-408F-B6D7-B66E5A54CA90}"/>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f>
              <c:strCache>
                <c:ptCount val="1"/>
                <c:pt idx="0">
                  <c:v>Индивидуальные инвестиционные счета</c:v>
                </c:pt>
              </c:strCache>
            </c:strRef>
          </c:cat>
          <c:val>
            <c:numRef>
              <c:f>Sheet1!$B$3</c:f>
              <c:numCache>
                <c:formatCode>0%</c:formatCode>
                <c:ptCount val="1"/>
                <c:pt idx="0">
                  <c:v>0.10092282502240799</c:v>
                </c:pt>
              </c:numCache>
            </c:numRef>
          </c:val>
          <c:extLst xmlns:c16r2="http://schemas.microsoft.com/office/drawing/2015/06/chart">
            <c:ext xmlns:c16="http://schemas.microsoft.com/office/drawing/2014/chart" uri="{C3380CC4-5D6E-409C-BE32-E72D297353CC}">
              <c16:uniqueId val="{00000002-387B-408F-B6D7-B66E5A54CA90}"/>
            </c:ext>
          </c:extLst>
        </c:ser>
        <c:ser>
          <c:idx val="2"/>
          <c:order val="2"/>
          <c:tx>
            <c:strRef>
              <c:f>Sheet1!$A$4</c:f>
              <c:strCache>
                <c:ptCount val="1"/>
                <c:pt idx="0">
                  <c:v>Скорее НЕ удовлетворен(-а)</c:v>
                </c:pt>
              </c:strCache>
            </c:strRef>
          </c:tx>
          <c:spPr>
            <a:solidFill>
              <a:srgbClr val="D97A8D"/>
            </a:solidFill>
            <a:ln w="9525" cap="flat">
              <a:noFill/>
              <a:prstDash val="solid"/>
              <a:round/>
            </a:ln>
            <a:effectLst/>
          </c:spPr>
          <c:invertIfNegative val="0"/>
          <c:dLbls>
            <c:dLbl>
              <c:idx val="0"/>
              <c:layout>
                <c:manualLayout>
                  <c:x val="9.7991180793728719E-3"/>
                  <c:y val="2.425016077718094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87B-408F-B6D7-B66E5A54CA90}"/>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f>
              <c:strCache>
                <c:ptCount val="1"/>
                <c:pt idx="0">
                  <c:v>Индивидуальные инвестиционные счета</c:v>
                </c:pt>
              </c:strCache>
            </c:strRef>
          </c:cat>
          <c:val>
            <c:numRef>
              <c:f>Sheet1!$B$4</c:f>
              <c:numCache>
                <c:formatCode>0%</c:formatCode>
                <c:ptCount val="1"/>
                <c:pt idx="0">
                  <c:v>6.7913977528208699E-2</c:v>
                </c:pt>
              </c:numCache>
            </c:numRef>
          </c:val>
          <c:extLst xmlns:c16r2="http://schemas.microsoft.com/office/drawing/2015/06/chart">
            <c:ext xmlns:c16="http://schemas.microsoft.com/office/drawing/2014/chart" uri="{C3380CC4-5D6E-409C-BE32-E72D297353CC}">
              <c16:uniqueId val="{00000004-387B-408F-B6D7-B66E5A54CA90}"/>
            </c:ext>
          </c:extLst>
        </c:ser>
        <c:ser>
          <c:idx val="3"/>
          <c:order val="3"/>
          <c:tx>
            <c:strRef>
              <c:f>Sheet1!$A$5</c:f>
              <c:strCache>
                <c:ptCount val="1"/>
                <c:pt idx="0">
                  <c:v>Полностью НЕ удовлетворен(-а)</c:v>
                </c:pt>
              </c:strCache>
            </c:strRef>
          </c:tx>
          <c:spPr>
            <a:solidFill>
              <a:srgbClr val="59221B"/>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f>
              <c:strCache>
                <c:ptCount val="1"/>
                <c:pt idx="0">
                  <c:v>Индивидуальные инвестиционные счета</c:v>
                </c:pt>
              </c:strCache>
            </c:strRef>
          </c:cat>
          <c:val>
            <c:numRef>
              <c:f>Sheet1!$B$5</c:f>
              <c:numCache>
                <c:formatCode>0%</c:formatCode>
                <c:ptCount val="1"/>
                <c:pt idx="0">
                  <c:v>4.3925391089774203E-2</c:v>
                </c:pt>
              </c:numCache>
            </c:numRef>
          </c:val>
          <c:extLst xmlns:c16r2="http://schemas.microsoft.com/office/drawing/2015/06/chart">
            <c:ext xmlns:c16="http://schemas.microsoft.com/office/drawing/2014/chart" uri="{C3380CC4-5D6E-409C-BE32-E72D297353CC}">
              <c16:uniqueId val="{00000005-387B-408F-B6D7-B66E5A54CA90}"/>
            </c:ext>
          </c:extLst>
        </c:ser>
        <c:ser>
          <c:idx val="4"/>
          <c:order val="4"/>
          <c:tx>
            <c:strRef>
              <c:f>Sheet1!$A$6</c:f>
              <c:strCache>
                <c:ptCount val="1"/>
                <c:pt idx="0">
                  <c:v>Не сталкивался(-лась)</c:v>
                </c:pt>
              </c:strCache>
            </c:strRef>
          </c:tx>
          <c:spPr>
            <a:solidFill>
              <a:sysClr val="window" lastClr="FFFFFF">
                <a:lumMod val="50000"/>
              </a:sysClr>
            </a:solidFill>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f>
              <c:strCache>
                <c:ptCount val="1"/>
                <c:pt idx="0">
                  <c:v>Индивидуальные инвестиционные счета</c:v>
                </c:pt>
              </c:strCache>
            </c:strRef>
          </c:cat>
          <c:val>
            <c:numRef>
              <c:f>Sheet1!$B$6</c:f>
              <c:numCache>
                <c:formatCode>0%</c:formatCode>
                <c:ptCount val="1"/>
                <c:pt idx="0">
                  <c:v>0.76147210778635599</c:v>
                </c:pt>
              </c:numCache>
            </c:numRef>
          </c:val>
          <c:extLst xmlns:c16r2="http://schemas.microsoft.com/office/drawing/2015/06/chart">
            <c:ext xmlns:c16="http://schemas.microsoft.com/office/drawing/2014/chart" uri="{C3380CC4-5D6E-409C-BE32-E72D297353CC}">
              <c16:uniqueId val="{00000006-387B-408F-B6D7-B66E5A54CA90}"/>
            </c:ext>
          </c:extLst>
        </c:ser>
        <c:dLbls>
          <c:showLegendKey val="0"/>
          <c:showVal val="0"/>
          <c:showCatName val="0"/>
          <c:showSerName val="0"/>
          <c:showPercent val="0"/>
          <c:showBubbleSize val="0"/>
        </c:dLbls>
        <c:gapWidth val="105"/>
        <c:overlap val="100"/>
        <c:axId val="162179584"/>
        <c:axId val="162204480"/>
      </c:barChart>
      <c:catAx>
        <c:axId val="162179584"/>
        <c:scaling>
          <c:orientation val="maxMin"/>
        </c:scaling>
        <c:delete val="1"/>
        <c:axPos val="l"/>
        <c:numFmt formatCode="General" sourceLinked="0"/>
        <c:majorTickMark val="out"/>
        <c:minorTickMark val="none"/>
        <c:tickLblPos val="nextTo"/>
        <c:crossAx val="162204480"/>
        <c:crosses val="autoZero"/>
        <c:auto val="1"/>
        <c:lblAlgn val="ctr"/>
        <c:lblOffset val="100"/>
        <c:noMultiLvlLbl val="1"/>
      </c:catAx>
      <c:valAx>
        <c:axId val="162204480"/>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162179584"/>
        <c:crosses val="autoZero"/>
        <c:crossBetween val="between"/>
        <c:majorUnit val="0.25"/>
        <c:minorUnit val="0.125"/>
      </c:valAx>
      <c:spPr>
        <a:solidFill>
          <a:srgbClr val="FFFFFF"/>
        </a:solidFill>
        <a:ln w="12700" cap="flat">
          <a:noFill/>
          <a:miter lim="400000"/>
        </a:ln>
        <a:effectLst/>
      </c:spPr>
    </c:plotArea>
    <c:legend>
      <c:legendPos val="b"/>
      <c:legendEntry>
        <c:idx val="1"/>
        <c:txPr>
          <a:bodyPr/>
          <a:lstStyle/>
          <a:p>
            <a:pPr>
              <a:defRPr sz="900">
                <a:latin typeface="Times New Roman" panose="02020603050405020304" pitchFamily="18" charset="0"/>
                <a:cs typeface="Times New Roman" panose="02020603050405020304" pitchFamily="18" charset="0"/>
              </a:defRPr>
            </a:pPr>
            <a:endParaRPr lang="ru-RU"/>
          </a:p>
        </c:txPr>
      </c:legendEntry>
      <c:layout>
        <c:manualLayout>
          <c:xMode val="edge"/>
          <c:yMode val="edge"/>
          <c:x val="0"/>
          <c:y val="0.534653378117945"/>
          <c:w val="1"/>
          <c:h val="0.45100967274195619"/>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451671240264452"/>
          <c:y val="1.7822881701540297E-2"/>
          <c:w val="0.69992984189803098"/>
          <c:h val="0.83900944966148894"/>
        </c:manualLayout>
      </c:layout>
      <c:barChart>
        <c:barDir val="bar"/>
        <c:grouping val="percentStacked"/>
        <c:varyColors val="0"/>
        <c:ser>
          <c:idx val="0"/>
          <c:order val="0"/>
          <c:tx>
            <c:strRef>
              <c:f>Sheet1!$A$2</c:f>
              <c:strCache>
                <c:ptCount val="1"/>
                <c:pt idx="0">
                  <c:v>Полностью удовлетворен</c:v>
                </c:pt>
              </c:strCache>
            </c:strRef>
          </c:tx>
          <c:spPr>
            <a:solidFill>
              <a:srgbClr val="548235"/>
            </a:solidFill>
            <a:ln w="9525" cap="flat">
              <a:noFill/>
              <a:prstDash val="solid"/>
              <a:round/>
            </a:ln>
            <a:effectLst/>
          </c:spPr>
          <c:invertIfNegative val="0"/>
          <c:dLbls>
            <c:dLbl>
              <c:idx val="3"/>
              <c:layout>
                <c:manualLayout>
                  <c:x val="8.202604326873745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708-44F8-BCDF-09FB0CB2434E}"/>
                </c:ext>
              </c:extLst>
            </c:dLbl>
            <c:dLbl>
              <c:idx val="4"/>
              <c:layout>
                <c:manualLayout>
                  <c:x val="1.0253255408592229E-2"/>
                  <c:y val="1.6851826106006413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708-44F8-BCDF-09FB0CB2434E}"/>
                </c:ext>
              </c:extLst>
            </c:dLbl>
            <c:dLbl>
              <c:idx val="5"/>
              <c:layout>
                <c:manualLayout>
                  <c:x val="1.0253255408592229E-2"/>
                  <c:y val="1.6851826113853655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708-44F8-BCDF-09FB0CB2434E}"/>
                </c:ext>
              </c:extLst>
            </c:dLbl>
            <c:dLbl>
              <c:idx val="7"/>
              <c:layout>
                <c:manualLayout>
                  <c:x val="1.025325540859222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708-44F8-BCDF-09FB0CB2434E}"/>
                </c:ext>
              </c:extLst>
            </c:dLbl>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Банки</c:v>
                </c:pt>
                <c:pt idx="1">
                  <c:v>Субъекты страхового дела</c:v>
                </c:pt>
                <c:pt idx="2">
                  <c:v>Негосударственные пенсонные фонды</c:v>
                </c:pt>
                <c:pt idx="3">
                  <c:v>Кредитные потребительские кооперативы</c:v>
                </c:pt>
                <c:pt idx="4">
                  <c:v>Сельскохозяйственные кредитные потребительские кооперативы</c:v>
                </c:pt>
                <c:pt idx="5">
                  <c:v>Брокеры</c:v>
                </c:pt>
                <c:pt idx="6">
                  <c:v>Ломбарды</c:v>
                </c:pt>
                <c:pt idx="7">
                  <c:v>Микрофинансовые организации</c:v>
                </c:pt>
              </c:strCache>
            </c:strRef>
          </c:cat>
          <c:val>
            <c:numRef>
              <c:f>Sheet1!$B$2:$I$2</c:f>
              <c:numCache>
                <c:formatCode>0%</c:formatCode>
                <c:ptCount val="8"/>
                <c:pt idx="0">
                  <c:v>0.28800000000000003</c:v>
                </c:pt>
                <c:pt idx="1">
                  <c:v>0.13200000000000001</c:v>
                </c:pt>
                <c:pt idx="2">
                  <c:v>0.09</c:v>
                </c:pt>
                <c:pt idx="3">
                  <c:v>7.2000000000000008E-2</c:v>
                </c:pt>
                <c:pt idx="4">
                  <c:v>7.5999999999999998E-2</c:v>
                </c:pt>
                <c:pt idx="5">
                  <c:v>6.6000000000000003E-2</c:v>
                </c:pt>
                <c:pt idx="6">
                  <c:v>6.2E-2</c:v>
                </c:pt>
                <c:pt idx="7">
                  <c:v>7.2000000000000008E-2</c:v>
                </c:pt>
              </c:numCache>
            </c:numRef>
          </c:val>
          <c:extLst xmlns:c16r2="http://schemas.microsoft.com/office/drawing/2015/06/chart">
            <c:ext xmlns:c16="http://schemas.microsoft.com/office/drawing/2014/chart" uri="{C3380CC4-5D6E-409C-BE32-E72D297353CC}">
              <c16:uniqueId val="{00000004-6708-44F8-BCDF-09FB0CB2434E}"/>
            </c:ext>
          </c:extLst>
        </c:ser>
        <c:ser>
          <c:idx val="1"/>
          <c:order val="1"/>
          <c:tx>
            <c:strRef>
              <c:f>Sheet1!$A$3</c:f>
              <c:strCache>
                <c:ptCount val="1"/>
                <c:pt idx="0">
                  <c:v>Скорее удовлетворен</c:v>
                </c:pt>
              </c:strCache>
            </c:strRef>
          </c:tx>
          <c:spPr>
            <a:solidFill>
              <a:srgbClr val="70AD47">
                <a:lumMod val="60000"/>
                <a:lumOff val="40000"/>
              </a:srgbClr>
            </a:solidFill>
            <a:ln w="9525" cap="flat">
              <a:noFill/>
              <a:prstDash val="solid"/>
              <a:round/>
            </a:ln>
            <a:effectLst/>
          </c:spPr>
          <c:invertIfNegative val="0"/>
          <c:dLbls>
            <c:dLbl>
              <c:idx val="7"/>
              <c:layout>
                <c:manualLayout>
                  <c:x val="8.202604326873745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708-44F8-BCDF-09FB0CB2434E}"/>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Банки</c:v>
                </c:pt>
                <c:pt idx="1">
                  <c:v>Субъекты страхового дела</c:v>
                </c:pt>
                <c:pt idx="2">
                  <c:v>Негосударственные пенсонные фонды</c:v>
                </c:pt>
                <c:pt idx="3">
                  <c:v>Кредитные потребительские кооперативы</c:v>
                </c:pt>
                <c:pt idx="4">
                  <c:v>Сельскохозяйственные кредитные потребительские кооперативы</c:v>
                </c:pt>
                <c:pt idx="5">
                  <c:v>Брокеры</c:v>
                </c:pt>
                <c:pt idx="6">
                  <c:v>Ломбарды</c:v>
                </c:pt>
                <c:pt idx="7">
                  <c:v>Микрофинансовые организации</c:v>
                </c:pt>
              </c:strCache>
            </c:strRef>
          </c:cat>
          <c:val>
            <c:numRef>
              <c:f>Sheet1!$B$3:$I$3</c:f>
              <c:numCache>
                <c:formatCode>0%</c:formatCode>
                <c:ptCount val="8"/>
                <c:pt idx="0">
                  <c:v>0.43799999999999994</c:v>
                </c:pt>
                <c:pt idx="1">
                  <c:v>0.34799999999999998</c:v>
                </c:pt>
                <c:pt idx="2">
                  <c:v>0.24600000000000002</c:v>
                </c:pt>
                <c:pt idx="3">
                  <c:v>0.19399999999999998</c:v>
                </c:pt>
                <c:pt idx="4">
                  <c:v>0.188</c:v>
                </c:pt>
                <c:pt idx="5">
                  <c:v>0.19800000000000001</c:v>
                </c:pt>
                <c:pt idx="6">
                  <c:v>0.17600000000000002</c:v>
                </c:pt>
                <c:pt idx="7">
                  <c:v>0.16</c:v>
                </c:pt>
              </c:numCache>
            </c:numRef>
          </c:val>
          <c:extLst xmlns:c16r2="http://schemas.microsoft.com/office/drawing/2015/06/chart">
            <c:ext xmlns:c16="http://schemas.microsoft.com/office/drawing/2014/chart" uri="{C3380CC4-5D6E-409C-BE32-E72D297353CC}">
              <c16:uniqueId val="{00000006-6708-44F8-BCDF-09FB0CB2434E}"/>
            </c:ext>
          </c:extLst>
        </c:ser>
        <c:ser>
          <c:idx val="2"/>
          <c:order val="2"/>
          <c:tx>
            <c:strRef>
              <c:f>Sheet1!$A$4</c:f>
              <c:strCache>
                <c:ptCount val="1"/>
                <c:pt idx="0">
                  <c:v>Скорее НЕ удовлетворен</c:v>
                </c:pt>
              </c:strCache>
            </c:strRef>
          </c:tx>
          <c:spPr>
            <a:solidFill>
              <a:srgbClr val="D97A8D"/>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Банки</c:v>
                </c:pt>
                <c:pt idx="1">
                  <c:v>Субъекты страхового дела</c:v>
                </c:pt>
                <c:pt idx="2">
                  <c:v>Негосударственные пенсонные фонды</c:v>
                </c:pt>
                <c:pt idx="3">
                  <c:v>Кредитные потребительские кооперативы</c:v>
                </c:pt>
                <c:pt idx="4">
                  <c:v>Сельскохозяйственные кредитные потребительские кооперативы</c:v>
                </c:pt>
                <c:pt idx="5">
                  <c:v>Брокеры</c:v>
                </c:pt>
                <c:pt idx="6">
                  <c:v>Ломбарды</c:v>
                </c:pt>
                <c:pt idx="7">
                  <c:v>Микрофинансовые организации</c:v>
                </c:pt>
              </c:strCache>
            </c:strRef>
          </c:cat>
          <c:val>
            <c:numRef>
              <c:f>Sheet1!$B$4:$I$4</c:f>
              <c:numCache>
                <c:formatCode>0%</c:formatCode>
                <c:ptCount val="8"/>
                <c:pt idx="0">
                  <c:v>0.13400000000000001</c:v>
                </c:pt>
                <c:pt idx="1">
                  <c:v>0.106</c:v>
                </c:pt>
                <c:pt idx="2">
                  <c:v>0.14800000000000002</c:v>
                </c:pt>
                <c:pt idx="3">
                  <c:v>0.152</c:v>
                </c:pt>
                <c:pt idx="4">
                  <c:v>0.114</c:v>
                </c:pt>
                <c:pt idx="5">
                  <c:v>0.122</c:v>
                </c:pt>
                <c:pt idx="6">
                  <c:v>0.1</c:v>
                </c:pt>
                <c:pt idx="7">
                  <c:v>0.13800000000000001</c:v>
                </c:pt>
              </c:numCache>
            </c:numRef>
          </c:val>
          <c:extLst xmlns:c16r2="http://schemas.microsoft.com/office/drawing/2015/06/chart">
            <c:ext xmlns:c16="http://schemas.microsoft.com/office/drawing/2014/chart" uri="{C3380CC4-5D6E-409C-BE32-E72D297353CC}">
              <c16:uniqueId val="{00000007-6708-44F8-BCDF-09FB0CB2434E}"/>
            </c:ext>
          </c:extLst>
        </c:ser>
        <c:ser>
          <c:idx val="3"/>
          <c:order val="3"/>
          <c:tx>
            <c:strRef>
              <c:f>Sheet1!$A$5</c:f>
              <c:strCache>
                <c:ptCount val="1"/>
                <c:pt idx="0">
                  <c:v>Полностью НЕ удовлетворен</c:v>
                </c:pt>
              </c:strCache>
            </c:strRef>
          </c:tx>
          <c:spPr>
            <a:solidFill>
              <a:srgbClr val="59221B"/>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Банки</c:v>
                </c:pt>
                <c:pt idx="1">
                  <c:v>Субъекты страхового дела</c:v>
                </c:pt>
                <c:pt idx="2">
                  <c:v>Негосударственные пенсонные фонды</c:v>
                </c:pt>
                <c:pt idx="3">
                  <c:v>Кредитные потребительские кооперативы</c:v>
                </c:pt>
                <c:pt idx="4">
                  <c:v>Сельскохозяйственные кредитные потребительские кооперативы</c:v>
                </c:pt>
                <c:pt idx="5">
                  <c:v>Брокеры</c:v>
                </c:pt>
                <c:pt idx="6">
                  <c:v>Ломбарды</c:v>
                </c:pt>
                <c:pt idx="7">
                  <c:v>Микрофинансовые организации</c:v>
                </c:pt>
              </c:strCache>
            </c:strRef>
          </c:cat>
          <c:val>
            <c:numRef>
              <c:f>Sheet1!$B$5:$I$5</c:f>
              <c:numCache>
                <c:formatCode>0%</c:formatCode>
                <c:ptCount val="8"/>
                <c:pt idx="0">
                  <c:v>5.2000000000000005E-2</c:v>
                </c:pt>
                <c:pt idx="1">
                  <c:v>3.6000000000000004E-2</c:v>
                </c:pt>
                <c:pt idx="2">
                  <c:v>4.8000000000000001E-2</c:v>
                </c:pt>
                <c:pt idx="3">
                  <c:v>4.4000000000000004E-2</c:v>
                </c:pt>
                <c:pt idx="4">
                  <c:v>2.7999999999999997E-2</c:v>
                </c:pt>
                <c:pt idx="5">
                  <c:v>3.6000000000000004E-2</c:v>
                </c:pt>
                <c:pt idx="6">
                  <c:v>2.7999999999999997E-2</c:v>
                </c:pt>
                <c:pt idx="7">
                  <c:v>9.6000000000000002E-2</c:v>
                </c:pt>
              </c:numCache>
            </c:numRef>
          </c:val>
          <c:extLst xmlns:c16r2="http://schemas.microsoft.com/office/drawing/2015/06/chart">
            <c:ext xmlns:c16="http://schemas.microsoft.com/office/drawing/2014/chart" uri="{C3380CC4-5D6E-409C-BE32-E72D297353CC}">
              <c16:uniqueId val="{00000008-6708-44F8-BCDF-09FB0CB2434E}"/>
            </c:ext>
          </c:extLst>
        </c:ser>
        <c:ser>
          <c:idx val="4"/>
          <c:order val="4"/>
          <c:tx>
            <c:strRef>
              <c:f>Sheet1!$A$6</c:f>
              <c:strCache>
                <c:ptCount val="1"/>
                <c:pt idx="0">
                  <c:v>Затрудняюсь ответить</c:v>
                </c:pt>
              </c:strCache>
            </c:strRef>
          </c:tx>
          <c:spPr>
            <a:solidFill>
              <a:srgbClr val="7F7F7F"/>
            </a:solidFill>
          </c:spPr>
          <c:invertIfNegative val="0"/>
          <c:dLbls>
            <c:dLbl>
              <c:idx val="0"/>
              <c:layout>
                <c:manualLayout>
                  <c:x val="8.602150537634408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708-44F8-BCDF-09FB0CB2434E}"/>
                </c:ext>
              </c:extLst>
            </c:dLbl>
            <c:dLbl>
              <c:idx val="3"/>
              <c:layout>
                <c:manualLayout>
                  <c:x val="1.0752688172042854E-2"/>
                  <c:y val="-5.1382067117569478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6708-44F8-BCDF-09FB0CB2434E}"/>
                </c:ext>
              </c:extLst>
            </c:dLbl>
            <c:dLbl>
              <c:idx val="5"/>
              <c:layout>
                <c:manualLayout>
                  <c:x val="8.6021505376344086E-3"/>
                  <c:y val="5.1382067117569478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708-44F8-BCDF-09FB0CB2434E}"/>
                </c:ext>
              </c:extLst>
            </c:dLbl>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Банки</c:v>
                </c:pt>
                <c:pt idx="1">
                  <c:v>Субъекты страхового дела</c:v>
                </c:pt>
                <c:pt idx="2">
                  <c:v>Негосударственные пенсонные фонды</c:v>
                </c:pt>
                <c:pt idx="3">
                  <c:v>Кредитные потребительские кооперативы</c:v>
                </c:pt>
                <c:pt idx="4">
                  <c:v>Сельскохозяйственные кредитные потребительские кооперативы</c:v>
                </c:pt>
                <c:pt idx="5">
                  <c:v>Брокеры</c:v>
                </c:pt>
                <c:pt idx="6">
                  <c:v>Ломбарды</c:v>
                </c:pt>
                <c:pt idx="7">
                  <c:v>Микрофинансовые организации</c:v>
                </c:pt>
              </c:strCache>
            </c:strRef>
          </c:cat>
          <c:val>
            <c:numRef>
              <c:f>Sheet1!$B$6:$I$6</c:f>
              <c:numCache>
                <c:formatCode>0%</c:formatCode>
                <c:ptCount val="8"/>
                <c:pt idx="0">
                  <c:v>8.8000000000000009E-2</c:v>
                </c:pt>
                <c:pt idx="1">
                  <c:v>0.37799999999999995</c:v>
                </c:pt>
                <c:pt idx="2">
                  <c:v>0.46799999999999997</c:v>
                </c:pt>
                <c:pt idx="3">
                  <c:v>0.53799999999999992</c:v>
                </c:pt>
                <c:pt idx="4">
                  <c:v>0.59399999999999997</c:v>
                </c:pt>
                <c:pt idx="5">
                  <c:v>0.57799999999999996</c:v>
                </c:pt>
                <c:pt idx="6">
                  <c:v>0.63400000000000001</c:v>
                </c:pt>
                <c:pt idx="7">
                  <c:v>0.53400000000000003</c:v>
                </c:pt>
              </c:numCache>
            </c:numRef>
          </c:val>
          <c:extLst xmlns:c16r2="http://schemas.microsoft.com/office/drawing/2015/06/chart">
            <c:ext xmlns:c16="http://schemas.microsoft.com/office/drawing/2014/chart" uri="{C3380CC4-5D6E-409C-BE32-E72D297353CC}">
              <c16:uniqueId val="{0000000C-6708-44F8-BCDF-09FB0CB2434E}"/>
            </c:ext>
          </c:extLst>
        </c:ser>
        <c:dLbls>
          <c:showLegendKey val="0"/>
          <c:showVal val="0"/>
          <c:showCatName val="0"/>
          <c:showSerName val="0"/>
          <c:showPercent val="0"/>
          <c:showBubbleSize val="0"/>
        </c:dLbls>
        <c:gapWidth val="105"/>
        <c:overlap val="100"/>
        <c:axId val="162603008"/>
        <c:axId val="150667264"/>
      </c:barChart>
      <c:catAx>
        <c:axId val="162603008"/>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900">
                <a:latin typeface="Times New Roman" panose="02020603050405020304" pitchFamily="18" charset="0"/>
                <a:cs typeface="Times New Roman" panose="02020603050405020304" pitchFamily="18" charset="0"/>
              </a:defRPr>
            </a:pPr>
            <a:endParaRPr lang="ru-RU"/>
          </a:p>
        </c:txPr>
        <c:crossAx val="150667264"/>
        <c:crosses val="autoZero"/>
        <c:auto val="1"/>
        <c:lblAlgn val="ctr"/>
        <c:lblOffset val="100"/>
        <c:noMultiLvlLbl val="1"/>
      </c:catAx>
      <c:valAx>
        <c:axId val="150667264"/>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162603008"/>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1.9403841822140722E-2"/>
          <c:y val="0.87581670268744494"/>
          <c:w val="0.97492021433340537"/>
          <c:h val="0.10880516339951889"/>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451671240264452"/>
          <c:y val="1.7822881701540297E-2"/>
          <c:w val="0.69992984189803098"/>
          <c:h val="0.83900944966148894"/>
        </c:manualLayout>
      </c:layout>
      <c:barChart>
        <c:barDir val="bar"/>
        <c:grouping val="percentStacked"/>
        <c:varyColors val="0"/>
        <c:ser>
          <c:idx val="0"/>
          <c:order val="0"/>
          <c:tx>
            <c:strRef>
              <c:f>Sheet1!$A$2</c:f>
              <c:strCache>
                <c:ptCount val="1"/>
                <c:pt idx="0">
                  <c:v>Полностью удовлетворен</c:v>
                </c:pt>
              </c:strCache>
            </c:strRef>
          </c:tx>
          <c:spPr>
            <a:solidFill>
              <a:srgbClr val="70AD47">
                <a:lumMod val="75000"/>
              </a:srgbClr>
            </a:solidFill>
            <a:ln w="9525" cap="flat">
              <a:noFill/>
              <a:prstDash val="solid"/>
              <a:round/>
            </a:ln>
            <a:effectLst/>
          </c:spPr>
          <c:invertIfNegative val="0"/>
          <c:dLbls>
            <c:dLbl>
              <c:idx val="3"/>
              <c:layout>
                <c:manualLayout>
                  <c:x val="8.202604326873745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EBB-492F-A9CC-85085DCB8DB2}"/>
                </c:ext>
              </c:extLst>
            </c:dLbl>
            <c:dLbl>
              <c:idx val="4"/>
              <c:layout>
                <c:manualLayout>
                  <c:x val="1.0253255408592229E-2"/>
                  <c:y val="1.6851826106006413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EBB-492F-A9CC-85085DCB8DB2}"/>
                </c:ext>
              </c:extLst>
            </c:dLbl>
            <c:dLbl>
              <c:idx val="5"/>
              <c:layout>
                <c:manualLayout>
                  <c:x val="1.0253255408592229E-2"/>
                  <c:y val="1.6851826113853655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EBB-492F-A9CC-85085DCB8DB2}"/>
                </c:ext>
              </c:extLst>
            </c:dLbl>
            <c:dLbl>
              <c:idx val="7"/>
              <c:layout>
                <c:manualLayout>
                  <c:x val="1.025325540859222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EBB-492F-A9CC-85085DCB8DB2}"/>
                </c:ext>
              </c:extLst>
            </c:dLbl>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Банки</c:v>
                </c:pt>
                <c:pt idx="1">
                  <c:v>Субъекты страхового дела</c:v>
                </c:pt>
                <c:pt idx="2">
                  <c:v>Негосударственные пенсонные фонды</c:v>
                </c:pt>
                <c:pt idx="3">
                  <c:v>Кредитные потребительские кооперативы</c:v>
                </c:pt>
                <c:pt idx="4">
                  <c:v>Сельскохозяйственные кредитные потребительские кооперативы</c:v>
                </c:pt>
                <c:pt idx="5">
                  <c:v>Брокеры</c:v>
                </c:pt>
                <c:pt idx="6">
                  <c:v>Ломбарды</c:v>
                </c:pt>
                <c:pt idx="7">
                  <c:v>Микрофинансовые организации</c:v>
                </c:pt>
              </c:strCache>
            </c:strRef>
          </c:cat>
          <c:val>
            <c:numRef>
              <c:f>Sheet1!$B$2:$I$2</c:f>
              <c:numCache>
                <c:formatCode>0%</c:formatCode>
                <c:ptCount val="8"/>
                <c:pt idx="0">
                  <c:v>0.24199999999999999</c:v>
                </c:pt>
                <c:pt idx="1">
                  <c:v>9.1999999999999998E-2</c:v>
                </c:pt>
                <c:pt idx="2">
                  <c:v>7.2000000000000008E-2</c:v>
                </c:pt>
                <c:pt idx="3">
                  <c:v>0.05</c:v>
                </c:pt>
                <c:pt idx="4">
                  <c:v>5.4000000000000006E-2</c:v>
                </c:pt>
                <c:pt idx="5">
                  <c:v>5.5999999999999994E-2</c:v>
                </c:pt>
                <c:pt idx="6">
                  <c:v>4.8000000000000001E-2</c:v>
                </c:pt>
                <c:pt idx="7">
                  <c:v>4.5999999999999999E-2</c:v>
                </c:pt>
              </c:numCache>
            </c:numRef>
          </c:val>
          <c:extLst xmlns:c16r2="http://schemas.microsoft.com/office/drawing/2015/06/chart">
            <c:ext xmlns:c16="http://schemas.microsoft.com/office/drawing/2014/chart" uri="{C3380CC4-5D6E-409C-BE32-E72D297353CC}">
              <c16:uniqueId val="{00000004-1EBB-492F-A9CC-85085DCB8DB2}"/>
            </c:ext>
          </c:extLst>
        </c:ser>
        <c:ser>
          <c:idx val="1"/>
          <c:order val="1"/>
          <c:tx>
            <c:strRef>
              <c:f>Sheet1!$A$3</c:f>
              <c:strCache>
                <c:ptCount val="1"/>
                <c:pt idx="0">
                  <c:v>Скорее удовлетворен</c:v>
                </c:pt>
              </c:strCache>
            </c:strRef>
          </c:tx>
          <c:spPr>
            <a:solidFill>
              <a:srgbClr val="70AD47">
                <a:lumMod val="60000"/>
                <a:lumOff val="40000"/>
              </a:srgbClr>
            </a:solidFill>
            <a:ln w="9525" cap="flat">
              <a:noFill/>
              <a:prstDash val="solid"/>
              <a:round/>
            </a:ln>
            <a:effectLst/>
          </c:spPr>
          <c:invertIfNegative val="0"/>
          <c:dLbls>
            <c:dLbl>
              <c:idx val="7"/>
              <c:layout>
                <c:manualLayout>
                  <c:x val="8.202604326873745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EBB-492F-A9CC-85085DCB8DB2}"/>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Банки</c:v>
                </c:pt>
                <c:pt idx="1">
                  <c:v>Субъекты страхового дела</c:v>
                </c:pt>
                <c:pt idx="2">
                  <c:v>Негосударственные пенсонные фонды</c:v>
                </c:pt>
                <c:pt idx="3">
                  <c:v>Кредитные потребительские кооперативы</c:v>
                </c:pt>
                <c:pt idx="4">
                  <c:v>Сельскохозяйственные кредитные потребительские кооперативы</c:v>
                </c:pt>
                <c:pt idx="5">
                  <c:v>Брокеры</c:v>
                </c:pt>
                <c:pt idx="6">
                  <c:v>Ломбарды</c:v>
                </c:pt>
                <c:pt idx="7">
                  <c:v>Микрофинансовые организации</c:v>
                </c:pt>
              </c:strCache>
            </c:strRef>
          </c:cat>
          <c:val>
            <c:numRef>
              <c:f>Sheet1!$B$3:$I$3</c:f>
              <c:numCache>
                <c:formatCode>0%</c:formatCode>
                <c:ptCount val="8"/>
                <c:pt idx="0">
                  <c:v>0.45600000000000002</c:v>
                </c:pt>
                <c:pt idx="1">
                  <c:v>0.33</c:v>
                </c:pt>
                <c:pt idx="2">
                  <c:v>0.20399999999999999</c:v>
                </c:pt>
                <c:pt idx="3">
                  <c:v>0.19399999999999998</c:v>
                </c:pt>
                <c:pt idx="4">
                  <c:v>0.18600000000000003</c:v>
                </c:pt>
                <c:pt idx="5">
                  <c:v>0.188</c:v>
                </c:pt>
                <c:pt idx="6">
                  <c:v>0.16200000000000001</c:v>
                </c:pt>
                <c:pt idx="7">
                  <c:v>0.14199999999999999</c:v>
                </c:pt>
              </c:numCache>
            </c:numRef>
          </c:val>
          <c:extLst xmlns:c16r2="http://schemas.microsoft.com/office/drawing/2015/06/chart">
            <c:ext xmlns:c16="http://schemas.microsoft.com/office/drawing/2014/chart" uri="{C3380CC4-5D6E-409C-BE32-E72D297353CC}">
              <c16:uniqueId val="{00000006-1EBB-492F-A9CC-85085DCB8DB2}"/>
            </c:ext>
          </c:extLst>
        </c:ser>
        <c:ser>
          <c:idx val="2"/>
          <c:order val="2"/>
          <c:tx>
            <c:strRef>
              <c:f>Sheet1!$A$4</c:f>
              <c:strCache>
                <c:ptCount val="1"/>
                <c:pt idx="0">
                  <c:v>Скорее НЕ удовлетворен</c:v>
                </c:pt>
              </c:strCache>
            </c:strRef>
          </c:tx>
          <c:spPr>
            <a:solidFill>
              <a:srgbClr val="D97A8D"/>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Банки</c:v>
                </c:pt>
                <c:pt idx="1">
                  <c:v>Субъекты страхового дела</c:v>
                </c:pt>
                <c:pt idx="2">
                  <c:v>Негосударственные пенсонные фонды</c:v>
                </c:pt>
                <c:pt idx="3">
                  <c:v>Кредитные потребительские кооперативы</c:v>
                </c:pt>
                <c:pt idx="4">
                  <c:v>Сельскохозяйственные кредитные потребительские кооперативы</c:v>
                </c:pt>
                <c:pt idx="5">
                  <c:v>Брокеры</c:v>
                </c:pt>
                <c:pt idx="6">
                  <c:v>Ломбарды</c:v>
                </c:pt>
                <c:pt idx="7">
                  <c:v>Микрофинансовые организации</c:v>
                </c:pt>
              </c:strCache>
            </c:strRef>
          </c:cat>
          <c:val>
            <c:numRef>
              <c:f>Sheet1!$B$4:$I$4</c:f>
              <c:numCache>
                <c:formatCode>0%</c:formatCode>
                <c:ptCount val="8"/>
                <c:pt idx="0">
                  <c:v>0.126</c:v>
                </c:pt>
                <c:pt idx="1">
                  <c:v>0.10800000000000001</c:v>
                </c:pt>
                <c:pt idx="2">
                  <c:v>0.14000000000000001</c:v>
                </c:pt>
                <c:pt idx="3">
                  <c:v>0.11800000000000001</c:v>
                </c:pt>
                <c:pt idx="4">
                  <c:v>0.1</c:v>
                </c:pt>
                <c:pt idx="5">
                  <c:v>0.11599999999999999</c:v>
                </c:pt>
                <c:pt idx="6">
                  <c:v>9.4E-2</c:v>
                </c:pt>
                <c:pt idx="7">
                  <c:v>0.11</c:v>
                </c:pt>
              </c:numCache>
            </c:numRef>
          </c:val>
          <c:extLst xmlns:c16r2="http://schemas.microsoft.com/office/drawing/2015/06/chart">
            <c:ext xmlns:c16="http://schemas.microsoft.com/office/drawing/2014/chart" uri="{C3380CC4-5D6E-409C-BE32-E72D297353CC}">
              <c16:uniqueId val="{00000007-1EBB-492F-A9CC-85085DCB8DB2}"/>
            </c:ext>
          </c:extLst>
        </c:ser>
        <c:ser>
          <c:idx val="3"/>
          <c:order val="3"/>
          <c:tx>
            <c:strRef>
              <c:f>Sheet1!$A$5</c:f>
              <c:strCache>
                <c:ptCount val="1"/>
                <c:pt idx="0">
                  <c:v>Полностью НЕ удовлетворен</c:v>
                </c:pt>
              </c:strCache>
            </c:strRef>
          </c:tx>
          <c:spPr>
            <a:solidFill>
              <a:srgbClr val="59221B"/>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Банки</c:v>
                </c:pt>
                <c:pt idx="1">
                  <c:v>Субъекты страхового дела</c:v>
                </c:pt>
                <c:pt idx="2">
                  <c:v>Негосударственные пенсонные фонды</c:v>
                </c:pt>
                <c:pt idx="3">
                  <c:v>Кредитные потребительские кооперативы</c:v>
                </c:pt>
                <c:pt idx="4">
                  <c:v>Сельскохозяйственные кредитные потребительские кооперативы</c:v>
                </c:pt>
                <c:pt idx="5">
                  <c:v>Брокеры</c:v>
                </c:pt>
                <c:pt idx="6">
                  <c:v>Ломбарды</c:v>
                </c:pt>
                <c:pt idx="7">
                  <c:v>Микрофинансовые организации</c:v>
                </c:pt>
              </c:strCache>
            </c:strRef>
          </c:cat>
          <c:val>
            <c:numRef>
              <c:f>Sheet1!$B$5:$I$5</c:f>
              <c:numCache>
                <c:formatCode>0%</c:formatCode>
                <c:ptCount val="8"/>
                <c:pt idx="0">
                  <c:v>0.05</c:v>
                </c:pt>
                <c:pt idx="1">
                  <c:v>4.2000000000000003E-2</c:v>
                </c:pt>
                <c:pt idx="2">
                  <c:v>5.7999999999999996E-2</c:v>
                </c:pt>
                <c:pt idx="3">
                  <c:v>5.4000000000000006E-2</c:v>
                </c:pt>
                <c:pt idx="4">
                  <c:v>4.8000000000000001E-2</c:v>
                </c:pt>
                <c:pt idx="5">
                  <c:v>5.2000000000000005E-2</c:v>
                </c:pt>
                <c:pt idx="6">
                  <c:v>4.8000000000000001E-2</c:v>
                </c:pt>
                <c:pt idx="7">
                  <c:v>0.11199999999999999</c:v>
                </c:pt>
              </c:numCache>
            </c:numRef>
          </c:val>
          <c:extLst xmlns:c16r2="http://schemas.microsoft.com/office/drawing/2015/06/chart">
            <c:ext xmlns:c16="http://schemas.microsoft.com/office/drawing/2014/chart" uri="{C3380CC4-5D6E-409C-BE32-E72D297353CC}">
              <c16:uniqueId val="{00000008-1EBB-492F-A9CC-85085DCB8DB2}"/>
            </c:ext>
          </c:extLst>
        </c:ser>
        <c:ser>
          <c:idx val="4"/>
          <c:order val="4"/>
          <c:tx>
            <c:strRef>
              <c:f>Sheet1!$A$6</c:f>
              <c:strCache>
                <c:ptCount val="1"/>
                <c:pt idx="0">
                  <c:v>Затрудняюсь ответить</c:v>
                </c:pt>
              </c:strCache>
            </c:strRef>
          </c:tx>
          <c:spPr>
            <a:solidFill>
              <a:srgbClr val="7F7F7F"/>
            </a:solidFill>
          </c:spPr>
          <c:invertIfNegative val="0"/>
          <c:dLbls>
            <c:dLbl>
              <c:idx val="0"/>
              <c:layout>
                <c:manualLayout>
                  <c:x val="8.602150537634408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EBB-492F-A9CC-85085DCB8DB2}"/>
                </c:ext>
              </c:extLst>
            </c:dLbl>
            <c:dLbl>
              <c:idx val="3"/>
              <c:layout>
                <c:manualLayout>
                  <c:x val="1.0752688172042854E-2"/>
                  <c:y val="-5.1382067117569478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EBB-492F-A9CC-85085DCB8DB2}"/>
                </c:ext>
              </c:extLst>
            </c:dLbl>
            <c:dLbl>
              <c:idx val="5"/>
              <c:layout>
                <c:manualLayout>
                  <c:x val="8.6021505376344086E-3"/>
                  <c:y val="5.1382067117569478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EBB-492F-A9CC-85085DCB8DB2}"/>
                </c:ext>
              </c:extLst>
            </c:dLbl>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Банки</c:v>
                </c:pt>
                <c:pt idx="1">
                  <c:v>Субъекты страхового дела</c:v>
                </c:pt>
                <c:pt idx="2">
                  <c:v>Негосударственные пенсонные фонды</c:v>
                </c:pt>
                <c:pt idx="3">
                  <c:v>Кредитные потребительские кооперативы</c:v>
                </c:pt>
                <c:pt idx="4">
                  <c:v>Сельскохозяйственные кредитные потребительские кооперативы</c:v>
                </c:pt>
                <c:pt idx="5">
                  <c:v>Брокеры</c:v>
                </c:pt>
                <c:pt idx="6">
                  <c:v>Ломбарды</c:v>
                </c:pt>
                <c:pt idx="7">
                  <c:v>Микрофинансовые организации</c:v>
                </c:pt>
              </c:strCache>
            </c:strRef>
          </c:cat>
          <c:val>
            <c:numRef>
              <c:f>Sheet1!$B$6:$I$6</c:f>
              <c:numCache>
                <c:formatCode>0%</c:formatCode>
                <c:ptCount val="8"/>
                <c:pt idx="0">
                  <c:v>0.126</c:v>
                </c:pt>
                <c:pt idx="1">
                  <c:v>0.42799999999999999</c:v>
                </c:pt>
                <c:pt idx="2">
                  <c:v>0.52600000000000002</c:v>
                </c:pt>
                <c:pt idx="3">
                  <c:v>0.58399999999999996</c:v>
                </c:pt>
                <c:pt idx="4">
                  <c:v>0.61199999999999999</c:v>
                </c:pt>
                <c:pt idx="5">
                  <c:v>0.58799999999999997</c:v>
                </c:pt>
                <c:pt idx="6">
                  <c:v>0.64800000000000002</c:v>
                </c:pt>
                <c:pt idx="7">
                  <c:v>0.59</c:v>
                </c:pt>
              </c:numCache>
            </c:numRef>
          </c:val>
          <c:extLst xmlns:c16r2="http://schemas.microsoft.com/office/drawing/2015/06/chart">
            <c:ext xmlns:c16="http://schemas.microsoft.com/office/drawing/2014/chart" uri="{C3380CC4-5D6E-409C-BE32-E72D297353CC}">
              <c16:uniqueId val="{0000000C-1EBB-492F-A9CC-85085DCB8DB2}"/>
            </c:ext>
          </c:extLst>
        </c:ser>
        <c:dLbls>
          <c:showLegendKey val="0"/>
          <c:showVal val="0"/>
          <c:showCatName val="0"/>
          <c:showSerName val="0"/>
          <c:showPercent val="0"/>
          <c:showBubbleSize val="0"/>
        </c:dLbls>
        <c:gapWidth val="105"/>
        <c:overlap val="100"/>
        <c:axId val="161519616"/>
        <c:axId val="162207360"/>
      </c:barChart>
      <c:catAx>
        <c:axId val="161519616"/>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900">
                <a:latin typeface="Times New Roman" panose="02020603050405020304" pitchFamily="18" charset="0"/>
                <a:cs typeface="Times New Roman" panose="02020603050405020304" pitchFamily="18" charset="0"/>
              </a:defRPr>
            </a:pPr>
            <a:endParaRPr lang="ru-RU"/>
          </a:p>
        </c:txPr>
        <c:crossAx val="162207360"/>
        <c:crosses val="autoZero"/>
        <c:auto val="1"/>
        <c:lblAlgn val="ctr"/>
        <c:lblOffset val="100"/>
        <c:noMultiLvlLbl val="1"/>
      </c:catAx>
      <c:valAx>
        <c:axId val="162207360"/>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161519616"/>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1.9403841822140722E-2"/>
          <c:y val="0.87581670268744494"/>
          <c:w val="0.97492021433340537"/>
          <c:h val="0.10880516339951889"/>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451671240264452"/>
          <c:y val="1.7822881701540297E-2"/>
          <c:w val="0.69992984189803098"/>
          <c:h val="0.83900944966148894"/>
        </c:manualLayout>
      </c:layout>
      <c:barChart>
        <c:barDir val="bar"/>
        <c:grouping val="percentStacked"/>
        <c:varyColors val="0"/>
        <c:ser>
          <c:idx val="0"/>
          <c:order val="0"/>
          <c:tx>
            <c:strRef>
              <c:f>Sheet1!$A$2</c:f>
              <c:strCache>
                <c:ptCount val="1"/>
                <c:pt idx="0">
                  <c:v>Полностью удовлетворен</c:v>
                </c:pt>
              </c:strCache>
            </c:strRef>
          </c:tx>
          <c:spPr>
            <a:solidFill>
              <a:srgbClr val="70AD47">
                <a:lumMod val="75000"/>
              </a:srgbClr>
            </a:solidFill>
            <a:ln w="9525" cap="flat">
              <a:noFill/>
              <a:prstDash val="solid"/>
              <a:round/>
            </a:ln>
            <a:effectLst/>
          </c:spPr>
          <c:invertIfNegative val="0"/>
          <c:dLbls>
            <c:dLbl>
              <c:idx val="3"/>
              <c:layout>
                <c:manualLayout>
                  <c:x val="8.202604326873745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846-47B1-B650-02C4D2E8E739}"/>
                </c:ext>
              </c:extLst>
            </c:dLbl>
            <c:dLbl>
              <c:idx val="4"/>
              <c:layout>
                <c:manualLayout>
                  <c:x val="1.0253255408592229E-2"/>
                  <c:y val="1.6851826106006413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846-47B1-B650-02C4D2E8E739}"/>
                </c:ext>
              </c:extLst>
            </c:dLbl>
            <c:dLbl>
              <c:idx val="5"/>
              <c:layout>
                <c:manualLayout>
                  <c:x val="1.0253255408592229E-2"/>
                  <c:y val="1.6851826113853655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846-47B1-B650-02C4D2E8E739}"/>
                </c:ext>
              </c:extLst>
            </c:dLbl>
            <c:dLbl>
              <c:idx val="7"/>
              <c:layout>
                <c:manualLayout>
                  <c:x val="1.025325540859222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846-47B1-B650-02C4D2E8E739}"/>
                </c:ext>
              </c:extLst>
            </c:dLbl>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Зарплатные проекты</c:v>
                </c:pt>
                <c:pt idx="1">
                  <c:v>Расчетно-кассовое обслуживание</c:v>
                </c:pt>
                <c:pt idx="2">
                  <c:v>Добровольное медицинское страхование (ДМС)</c:v>
                </c:pt>
                <c:pt idx="3">
                  <c:v>Страхование имущества</c:v>
                </c:pt>
                <c:pt idx="4">
                  <c:v>Услуги эквайринга</c:v>
                </c:pt>
                <c:pt idx="5">
                  <c:v>Кредитование</c:v>
                </c:pt>
                <c:pt idx="6">
                  <c:v>Инвестиционные услуги</c:v>
                </c:pt>
                <c:pt idx="7">
                  <c:v>Услуги микрофинансовых организаций</c:v>
                </c:pt>
              </c:strCache>
            </c:strRef>
          </c:cat>
          <c:val>
            <c:numRef>
              <c:f>Sheet1!$B$2:$I$2</c:f>
              <c:numCache>
                <c:formatCode>0%</c:formatCode>
                <c:ptCount val="8"/>
                <c:pt idx="0">
                  <c:v>0.26446280991735499</c:v>
                </c:pt>
                <c:pt idx="1">
                  <c:v>0.23177083333333301</c:v>
                </c:pt>
                <c:pt idx="2">
                  <c:v>0.22021660649819499</c:v>
                </c:pt>
                <c:pt idx="3">
                  <c:v>0.15862068965517198</c:v>
                </c:pt>
                <c:pt idx="4">
                  <c:v>0.163636363636364</c:v>
                </c:pt>
                <c:pt idx="5">
                  <c:v>0.115646258503401</c:v>
                </c:pt>
                <c:pt idx="6">
                  <c:v>9.90990990990991E-2</c:v>
                </c:pt>
                <c:pt idx="7">
                  <c:v>9.1743119266054995E-2</c:v>
                </c:pt>
              </c:numCache>
            </c:numRef>
          </c:val>
          <c:extLst xmlns:c16r2="http://schemas.microsoft.com/office/drawing/2015/06/chart">
            <c:ext xmlns:c16="http://schemas.microsoft.com/office/drawing/2014/chart" uri="{C3380CC4-5D6E-409C-BE32-E72D297353CC}">
              <c16:uniqueId val="{00000004-F846-47B1-B650-02C4D2E8E739}"/>
            </c:ext>
          </c:extLst>
        </c:ser>
        <c:ser>
          <c:idx val="1"/>
          <c:order val="1"/>
          <c:tx>
            <c:strRef>
              <c:f>Sheet1!$A$3</c:f>
              <c:strCache>
                <c:ptCount val="1"/>
                <c:pt idx="0">
                  <c:v>Скорее удовлетворен</c:v>
                </c:pt>
              </c:strCache>
            </c:strRef>
          </c:tx>
          <c:spPr>
            <a:solidFill>
              <a:srgbClr val="70AD47">
                <a:lumMod val="60000"/>
                <a:lumOff val="40000"/>
              </a:srgbClr>
            </a:solidFill>
            <a:ln w="9525" cap="flat">
              <a:noFill/>
              <a:prstDash val="solid"/>
              <a:round/>
            </a:ln>
            <a:effectLst/>
          </c:spPr>
          <c:invertIfNegative val="0"/>
          <c:dLbls>
            <c:dLbl>
              <c:idx val="7"/>
              <c:layout>
                <c:manualLayout>
                  <c:x val="8.202604326873745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846-47B1-B650-02C4D2E8E739}"/>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Зарплатные проекты</c:v>
                </c:pt>
                <c:pt idx="1">
                  <c:v>Расчетно-кассовое обслуживание</c:v>
                </c:pt>
                <c:pt idx="2">
                  <c:v>Добровольное медицинское страхование (ДМС)</c:v>
                </c:pt>
                <c:pt idx="3">
                  <c:v>Страхование имущества</c:v>
                </c:pt>
                <c:pt idx="4">
                  <c:v>Услуги эквайринга</c:v>
                </c:pt>
                <c:pt idx="5">
                  <c:v>Кредитование</c:v>
                </c:pt>
                <c:pt idx="6">
                  <c:v>Инвестиционные услуги</c:v>
                </c:pt>
                <c:pt idx="7">
                  <c:v>Услуги микрофинансовых организаций</c:v>
                </c:pt>
              </c:strCache>
            </c:strRef>
          </c:cat>
          <c:val>
            <c:numRef>
              <c:f>Sheet1!$B$3:$I$3</c:f>
              <c:numCache>
                <c:formatCode>0%</c:formatCode>
                <c:ptCount val="8"/>
                <c:pt idx="0">
                  <c:v>0.53994490358126701</c:v>
                </c:pt>
                <c:pt idx="1">
                  <c:v>0.55208333333333304</c:v>
                </c:pt>
                <c:pt idx="2">
                  <c:v>0.44765342960288801</c:v>
                </c:pt>
                <c:pt idx="3">
                  <c:v>0.444827586206897</c:v>
                </c:pt>
                <c:pt idx="4">
                  <c:v>0.36727272727272697</c:v>
                </c:pt>
                <c:pt idx="5">
                  <c:v>0.39455782312925203</c:v>
                </c:pt>
                <c:pt idx="6">
                  <c:v>0.32882882882882902</c:v>
                </c:pt>
                <c:pt idx="7">
                  <c:v>0.146788990825688</c:v>
                </c:pt>
              </c:numCache>
            </c:numRef>
          </c:val>
          <c:extLst xmlns:c16r2="http://schemas.microsoft.com/office/drawing/2015/06/chart">
            <c:ext xmlns:c16="http://schemas.microsoft.com/office/drawing/2014/chart" uri="{C3380CC4-5D6E-409C-BE32-E72D297353CC}">
              <c16:uniqueId val="{00000006-F846-47B1-B650-02C4D2E8E739}"/>
            </c:ext>
          </c:extLst>
        </c:ser>
        <c:ser>
          <c:idx val="2"/>
          <c:order val="2"/>
          <c:tx>
            <c:strRef>
              <c:f>Sheet1!$A$4</c:f>
              <c:strCache>
                <c:ptCount val="1"/>
                <c:pt idx="0">
                  <c:v>Скорее НЕ удовлетворен</c:v>
                </c:pt>
              </c:strCache>
            </c:strRef>
          </c:tx>
          <c:spPr>
            <a:solidFill>
              <a:srgbClr val="D97A8D"/>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Зарплатные проекты</c:v>
                </c:pt>
                <c:pt idx="1">
                  <c:v>Расчетно-кассовое обслуживание</c:v>
                </c:pt>
                <c:pt idx="2">
                  <c:v>Добровольное медицинское страхование (ДМС)</c:v>
                </c:pt>
                <c:pt idx="3">
                  <c:v>Страхование имущества</c:v>
                </c:pt>
                <c:pt idx="4">
                  <c:v>Услуги эквайринга</c:v>
                </c:pt>
                <c:pt idx="5">
                  <c:v>Кредитование</c:v>
                </c:pt>
                <c:pt idx="6">
                  <c:v>Инвестиционные услуги</c:v>
                </c:pt>
                <c:pt idx="7">
                  <c:v>Услуги микрофинансовых организаций</c:v>
                </c:pt>
              </c:strCache>
            </c:strRef>
          </c:cat>
          <c:val>
            <c:numRef>
              <c:f>Sheet1!$B$4:$I$4</c:f>
              <c:numCache>
                <c:formatCode>0%</c:formatCode>
                <c:ptCount val="8"/>
                <c:pt idx="0">
                  <c:v>5.7851239669421496E-2</c:v>
                </c:pt>
                <c:pt idx="1">
                  <c:v>4.9479166666666699E-2</c:v>
                </c:pt>
                <c:pt idx="2">
                  <c:v>8.6642599277978294E-2</c:v>
                </c:pt>
                <c:pt idx="3">
                  <c:v>0.10344827586206901</c:v>
                </c:pt>
                <c:pt idx="4">
                  <c:v>6.9090909090909106E-2</c:v>
                </c:pt>
                <c:pt idx="5">
                  <c:v>0.17006802721088399</c:v>
                </c:pt>
                <c:pt idx="6">
                  <c:v>0.108108108108108</c:v>
                </c:pt>
                <c:pt idx="7">
                  <c:v>7.3394495412843999E-2</c:v>
                </c:pt>
              </c:numCache>
            </c:numRef>
          </c:val>
          <c:extLst xmlns:c16r2="http://schemas.microsoft.com/office/drawing/2015/06/chart">
            <c:ext xmlns:c16="http://schemas.microsoft.com/office/drawing/2014/chart" uri="{C3380CC4-5D6E-409C-BE32-E72D297353CC}">
              <c16:uniqueId val="{00000007-F846-47B1-B650-02C4D2E8E739}"/>
            </c:ext>
          </c:extLst>
        </c:ser>
        <c:ser>
          <c:idx val="3"/>
          <c:order val="3"/>
          <c:tx>
            <c:strRef>
              <c:f>Sheet1!$A$5</c:f>
              <c:strCache>
                <c:ptCount val="1"/>
                <c:pt idx="0">
                  <c:v>Полностью НЕ удовлетворен</c:v>
                </c:pt>
              </c:strCache>
            </c:strRef>
          </c:tx>
          <c:spPr>
            <a:solidFill>
              <a:srgbClr val="59221B"/>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Зарплатные проекты</c:v>
                </c:pt>
                <c:pt idx="1">
                  <c:v>Расчетно-кассовое обслуживание</c:v>
                </c:pt>
                <c:pt idx="2">
                  <c:v>Добровольное медицинское страхование (ДМС)</c:v>
                </c:pt>
                <c:pt idx="3">
                  <c:v>Страхование имущества</c:v>
                </c:pt>
                <c:pt idx="4">
                  <c:v>Услуги эквайринга</c:v>
                </c:pt>
                <c:pt idx="5">
                  <c:v>Кредитование</c:v>
                </c:pt>
                <c:pt idx="6">
                  <c:v>Инвестиционные услуги</c:v>
                </c:pt>
                <c:pt idx="7">
                  <c:v>Услуги микрофинансовых организаций</c:v>
                </c:pt>
              </c:strCache>
            </c:strRef>
          </c:cat>
          <c:val>
            <c:numRef>
              <c:f>Sheet1!$B$5:$I$5</c:f>
              <c:numCache>
                <c:formatCode>0%</c:formatCode>
                <c:ptCount val="8"/>
                <c:pt idx="0">
                  <c:v>1.37741046831956E-2</c:v>
                </c:pt>
                <c:pt idx="1">
                  <c:v>1.5625E-2</c:v>
                </c:pt>
                <c:pt idx="2">
                  <c:v>2.8880866425992798E-2</c:v>
                </c:pt>
                <c:pt idx="3">
                  <c:v>1.37931034482759E-2</c:v>
                </c:pt>
                <c:pt idx="4">
                  <c:v>2.1818181818181799E-2</c:v>
                </c:pt>
                <c:pt idx="5">
                  <c:v>6.1224489795918401E-2</c:v>
                </c:pt>
                <c:pt idx="6">
                  <c:v>1.8018018018018001E-2</c:v>
                </c:pt>
                <c:pt idx="7">
                  <c:v>3.6697247706422E-2</c:v>
                </c:pt>
              </c:numCache>
            </c:numRef>
          </c:val>
          <c:extLst xmlns:c16r2="http://schemas.microsoft.com/office/drawing/2015/06/chart">
            <c:ext xmlns:c16="http://schemas.microsoft.com/office/drawing/2014/chart" uri="{C3380CC4-5D6E-409C-BE32-E72D297353CC}">
              <c16:uniqueId val="{00000008-F846-47B1-B650-02C4D2E8E739}"/>
            </c:ext>
          </c:extLst>
        </c:ser>
        <c:ser>
          <c:idx val="4"/>
          <c:order val="4"/>
          <c:tx>
            <c:strRef>
              <c:f>Sheet1!$A$6</c:f>
              <c:strCache>
                <c:ptCount val="1"/>
                <c:pt idx="0">
                  <c:v>Затрудняюсь ответить</c:v>
                </c:pt>
              </c:strCache>
            </c:strRef>
          </c:tx>
          <c:spPr>
            <a:solidFill>
              <a:srgbClr val="7F7F7F"/>
            </a:solidFill>
          </c:spPr>
          <c:invertIfNegative val="0"/>
          <c:dLbls>
            <c:dLbl>
              <c:idx val="0"/>
              <c:layout>
                <c:manualLayout>
                  <c:x val="8.602150537634408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846-47B1-B650-02C4D2E8E739}"/>
                </c:ext>
              </c:extLst>
            </c:dLbl>
            <c:dLbl>
              <c:idx val="3"/>
              <c:layout>
                <c:manualLayout>
                  <c:x val="1.0752688172042854E-2"/>
                  <c:y val="-5.1382067117569478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F846-47B1-B650-02C4D2E8E739}"/>
                </c:ext>
              </c:extLst>
            </c:dLbl>
            <c:dLbl>
              <c:idx val="5"/>
              <c:layout>
                <c:manualLayout>
                  <c:x val="8.6021505376344086E-3"/>
                  <c:y val="5.1382067117569478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846-47B1-B650-02C4D2E8E739}"/>
                </c:ext>
              </c:extLst>
            </c:dLbl>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Зарплатные проекты</c:v>
                </c:pt>
                <c:pt idx="1">
                  <c:v>Расчетно-кассовое обслуживание</c:v>
                </c:pt>
                <c:pt idx="2">
                  <c:v>Добровольное медицинское страхование (ДМС)</c:v>
                </c:pt>
                <c:pt idx="3">
                  <c:v>Страхование имущества</c:v>
                </c:pt>
                <c:pt idx="4">
                  <c:v>Услуги эквайринга</c:v>
                </c:pt>
                <c:pt idx="5">
                  <c:v>Кредитование</c:v>
                </c:pt>
                <c:pt idx="6">
                  <c:v>Инвестиционные услуги</c:v>
                </c:pt>
                <c:pt idx="7">
                  <c:v>Услуги микрофинансовых организаций</c:v>
                </c:pt>
              </c:strCache>
            </c:strRef>
          </c:cat>
          <c:val>
            <c:numRef>
              <c:f>Sheet1!$B$6:$I$6</c:f>
              <c:numCache>
                <c:formatCode>0%</c:formatCode>
                <c:ptCount val="8"/>
                <c:pt idx="0">
                  <c:v>0.12396694214876</c:v>
                </c:pt>
                <c:pt idx="1">
                  <c:v>0.15104166666666699</c:v>
                </c:pt>
                <c:pt idx="2">
                  <c:v>0.21660649819494601</c:v>
                </c:pt>
                <c:pt idx="3">
                  <c:v>0.27931034482758599</c:v>
                </c:pt>
                <c:pt idx="4">
                  <c:v>0.37818181818181801</c:v>
                </c:pt>
                <c:pt idx="5">
                  <c:v>0.25850340136054401</c:v>
                </c:pt>
                <c:pt idx="6">
                  <c:v>0.44594594594594594</c:v>
                </c:pt>
                <c:pt idx="7">
                  <c:v>0.65137614678899103</c:v>
                </c:pt>
              </c:numCache>
            </c:numRef>
          </c:val>
          <c:extLst xmlns:c16r2="http://schemas.microsoft.com/office/drawing/2015/06/chart">
            <c:ext xmlns:c16="http://schemas.microsoft.com/office/drawing/2014/chart" uri="{C3380CC4-5D6E-409C-BE32-E72D297353CC}">
              <c16:uniqueId val="{0000000C-F846-47B1-B650-02C4D2E8E739}"/>
            </c:ext>
          </c:extLst>
        </c:ser>
        <c:dLbls>
          <c:showLegendKey val="0"/>
          <c:showVal val="0"/>
          <c:showCatName val="0"/>
          <c:showSerName val="0"/>
          <c:showPercent val="0"/>
          <c:showBubbleSize val="0"/>
        </c:dLbls>
        <c:gapWidth val="105"/>
        <c:overlap val="100"/>
        <c:axId val="161520128"/>
        <c:axId val="162759808"/>
      </c:barChart>
      <c:catAx>
        <c:axId val="161520128"/>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900">
                <a:latin typeface="Times New Roman" panose="02020603050405020304" pitchFamily="18" charset="0"/>
                <a:cs typeface="Times New Roman" panose="02020603050405020304" pitchFamily="18" charset="0"/>
              </a:defRPr>
            </a:pPr>
            <a:endParaRPr lang="ru-RU"/>
          </a:p>
        </c:txPr>
        <c:crossAx val="162759808"/>
        <c:crosses val="autoZero"/>
        <c:auto val="1"/>
        <c:lblAlgn val="ctr"/>
        <c:lblOffset val="100"/>
        <c:noMultiLvlLbl val="1"/>
      </c:catAx>
      <c:valAx>
        <c:axId val="162759808"/>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161520128"/>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1.9403841822140722E-2"/>
          <c:y val="0.87581670268744494"/>
          <c:w val="0.97492021433340537"/>
          <c:h val="0.10880516339951889"/>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932856516589687"/>
          <c:y val="9.5414160186498426E-3"/>
          <c:w val="0.50511798913477868"/>
          <c:h val="0.86895485890350677"/>
        </c:manualLayout>
      </c:layout>
      <c:barChart>
        <c:barDir val="bar"/>
        <c:grouping val="percentStacked"/>
        <c:varyColors val="0"/>
        <c:ser>
          <c:idx val="0"/>
          <c:order val="0"/>
          <c:tx>
            <c:strRef>
              <c:f>Sheet1!$A$2</c:f>
              <c:strCache>
                <c:ptCount val="1"/>
                <c:pt idx="0">
                  <c:v>Имеется сейчас</c:v>
                </c:pt>
              </c:strCache>
            </c:strRef>
          </c:tx>
          <c:spPr>
            <a:solidFill>
              <a:srgbClr val="70AD47">
                <a:lumMod val="40000"/>
                <a:lumOff val="60000"/>
              </a:srgbClr>
            </a:solidFill>
            <a:ln w="9525" cap="flat">
              <a:noFill/>
              <a:prstDash val="solid"/>
              <a:round/>
            </a:ln>
            <a:effectLst/>
          </c:spPr>
          <c:invertIfNegative val="0"/>
          <c:dLbls>
            <c:dLbl>
              <c:idx val="1"/>
              <c:layout>
                <c:manualLayout>
                  <c:x val="6.1519532451553369E-3"/>
                  <c:y val="-2.529645843605412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077-4C18-9084-02F4A02F4F2D}"/>
                </c:ext>
              </c:extLst>
            </c:dLbl>
            <c:dLbl>
              <c:idx val="2"/>
              <c:layout>
                <c:manualLayout>
                  <c:x val="8.202604326873782E-3"/>
                  <c:y val="3.9843216941335841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077-4C18-9084-02F4A02F4F2D}"/>
                </c:ext>
              </c:extLst>
            </c:dLbl>
            <c:dLbl>
              <c:idx val="3"/>
              <c:layout>
                <c:manualLayout>
                  <c:x val="2.0506510817184455E-3"/>
                  <c:y val="9.9608042353339603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077-4C18-9084-02F4A02F4F2D}"/>
                </c:ext>
              </c:extLst>
            </c:dLbl>
            <c:dLbl>
              <c:idx val="4"/>
              <c:layout>
                <c:manualLayout>
                  <c:x val="-2.0506510817184455E-3"/>
                  <c:y val="4.3472826766219441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077-4C18-9084-02F4A02F4F2D}"/>
                </c:ext>
              </c:extLst>
            </c:dLbl>
            <c:spPr>
              <a:noFill/>
              <a:ln>
                <a:noFill/>
              </a:ln>
              <a:effectLst/>
            </c:spPr>
            <c:txPr>
              <a:bodyPr wrap="square" lIns="38100" tIns="19050" rIns="38100" bIns="19050" anchor="ctr">
                <a:spAutoFit/>
              </a:bodyPr>
              <a:lstStyle/>
              <a:p>
                <a:pPr>
                  <a:defRPr sz="1100" b="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Банковский вклад</c:v>
                </c:pt>
                <c:pt idx="1">
                  <c:v>Договор на размещение средств в форме займа в микрофинансовой организации</c:v>
                </c:pt>
                <c:pt idx="2">
                  <c:v>Договор на размещение средств в форме займа в кредитном потребительском кооперативе</c:v>
                </c:pt>
                <c:pt idx="3">
                  <c:v>Договор на размещение средств в форме займа в сельскохозяйственном кредитном потребительском кооперативе</c:v>
                </c:pt>
                <c:pt idx="4">
                  <c:v>Индивидуальный инвестиционный счет</c:v>
                </c:pt>
                <c:pt idx="5">
                  <c:v>Инвестиционное страхование жизни</c:v>
                </c:pt>
                <c:pt idx="6">
                  <c:v>Брокерский счет</c:v>
                </c:pt>
                <c:pt idx="7">
                  <c:v>Вложение средств в паевой инвестиционный фонд</c:v>
                </c:pt>
              </c:strCache>
            </c:strRef>
          </c:cat>
          <c:val>
            <c:numRef>
              <c:f>Sheet1!$B$2:$I$2</c:f>
              <c:numCache>
                <c:formatCode>0%</c:formatCode>
                <c:ptCount val="8"/>
                <c:pt idx="0">
                  <c:v>0.39327357916900701</c:v>
                </c:pt>
                <c:pt idx="1">
                  <c:v>4.3733733668126697E-2</c:v>
                </c:pt>
                <c:pt idx="2">
                  <c:v>5.0200018585813397E-2</c:v>
                </c:pt>
                <c:pt idx="3">
                  <c:v>2.02383338854762E-2</c:v>
                </c:pt>
                <c:pt idx="4">
                  <c:v>0.110514291707282</c:v>
                </c:pt>
                <c:pt idx="5">
                  <c:v>6.7184148859948403E-2</c:v>
                </c:pt>
                <c:pt idx="6">
                  <c:v>9.70944394702907E-2</c:v>
                </c:pt>
                <c:pt idx="7">
                  <c:v>5.1493683449017398E-2</c:v>
                </c:pt>
              </c:numCache>
            </c:numRef>
          </c:val>
          <c:extLst xmlns:c16r2="http://schemas.microsoft.com/office/drawing/2015/06/chart">
            <c:ext xmlns:c16="http://schemas.microsoft.com/office/drawing/2014/chart" uri="{C3380CC4-5D6E-409C-BE32-E72D297353CC}">
              <c16:uniqueId val="{00000004-C077-4C18-9084-02F4A02F4F2D}"/>
            </c:ext>
          </c:extLst>
        </c:ser>
        <c:ser>
          <c:idx val="1"/>
          <c:order val="1"/>
          <c:tx>
            <c:strRef>
              <c:f>Sheet1!$A$3</c:f>
              <c:strCache>
                <c:ptCount val="1"/>
                <c:pt idx="0">
                  <c:v>Не имеется сейчас, но использовался за последние 12 месяцев</c:v>
                </c:pt>
              </c:strCache>
            </c:strRef>
          </c:tx>
          <c:spPr>
            <a:solidFill>
              <a:srgbClr val="ED7D31"/>
            </a:solidFill>
            <a:ln w="9525" cap="flat">
              <a:noFill/>
              <a:prstDash val="solid"/>
              <a:round/>
            </a:ln>
            <a:effectLst/>
          </c:spPr>
          <c:invertIfNegative val="0"/>
          <c:dLbls>
            <c:dLbl>
              <c:idx val="1"/>
              <c:layout>
                <c:manualLayout>
                  <c:x val="1.2303906490310674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077-4C18-9084-02F4A02F4F2D}"/>
                </c:ext>
              </c:extLst>
            </c:dLbl>
            <c:dLbl>
              <c:idx val="2"/>
              <c:layout>
                <c:manualLayout>
                  <c:x val="2.0506510817184458E-2"/>
                  <c:y val="1.9921608470667921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077-4C18-9084-02F4A02F4F2D}"/>
                </c:ext>
              </c:extLst>
            </c:dLbl>
            <c:dLbl>
              <c:idx val="3"/>
              <c:layout>
                <c:manualLayout>
                  <c:x val="1.8455859735465936E-2"/>
                  <c:y val="3.9843216945974204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077-4C18-9084-02F4A02F4F2D}"/>
                </c:ext>
              </c:extLst>
            </c:dLbl>
            <c:dLbl>
              <c:idx val="4"/>
              <c:layout>
                <c:manualLayout>
                  <c:x val="8.202604326873745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077-4C18-9084-02F4A02F4F2D}"/>
                </c:ext>
              </c:extLst>
            </c:dLbl>
            <c:dLbl>
              <c:idx val="7"/>
              <c:layout>
                <c:manualLayout>
                  <c:x val="1.0253255408592191E-2"/>
                  <c:y val="-1.0121806237432044E-1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077-4C18-9084-02F4A02F4F2D}"/>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Банковский вклад</c:v>
                </c:pt>
                <c:pt idx="1">
                  <c:v>Договор на размещение средств в форме займа в микрофинансовой организации</c:v>
                </c:pt>
                <c:pt idx="2">
                  <c:v>Договор на размещение средств в форме займа в кредитном потребительском кооперативе</c:v>
                </c:pt>
                <c:pt idx="3">
                  <c:v>Договор на размещение средств в форме займа в сельскохозяйственном кредитном потребительском кооперативе</c:v>
                </c:pt>
                <c:pt idx="4">
                  <c:v>Индивидуальный инвестиционный счет</c:v>
                </c:pt>
                <c:pt idx="5">
                  <c:v>Инвестиционное страхование жизни</c:v>
                </c:pt>
                <c:pt idx="6">
                  <c:v>Брокерский счет</c:v>
                </c:pt>
                <c:pt idx="7">
                  <c:v>Вложение средств в паевой инвестиционный фонд</c:v>
                </c:pt>
              </c:strCache>
            </c:strRef>
          </c:cat>
          <c:val>
            <c:numRef>
              <c:f>Sheet1!$B$3:$I$3</c:f>
              <c:numCache>
                <c:formatCode>0%</c:formatCode>
                <c:ptCount val="8"/>
                <c:pt idx="0">
                  <c:v>0.11208756844462499</c:v>
                </c:pt>
                <c:pt idx="1">
                  <c:v>3.7544284527912301E-2</c:v>
                </c:pt>
                <c:pt idx="2">
                  <c:v>3.9166964580250097E-2</c:v>
                </c:pt>
                <c:pt idx="3">
                  <c:v>2.6733287616493403E-2</c:v>
                </c:pt>
                <c:pt idx="4">
                  <c:v>7.0659656572934201E-2</c:v>
                </c:pt>
                <c:pt idx="5">
                  <c:v>4.89384644742729E-2</c:v>
                </c:pt>
                <c:pt idx="6">
                  <c:v>5.6210303269379099E-2</c:v>
                </c:pt>
                <c:pt idx="7">
                  <c:v>4.8171420441849605E-2</c:v>
                </c:pt>
              </c:numCache>
            </c:numRef>
          </c:val>
          <c:extLst xmlns:c16r2="http://schemas.microsoft.com/office/drawing/2015/06/chart">
            <c:ext xmlns:c16="http://schemas.microsoft.com/office/drawing/2014/chart" uri="{C3380CC4-5D6E-409C-BE32-E72D297353CC}">
              <c16:uniqueId val="{0000000A-C077-4C18-9084-02F4A02F4F2D}"/>
            </c:ext>
          </c:extLst>
        </c:ser>
        <c:ser>
          <c:idx val="2"/>
          <c:order val="2"/>
          <c:tx>
            <c:strRef>
              <c:f>Sheet1!$A$4</c:f>
              <c:strCache>
                <c:ptCount val="1"/>
                <c:pt idx="0">
                  <c:v>Не использовался за последние 12 месяцев</c:v>
                </c:pt>
              </c:strCache>
            </c:strRef>
          </c:tx>
          <c:spPr>
            <a:solidFill>
              <a:sysClr val="window" lastClr="FFFFFF">
                <a:lumMod val="50000"/>
              </a:sysClr>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Банковский вклад</c:v>
                </c:pt>
                <c:pt idx="1">
                  <c:v>Договор на размещение средств в форме займа в микрофинансовой организации</c:v>
                </c:pt>
                <c:pt idx="2">
                  <c:v>Договор на размещение средств в форме займа в кредитном потребительском кооперативе</c:v>
                </c:pt>
                <c:pt idx="3">
                  <c:v>Договор на размещение средств в форме займа в сельскохозяйственном кредитном потребительском кооперативе</c:v>
                </c:pt>
                <c:pt idx="4">
                  <c:v>Индивидуальный инвестиционный счет</c:v>
                </c:pt>
                <c:pt idx="5">
                  <c:v>Инвестиционное страхование жизни</c:v>
                </c:pt>
                <c:pt idx="6">
                  <c:v>Брокерский счет</c:v>
                </c:pt>
                <c:pt idx="7">
                  <c:v>Вложение средств в паевой инвестиционный фонд</c:v>
                </c:pt>
              </c:strCache>
            </c:strRef>
          </c:cat>
          <c:val>
            <c:numRef>
              <c:f>Sheet1!$B$4:$I$4</c:f>
              <c:numCache>
                <c:formatCode>0%</c:formatCode>
                <c:ptCount val="8"/>
                <c:pt idx="0">
                  <c:v>0.49463885238637095</c:v>
                </c:pt>
                <c:pt idx="1">
                  <c:v>0.91872198180396292</c:v>
                </c:pt>
                <c:pt idx="2">
                  <c:v>0.91063301683393905</c:v>
                </c:pt>
                <c:pt idx="3">
                  <c:v>0.95302837849803101</c:v>
                </c:pt>
                <c:pt idx="4">
                  <c:v>0.81882605171978795</c:v>
                </c:pt>
                <c:pt idx="5">
                  <c:v>0.88387738666578197</c:v>
                </c:pt>
                <c:pt idx="6">
                  <c:v>0.84669525726033401</c:v>
                </c:pt>
                <c:pt idx="7">
                  <c:v>0.90033489610913509</c:v>
                </c:pt>
              </c:numCache>
            </c:numRef>
          </c:val>
          <c:extLst xmlns:c16r2="http://schemas.microsoft.com/office/drawing/2015/06/chart">
            <c:ext xmlns:c16="http://schemas.microsoft.com/office/drawing/2014/chart" uri="{C3380CC4-5D6E-409C-BE32-E72D297353CC}">
              <c16:uniqueId val="{0000000B-C077-4C18-9084-02F4A02F4F2D}"/>
            </c:ext>
          </c:extLst>
        </c:ser>
        <c:dLbls>
          <c:showLegendKey val="0"/>
          <c:showVal val="0"/>
          <c:showCatName val="0"/>
          <c:showSerName val="0"/>
          <c:showPercent val="0"/>
          <c:showBubbleSize val="0"/>
        </c:dLbls>
        <c:gapWidth val="105"/>
        <c:overlap val="100"/>
        <c:axId val="161520640"/>
        <c:axId val="162761536"/>
      </c:barChart>
      <c:catAx>
        <c:axId val="161520640"/>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900">
                <a:latin typeface="Times New Roman" panose="02020603050405020304" pitchFamily="18" charset="0"/>
                <a:cs typeface="Times New Roman" panose="02020603050405020304" pitchFamily="18" charset="0"/>
              </a:defRPr>
            </a:pPr>
            <a:endParaRPr lang="ru-RU"/>
          </a:p>
        </c:txPr>
        <c:crossAx val="162761536"/>
        <c:crosses val="autoZero"/>
        <c:auto val="1"/>
        <c:lblAlgn val="ctr"/>
        <c:lblOffset val="100"/>
        <c:noMultiLvlLbl val="1"/>
      </c:catAx>
      <c:valAx>
        <c:axId val="162761536"/>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161520640"/>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7.0999353318300477E-3"/>
          <c:y val="0.88676565187805634"/>
          <c:w val="0.96859226032611812"/>
          <c:h val="9.820204389344947E-2"/>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932856516589687"/>
          <c:y val="9.5414160186498426E-3"/>
          <c:w val="0.50511798913477868"/>
          <c:h val="0.86895485890350677"/>
        </c:manualLayout>
      </c:layout>
      <c:barChart>
        <c:barDir val="bar"/>
        <c:grouping val="percentStacked"/>
        <c:varyColors val="0"/>
        <c:ser>
          <c:idx val="0"/>
          <c:order val="0"/>
          <c:tx>
            <c:strRef>
              <c:f>Sheet1!$A$2</c:f>
              <c:strCache>
                <c:ptCount val="1"/>
                <c:pt idx="0">
                  <c:v>Имеется сейчас</c:v>
                </c:pt>
              </c:strCache>
            </c:strRef>
          </c:tx>
          <c:spPr>
            <a:solidFill>
              <a:srgbClr val="70AD47">
                <a:lumMod val="40000"/>
                <a:lumOff val="60000"/>
              </a:srgbClr>
            </a:solidFill>
            <a:ln w="9525" cap="flat">
              <a:noFill/>
              <a:prstDash val="solid"/>
              <a:round/>
            </a:ln>
            <a:effectLst/>
          </c:spPr>
          <c:invertIfNegative val="0"/>
          <c:dLbls>
            <c:dLbl>
              <c:idx val="1"/>
              <c:layout>
                <c:manualLayout>
                  <c:x val="6.1519532451553369E-3"/>
                  <c:y val="-2.529645843605412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D59-4BAC-A32E-823667DA7069}"/>
                </c:ext>
              </c:extLst>
            </c:dLbl>
            <c:dLbl>
              <c:idx val="2"/>
              <c:layout>
                <c:manualLayout>
                  <c:x val="8.202604326873782E-3"/>
                  <c:y val="3.9843216941335841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D59-4BAC-A32E-823667DA7069}"/>
                </c:ext>
              </c:extLst>
            </c:dLbl>
            <c:dLbl>
              <c:idx val="3"/>
              <c:layout>
                <c:manualLayout>
                  <c:x val="2.0506510817184455E-3"/>
                  <c:y val="9.9608042353339603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D59-4BAC-A32E-823667DA7069}"/>
                </c:ext>
              </c:extLst>
            </c:dLbl>
            <c:dLbl>
              <c:idx val="4"/>
              <c:layout>
                <c:manualLayout>
                  <c:x val="-2.0506510817184455E-3"/>
                  <c:y val="4.3472826766219441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D59-4BAC-A32E-823667DA7069}"/>
                </c:ext>
              </c:extLst>
            </c:dLbl>
            <c:spPr>
              <a:noFill/>
              <a:ln>
                <a:noFill/>
              </a:ln>
              <a:effectLst/>
            </c:spPr>
            <c:txPr>
              <a:bodyPr wrap="square" lIns="38100" tIns="19050" rIns="38100" bIns="19050" anchor="ctr">
                <a:spAutoFit/>
              </a:bodyPr>
              <a:lstStyle/>
              <a:p>
                <a:pPr>
                  <a:defRPr sz="1100" b="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Sheet1!$B$1:$K$1</c:f>
              <c:strCache>
                <c:ptCount val="10"/>
                <c:pt idx="0">
                  <c:v>Онлайн-кредит в банке </c:v>
                </c:pt>
                <c:pt idx="1">
                  <c:v>Иной кредит в банке, не являющийся онлайн-кредитом</c:v>
                </c:pt>
                <c:pt idx="2">
                  <c:v>Использование кредитного лимита по кредитной карте</c:v>
                </c:pt>
                <c:pt idx="3">
                  <c:v>Онлайн-заем в микрофинансовой организации </c:v>
                </c:pt>
                <c:pt idx="4">
                  <c:v>Иной заем в микрофинансовой организации, не являющийся онлайн-займом</c:v>
                </c:pt>
                <c:pt idx="5">
                  <c:v>Онлайн-заем в кредитном потребительском кооперативе</c:v>
                </c:pt>
                <c:pt idx="6">
                  <c:v>Иной заем в кредитном потребительском кооперативе, не являющийся онлайн-займом</c:v>
                </c:pt>
                <c:pt idx="7">
                  <c:v>Онлайн-заем в сельскохозяйственном кредитном потребительском кооперативе</c:v>
                </c:pt>
                <c:pt idx="8">
                  <c:v>Иной заем в сельскохозяйственном кредитном потребительском кооперативе, не являющийся онлайн-займом</c:v>
                </c:pt>
                <c:pt idx="9">
                  <c:v>Заем в ломбарде</c:v>
                </c:pt>
              </c:strCache>
            </c:strRef>
          </c:cat>
          <c:val>
            <c:numRef>
              <c:f>Sheet1!$B$2:$K$2</c:f>
              <c:numCache>
                <c:formatCode>0%</c:formatCode>
                <c:ptCount val="10"/>
                <c:pt idx="0">
                  <c:v>0.16378110236528901</c:v>
                </c:pt>
                <c:pt idx="1">
                  <c:v>0.17985381160034902</c:v>
                </c:pt>
                <c:pt idx="2">
                  <c:v>0.26284531074871703</c:v>
                </c:pt>
                <c:pt idx="3">
                  <c:v>4.6913360352808804E-2</c:v>
                </c:pt>
                <c:pt idx="4">
                  <c:v>2.9790573224521003E-2</c:v>
                </c:pt>
                <c:pt idx="5">
                  <c:v>2.9867953833679999E-2</c:v>
                </c:pt>
                <c:pt idx="6">
                  <c:v>2.1035991642063098E-2</c:v>
                </c:pt>
                <c:pt idx="7">
                  <c:v>1.7226604149944001E-2</c:v>
                </c:pt>
                <c:pt idx="8">
                  <c:v>1.5238927134309499E-2</c:v>
                </c:pt>
                <c:pt idx="9">
                  <c:v>2.2825324193550899E-2</c:v>
                </c:pt>
              </c:numCache>
            </c:numRef>
          </c:val>
          <c:extLst xmlns:c16r2="http://schemas.microsoft.com/office/drawing/2015/06/chart">
            <c:ext xmlns:c16="http://schemas.microsoft.com/office/drawing/2014/chart" uri="{C3380CC4-5D6E-409C-BE32-E72D297353CC}">
              <c16:uniqueId val="{00000004-0D59-4BAC-A32E-823667DA7069}"/>
            </c:ext>
          </c:extLst>
        </c:ser>
        <c:ser>
          <c:idx val="1"/>
          <c:order val="1"/>
          <c:tx>
            <c:strRef>
              <c:f>Sheet1!$A$3</c:f>
              <c:strCache>
                <c:ptCount val="1"/>
                <c:pt idx="0">
                  <c:v>Не имеется сейчас, но использовался за последние 12 месяцев</c:v>
                </c:pt>
              </c:strCache>
            </c:strRef>
          </c:tx>
          <c:spPr>
            <a:solidFill>
              <a:srgbClr val="ED7D31"/>
            </a:solidFill>
            <a:ln w="9525" cap="flat">
              <a:noFill/>
              <a:prstDash val="solid"/>
              <a:round/>
            </a:ln>
            <a:effectLst/>
          </c:spPr>
          <c:invertIfNegative val="0"/>
          <c:dLbls>
            <c:dLbl>
              <c:idx val="1"/>
              <c:layout>
                <c:manualLayout>
                  <c:x val="1.2303906490310674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D59-4BAC-A32E-823667DA7069}"/>
                </c:ext>
              </c:extLst>
            </c:dLbl>
            <c:dLbl>
              <c:idx val="2"/>
              <c:layout>
                <c:manualLayout>
                  <c:x val="2.0506510817184458E-2"/>
                  <c:y val="1.9921608470667921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D59-4BAC-A32E-823667DA7069}"/>
                </c:ext>
              </c:extLst>
            </c:dLbl>
            <c:dLbl>
              <c:idx val="3"/>
              <c:layout>
                <c:manualLayout>
                  <c:x val="1.6405208653747564E-2"/>
                  <c:y val="5.9764825416642125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D59-4BAC-A32E-823667DA7069}"/>
                </c:ext>
              </c:extLst>
            </c:dLbl>
            <c:dLbl>
              <c:idx val="4"/>
              <c:layout>
                <c:manualLayout>
                  <c:x val="2.6658464062339716E-2"/>
                  <c:y val="1.9921608470667921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D59-4BAC-A32E-823667DA7069}"/>
                </c:ext>
              </c:extLst>
            </c:dLbl>
            <c:dLbl>
              <c:idx val="5"/>
              <c:layout>
                <c:manualLayout>
                  <c:x val="1.6405208653747564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D59-4BAC-A32E-823667DA7069}"/>
                </c:ext>
              </c:extLst>
            </c:dLbl>
            <c:dLbl>
              <c:idx val="6"/>
              <c:layout>
                <c:manualLayout>
                  <c:x val="1.6405208653747564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D59-4BAC-A32E-823667DA7069}"/>
                </c:ext>
              </c:extLst>
            </c:dLbl>
            <c:dLbl>
              <c:idx val="7"/>
              <c:layout>
                <c:manualLayout>
                  <c:x val="2.2557161898902903E-2"/>
                  <c:y val="1.9921608470667921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0D59-4BAC-A32E-823667DA7069}"/>
                </c:ext>
              </c:extLst>
            </c:dLbl>
            <c:dLbl>
              <c:idx val="8"/>
              <c:layout>
                <c:manualLayout>
                  <c:x val="2.0506510817184458E-2"/>
                  <c:y val="1.9921608470667921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0D59-4BAC-A32E-823667DA7069}"/>
                </c:ext>
              </c:extLst>
            </c:dLbl>
            <c:dLbl>
              <c:idx val="9"/>
              <c:layout>
                <c:manualLayout>
                  <c:x val="1.6405208653747564E-2"/>
                  <c:y val="9.2767218456919867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0D59-4BAC-A32E-823667DA7069}"/>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Sheet1!$B$1:$K$1</c:f>
              <c:strCache>
                <c:ptCount val="10"/>
                <c:pt idx="0">
                  <c:v>Онлайн-кредит в банке </c:v>
                </c:pt>
                <c:pt idx="1">
                  <c:v>Иной кредит в банке, не являющийся онлайн-кредитом</c:v>
                </c:pt>
                <c:pt idx="2">
                  <c:v>Использование кредитного лимита по кредитной карте</c:v>
                </c:pt>
                <c:pt idx="3">
                  <c:v>Онлайн-заем в микрофинансовой организации </c:v>
                </c:pt>
                <c:pt idx="4">
                  <c:v>Иной заем в микрофинансовой организации, не являющийся онлайн-займом</c:v>
                </c:pt>
                <c:pt idx="5">
                  <c:v>Онлайн-заем в кредитном потребительском кооперативе</c:v>
                </c:pt>
                <c:pt idx="6">
                  <c:v>Иной заем в кредитном потребительском кооперативе, не являющийся онлайн-займом</c:v>
                </c:pt>
                <c:pt idx="7">
                  <c:v>Онлайн-заем в сельскохозяйственном кредитном потребительском кооперативе</c:v>
                </c:pt>
                <c:pt idx="8">
                  <c:v>Иной заем в сельскохозяйственном кредитном потребительском кооперативе, не являющийся онлайн-займом</c:v>
                </c:pt>
                <c:pt idx="9">
                  <c:v>Заем в ломбарде</c:v>
                </c:pt>
              </c:strCache>
            </c:strRef>
          </c:cat>
          <c:val>
            <c:numRef>
              <c:f>Sheet1!$B$3:$K$3</c:f>
              <c:numCache>
                <c:formatCode>0%</c:formatCode>
                <c:ptCount val="10"/>
                <c:pt idx="0">
                  <c:v>5.7728966229227199E-2</c:v>
                </c:pt>
                <c:pt idx="1">
                  <c:v>7.1803008792819797E-2</c:v>
                </c:pt>
                <c:pt idx="2">
                  <c:v>0.10149982421735</c:v>
                </c:pt>
                <c:pt idx="3">
                  <c:v>7.6117589189055007E-2</c:v>
                </c:pt>
                <c:pt idx="4">
                  <c:v>2.4416273980891797E-2</c:v>
                </c:pt>
                <c:pt idx="5">
                  <c:v>3.1557750978510997E-2</c:v>
                </c:pt>
                <c:pt idx="6">
                  <c:v>3.0359327490297502E-2</c:v>
                </c:pt>
                <c:pt idx="7">
                  <c:v>1.68289718633171E-2</c:v>
                </c:pt>
                <c:pt idx="8">
                  <c:v>2.38121029542855E-2</c:v>
                </c:pt>
                <c:pt idx="9">
                  <c:v>4.0035785011829902E-2</c:v>
                </c:pt>
              </c:numCache>
            </c:numRef>
          </c:val>
          <c:extLst xmlns:c16r2="http://schemas.microsoft.com/office/drawing/2015/06/chart">
            <c:ext xmlns:c16="http://schemas.microsoft.com/office/drawing/2014/chart" uri="{C3380CC4-5D6E-409C-BE32-E72D297353CC}">
              <c16:uniqueId val="{0000000E-0D59-4BAC-A32E-823667DA7069}"/>
            </c:ext>
          </c:extLst>
        </c:ser>
        <c:ser>
          <c:idx val="2"/>
          <c:order val="2"/>
          <c:tx>
            <c:strRef>
              <c:f>Sheet1!$A$4</c:f>
              <c:strCache>
                <c:ptCount val="1"/>
                <c:pt idx="0">
                  <c:v>Не использовался за последние 12 месяцев</c:v>
                </c:pt>
              </c:strCache>
            </c:strRef>
          </c:tx>
          <c:spPr>
            <a:solidFill>
              <a:sysClr val="window" lastClr="FFFFFF">
                <a:lumMod val="50000"/>
              </a:sysClr>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Sheet1!$B$1:$K$1</c:f>
              <c:strCache>
                <c:ptCount val="10"/>
                <c:pt idx="0">
                  <c:v>Онлайн-кредит в банке </c:v>
                </c:pt>
                <c:pt idx="1">
                  <c:v>Иной кредит в банке, не являющийся онлайн-кредитом</c:v>
                </c:pt>
                <c:pt idx="2">
                  <c:v>Использование кредитного лимита по кредитной карте</c:v>
                </c:pt>
                <c:pt idx="3">
                  <c:v>Онлайн-заем в микрофинансовой организации </c:v>
                </c:pt>
                <c:pt idx="4">
                  <c:v>Иной заем в микрофинансовой организации, не являющийся онлайн-займом</c:v>
                </c:pt>
                <c:pt idx="5">
                  <c:v>Онлайн-заем в кредитном потребительском кооперативе</c:v>
                </c:pt>
                <c:pt idx="6">
                  <c:v>Иной заем в кредитном потребительском кооперативе, не являющийся онлайн-займом</c:v>
                </c:pt>
                <c:pt idx="7">
                  <c:v>Онлайн-заем в сельскохозяйственном кредитном потребительском кооперативе</c:v>
                </c:pt>
                <c:pt idx="8">
                  <c:v>Иной заем в сельскохозяйственном кредитном потребительском кооперативе, не являющийся онлайн-займом</c:v>
                </c:pt>
                <c:pt idx="9">
                  <c:v>Заем в ломбарде</c:v>
                </c:pt>
              </c:strCache>
            </c:strRef>
          </c:cat>
          <c:val>
            <c:numRef>
              <c:f>Sheet1!$B$4:$K$4</c:f>
              <c:numCache>
                <c:formatCode>0%</c:formatCode>
                <c:ptCount val="10"/>
                <c:pt idx="0">
                  <c:v>0.77848993140548894</c:v>
                </c:pt>
                <c:pt idx="1">
                  <c:v>0.74834317960683705</c:v>
                </c:pt>
                <c:pt idx="2">
                  <c:v>0.63565486503393698</c:v>
                </c:pt>
                <c:pt idx="3">
                  <c:v>0.87696905045813911</c:v>
                </c:pt>
                <c:pt idx="4">
                  <c:v>0.94579315279458798</c:v>
                </c:pt>
                <c:pt idx="5">
                  <c:v>0.93857429518780999</c:v>
                </c:pt>
                <c:pt idx="6">
                  <c:v>0.94860468086764005</c:v>
                </c:pt>
                <c:pt idx="7">
                  <c:v>0.96594442398673908</c:v>
                </c:pt>
                <c:pt idx="8">
                  <c:v>0.96094896991140599</c:v>
                </c:pt>
                <c:pt idx="9">
                  <c:v>0.93713889079462109</c:v>
                </c:pt>
              </c:numCache>
            </c:numRef>
          </c:val>
          <c:extLst xmlns:c16r2="http://schemas.microsoft.com/office/drawing/2015/06/chart">
            <c:ext xmlns:c16="http://schemas.microsoft.com/office/drawing/2014/chart" uri="{C3380CC4-5D6E-409C-BE32-E72D297353CC}">
              <c16:uniqueId val="{0000000F-0D59-4BAC-A32E-823667DA7069}"/>
            </c:ext>
          </c:extLst>
        </c:ser>
        <c:dLbls>
          <c:showLegendKey val="0"/>
          <c:showVal val="0"/>
          <c:showCatName val="0"/>
          <c:showSerName val="0"/>
          <c:showPercent val="0"/>
          <c:showBubbleSize val="0"/>
        </c:dLbls>
        <c:gapWidth val="105"/>
        <c:overlap val="100"/>
        <c:axId val="162604544"/>
        <c:axId val="162760384"/>
      </c:barChart>
      <c:catAx>
        <c:axId val="162604544"/>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900">
                <a:latin typeface="Times New Roman" panose="02020603050405020304" pitchFamily="18" charset="0"/>
                <a:cs typeface="Times New Roman" panose="02020603050405020304" pitchFamily="18" charset="0"/>
              </a:defRPr>
            </a:pPr>
            <a:endParaRPr lang="ru-RU"/>
          </a:p>
        </c:txPr>
        <c:crossAx val="162760384"/>
        <c:crosses val="autoZero"/>
        <c:auto val="1"/>
        <c:lblAlgn val="ctr"/>
        <c:lblOffset val="100"/>
        <c:noMultiLvlLbl val="1"/>
      </c:catAx>
      <c:valAx>
        <c:axId val="162760384"/>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162604544"/>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7.0999353318300477E-3"/>
          <c:y val="0.88676565187805634"/>
          <c:w val="0.98648007356508915"/>
          <c:h val="0.11323439231887604"/>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932856516589687"/>
          <c:y val="9.5414160186498426E-3"/>
          <c:w val="0.50511798913477868"/>
          <c:h val="0.83895485564304462"/>
        </c:manualLayout>
      </c:layout>
      <c:barChart>
        <c:barDir val="bar"/>
        <c:grouping val="percentStacked"/>
        <c:varyColors val="0"/>
        <c:ser>
          <c:idx val="0"/>
          <c:order val="0"/>
          <c:tx>
            <c:strRef>
              <c:f>Sheet1!$A$2</c:f>
              <c:strCache>
                <c:ptCount val="1"/>
                <c:pt idx="0">
                  <c:v>Имеется сейчас</c:v>
                </c:pt>
              </c:strCache>
            </c:strRef>
          </c:tx>
          <c:spPr>
            <a:solidFill>
              <a:srgbClr val="70AD47">
                <a:lumMod val="40000"/>
                <a:lumOff val="60000"/>
              </a:srgbClr>
            </a:solidFill>
            <a:ln w="9525" cap="flat">
              <a:noFill/>
              <a:prstDash val="solid"/>
              <a:round/>
            </a:ln>
            <a:effectLst/>
          </c:spPr>
          <c:invertIfNegative val="0"/>
          <c:dLbls>
            <c:dLbl>
              <c:idx val="1"/>
              <c:layout>
                <c:manualLayout>
                  <c:x val="6.1519532451553369E-3"/>
                  <c:y val="-2.529645843605412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772-4732-B16E-6DBDCC0597E8}"/>
                </c:ext>
              </c:extLst>
            </c:dLbl>
            <c:dLbl>
              <c:idx val="2"/>
              <c:layout>
                <c:manualLayout>
                  <c:x val="8.202604326873782E-3"/>
                  <c:y val="3.9843216941335841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772-4732-B16E-6DBDCC0597E8}"/>
                </c:ext>
              </c:extLst>
            </c:dLbl>
            <c:dLbl>
              <c:idx val="3"/>
              <c:layout>
                <c:manualLayout>
                  <c:x val="2.0506510817184455E-3"/>
                  <c:y val="9.9608042353339603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772-4732-B16E-6DBDCC0597E8}"/>
                </c:ext>
              </c:extLst>
            </c:dLbl>
            <c:dLbl>
              <c:idx val="4"/>
              <c:layout>
                <c:manualLayout>
                  <c:x val="-2.0506510817184455E-3"/>
                  <c:y val="4.3472826766219441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772-4732-B16E-6DBDCC0597E8}"/>
                </c:ext>
              </c:extLst>
            </c:dLbl>
            <c:spPr>
              <a:noFill/>
              <a:ln>
                <a:noFill/>
              </a:ln>
              <a:effectLst/>
            </c:spPr>
            <c:txPr>
              <a:bodyPr wrap="square" lIns="38100" tIns="19050" rIns="38100" bIns="19050" anchor="ctr">
                <a:spAutoFit/>
              </a:bodyPr>
              <a:lstStyle/>
              <a:p>
                <a:pPr>
                  <a:defRPr sz="1100" b="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Sheet1!$B$1:$F$1</c:f>
              <c:strCache>
                <c:ptCount val="5"/>
                <c:pt idx="0">
                  <c:v>Зарплатная карта</c:v>
                </c:pt>
                <c:pt idx="1">
                  <c:v> Расчетная (дебетовая) карта для получения пенсий и иных социальных выплат</c:v>
                </c:pt>
                <c:pt idx="2">
                  <c:v>Другая расчетная (дебетовая) карта</c:v>
                </c:pt>
                <c:pt idx="3">
                  <c:v>Кредитная карта</c:v>
                </c:pt>
                <c:pt idx="4">
                  <c:v>Расчетный счет</c:v>
                </c:pt>
              </c:strCache>
            </c:strRef>
          </c:cat>
          <c:val>
            <c:numRef>
              <c:f>Sheet1!$B$2:$F$2</c:f>
              <c:numCache>
                <c:formatCode>0%</c:formatCode>
                <c:ptCount val="5"/>
                <c:pt idx="0">
                  <c:v>0.67357726217681202</c:v>
                </c:pt>
                <c:pt idx="1">
                  <c:v>0.59053762256094899</c:v>
                </c:pt>
                <c:pt idx="2">
                  <c:v>0.46801672020653301</c:v>
                </c:pt>
                <c:pt idx="3">
                  <c:v>0.36483326436685204</c:v>
                </c:pt>
                <c:pt idx="4">
                  <c:v>0.31759763636490801</c:v>
                </c:pt>
              </c:numCache>
            </c:numRef>
          </c:val>
          <c:extLst xmlns:c16r2="http://schemas.microsoft.com/office/drawing/2015/06/chart">
            <c:ext xmlns:c16="http://schemas.microsoft.com/office/drawing/2014/chart" uri="{C3380CC4-5D6E-409C-BE32-E72D297353CC}">
              <c16:uniqueId val="{00000004-5772-4732-B16E-6DBDCC0597E8}"/>
            </c:ext>
          </c:extLst>
        </c:ser>
        <c:ser>
          <c:idx val="1"/>
          <c:order val="1"/>
          <c:tx>
            <c:strRef>
              <c:f>Sheet1!$A$3</c:f>
              <c:strCache>
                <c:ptCount val="1"/>
                <c:pt idx="0">
                  <c:v>Не имеется сейчас, но использовался за последние 12 месяцев</c:v>
                </c:pt>
              </c:strCache>
            </c:strRef>
          </c:tx>
          <c:spPr>
            <a:solidFill>
              <a:srgbClr val="ED7D31"/>
            </a:solidFill>
            <a:ln w="9525" cap="flat">
              <a:noFill/>
              <a:prstDash val="solid"/>
              <a:round/>
            </a:ln>
            <a:effectLst/>
          </c:spPr>
          <c:invertIfNegative val="0"/>
          <c:dLbls>
            <c:dLbl>
              <c:idx val="1"/>
              <c:layout>
                <c:manualLayout>
                  <c:x val="1.2303906490310674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772-4732-B16E-6DBDCC0597E8}"/>
                </c:ext>
              </c:extLst>
            </c:dLbl>
            <c:dLbl>
              <c:idx val="2"/>
              <c:layout>
                <c:manualLayout>
                  <c:x val="1.4354557572029119E-2"/>
                  <c:y val="5.1088504453840401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772-4732-B16E-6DBDCC0597E8}"/>
                </c:ext>
              </c:extLst>
            </c:dLbl>
            <c:dLbl>
              <c:idx val="3"/>
              <c:layout>
                <c:manualLayout>
                  <c:x val="1.2303906490310674E-2"/>
                  <c:y val="7.6632756671839375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772-4732-B16E-6DBDCC0597E8}"/>
                </c:ext>
              </c:extLst>
            </c:dLbl>
            <c:dLbl>
              <c:idx val="4"/>
              <c:layout>
                <c:manualLayout>
                  <c:x val="8.202604326873745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772-4732-B16E-6DBDCC0597E8}"/>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Sheet1!$B$1:$F$1</c:f>
              <c:strCache>
                <c:ptCount val="5"/>
                <c:pt idx="0">
                  <c:v>Зарплатная карта</c:v>
                </c:pt>
                <c:pt idx="1">
                  <c:v> Расчетная (дебетовая) карта для получения пенсий и иных социальных выплат</c:v>
                </c:pt>
                <c:pt idx="2">
                  <c:v>Другая расчетная (дебетовая) карта</c:v>
                </c:pt>
                <c:pt idx="3">
                  <c:v>Кредитная карта</c:v>
                </c:pt>
                <c:pt idx="4">
                  <c:v>Расчетный счет</c:v>
                </c:pt>
              </c:strCache>
            </c:strRef>
          </c:cat>
          <c:val>
            <c:numRef>
              <c:f>Sheet1!$B$3:$F$3</c:f>
              <c:numCache>
                <c:formatCode>0%</c:formatCode>
                <c:ptCount val="5"/>
                <c:pt idx="0">
                  <c:v>8.3452386732488198E-2</c:v>
                </c:pt>
                <c:pt idx="1">
                  <c:v>2.8927903113774002E-2</c:v>
                </c:pt>
                <c:pt idx="2">
                  <c:v>4.2416090730758499E-2</c:v>
                </c:pt>
                <c:pt idx="3">
                  <c:v>5.2181740946448604E-2</c:v>
                </c:pt>
                <c:pt idx="4">
                  <c:v>8.4737147175693098E-2</c:v>
                </c:pt>
              </c:numCache>
            </c:numRef>
          </c:val>
          <c:extLst xmlns:c16r2="http://schemas.microsoft.com/office/drawing/2015/06/chart">
            <c:ext xmlns:c16="http://schemas.microsoft.com/office/drawing/2014/chart" uri="{C3380CC4-5D6E-409C-BE32-E72D297353CC}">
              <c16:uniqueId val="{00000009-5772-4732-B16E-6DBDCC0597E8}"/>
            </c:ext>
          </c:extLst>
        </c:ser>
        <c:ser>
          <c:idx val="2"/>
          <c:order val="2"/>
          <c:tx>
            <c:strRef>
              <c:f>Sheet1!$A$4</c:f>
              <c:strCache>
                <c:ptCount val="1"/>
                <c:pt idx="0">
                  <c:v>Не использовался за последние 12 месяцев</c:v>
                </c:pt>
              </c:strCache>
            </c:strRef>
          </c:tx>
          <c:spPr>
            <a:solidFill>
              <a:sysClr val="window" lastClr="FFFFFF">
                <a:lumMod val="50000"/>
              </a:sysClr>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Sheet1!$B$1:$F$1</c:f>
              <c:strCache>
                <c:ptCount val="5"/>
                <c:pt idx="0">
                  <c:v>Зарплатная карта</c:v>
                </c:pt>
                <c:pt idx="1">
                  <c:v> Расчетная (дебетовая) карта для получения пенсий и иных социальных выплат</c:v>
                </c:pt>
                <c:pt idx="2">
                  <c:v>Другая расчетная (дебетовая) карта</c:v>
                </c:pt>
                <c:pt idx="3">
                  <c:v>Кредитная карта</c:v>
                </c:pt>
                <c:pt idx="4">
                  <c:v>Расчетный счет</c:v>
                </c:pt>
              </c:strCache>
            </c:strRef>
          </c:cat>
          <c:val>
            <c:numRef>
              <c:f>Sheet1!$B$4:$F$4</c:f>
              <c:numCache>
                <c:formatCode>0%</c:formatCode>
                <c:ptCount val="5"/>
                <c:pt idx="0">
                  <c:v>0.242970351090704</c:v>
                </c:pt>
                <c:pt idx="1">
                  <c:v>0.38053447432528104</c:v>
                </c:pt>
                <c:pt idx="2">
                  <c:v>0.48956718906271202</c:v>
                </c:pt>
                <c:pt idx="3">
                  <c:v>0.58298499468670295</c:v>
                </c:pt>
                <c:pt idx="4">
                  <c:v>0.59766521645940296</c:v>
                </c:pt>
              </c:numCache>
            </c:numRef>
          </c:val>
          <c:extLst xmlns:c16r2="http://schemas.microsoft.com/office/drawing/2015/06/chart">
            <c:ext xmlns:c16="http://schemas.microsoft.com/office/drawing/2014/chart" uri="{C3380CC4-5D6E-409C-BE32-E72D297353CC}">
              <c16:uniqueId val="{0000000A-5772-4732-B16E-6DBDCC0597E8}"/>
            </c:ext>
          </c:extLst>
        </c:ser>
        <c:dLbls>
          <c:showLegendKey val="0"/>
          <c:showVal val="0"/>
          <c:showCatName val="0"/>
          <c:showSerName val="0"/>
          <c:showPercent val="0"/>
          <c:showBubbleSize val="0"/>
        </c:dLbls>
        <c:gapWidth val="105"/>
        <c:overlap val="100"/>
        <c:axId val="162605568"/>
        <c:axId val="162762688"/>
      </c:barChart>
      <c:catAx>
        <c:axId val="162605568"/>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900">
                <a:latin typeface="Times New Roman" panose="02020603050405020304" pitchFamily="18" charset="0"/>
                <a:cs typeface="Times New Roman" panose="02020603050405020304" pitchFamily="18" charset="0"/>
              </a:defRPr>
            </a:pPr>
            <a:endParaRPr lang="ru-RU"/>
          </a:p>
        </c:txPr>
        <c:crossAx val="162762688"/>
        <c:crosses val="autoZero"/>
        <c:auto val="1"/>
        <c:lblAlgn val="ctr"/>
        <c:lblOffset val="100"/>
        <c:noMultiLvlLbl val="1"/>
      </c:catAx>
      <c:valAx>
        <c:axId val="162762688"/>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162605568"/>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7.0999353318300477E-3"/>
          <c:y val="0.83676561679790029"/>
          <c:w val="0.96859226032611812"/>
          <c:h val="0.14820209973753282"/>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270228270556909"/>
          <c:y val="9.5414160186498426E-3"/>
          <c:w val="0.51392322854207462"/>
          <c:h val="0.90439961671457736"/>
        </c:manualLayout>
      </c:layout>
      <c:barChart>
        <c:barDir val="bar"/>
        <c:grouping val="percentStacked"/>
        <c:varyColors val="0"/>
        <c:ser>
          <c:idx val="0"/>
          <c:order val="0"/>
          <c:tx>
            <c:strRef>
              <c:f>Sheet1!$A$2</c:f>
              <c:strCache>
                <c:ptCount val="1"/>
                <c:pt idx="0">
                  <c:v>очень высокая конкуренция</c:v>
                </c:pt>
              </c:strCache>
            </c:strRef>
          </c:tx>
          <c:spPr>
            <a:solidFill>
              <a:srgbClr val="548235"/>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Sheet1!$B$1:$L$1</c:f>
              <c:strCache>
                <c:ptCount val="11"/>
                <c:pt idx="0">
                  <c:v>Рынок медицинских услуг</c:v>
                </c:pt>
                <c:pt idx="1">
                  <c:v>Рынок ритуальных услуг</c:v>
                </c:pt>
                <c:pt idx="2">
                  <c:v>Сфера наружной рекламы</c:v>
                </c:pt>
                <c:pt idx="3">
                  <c:v>Рынок оказания услуг по перевозке пассажиров и багажа легковым такси на территории Ленинградской области</c:v>
                </c:pt>
                <c:pt idx="4">
                  <c:v>Рынок услуг связи, в том числе услуг по предоставлению широкополосного доступа к информационно-телекоммуникационной сети «Интернет»</c:v>
                </c:pt>
                <c:pt idx="5">
                  <c:v>Рынок кадастровых и землеустроительных работ</c:v>
                </c:pt>
                <c:pt idx="6">
                  <c:v>Рынок услуг розничной торговли лекарственными препаратами, медицинскими изделиями и сопутствующими товарами</c:v>
                </c:pt>
                <c:pt idx="7">
                  <c:v>Рынок обработки древесины и производства изделий из дерева</c:v>
                </c:pt>
                <c:pt idx="8">
                  <c:v>Рынок жилищного строительства</c:v>
                </c:pt>
                <c:pt idx="9">
                  <c:v>Рынок легкой промышленности</c:v>
                </c:pt>
                <c:pt idx="10">
                  <c:v>Рынок добычи общераспространенных полезных ископаемых на участках недр местного значения</c:v>
                </c:pt>
              </c:strCache>
            </c:strRef>
          </c:cat>
          <c:val>
            <c:numRef>
              <c:f>Sheet1!$B$2:$L$2</c:f>
              <c:numCache>
                <c:formatCode>0%</c:formatCode>
                <c:ptCount val="11"/>
                <c:pt idx="0">
                  <c:v>0.4</c:v>
                </c:pt>
                <c:pt idx="1">
                  <c:v>0.1</c:v>
                </c:pt>
                <c:pt idx="2">
                  <c:v>0.36363636363636404</c:v>
                </c:pt>
                <c:pt idx="3">
                  <c:v>9.0909090909090898E-2</c:v>
                </c:pt>
                <c:pt idx="4">
                  <c:v>0.11538461538461499</c:v>
                </c:pt>
                <c:pt idx="6">
                  <c:v>0.13636363636363599</c:v>
                </c:pt>
                <c:pt idx="7">
                  <c:v>0.114285714285714</c:v>
                </c:pt>
                <c:pt idx="8">
                  <c:v>6.5217391304347797E-2</c:v>
                </c:pt>
                <c:pt idx="9">
                  <c:v>7.3170731707317097E-2</c:v>
                </c:pt>
              </c:numCache>
            </c:numRef>
          </c:val>
          <c:extLst xmlns:c16r2="http://schemas.microsoft.com/office/drawing/2015/06/chart">
            <c:ext xmlns:c16="http://schemas.microsoft.com/office/drawing/2014/chart" uri="{C3380CC4-5D6E-409C-BE32-E72D297353CC}">
              <c16:uniqueId val="{0000000B-45BA-4431-9DEB-AA6290FA9B4F}"/>
            </c:ext>
          </c:extLst>
        </c:ser>
        <c:ser>
          <c:idx val="1"/>
          <c:order val="1"/>
          <c:tx>
            <c:strRef>
              <c:f>Sheet1!$A$3</c:f>
              <c:strCache>
                <c:ptCount val="1"/>
                <c:pt idx="0">
                  <c:v>высокая конкуренция</c:v>
                </c:pt>
              </c:strCache>
            </c:strRef>
          </c:tx>
          <c:spPr>
            <a:solidFill>
              <a:srgbClr val="A9D18E"/>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Sheet1!$B$1:$L$1</c:f>
              <c:strCache>
                <c:ptCount val="11"/>
                <c:pt idx="0">
                  <c:v>Рынок медицинских услуг</c:v>
                </c:pt>
                <c:pt idx="1">
                  <c:v>Рынок ритуальных услуг</c:v>
                </c:pt>
                <c:pt idx="2">
                  <c:v>Сфера наружной рекламы</c:v>
                </c:pt>
                <c:pt idx="3">
                  <c:v>Рынок оказания услуг по перевозке пассажиров и багажа легковым такси на территории Ленинградской области</c:v>
                </c:pt>
                <c:pt idx="4">
                  <c:v>Рынок услуг связи, в том числе услуг по предоставлению широкополосного доступа к информационно-телекоммуникационной сети «Интернет»</c:v>
                </c:pt>
                <c:pt idx="5">
                  <c:v>Рынок кадастровых и землеустроительных работ</c:v>
                </c:pt>
                <c:pt idx="6">
                  <c:v>Рынок услуг розничной торговли лекарственными препаратами, медицинскими изделиями и сопутствующими товарами</c:v>
                </c:pt>
                <c:pt idx="7">
                  <c:v>Рынок обработки древесины и производства изделий из дерева</c:v>
                </c:pt>
                <c:pt idx="8">
                  <c:v>Рынок жилищного строительства</c:v>
                </c:pt>
                <c:pt idx="9">
                  <c:v>Рынок легкой промышленности</c:v>
                </c:pt>
                <c:pt idx="10">
                  <c:v>Рынок добычи общераспространенных полезных ископаемых на участках недр местного значения</c:v>
                </c:pt>
              </c:strCache>
            </c:strRef>
          </c:cat>
          <c:val>
            <c:numRef>
              <c:f>Sheet1!$B$3:$L$3</c:f>
              <c:numCache>
                <c:formatCode>0%</c:formatCode>
                <c:ptCount val="11"/>
                <c:pt idx="0">
                  <c:v>0.2</c:v>
                </c:pt>
                <c:pt idx="1">
                  <c:v>0.5</c:v>
                </c:pt>
                <c:pt idx="2">
                  <c:v>0.18181818181818202</c:v>
                </c:pt>
                <c:pt idx="3">
                  <c:v>0.45454545454545503</c:v>
                </c:pt>
                <c:pt idx="4">
                  <c:v>0.42307692307692302</c:v>
                </c:pt>
                <c:pt idx="5">
                  <c:v>0.45454545454545503</c:v>
                </c:pt>
                <c:pt idx="6">
                  <c:v>0.31818181818181801</c:v>
                </c:pt>
                <c:pt idx="7">
                  <c:v>0.25714285714285701</c:v>
                </c:pt>
                <c:pt idx="8">
                  <c:v>0.30434782608695699</c:v>
                </c:pt>
                <c:pt idx="9">
                  <c:v>0.292682926829268</c:v>
                </c:pt>
                <c:pt idx="10">
                  <c:v>0.36363636363636404</c:v>
                </c:pt>
              </c:numCache>
            </c:numRef>
          </c:val>
          <c:extLst xmlns:c16r2="http://schemas.microsoft.com/office/drawing/2015/06/chart">
            <c:ext xmlns:c16="http://schemas.microsoft.com/office/drawing/2014/chart" uri="{C3380CC4-5D6E-409C-BE32-E72D297353CC}">
              <c16:uniqueId val="{0000000E-45BA-4431-9DEB-AA6290FA9B4F}"/>
            </c:ext>
          </c:extLst>
        </c:ser>
        <c:ser>
          <c:idx val="2"/>
          <c:order val="2"/>
          <c:tx>
            <c:strRef>
              <c:f>Sheet1!$A$4</c:f>
              <c:strCache>
                <c:ptCount val="1"/>
                <c:pt idx="0">
                  <c:v>умеренная конкуренция</c:v>
                </c:pt>
              </c:strCache>
            </c:strRef>
          </c:tx>
          <c:spPr>
            <a:solidFill>
              <a:srgbClr val="FFC000"/>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Sheet1!$B$1:$L$1</c:f>
              <c:strCache>
                <c:ptCount val="11"/>
                <c:pt idx="0">
                  <c:v>Рынок медицинских услуг</c:v>
                </c:pt>
                <c:pt idx="1">
                  <c:v>Рынок ритуальных услуг</c:v>
                </c:pt>
                <c:pt idx="2">
                  <c:v>Сфера наружной рекламы</c:v>
                </c:pt>
                <c:pt idx="3">
                  <c:v>Рынок оказания услуг по перевозке пассажиров и багажа легковым такси на территории Ленинградской области</c:v>
                </c:pt>
                <c:pt idx="4">
                  <c:v>Рынок услуг связи, в том числе услуг по предоставлению широкополосного доступа к информационно-телекоммуникационной сети «Интернет»</c:v>
                </c:pt>
                <c:pt idx="5">
                  <c:v>Рынок кадастровых и землеустроительных работ</c:v>
                </c:pt>
                <c:pt idx="6">
                  <c:v>Рынок услуг розничной торговли лекарственными препаратами, медицинскими изделиями и сопутствующими товарами</c:v>
                </c:pt>
                <c:pt idx="7">
                  <c:v>Рынок обработки древесины и производства изделий из дерева</c:v>
                </c:pt>
                <c:pt idx="8">
                  <c:v>Рынок жилищного строительства</c:v>
                </c:pt>
                <c:pt idx="9">
                  <c:v>Рынок легкой промышленности</c:v>
                </c:pt>
                <c:pt idx="10">
                  <c:v>Рынок добычи общераспространенных полезных ископаемых на участках недр местного значения</c:v>
                </c:pt>
              </c:strCache>
            </c:strRef>
          </c:cat>
          <c:val>
            <c:numRef>
              <c:f>Sheet1!$B$4:$L$4</c:f>
              <c:numCache>
                <c:formatCode>0%</c:formatCode>
                <c:ptCount val="11"/>
                <c:pt idx="0">
                  <c:v>6.6666666666666693E-2</c:v>
                </c:pt>
                <c:pt idx="1">
                  <c:v>0.1</c:v>
                </c:pt>
                <c:pt idx="2">
                  <c:v>0.36363636363636404</c:v>
                </c:pt>
                <c:pt idx="3">
                  <c:v>9.0909090909090898E-2</c:v>
                </c:pt>
                <c:pt idx="4">
                  <c:v>0.19230769230769201</c:v>
                </c:pt>
                <c:pt idx="5">
                  <c:v>0.36363636363636404</c:v>
                </c:pt>
                <c:pt idx="6">
                  <c:v>0.45454545454545503</c:v>
                </c:pt>
                <c:pt idx="7">
                  <c:v>0.2</c:v>
                </c:pt>
                <c:pt idx="8">
                  <c:v>0.39130434782608703</c:v>
                </c:pt>
                <c:pt idx="9">
                  <c:v>0.34146341463414598</c:v>
                </c:pt>
                <c:pt idx="10">
                  <c:v>0.36363636363636404</c:v>
                </c:pt>
              </c:numCache>
            </c:numRef>
          </c:val>
          <c:extLst xmlns:c16r2="http://schemas.microsoft.com/office/drawing/2015/06/chart">
            <c:ext xmlns:c16="http://schemas.microsoft.com/office/drawing/2014/chart" uri="{C3380CC4-5D6E-409C-BE32-E72D297353CC}">
              <c16:uniqueId val="{0000000F-45BA-4431-9DEB-AA6290FA9B4F}"/>
            </c:ext>
          </c:extLst>
        </c:ser>
        <c:ser>
          <c:idx val="3"/>
          <c:order val="3"/>
          <c:tx>
            <c:strRef>
              <c:f>Sheet1!$A$5</c:f>
              <c:strCache>
                <c:ptCount val="1"/>
                <c:pt idx="0">
                  <c:v>слабая конкуренция</c:v>
                </c:pt>
              </c:strCache>
            </c:strRef>
          </c:tx>
          <c:spPr>
            <a:solidFill>
              <a:srgbClr val="D97A8D"/>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Sheet1!$B$1:$L$1</c:f>
              <c:strCache>
                <c:ptCount val="11"/>
                <c:pt idx="0">
                  <c:v>Рынок медицинских услуг</c:v>
                </c:pt>
                <c:pt idx="1">
                  <c:v>Рынок ритуальных услуг</c:v>
                </c:pt>
                <c:pt idx="2">
                  <c:v>Сфера наружной рекламы</c:v>
                </c:pt>
                <c:pt idx="3">
                  <c:v>Рынок оказания услуг по перевозке пассажиров и багажа легковым такси на территории Ленинградской области</c:v>
                </c:pt>
                <c:pt idx="4">
                  <c:v>Рынок услуг связи, в том числе услуг по предоставлению широкополосного доступа к информационно-телекоммуникационной сети «Интернет»</c:v>
                </c:pt>
                <c:pt idx="5">
                  <c:v>Рынок кадастровых и землеустроительных работ</c:v>
                </c:pt>
                <c:pt idx="6">
                  <c:v>Рынок услуг розничной торговли лекарственными препаратами, медицинскими изделиями и сопутствующими товарами</c:v>
                </c:pt>
                <c:pt idx="7">
                  <c:v>Рынок обработки древесины и производства изделий из дерева</c:v>
                </c:pt>
                <c:pt idx="8">
                  <c:v>Рынок жилищного строительства</c:v>
                </c:pt>
                <c:pt idx="9">
                  <c:v>Рынок легкой промышленности</c:v>
                </c:pt>
                <c:pt idx="10">
                  <c:v>Рынок добычи общераспространенных полезных ископаемых на участках недр местного значения</c:v>
                </c:pt>
              </c:strCache>
            </c:strRef>
          </c:cat>
          <c:val>
            <c:numRef>
              <c:f>Sheet1!$B$5:$L$5</c:f>
              <c:numCache>
                <c:formatCode>0%</c:formatCode>
                <c:ptCount val="11"/>
                <c:pt idx="0">
                  <c:v>0.133333333333333</c:v>
                </c:pt>
                <c:pt idx="1">
                  <c:v>0.1</c:v>
                </c:pt>
                <c:pt idx="3">
                  <c:v>0.18181818181818202</c:v>
                </c:pt>
                <c:pt idx="4">
                  <c:v>7.69230769230769E-2</c:v>
                </c:pt>
                <c:pt idx="6">
                  <c:v>4.5454545454545504E-2</c:v>
                </c:pt>
                <c:pt idx="7">
                  <c:v>0.28571428571428603</c:v>
                </c:pt>
                <c:pt idx="8">
                  <c:v>0.108695652173913</c:v>
                </c:pt>
                <c:pt idx="9">
                  <c:v>0.17073170731707299</c:v>
                </c:pt>
                <c:pt idx="10">
                  <c:v>9.0909090909090898E-2</c:v>
                </c:pt>
              </c:numCache>
            </c:numRef>
          </c:val>
          <c:extLst xmlns:c16r2="http://schemas.microsoft.com/office/drawing/2015/06/chart">
            <c:ext xmlns:c16="http://schemas.microsoft.com/office/drawing/2014/chart" uri="{C3380CC4-5D6E-409C-BE32-E72D297353CC}">
              <c16:uniqueId val="{00000012-45BA-4431-9DEB-AA6290FA9B4F}"/>
            </c:ext>
          </c:extLst>
        </c:ser>
        <c:ser>
          <c:idx val="4"/>
          <c:order val="4"/>
          <c:tx>
            <c:strRef>
              <c:f>Sheet1!$A$6</c:f>
              <c:strCache>
                <c:ptCount val="1"/>
                <c:pt idx="0">
                  <c:v>нет конкуренции</c:v>
                </c:pt>
              </c:strCache>
            </c:strRef>
          </c:tx>
          <c:spPr>
            <a:solidFill>
              <a:srgbClr val="59221B"/>
            </a:solidFill>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Sheet1!$B$1:$L$1</c:f>
              <c:strCache>
                <c:ptCount val="11"/>
                <c:pt idx="0">
                  <c:v>Рынок медицинских услуг</c:v>
                </c:pt>
                <c:pt idx="1">
                  <c:v>Рынок ритуальных услуг</c:v>
                </c:pt>
                <c:pt idx="2">
                  <c:v>Сфера наружной рекламы</c:v>
                </c:pt>
                <c:pt idx="3">
                  <c:v>Рынок оказания услуг по перевозке пассажиров и багажа легковым такси на территории Ленинградской области</c:v>
                </c:pt>
                <c:pt idx="4">
                  <c:v>Рынок услуг связи, в том числе услуг по предоставлению широкополосного доступа к информационно-телекоммуникационной сети «Интернет»</c:v>
                </c:pt>
                <c:pt idx="5">
                  <c:v>Рынок кадастровых и землеустроительных работ</c:v>
                </c:pt>
                <c:pt idx="6">
                  <c:v>Рынок услуг розничной торговли лекарственными препаратами, медицинскими изделиями и сопутствующими товарами</c:v>
                </c:pt>
                <c:pt idx="7">
                  <c:v>Рынок обработки древесины и производства изделий из дерева</c:v>
                </c:pt>
                <c:pt idx="8">
                  <c:v>Рынок жилищного строительства</c:v>
                </c:pt>
                <c:pt idx="9">
                  <c:v>Рынок легкой промышленности</c:v>
                </c:pt>
                <c:pt idx="10">
                  <c:v>Рынок добычи общераспространенных полезных ископаемых на участках недр местного значения</c:v>
                </c:pt>
              </c:strCache>
            </c:strRef>
          </c:cat>
          <c:val>
            <c:numRef>
              <c:f>Sheet1!$B$6:$L$6</c:f>
              <c:numCache>
                <c:formatCode>0%</c:formatCode>
                <c:ptCount val="11"/>
                <c:pt idx="0">
                  <c:v>0.2</c:v>
                </c:pt>
                <c:pt idx="1">
                  <c:v>0.1</c:v>
                </c:pt>
                <c:pt idx="3">
                  <c:v>9.0909090909090898E-2</c:v>
                </c:pt>
                <c:pt idx="4">
                  <c:v>7.69230769230769E-2</c:v>
                </c:pt>
                <c:pt idx="7">
                  <c:v>5.7142857142857099E-2</c:v>
                </c:pt>
                <c:pt idx="8">
                  <c:v>4.3478260869565195E-2</c:v>
                </c:pt>
                <c:pt idx="9">
                  <c:v>7.3170731707317097E-2</c:v>
                </c:pt>
                <c:pt idx="10">
                  <c:v>9.0909090909090898E-2</c:v>
                </c:pt>
              </c:numCache>
            </c:numRef>
          </c:val>
          <c:extLst xmlns:c16r2="http://schemas.microsoft.com/office/drawing/2015/06/chart">
            <c:ext xmlns:c16="http://schemas.microsoft.com/office/drawing/2014/chart" uri="{C3380CC4-5D6E-409C-BE32-E72D297353CC}">
              <c16:uniqueId val="{00000025-45BA-4431-9DEB-AA6290FA9B4F}"/>
            </c:ext>
          </c:extLst>
        </c:ser>
        <c:ser>
          <c:idx val="5"/>
          <c:order val="5"/>
          <c:tx>
            <c:strRef>
              <c:f>Sheet1!$A$7</c:f>
              <c:strCache>
                <c:ptCount val="1"/>
                <c:pt idx="0">
                  <c:v>Затрудняюсь ответить</c:v>
                </c:pt>
              </c:strCache>
            </c:strRef>
          </c:tx>
          <c:spPr>
            <a:solidFill>
              <a:srgbClr val="E7E6E6">
                <a:lumMod val="75000"/>
              </a:srgbClr>
            </a:solidFill>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Sheet1!$B$1:$L$1</c:f>
              <c:strCache>
                <c:ptCount val="11"/>
                <c:pt idx="0">
                  <c:v>Рынок медицинских услуг</c:v>
                </c:pt>
                <c:pt idx="1">
                  <c:v>Рынок ритуальных услуг</c:v>
                </c:pt>
                <c:pt idx="2">
                  <c:v>Сфера наружной рекламы</c:v>
                </c:pt>
                <c:pt idx="3">
                  <c:v>Рынок оказания услуг по перевозке пассажиров и багажа легковым такси на территории Ленинградской области</c:v>
                </c:pt>
                <c:pt idx="4">
                  <c:v>Рынок услуг связи, в том числе услуг по предоставлению широкополосного доступа к информационно-телекоммуникационной сети «Интернет»</c:v>
                </c:pt>
                <c:pt idx="5">
                  <c:v>Рынок кадастровых и землеустроительных работ</c:v>
                </c:pt>
                <c:pt idx="6">
                  <c:v>Рынок услуг розничной торговли лекарственными препаратами, медицинскими изделиями и сопутствующими товарами</c:v>
                </c:pt>
                <c:pt idx="7">
                  <c:v>Рынок обработки древесины и производства изделий из дерева</c:v>
                </c:pt>
                <c:pt idx="8">
                  <c:v>Рынок жилищного строительства</c:v>
                </c:pt>
                <c:pt idx="9">
                  <c:v>Рынок легкой промышленности</c:v>
                </c:pt>
                <c:pt idx="10">
                  <c:v>Рынок добычи общераспространенных полезных ископаемых на участках недр местного значения</c:v>
                </c:pt>
              </c:strCache>
            </c:strRef>
          </c:cat>
          <c:val>
            <c:numRef>
              <c:f>Sheet1!$B$7:$L$7</c:f>
              <c:numCache>
                <c:formatCode>0%</c:formatCode>
                <c:ptCount val="11"/>
                <c:pt idx="1">
                  <c:v>0.1</c:v>
                </c:pt>
                <c:pt idx="2">
                  <c:v>9.0909090909090898E-2</c:v>
                </c:pt>
                <c:pt idx="3">
                  <c:v>9.0909090909090898E-2</c:v>
                </c:pt>
                <c:pt idx="4">
                  <c:v>0.11538461538461499</c:v>
                </c:pt>
                <c:pt idx="5">
                  <c:v>0.18181818181818202</c:v>
                </c:pt>
                <c:pt idx="6">
                  <c:v>4.5454545454545504E-2</c:v>
                </c:pt>
                <c:pt idx="7">
                  <c:v>8.5714285714285687E-2</c:v>
                </c:pt>
                <c:pt idx="8">
                  <c:v>8.6956521739130391E-2</c:v>
                </c:pt>
                <c:pt idx="9">
                  <c:v>4.8780487804878002E-2</c:v>
                </c:pt>
                <c:pt idx="10">
                  <c:v>9.0909090909090898E-2</c:v>
                </c:pt>
              </c:numCache>
            </c:numRef>
          </c:val>
          <c:extLst xmlns:c16r2="http://schemas.microsoft.com/office/drawing/2015/06/chart">
            <c:ext xmlns:c16="http://schemas.microsoft.com/office/drawing/2014/chart" uri="{C3380CC4-5D6E-409C-BE32-E72D297353CC}">
              <c16:uniqueId val="{00000026-45BA-4431-9DEB-AA6290FA9B4F}"/>
            </c:ext>
          </c:extLst>
        </c:ser>
        <c:dLbls>
          <c:showLegendKey val="0"/>
          <c:showVal val="0"/>
          <c:showCatName val="0"/>
          <c:showSerName val="0"/>
          <c:showPercent val="0"/>
          <c:showBubbleSize val="0"/>
        </c:dLbls>
        <c:gapWidth val="105"/>
        <c:overlap val="100"/>
        <c:axId val="120671744"/>
        <c:axId val="118090560"/>
      </c:barChart>
      <c:catAx>
        <c:axId val="120671744"/>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950">
                <a:latin typeface="Times New Roman" panose="02020603050405020304" pitchFamily="18" charset="0"/>
                <a:cs typeface="Times New Roman" panose="02020603050405020304" pitchFamily="18" charset="0"/>
              </a:defRPr>
            </a:pPr>
            <a:endParaRPr lang="ru-RU"/>
          </a:p>
        </c:txPr>
        <c:crossAx val="118090560"/>
        <c:crosses val="autoZero"/>
        <c:auto val="1"/>
        <c:lblAlgn val="ctr"/>
        <c:lblOffset val="100"/>
        <c:noMultiLvlLbl val="1"/>
      </c:catAx>
      <c:valAx>
        <c:axId val="118090560"/>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120671744"/>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2.6945518821972748E-2"/>
          <c:y val="0.94023747031621052"/>
          <c:w val="0.89153513964386566"/>
          <c:h val="5.976252968378952E-2"/>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932856516589687"/>
          <c:y val="9.5414160186498426E-3"/>
          <c:w val="0.50511798913477868"/>
          <c:h val="0.76722482474500819"/>
        </c:manualLayout>
      </c:layout>
      <c:barChart>
        <c:barDir val="bar"/>
        <c:grouping val="percentStacked"/>
        <c:varyColors val="0"/>
        <c:ser>
          <c:idx val="0"/>
          <c:order val="0"/>
          <c:tx>
            <c:strRef>
              <c:f>Sheet1!$A$2</c:f>
              <c:strCache>
                <c:ptCount val="1"/>
                <c:pt idx="0">
                  <c:v>Имеется сейчас</c:v>
                </c:pt>
              </c:strCache>
            </c:strRef>
          </c:tx>
          <c:spPr>
            <a:solidFill>
              <a:srgbClr val="70AD47">
                <a:lumMod val="40000"/>
                <a:lumOff val="60000"/>
              </a:srgbClr>
            </a:solidFill>
            <a:ln w="9525" cap="flat">
              <a:noFill/>
              <a:prstDash val="solid"/>
              <a:round/>
            </a:ln>
            <a:effectLst/>
          </c:spPr>
          <c:invertIfNegative val="0"/>
          <c:dLbls>
            <c:dLbl>
              <c:idx val="1"/>
              <c:layout>
                <c:manualLayout>
                  <c:x val="6.1519532451553369E-3"/>
                  <c:y val="-2.529645843605412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40F-4CEE-A633-8928243F5433}"/>
                </c:ext>
              </c:extLst>
            </c:dLbl>
            <c:dLbl>
              <c:idx val="2"/>
              <c:layout>
                <c:manualLayout>
                  <c:x val="8.202604326873782E-3"/>
                  <c:y val="3.9843216941335841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40F-4CEE-A633-8928243F5433}"/>
                </c:ext>
              </c:extLst>
            </c:dLbl>
            <c:spPr>
              <a:noFill/>
              <a:ln>
                <a:noFill/>
              </a:ln>
              <a:effectLst/>
            </c:spPr>
            <c:txPr>
              <a:bodyPr wrap="square" lIns="38100" tIns="19050" rIns="38100" bIns="19050" anchor="ctr">
                <a:spAutoFit/>
              </a:bodyPr>
              <a:lstStyle/>
              <a:p>
                <a:pPr>
                  <a:defRPr sz="1100" b="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Sheet1!$B$1:$D$1</c:f>
              <c:strCache>
                <c:ptCount val="3"/>
                <c:pt idx="0">
                  <c:v>Добровольное страхование жизни</c:v>
                </c:pt>
                <c:pt idx="1">
                  <c:v>Другое добровольное страхование, кроме страхования жизни</c:v>
                </c:pt>
                <c:pt idx="2">
                  <c:v>Другое обязательное страхование, кроме обязательного медицинского страхования</c:v>
                </c:pt>
              </c:strCache>
            </c:strRef>
          </c:cat>
          <c:val>
            <c:numRef>
              <c:f>Sheet1!$B$2:$D$2</c:f>
              <c:numCache>
                <c:formatCode>0%</c:formatCode>
                <c:ptCount val="3"/>
                <c:pt idx="0">
                  <c:v>0.13694177139714001</c:v>
                </c:pt>
                <c:pt idx="1">
                  <c:v>0.27040222332296099</c:v>
                </c:pt>
                <c:pt idx="2">
                  <c:v>0.15840517070999302</c:v>
                </c:pt>
              </c:numCache>
            </c:numRef>
          </c:val>
          <c:extLst xmlns:c16r2="http://schemas.microsoft.com/office/drawing/2015/06/chart">
            <c:ext xmlns:c16="http://schemas.microsoft.com/office/drawing/2014/chart" uri="{C3380CC4-5D6E-409C-BE32-E72D297353CC}">
              <c16:uniqueId val="{00000002-D40F-4CEE-A633-8928243F5433}"/>
            </c:ext>
          </c:extLst>
        </c:ser>
        <c:ser>
          <c:idx val="1"/>
          <c:order val="1"/>
          <c:tx>
            <c:strRef>
              <c:f>Sheet1!$A$3</c:f>
              <c:strCache>
                <c:ptCount val="1"/>
                <c:pt idx="0">
                  <c:v>Не имеется сейчас, но использовался за последние 12 месяцев</c:v>
                </c:pt>
              </c:strCache>
            </c:strRef>
          </c:tx>
          <c:spPr>
            <a:solidFill>
              <a:srgbClr val="ED7D31"/>
            </a:solidFill>
            <a:ln w="9525" cap="flat">
              <a:noFill/>
              <a:prstDash val="solid"/>
              <a:round/>
            </a:ln>
            <a:effectLst/>
          </c:spPr>
          <c:invertIfNegative val="0"/>
          <c:dLbls>
            <c:dLbl>
              <c:idx val="1"/>
              <c:layout>
                <c:manualLayout>
                  <c:x val="1.2303906490310674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40F-4CEE-A633-8928243F5433}"/>
                </c:ext>
              </c:extLst>
            </c:dLbl>
            <c:dLbl>
              <c:idx val="2"/>
              <c:layout>
                <c:manualLayout>
                  <c:x val="1.4354557572029119E-2"/>
                  <c:y val="5.1088504453840401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40F-4CEE-A633-8928243F5433}"/>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Sheet1!$B$1:$D$1</c:f>
              <c:strCache>
                <c:ptCount val="3"/>
                <c:pt idx="0">
                  <c:v>Добровольное страхование жизни</c:v>
                </c:pt>
                <c:pt idx="1">
                  <c:v>Другое добровольное страхование, кроме страхования жизни</c:v>
                </c:pt>
                <c:pt idx="2">
                  <c:v>Другое обязательное страхование, кроме обязательного медицинского страхования</c:v>
                </c:pt>
              </c:strCache>
            </c:strRef>
          </c:cat>
          <c:val>
            <c:numRef>
              <c:f>Sheet1!$B$3:$D$3</c:f>
              <c:numCache>
                <c:formatCode>0%</c:formatCode>
                <c:ptCount val="3"/>
                <c:pt idx="0">
                  <c:v>9.0226681991810803E-2</c:v>
                </c:pt>
                <c:pt idx="1">
                  <c:v>6.1036301886396499E-2</c:v>
                </c:pt>
                <c:pt idx="2">
                  <c:v>7.9619466677871509E-2</c:v>
                </c:pt>
              </c:numCache>
            </c:numRef>
          </c:val>
          <c:extLst xmlns:c16r2="http://schemas.microsoft.com/office/drawing/2015/06/chart">
            <c:ext xmlns:c16="http://schemas.microsoft.com/office/drawing/2014/chart" uri="{C3380CC4-5D6E-409C-BE32-E72D297353CC}">
              <c16:uniqueId val="{00000005-D40F-4CEE-A633-8928243F5433}"/>
            </c:ext>
          </c:extLst>
        </c:ser>
        <c:ser>
          <c:idx val="2"/>
          <c:order val="2"/>
          <c:tx>
            <c:strRef>
              <c:f>Sheet1!$A$4</c:f>
              <c:strCache>
                <c:ptCount val="1"/>
                <c:pt idx="0">
                  <c:v>Не использовался за последние 12 месяцев</c:v>
                </c:pt>
              </c:strCache>
            </c:strRef>
          </c:tx>
          <c:spPr>
            <a:solidFill>
              <a:sysClr val="window" lastClr="FFFFFF">
                <a:lumMod val="50000"/>
              </a:sysClr>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Sheet1!$B$1:$D$1</c:f>
              <c:strCache>
                <c:ptCount val="3"/>
                <c:pt idx="0">
                  <c:v>Добровольное страхование жизни</c:v>
                </c:pt>
                <c:pt idx="1">
                  <c:v>Другое добровольное страхование, кроме страхования жизни</c:v>
                </c:pt>
                <c:pt idx="2">
                  <c:v>Другое обязательное страхование, кроме обязательного медицинского страхования</c:v>
                </c:pt>
              </c:strCache>
            </c:strRef>
          </c:cat>
          <c:val>
            <c:numRef>
              <c:f>Sheet1!$B$4:$D$4</c:f>
              <c:numCache>
                <c:formatCode>0%</c:formatCode>
                <c:ptCount val="3"/>
                <c:pt idx="0">
                  <c:v>0.77283154661105402</c:v>
                </c:pt>
                <c:pt idx="1">
                  <c:v>0.66856147479064598</c:v>
                </c:pt>
                <c:pt idx="2">
                  <c:v>0.76197536261213894</c:v>
                </c:pt>
              </c:numCache>
            </c:numRef>
          </c:val>
          <c:extLst xmlns:c16r2="http://schemas.microsoft.com/office/drawing/2015/06/chart">
            <c:ext xmlns:c16="http://schemas.microsoft.com/office/drawing/2014/chart" uri="{C3380CC4-5D6E-409C-BE32-E72D297353CC}">
              <c16:uniqueId val="{00000006-D40F-4CEE-A633-8928243F5433}"/>
            </c:ext>
          </c:extLst>
        </c:ser>
        <c:dLbls>
          <c:showLegendKey val="0"/>
          <c:showVal val="0"/>
          <c:showCatName val="0"/>
          <c:showSerName val="0"/>
          <c:showPercent val="0"/>
          <c:showBubbleSize val="0"/>
        </c:dLbls>
        <c:gapWidth val="105"/>
        <c:overlap val="100"/>
        <c:axId val="162606592"/>
        <c:axId val="162963456"/>
      </c:barChart>
      <c:catAx>
        <c:axId val="162606592"/>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900">
                <a:latin typeface="Times New Roman" panose="02020603050405020304" pitchFamily="18" charset="0"/>
                <a:cs typeface="Times New Roman" panose="02020603050405020304" pitchFamily="18" charset="0"/>
              </a:defRPr>
            </a:pPr>
            <a:endParaRPr lang="ru-RU"/>
          </a:p>
        </c:txPr>
        <c:crossAx val="162963456"/>
        <c:crosses val="autoZero"/>
        <c:auto val="1"/>
        <c:lblAlgn val="ctr"/>
        <c:lblOffset val="100"/>
        <c:noMultiLvlLbl val="1"/>
      </c:catAx>
      <c:valAx>
        <c:axId val="162963456"/>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162606592"/>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7.0999353318300608E-3"/>
          <c:y val="0.79879098973387819"/>
          <c:w val="0.96859226032611812"/>
          <c:h val="0.18617694940031229"/>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807657195024236"/>
          <c:y val="1.0887283806216411E-2"/>
          <c:w val="0.48168185838183281"/>
          <c:h val="0.88496106981040779"/>
        </c:manualLayout>
      </c:layout>
      <c:barChart>
        <c:barDir val="bar"/>
        <c:grouping val="clustered"/>
        <c:varyColors val="0"/>
        <c:ser>
          <c:idx val="0"/>
          <c:order val="0"/>
          <c:tx>
            <c:strRef>
              <c:f>Лист1!$B$1</c:f>
              <c:strCache>
                <c:ptCount val="1"/>
                <c:pt idx="0">
                  <c:v>Наличие в населенном пункте</c:v>
                </c:pt>
              </c:strCache>
            </c:strRef>
          </c:tx>
          <c:spPr>
            <a:solidFill>
              <a:srgbClr val="70AD47">
                <a:lumMod val="60000"/>
                <a:lumOff val="40000"/>
              </a:srgbClr>
            </a:solidFill>
            <a:ln>
              <a:noFill/>
            </a:ln>
            <a:effectLst/>
          </c:spPr>
          <c:invertIfNegative val="0"/>
          <c:dPt>
            <c:idx val="5"/>
            <c:invertIfNegative val="0"/>
            <c:bubble3D val="0"/>
            <c:extLst xmlns:c16r2="http://schemas.microsoft.com/office/drawing/2015/06/chart">
              <c:ext xmlns:c16="http://schemas.microsoft.com/office/drawing/2014/chart" uri="{C3380CC4-5D6E-409C-BE32-E72D297353CC}">
                <c16:uniqueId val="{00000000-35AC-4476-9A27-E64682487CF8}"/>
              </c:ext>
            </c:extLst>
          </c:dPt>
          <c:dLbls>
            <c:spPr>
              <a:noFill/>
              <a:ln>
                <a:noFill/>
              </a:ln>
              <a:effectLst/>
            </c:spPr>
            <c:txPr>
              <a:bodyPr rot="0" vert="horz"/>
              <a:lstStyle/>
              <a:p>
                <a:pPr>
                  <a:defRPr sz="1100" baseline="0">
                    <a:latin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Касса в отделении банка</c:v>
                </c:pt>
                <c:pt idx="1">
                  <c:v>Банкомат или терминал в отделении банка</c:v>
                </c:pt>
                <c:pt idx="2">
                  <c:v>Банкомат или терминал  вне отделения банка</c:v>
                </c:pt>
                <c:pt idx="3">
                  <c:v>POS-терминал для безналичной оплаты с помощью банковской карты в организациях торговли </c:v>
                </c:pt>
                <c:pt idx="4">
                  <c:v>Платежный терминал для приема наличных денежных средств с целью оплаты товаров </c:v>
                </c:pt>
                <c:pt idx="5">
                  <c:v>Отделение почтовой связи</c:v>
                </c:pt>
              </c:strCache>
            </c:strRef>
          </c:cat>
          <c:val>
            <c:numRef>
              <c:f>Лист1!$B$2:$B$7</c:f>
              <c:numCache>
                <c:formatCode>0.0</c:formatCode>
                <c:ptCount val="6"/>
                <c:pt idx="0">
                  <c:v>3.8</c:v>
                </c:pt>
                <c:pt idx="1">
                  <c:v>3.6</c:v>
                </c:pt>
                <c:pt idx="2">
                  <c:v>3.2</c:v>
                </c:pt>
                <c:pt idx="3">
                  <c:v>3.6</c:v>
                </c:pt>
                <c:pt idx="4">
                  <c:v>3.6</c:v>
                </c:pt>
                <c:pt idx="5">
                  <c:v>3.9</c:v>
                </c:pt>
              </c:numCache>
            </c:numRef>
          </c:val>
          <c:extLst xmlns:c16r2="http://schemas.microsoft.com/office/drawing/2015/06/chart">
            <c:ext xmlns:c16="http://schemas.microsoft.com/office/drawing/2014/chart" uri="{C3380CC4-5D6E-409C-BE32-E72D297353CC}">
              <c16:uniqueId val="{00000001-35AC-4476-9A27-E64682487CF8}"/>
            </c:ext>
          </c:extLst>
        </c:ser>
        <c:ser>
          <c:idx val="1"/>
          <c:order val="1"/>
          <c:tx>
            <c:strRef>
              <c:f>Лист1!$C$1</c:f>
              <c:strCache>
                <c:ptCount val="1"/>
                <c:pt idx="0">
                  <c:v>Доступность/оперативность использования</c:v>
                </c:pt>
              </c:strCache>
            </c:strRef>
          </c:tx>
          <c:spPr>
            <a:solidFill>
              <a:srgbClr val="4472C4">
                <a:lumMod val="75000"/>
              </a:srgbClr>
            </a:solidFill>
          </c:spPr>
          <c:invertIfNegative val="0"/>
          <c:dLbls>
            <c:spPr>
              <a:noFill/>
              <a:ln>
                <a:noFill/>
              </a:ln>
              <a:effectLst/>
            </c:spPr>
            <c:txPr>
              <a:bodyPr wrap="square" lIns="38100" tIns="19050" rIns="38100" bIns="19050" anchor="ctr">
                <a:spAutoFit/>
              </a:bodyPr>
              <a:lstStyle/>
              <a:p>
                <a:pPr>
                  <a:defRPr sz="105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Лист1!$A$2:$A$7</c:f>
              <c:strCache>
                <c:ptCount val="6"/>
                <c:pt idx="0">
                  <c:v>Касса в отделении банка</c:v>
                </c:pt>
                <c:pt idx="1">
                  <c:v>Банкомат или терминал в отделении банка</c:v>
                </c:pt>
                <c:pt idx="2">
                  <c:v>Банкомат или терминал  вне отделения банка</c:v>
                </c:pt>
                <c:pt idx="3">
                  <c:v>POS-терминал для безналичной оплаты с помощью банковской карты в организациях торговли </c:v>
                </c:pt>
                <c:pt idx="4">
                  <c:v>Платежный терминал для приема наличных денежных средств с целью оплаты товаров </c:v>
                </c:pt>
                <c:pt idx="5">
                  <c:v>Отделение почтовой связи</c:v>
                </c:pt>
              </c:strCache>
            </c:strRef>
          </c:cat>
          <c:val>
            <c:numRef>
              <c:f>Лист1!$C$2:$C$7</c:f>
              <c:numCache>
                <c:formatCode>0.0</c:formatCode>
                <c:ptCount val="6"/>
                <c:pt idx="0">
                  <c:v>3.4</c:v>
                </c:pt>
                <c:pt idx="1">
                  <c:v>3.6</c:v>
                </c:pt>
                <c:pt idx="2">
                  <c:v>3.4</c:v>
                </c:pt>
                <c:pt idx="3">
                  <c:v>3.7</c:v>
                </c:pt>
                <c:pt idx="4">
                  <c:v>3.6</c:v>
                </c:pt>
                <c:pt idx="5">
                  <c:v>3.6</c:v>
                </c:pt>
              </c:numCache>
            </c:numRef>
          </c:val>
          <c:extLst xmlns:c16r2="http://schemas.microsoft.com/office/drawing/2015/06/chart">
            <c:ext xmlns:c16="http://schemas.microsoft.com/office/drawing/2014/chart" uri="{C3380CC4-5D6E-409C-BE32-E72D297353CC}">
              <c16:uniqueId val="{00000002-35AC-4476-9A27-E64682487CF8}"/>
            </c:ext>
          </c:extLst>
        </c:ser>
        <c:dLbls>
          <c:showLegendKey val="0"/>
          <c:showVal val="0"/>
          <c:showCatName val="0"/>
          <c:showSerName val="0"/>
          <c:showPercent val="0"/>
          <c:showBubbleSize val="0"/>
        </c:dLbls>
        <c:gapWidth val="76"/>
        <c:axId val="162616320"/>
        <c:axId val="162965184"/>
      </c:barChart>
      <c:catAx>
        <c:axId val="1626163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1100" baseline="0">
                <a:latin typeface="Times New Roman" panose="02020603050405020304" pitchFamily="18" charset="0"/>
              </a:defRPr>
            </a:pPr>
            <a:endParaRPr lang="ru-RU"/>
          </a:p>
        </c:txPr>
        <c:crossAx val="162965184"/>
        <c:crosses val="autoZero"/>
        <c:auto val="1"/>
        <c:lblAlgn val="ctr"/>
        <c:lblOffset val="100"/>
        <c:noMultiLvlLbl val="0"/>
      </c:catAx>
      <c:valAx>
        <c:axId val="162965184"/>
        <c:scaling>
          <c:orientation val="minMax"/>
        </c:scaling>
        <c:delete val="1"/>
        <c:axPos val="t"/>
        <c:majorGridlines>
          <c:spPr>
            <a:ln w="9525" cap="flat" cmpd="sng" algn="ctr">
              <a:noFill/>
              <a:round/>
            </a:ln>
            <a:effectLst/>
          </c:spPr>
        </c:majorGridlines>
        <c:numFmt formatCode="0.0" sourceLinked="1"/>
        <c:majorTickMark val="none"/>
        <c:minorTickMark val="none"/>
        <c:tickLblPos val="none"/>
        <c:crossAx val="162616320"/>
        <c:crosses val="autoZero"/>
        <c:crossBetween val="between"/>
      </c:valAx>
      <c:spPr>
        <a:noFill/>
        <a:ln>
          <a:noFill/>
        </a:ln>
        <a:effectLst/>
      </c:spPr>
    </c:plotArea>
    <c:legend>
      <c:legendPos val="b"/>
      <c:layout>
        <c:manualLayout>
          <c:xMode val="edge"/>
          <c:yMode val="edge"/>
          <c:x val="0.10708225317989095"/>
          <c:y val="0.93274446839396474"/>
          <c:w val="0.89291774682010905"/>
          <c:h val="6.7255531606035285E-2"/>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900" b="0"/>
      </a:pPr>
      <a:endParaRPr lang="ru-RU"/>
    </a:p>
  </c:txPr>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335199063972416"/>
          <c:y val="1.7822881701540297E-2"/>
          <c:w val="0.4910944565664232"/>
          <c:h val="0.89620344373843341"/>
        </c:manualLayout>
      </c:layout>
      <c:barChart>
        <c:barDir val="bar"/>
        <c:grouping val="percentStacked"/>
        <c:varyColors val="0"/>
        <c:ser>
          <c:idx val="0"/>
          <c:order val="0"/>
          <c:tx>
            <c:strRef>
              <c:f>Sheet1!$A$2</c:f>
              <c:strCache>
                <c:ptCount val="1"/>
                <c:pt idx="0">
                  <c:v>Да, пользовался</c:v>
                </c:pt>
              </c:strCache>
            </c:strRef>
          </c:tx>
          <c:spPr>
            <a:solidFill>
              <a:srgbClr val="548235"/>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Sheet1!$B$1:$E$1</c:f>
              <c:strCache>
                <c:ptCount val="4"/>
                <c:pt idx="0">
                  <c:v>Денежные переводы/платежи через мобильный банк с помощью специализированного мобильного приложения для смартфона или планшета</c:v>
                </c:pt>
                <c:pt idx="1">
                  <c:v>Денежные переводы/платежи через интернет-банк с помощью планшета или смартфона </c:v>
                </c:pt>
                <c:pt idx="2">
                  <c:v>Денежные переводы/платежи через интернет-банк с помощью стационарного компьютера или ноутбука</c:v>
                </c:pt>
                <c:pt idx="3">
                  <c:v>Денежные переводы/платежи через мобильный банк с помощью отправки смс на короткий номер</c:v>
                </c:pt>
              </c:strCache>
            </c:strRef>
          </c:cat>
          <c:val>
            <c:numRef>
              <c:f>Sheet1!$B$2:$E$2</c:f>
              <c:numCache>
                <c:formatCode>0%</c:formatCode>
                <c:ptCount val="4"/>
                <c:pt idx="0">
                  <c:v>0.80728261912094101</c:v>
                </c:pt>
                <c:pt idx="1">
                  <c:v>0.69988846147668005</c:v>
                </c:pt>
                <c:pt idx="2">
                  <c:v>0.67465778143920407</c:v>
                </c:pt>
                <c:pt idx="3">
                  <c:v>0.40392112374460898</c:v>
                </c:pt>
              </c:numCache>
            </c:numRef>
          </c:val>
          <c:extLst xmlns:c16r2="http://schemas.microsoft.com/office/drawing/2015/06/chart">
            <c:ext xmlns:c16="http://schemas.microsoft.com/office/drawing/2014/chart" uri="{C3380CC4-5D6E-409C-BE32-E72D297353CC}">
              <c16:uniqueId val="{00000000-BCAA-461D-9EE4-D24247760F85}"/>
            </c:ext>
          </c:extLst>
        </c:ser>
        <c:ser>
          <c:idx val="1"/>
          <c:order val="1"/>
          <c:tx>
            <c:strRef>
              <c:f>Sheet1!$A$3</c:f>
              <c:strCache>
                <c:ptCount val="1"/>
                <c:pt idx="0">
                  <c:v>Нет, не пользовался</c:v>
                </c:pt>
              </c:strCache>
            </c:strRef>
          </c:tx>
          <c:spPr>
            <a:solidFill>
              <a:srgbClr val="D97A8D"/>
            </a:solidFill>
          </c:spPr>
          <c:invertIfNegative val="0"/>
          <c:dLbls>
            <c:dLbl>
              <c:idx val="2"/>
              <c:layout>
                <c:manualLayout>
                  <c:x val="8.602150537634408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CAA-461D-9EE4-D24247760F85}"/>
                </c:ext>
              </c:extLst>
            </c:dLbl>
            <c:spPr>
              <a:noFill/>
              <a:ln>
                <a:noFill/>
              </a:ln>
              <a:effectLst/>
            </c:spPr>
            <c:txPr>
              <a:bodyPr wrap="square" lIns="38100" tIns="19050" rIns="38100" bIns="19050" anchor="ctr">
                <a:spAutoFit/>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Sheet1!$B$1:$E$1</c:f>
              <c:strCache>
                <c:ptCount val="4"/>
                <c:pt idx="0">
                  <c:v>Денежные переводы/платежи через мобильный банк с помощью специализированного мобильного приложения для смартфона или планшета</c:v>
                </c:pt>
                <c:pt idx="1">
                  <c:v>Денежные переводы/платежи через интернет-банк с помощью планшета или смартфона </c:v>
                </c:pt>
                <c:pt idx="2">
                  <c:v>Денежные переводы/платежи через интернет-банк с помощью стационарного компьютера или ноутбука</c:v>
                </c:pt>
                <c:pt idx="3">
                  <c:v>Денежные переводы/платежи через мобильный банк с помощью отправки смс на короткий номер</c:v>
                </c:pt>
              </c:strCache>
            </c:strRef>
          </c:cat>
          <c:val>
            <c:numRef>
              <c:f>Sheet1!$B$3:$E$3</c:f>
              <c:numCache>
                <c:formatCode>0%</c:formatCode>
                <c:ptCount val="4"/>
                <c:pt idx="0">
                  <c:v>0.19271738087906201</c:v>
                </c:pt>
                <c:pt idx="1">
                  <c:v>0.30011153852332301</c:v>
                </c:pt>
                <c:pt idx="2">
                  <c:v>0.32534221856080003</c:v>
                </c:pt>
                <c:pt idx="3">
                  <c:v>0.59607887625539502</c:v>
                </c:pt>
              </c:numCache>
            </c:numRef>
          </c:val>
          <c:extLst xmlns:c16r2="http://schemas.microsoft.com/office/drawing/2015/06/chart" xmlns:c15="http://schemas.microsoft.com/office/drawing/2012/chart">
            <c:ext xmlns:c16="http://schemas.microsoft.com/office/drawing/2014/chart" uri="{C3380CC4-5D6E-409C-BE32-E72D297353CC}">
              <c16:uniqueId val="{00000002-BCAA-461D-9EE4-D24247760F85}"/>
            </c:ext>
          </c:extLst>
        </c:ser>
        <c:dLbls>
          <c:showLegendKey val="0"/>
          <c:showVal val="0"/>
          <c:showCatName val="0"/>
          <c:showSerName val="0"/>
          <c:showPercent val="0"/>
          <c:showBubbleSize val="0"/>
        </c:dLbls>
        <c:gapWidth val="105"/>
        <c:overlap val="100"/>
        <c:axId val="164377600"/>
        <c:axId val="162964032"/>
        <c:extLst xmlns:c16r2="http://schemas.microsoft.com/office/drawing/2015/06/chart"/>
      </c:barChart>
      <c:catAx>
        <c:axId val="164377600"/>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1000">
                <a:latin typeface="Times New Roman" panose="02020603050405020304" pitchFamily="18" charset="0"/>
                <a:cs typeface="Times New Roman" panose="02020603050405020304" pitchFamily="18" charset="0"/>
              </a:defRPr>
            </a:pPr>
            <a:endParaRPr lang="ru-RU"/>
          </a:p>
        </c:txPr>
        <c:crossAx val="162964032"/>
        <c:crosses val="autoZero"/>
        <c:auto val="1"/>
        <c:lblAlgn val="ctr"/>
        <c:lblOffset val="100"/>
        <c:noMultiLvlLbl val="1"/>
      </c:catAx>
      <c:valAx>
        <c:axId val="162964032"/>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164377600"/>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1.9403841822140722E-2"/>
          <c:y val="0.91158901478778565"/>
          <c:w val="0.97492021433340537"/>
          <c:h val="7.3032712374367842E-2"/>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807657195024236"/>
          <c:y val="1.0887283806216411E-2"/>
          <c:w val="0.45908305529605409"/>
          <c:h val="0.95200030103763711"/>
        </c:manualLayout>
      </c:layout>
      <c:barChart>
        <c:barDir val="bar"/>
        <c:grouping val="clustered"/>
        <c:varyColors val="0"/>
        <c:ser>
          <c:idx val="0"/>
          <c:order val="0"/>
          <c:tx>
            <c:strRef>
              <c:f>Лист1!$B$1</c:f>
              <c:strCache>
                <c:ptCount val="1"/>
                <c:pt idx="0">
                  <c:v>2022</c:v>
                </c:pt>
              </c:strCache>
            </c:strRef>
          </c:tx>
          <c:spPr>
            <a:solidFill>
              <a:srgbClr val="591825"/>
            </a:solidFill>
            <a:ln>
              <a:noFill/>
            </a:ln>
            <a:effectLst/>
          </c:spPr>
          <c:invertIfNegative val="0"/>
          <c:dPt>
            <c:idx val="5"/>
            <c:invertIfNegative val="0"/>
            <c:bubble3D val="0"/>
            <c:extLst xmlns:c16r2="http://schemas.microsoft.com/office/drawing/2015/06/chart">
              <c:ext xmlns:c16="http://schemas.microsoft.com/office/drawing/2014/chart" uri="{C3380CC4-5D6E-409C-BE32-E72D297353CC}">
                <c16:uniqueId val="{00000000-7FA7-44DC-A39D-AFA473F059E0}"/>
              </c:ext>
            </c:extLst>
          </c:dPt>
          <c:dPt>
            <c:idx val="6"/>
            <c:invertIfNegative val="0"/>
            <c:bubble3D val="0"/>
            <c:extLst xmlns:c16r2="http://schemas.microsoft.com/office/drawing/2015/06/chart">
              <c:ext xmlns:c16="http://schemas.microsoft.com/office/drawing/2014/chart" uri="{C3380CC4-5D6E-409C-BE32-E72D297353CC}">
                <c16:uniqueId val="{00000001-7FA7-44DC-A39D-AFA473F059E0}"/>
              </c:ext>
            </c:extLst>
          </c:dPt>
          <c:dLbls>
            <c:spPr>
              <a:noFill/>
              <a:ln>
                <a:noFill/>
              </a:ln>
              <a:effectLst/>
            </c:spPr>
            <c:txPr>
              <a:bodyPr rot="0" vert="horz"/>
              <a:lstStyle/>
              <a:p>
                <a:pPr>
                  <a:defRPr sz="1100" baseline="0">
                    <a:latin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У меня недостаточно свободных денег</c:v>
                </c:pt>
                <c:pt idx="1">
                  <c:v>Я не доверяю финансовым организациям в достаточной степени</c:v>
                </c:pt>
                <c:pt idx="2">
                  <c:v>Предлагаемая процентная ставка слишком низкая</c:v>
                </c:pt>
                <c:pt idx="3">
                  <c:v>Данными услугами уже пользуются другие члены моей семьи</c:v>
                </c:pt>
                <c:pt idx="4">
                  <c:v>Использую другие способы размещения свободных денежных средств</c:v>
                </c:pt>
                <c:pt idx="5">
                  <c:v>Отделения финансовых организаций находятся слишком далеко от меня</c:v>
                </c:pt>
                <c:pt idx="6">
                  <c:v>Иное</c:v>
                </c:pt>
              </c:strCache>
            </c:strRef>
          </c:cat>
          <c:val>
            <c:numRef>
              <c:f>Лист1!$B$2:$B$8</c:f>
              <c:numCache>
                <c:formatCode>0%</c:formatCode>
                <c:ptCount val="7"/>
                <c:pt idx="0">
                  <c:v>0.73779530024497209</c:v>
                </c:pt>
                <c:pt idx="1">
                  <c:v>0.31720376026217001</c:v>
                </c:pt>
                <c:pt idx="2">
                  <c:v>0.14533295052780501</c:v>
                </c:pt>
                <c:pt idx="3">
                  <c:v>7.93578239093643E-2</c:v>
                </c:pt>
                <c:pt idx="4">
                  <c:v>3.99241775646016E-2</c:v>
                </c:pt>
                <c:pt idx="5">
                  <c:v>3.40550302481182E-2</c:v>
                </c:pt>
                <c:pt idx="6">
                  <c:v>6.5561770573050208E-3</c:v>
                </c:pt>
              </c:numCache>
            </c:numRef>
          </c:val>
          <c:extLst xmlns:c16r2="http://schemas.microsoft.com/office/drawing/2015/06/chart">
            <c:ext xmlns:c16="http://schemas.microsoft.com/office/drawing/2014/chart" uri="{C3380CC4-5D6E-409C-BE32-E72D297353CC}">
              <c16:uniqueId val="{00000002-7FA7-44DC-A39D-AFA473F059E0}"/>
            </c:ext>
          </c:extLst>
        </c:ser>
        <c:dLbls>
          <c:showLegendKey val="0"/>
          <c:showVal val="0"/>
          <c:showCatName val="0"/>
          <c:showSerName val="0"/>
          <c:showPercent val="0"/>
          <c:showBubbleSize val="0"/>
        </c:dLbls>
        <c:gapWidth val="76"/>
        <c:axId val="163075072"/>
        <c:axId val="162966336"/>
      </c:barChart>
      <c:catAx>
        <c:axId val="1630750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1100" baseline="0">
                <a:latin typeface="Times New Roman" panose="02020603050405020304" pitchFamily="18" charset="0"/>
              </a:defRPr>
            </a:pPr>
            <a:endParaRPr lang="ru-RU"/>
          </a:p>
        </c:txPr>
        <c:crossAx val="162966336"/>
        <c:crosses val="autoZero"/>
        <c:auto val="1"/>
        <c:lblAlgn val="ctr"/>
        <c:lblOffset val="100"/>
        <c:noMultiLvlLbl val="0"/>
      </c:catAx>
      <c:valAx>
        <c:axId val="162966336"/>
        <c:scaling>
          <c:orientation val="minMax"/>
        </c:scaling>
        <c:delete val="1"/>
        <c:axPos val="t"/>
        <c:majorGridlines>
          <c:spPr>
            <a:ln w="9525" cap="flat" cmpd="sng" algn="ctr">
              <a:noFill/>
              <a:round/>
            </a:ln>
            <a:effectLst/>
          </c:spPr>
        </c:majorGridlines>
        <c:numFmt formatCode="0%" sourceLinked="1"/>
        <c:majorTickMark val="none"/>
        <c:minorTickMark val="none"/>
        <c:tickLblPos val="none"/>
        <c:crossAx val="1630750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b="0"/>
      </a:pPr>
      <a:endParaRPr lang="ru-RU"/>
    </a:p>
  </c:txPr>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807657195024236"/>
          <c:y val="1.0887283806216411E-2"/>
          <c:w val="0.48168185838183281"/>
          <c:h val="0.95200030103763711"/>
        </c:manualLayout>
      </c:layout>
      <c:barChart>
        <c:barDir val="bar"/>
        <c:grouping val="clustered"/>
        <c:varyColors val="0"/>
        <c:ser>
          <c:idx val="0"/>
          <c:order val="0"/>
          <c:tx>
            <c:strRef>
              <c:f>Лист1!$B$1</c:f>
              <c:strCache>
                <c:ptCount val="1"/>
                <c:pt idx="0">
                  <c:v>2022</c:v>
                </c:pt>
              </c:strCache>
            </c:strRef>
          </c:tx>
          <c:spPr>
            <a:solidFill>
              <a:srgbClr val="591825"/>
            </a:solidFill>
            <a:ln>
              <a:noFill/>
            </a:ln>
            <a:effectLst/>
          </c:spPr>
          <c:invertIfNegative val="0"/>
          <c:dPt>
            <c:idx val="5"/>
            <c:invertIfNegative val="0"/>
            <c:bubble3D val="0"/>
            <c:extLst xmlns:c16r2="http://schemas.microsoft.com/office/drawing/2015/06/chart">
              <c:ext xmlns:c16="http://schemas.microsoft.com/office/drawing/2014/chart" uri="{C3380CC4-5D6E-409C-BE32-E72D297353CC}">
                <c16:uniqueId val="{00000000-DCFA-4C06-B4D3-4669C13097EA}"/>
              </c:ext>
            </c:extLst>
          </c:dPt>
          <c:dPt>
            <c:idx val="6"/>
            <c:invertIfNegative val="0"/>
            <c:bubble3D val="0"/>
            <c:extLst xmlns:c16r2="http://schemas.microsoft.com/office/drawing/2015/06/chart">
              <c:ext xmlns:c16="http://schemas.microsoft.com/office/drawing/2014/chart" uri="{C3380CC4-5D6E-409C-BE32-E72D297353CC}">
                <c16:uniqueId val="{00000001-DCFA-4C06-B4D3-4669C13097EA}"/>
              </c:ext>
            </c:extLst>
          </c:dPt>
          <c:dLbls>
            <c:spPr>
              <a:noFill/>
              <a:ln>
                <a:noFill/>
              </a:ln>
              <a:effectLst/>
            </c:spPr>
            <c:txPr>
              <a:bodyPr rot="0" vert="horz"/>
              <a:lstStyle/>
              <a:p>
                <a:pPr>
                  <a:defRPr sz="1100" baseline="0">
                    <a:latin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 Не люблю кредиты/займы/не хочу жить в долг</c:v>
                </c:pt>
                <c:pt idx="1">
                  <c:v> Нет необходимости в заемных средствах</c:v>
                </c:pt>
                <c:pt idx="2">
                  <c:v> Процентная ставка слишком высокая</c:v>
                </c:pt>
                <c:pt idx="3">
                  <c:v> Я не доверяю финансовым организациям в достаточной степени</c:v>
                </c:pt>
                <c:pt idx="4">
                  <c:v> Я не уверен(-а) в технической безопасности онлайн-сервисов</c:v>
                </c:pt>
                <c:pt idx="5">
                  <c:v> Использую другие способы получить заем</c:v>
                </c:pt>
                <c:pt idx="6">
                  <c:v> Кредит/заем оформлен на других членов моей семьи</c:v>
                </c:pt>
                <c:pt idx="7">
                  <c:v> Я не обладаю навыками использования онлайн-сервисов финансовых организаций для получения кредита (займа)</c:v>
                </c:pt>
                <c:pt idx="8">
                  <c:v> У меня нет необходимых документов</c:v>
                </c:pt>
                <c:pt idx="9">
                  <c:v> Отделения финансовых организаций находятся слишком далеко от меня</c:v>
                </c:pt>
                <c:pt idx="10">
                  <c:v> Иное </c:v>
                </c:pt>
              </c:strCache>
            </c:strRef>
          </c:cat>
          <c:val>
            <c:numRef>
              <c:f>Лист1!$B$2:$B$12</c:f>
              <c:numCache>
                <c:formatCode>0%</c:formatCode>
                <c:ptCount val="11"/>
                <c:pt idx="0">
                  <c:v>0.60889990538619299</c:v>
                </c:pt>
                <c:pt idx="1">
                  <c:v>0.37676269892261094</c:v>
                </c:pt>
                <c:pt idx="2">
                  <c:v>0.22984847176151602</c:v>
                </c:pt>
                <c:pt idx="3">
                  <c:v>0.21381561911865099</c:v>
                </c:pt>
                <c:pt idx="4">
                  <c:v>0.109419162134873</c:v>
                </c:pt>
                <c:pt idx="5">
                  <c:v>7.8856366716484702E-2</c:v>
                </c:pt>
                <c:pt idx="6">
                  <c:v>5.1950326735384203E-2</c:v>
                </c:pt>
                <c:pt idx="7">
                  <c:v>4.8856521507017102E-2</c:v>
                </c:pt>
                <c:pt idx="8">
                  <c:v>1.4467210681733501E-2</c:v>
                </c:pt>
                <c:pt idx="9">
                  <c:v>6.2616565306724305E-3</c:v>
                </c:pt>
                <c:pt idx="10">
                  <c:v>4.0433222674765299E-3</c:v>
                </c:pt>
              </c:numCache>
            </c:numRef>
          </c:val>
          <c:extLst xmlns:c16r2="http://schemas.microsoft.com/office/drawing/2015/06/chart">
            <c:ext xmlns:c16="http://schemas.microsoft.com/office/drawing/2014/chart" uri="{C3380CC4-5D6E-409C-BE32-E72D297353CC}">
              <c16:uniqueId val="{00000002-DCFA-4C06-B4D3-4669C13097EA}"/>
            </c:ext>
          </c:extLst>
        </c:ser>
        <c:dLbls>
          <c:showLegendKey val="0"/>
          <c:showVal val="0"/>
          <c:showCatName val="0"/>
          <c:showSerName val="0"/>
          <c:showPercent val="0"/>
          <c:showBubbleSize val="0"/>
        </c:dLbls>
        <c:gapWidth val="76"/>
        <c:axId val="164544000"/>
        <c:axId val="162970368"/>
      </c:barChart>
      <c:catAx>
        <c:axId val="1645440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1000" baseline="0">
                <a:latin typeface="Times New Roman" panose="02020603050405020304" pitchFamily="18" charset="0"/>
              </a:defRPr>
            </a:pPr>
            <a:endParaRPr lang="ru-RU"/>
          </a:p>
        </c:txPr>
        <c:crossAx val="162970368"/>
        <c:crosses val="autoZero"/>
        <c:auto val="1"/>
        <c:lblAlgn val="ctr"/>
        <c:lblOffset val="100"/>
        <c:noMultiLvlLbl val="0"/>
      </c:catAx>
      <c:valAx>
        <c:axId val="162970368"/>
        <c:scaling>
          <c:orientation val="minMax"/>
        </c:scaling>
        <c:delete val="1"/>
        <c:axPos val="t"/>
        <c:majorGridlines>
          <c:spPr>
            <a:ln w="9525" cap="flat" cmpd="sng" algn="ctr">
              <a:noFill/>
              <a:round/>
            </a:ln>
            <a:effectLst/>
          </c:spPr>
        </c:majorGridlines>
        <c:numFmt formatCode="0%" sourceLinked="1"/>
        <c:majorTickMark val="none"/>
        <c:minorTickMark val="none"/>
        <c:tickLblPos val="none"/>
        <c:crossAx val="1645440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b="0"/>
      </a:pPr>
      <a:endParaRPr lang="ru-RU"/>
    </a:p>
  </c:txPr>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807657195024236"/>
          <c:y val="1.0887283806216411E-2"/>
          <c:w val="0.48168185838183281"/>
          <c:h val="0.95200030103763711"/>
        </c:manualLayout>
      </c:layout>
      <c:barChart>
        <c:barDir val="bar"/>
        <c:grouping val="clustered"/>
        <c:varyColors val="0"/>
        <c:ser>
          <c:idx val="0"/>
          <c:order val="0"/>
          <c:tx>
            <c:strRef>
              <c:f>Лист1!$B$1</c:f>
              <c:strCache>
                <c:ptCount val="1"/>
                <c:pt idx="0">
                  <c:v>2022</c:v>
                </c:pt>
              </c:strCache>
            </c:strRef>
          </c:tx>
          <c:spPr>
            <a:solidFill>
              <a:srgbClr val="591825"/>
            </a:solidFill>
            <a:ln>
              <a:noFill/>
            </a:ln>
            <a:effectLst/>
          </c:spPr>
          <c:invertIfNegative val="0"/>
          <c:dPt>
            <c:idx val="5"/>
            <c:invertIfNegative val="0"/>
            <c:bubble3D val="0"/>
            <c:extLst xmlns:c16r2="http://schemas.microsoft.com/office/drawing/2015/06/chart">
              <c:ext xmlns:c16="http://schemas.microsoft.com/office/drawing/2014/chart" uri="{C3380CC4-5D6E-409C-BE32-E72D297353CC}">
                <c16:uniqueId val="{00000000-0D24-4EB3-9486-F6FBB72D7903}"/>
              </c:ext>
            </c:extLst>
          </c:dPt>
          <c:dPt>
            <c:idx val="6"/>
            <c:invertIfNegative val="0"/>
            <c:bubble3D val="0"/>
            <c:extLst xmlns:c16r2="http://schemas.microsoft.com/office/drawing/2015/06/chart">
              <c:ext xmlns:c16="http://schemas.microsoft.com/office/drawing/2014/chart" uri="{C3380CC4-5D6E-409C-BE32-E72D297353CC}">
                <c16:uniqueId val="{00000001-0D24-4EB3-9486-F6FBB72D7903}"/>
              </c:ext>
            </c:extLst>
          </c:dPt>
          <c:dLbls>
            <c:spPr>
              <a:noFill/>
              <a:ln>
                <a:noFill/>
              </a:ln>
              <a:effectLst/>
            </c:spPr>
            <c:txPr>
              <a:bodyPr rot="0" vert="horz"/>
              <a:lstStyle/>
              <a:p>
                <a:pPr>
                  <a:defRPr sz="1100" baseline="0">
                    <a:latin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У меня недостаточно денег для использования этих финансовых продуктов</c:v>
                </c:pt>
                <c:pt idx="1">
                  <c:v> Платежная карта есть у других членов моей семьи</c:v>
                </c:pt>
                <c:pt idx="2">
                  <c:v> Я не доверяю банкам (кредитным организациям)</c:v>
                </c:pt>
                <c:pt idx="3">
                  <c:v> Обслуживание счета/платежной карты стоит слишком дорого</c:v>
                </c:pt>
                <c:pt idx="4">
                  <c:v> Отделения банков находятся слишком далеко от меня</c:v>
                </c:pt>
                <c:pt idx="5">
                  <c:v>В организациях торговли (услуг), которыми я обычно пользуюсь, нет возможности проводить безналичную оплату за товары (услуги) с помощью банковской карты через POS-терминал</c:v>
                </c:pt>
                <c:pt idx="6">
                  <c:v> Банкоматы находятся слишком далеко от меня</c:v>
                </c:pt>
                <c:pt idx="7">
                  <c:v> Иное</c:v>
                </c:pt>
              </c:strCache>
            </c:strRef>
          </c:cat>
          <c:val>
            <c:numRef>
              <c:f>Лист1!$B$2:$B$9</c:f>
              <c:numCache>
                <c:formatCode>0%</c:formatCode>
                <c:ptCount val="8"/>
                <c:pt idx="0">
                  <c:v>0.36855547110352099</c:v>
                </c:pt>
                <c:pt idx="1">
                  <c:v>0.24237098939696503</c:v>
                </c:pt>
                <c:pt idx="2">
                  <c:v>0.23753403898960598</c:v>
                </c:pt>
                <c:pt idx="3">
                  <c:v>0.116575638073349</c:v>
                </c:pt>
                <c:pt idx="4">
                  <c:v>6.2658554256897994E-2</c:v>
                </c:pt>
                <c:pt idx="5">
                  <c:v>4.4346317746411595E-2</c:v>
                </c:pt>
                <c:pt idx="6">
                  <c:v>3.1377500750156398E-2</c:v>
                </c:pt>
                <c:pt idx="7">
                  <c:v>0.116138946430607</c:v>
                </c:pt>
              </c:numCache>
            </c:numRef>
          </c:val>
          <c:extLst xmlns:c16r2="http://schemas.microsoft.com/office/drawing/2015/06/chart">
            <c:ext xmlns:c16="http://schemas.microsoft.com/office/drawing/2014/chart" uri="{C3380CC4-5D6E-409C-BE32-E72D297353CC}">
              <c16:uniqueId val="{00000002-0D24-4EB3-9486-F6FBB72D7903}"/>
            </c:ext>
          </c:extLst>
        </c:ser>
        <c:dLbls>
          <c:showLegendKey val="0"/>
          <c:showVal val="0"/>
          <c:showCatName val="0"/>
          <c:showSerName val="0"/>
          <c:showPercent val="0"/>
          <c:showBubbleSize val="0"/>
        </c:dLbls>
        <c:gapWidth val="76"/>
        <c:axId val="164378624"/>
        <c:axId val="165274176"/>
      </c:barChart>
      <c:catAx>
        <c:axId val="1643786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1000" baseline="0">
                <a:latin typeface="Times New Roman" panose="02020603050405020304" pitchFamily="18" charset="0"/>
              </a:defRPr>
            </a:pPr>
            <a:endParaRPr lang="ru-RU"/>
          </a:p>
        </c:txPr>
        <c:crossAx val="165274176"/>
        <c:crosses val="autoZero"/>
        <c:auto val="1"/>
        <c:lblAlgn val="ctr"/>
        <c:lblOffset val="100"/>
        <c:noMultiLvlLbl val="0"/>
      </c:catAx>
      <c:valAx>
        <c:axId val="165274176"/>
        <c:scaling>
          <c:orientation val="minMax"/>
        </c:scaling>
        <c:delete val="1"/>
        <c:axPos val="t"/>
        <c:majorGridlines>
          <c:spPr>
            <a:ln w="9525" cap="flat" cmpd="sng" algn="ctr">
              <a:noFill/>
              <a:round/>
            </a:ln>
            <a:effectLst/>
          </c:spPr>
        </c:majorGridlines>
        <c:numFmt formatCode="0%" sourceLinked="1"/>
        <c:majorTickMark val="none"/>
        <c:minorTickMark val="none"/>
        <c:tickLblPos val="none"/>
        <c:crossAx val="1643786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b="0"/>
      </a:pPr>
      <a:endParaRPr lang="ru-RU"/>
    </a:p>
  </c:txPr>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257357623196511"/>
          <c:y val="1.0887283806216411E-2"/>
          <c:w val="0.51718476758452525"/>
          <c:h val="0.95200030103763711"/>
        </c:manualLayout>
      </c:layout>
      <c:barChart>
        <c:barDir val="bar"/>
        <c:grouping val="clustered"/>
        <c:varyColors val="0"/>
        <c:ser>
          <c:idx val="0"/>
          <c:order val="0"/>
          <c:tx>
            <c:strRef>
              <c:f>Лист1!$B$1</c:f>
              <c:strCache>
                <c:ptCount val="1"/>
                <c:pt idx="0">
                  <c:v>2022</c:v>
                </c:pt>
              </c:strCache>
            </c:strRef>
          </c:tx>
          <c:spPr>
            <a:solidFill>
              <a:srgbClr val="591825"/>
            </a:solidFill>
            <a:ln>
              <a:noFill/>
            </a:ln>
            <a:effectLst/>
          </c:spPr>
          <c:invertIfNegative val="0"/>
          <c:dLbls>
            <c:dLbl>
              <c:idx val="0"/>
              <c:layout>
                <c:manualLayout>
                  <c:x val="0"/>
                  <c:y val="5.8869131424797065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613-40B0-8511-723D927DB357}"/>
                </c:ext>
              </c:extLst>
            </c:dLbl>
            <c:spPr>
              <a:noFill/>
              <a:ln>
                <a:noFill/>
              </a:ln>
              <a:effectLst/>
            </c:spPr>
            <c:txPr>
              <a:bodyPr rot="0" vert="horz"/>
              <a:lstStyle/>
              <a:p>
                <a:pPr>
                  <a:defRPr sz="1100" baseline="0">
                    <a:latin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Не вижу смысла в страховании</c:v>
                </c:pt>
                <c:pt idx="1">
                  <c:v>Я не доверяю страховым организациям</c:v>
                </c:pt>
                <c:pt idx="2">
                  <c:v>Стоимость страхового полиса слишком высокая</c:v>
                </c:pt>
                <c:pt idx="3">
                  <c:v>Другие невыгодные условия страхового договора</c:v>
                </c:pt>
                <c:pt idx="4">
                  <c:v>Договор добровольного страхования есть у других членов моей семьи</c:v>
                </c:pt>
                <c:pt idx="5">
                  <c:v>Отделения страховых организаций находятся слишком далеко от меня</c:v>
                </c:pt>
                <c:pt idx="6">
                  <c:v>Иное</c:v>
                </c:pt>
              </c:strCache>
            </c:strRef>
          </c:cat>
          <c:val>
            <c:numRef>
              <c:f>Лист1!$B$2:$B$8</c:f>
              <c:numCache>
                <c:formatCode>0%</c:formatCode>
                <c:ptCount val="7"/>
                <c:pt idx="0">
                  <c:v>0.57075876374221701</c:v>
                </c:pt>
                <c:pt idx="1">
                  <c:v>0.272067461252053</c:v>
                </c:pt>
                <c:pt idx="2">
                  <c:v>0.270960284984262</c:v>
                </c:pt>
                <c:pt idx="3">
                  <c:v>7.7115713314849801E-2</c:v>
                </c:pt>
                <c:pt idx="4">
                  <c:v>5.0693564117839103E-2</c:v>
                </c:pt>
                <c:pt idx="5">
                  <c:v>2.76418039447659E-2</c:v>
                </c:pt>
                <c:pt idx="6">
                  <c:v>7.0782889715774802E-3</c:v>
                </c:pt>
              </c:numCache>
            </c:numRef>
          </c:val>
          <c:extLst xmlns:c16r2="http://schemas.microsoft.com/office/drawing/2015/06/chart">
            <c:ext xmlns:c16="http://schemas.microsoft.com/office/drawing/2014/chart" uri="{C3380CC4-5D6E-409C-BE32-E72D297353CC}">
              <c16:uniqueId val="{00000001-6613-40B0-8511-723D927DB357}"/>
            </c:ext>
          </c:extLst>
        </c:ser>
        <c:dLbls>
          <c:showLegendKey val="0"/>
          <c:showVal val="0"/>
          <c:showCatName val="0"/>
          <c:showSerName val="0"/>
          <c:showPercent val="0"/>
          <c:showBubbleSize val="0"/>
        </c:dLbls>
        <c:gapWidth val="76"/>
        <c:axId val="165469184"/>
        <c:axId val="162970944"/>
      </c:barChart>
      <c:catAx>
        <c:axId val="1654691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1050" baseline="0">
                <a:latin typeface="Times New Roman" panose="02020603050405020304" pitchFamily="18" charset="0"/>
              </a:defRPr>
            </a:pPr>
            <a:endParaRPr lang="ru-RU"/>
          </a:p>
        </c:txPr>
        <c:crossAx val="162970944"/>
        <c:crosses val="autoZero"/>
        <c:auto val="1"/>
        <c:lblAlgn val="ctr"/>
        <c:lblOffset val="100"/>
        <c:noMultiLvlLbl val="0"/>
      </c:catAx>
      <c:valAx>
        <c:axId val="162970944"/>
        <c:scaling>
          <c:orientation val="minMax"/>
          <c:max val="0.70000000000000007"/>
        </c:scaling>
        <c:delete val="1"/>
        <c:axPos val="t"/>
        <c:majorGridlines>
          <c:spPr>
            <a:ln w="9525" cap="flat" cmpd="sng" algn="ctr">
              <a:noFill/>
              <a:round/>
            </a:ln>
            <a:effectLst/>
          </c:spPr>
        </c:majorGridlines>
        <c:numFmt formatCode="0%" sourceLinked="1"/>
        <c:majorTickMark val="out"/>
        <c:minorTickMark val="none"/>
        <c:tickLblPos val="nextTo"/>
        <c:crossAx val="1654691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b="0"/>
      </a:pPr>
      <a:endParaRPr lang="ru-RU"/>
    </a:p>
  </c:txPr>
  <c:externalData r:id="rId2">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932856516589687"/>
          <c:y val="9.5414160186498426E-3"/>
          <c:w val="0.50511798913477868"/>
          <c:h val="0.86895485890350677"/>
        </c:manualLayout>
      </c:layout>
      <c:barChart>
        <c:barDir val="bar"/>
        <c:grouping val="percentStacked"/>
        <c:varyColors val="0"/>
        <c:ser>
          <c:idx val="0"/>
          <c:order val="0"/>
          <c:tx>
            <c:strRef>
              <c:f>Sheet1!$A$2</c:f>
              <c:strCache>
                <c:ptCount val="1"/>
                <c:pt idx="0">
                  <c:v>Согласен</c:v>
                </c:pt>
              </c:strCache>
            </c:strRef>
          </c:tx>
          <c:spPr>
            <a:solidFill>
              <a:srgbClr val="548235"/>
            </a:solidFill>
            <a:ln w="9525" cap="flat">
              <a:noFill/>
              <a:prstDash val="solid"/>
              <a:round/>
            </a:ln>
            <a:effectLst/>
          </c:spPr>
          <c:invertIfNegative val="0"/>
          <c:dLbls>
            <c:dLbl>
              <c:idx val="1"/>
              <c:layout>
                <c:manualLayout>
                  <c:x val="6.1519532451553369E-3"/>
                  <c:y val="-2.529645843605412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40C-42EB-80E2-6E8CE5CB88DC}"/>
                </c:ext>
              </c:extLst>
            </c:dLbl>
            <c:dLbl>
              <c:idx val="2"/>
              <c:layout>
                <c:manualLayout>
                  <c:x val="8.202604326873782E-3"/>
                  <c:y val="3.9843216941335841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40C-42EB-80E2-6E8CE5CB88DC}"/>
                </c:ext>
              </c:extLst>
            </c:dLbl>
            <c:spPr>
              <a:noFill/>
              <a:ln>
                <a:noFill/>
              </a:ln>
              <a:effectLst/>
            </c:spPr>
            <c:txPr>
              <a:bodyPr wrap="square" lIns="38100" tIns="19050" rIns="38100" bIns="19050" anchor="ctr">
                <a:spAutoFit/>
              </a:bodyPr>
              <a:lstStyle/>
              <a:p>
                <a:pPr>
                  <a:defRPr sz="1100" b="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Sheet1!$B$1:$D$1</c:f>
              <c:strCache>
                <c:ptCount val="3"/>
                <c:pt idx="0">
                  <c:v>Мне известны признаки финансовой пирамиды, я могу распознать финансовое мошенничество.</c:v>
                </c:pt>
                <c:pt idx="1">
                  <c:v>Я осведомлен(-а) о системе страхования вкладов и сумме компенсации по вкладу</c:v>
                </c:pt>
                <c:pt idx="2">
                  <c:v>Я хорошо разбираюсь в финансовых терминах</c:v>
                </c:pt>
              </c:strCache>
            </c:strRef>
          </c:cat>
          <c:val>
            <c:numRef>
              <c:f>Sheet1!$B$2:$D$2</c:f>
              <c:numCache>
                <c:formatCode>0%</c:formatCode>
                <c:ptCount val="3"/>
                <c:pt idx="0">
                  <c:v>0.76186971195964903</c:v>
                </c:pt>
                <c:pt idx="1">
                  <c:v>0.66022060228148105</c:v>
                </c:pt>
                <c:pt idx="2">
                  <c:v>0.34441104320889304</c:v>
                </c:pt>
              </c:numCache>
            </c:numRef>
          </c:val>
          <c:extLst xmlns:c16r2="http://schemas.microsoft.com/office/drawing/2015/06/chart">
            <c:ext xmlns:c16="http://schemas.microsoft.com/office/drawing/2014/chart" uri="{C3380CC4-5D6E-409C-BE32-E72D297353CC}">
              <c16:uniqueId val="{00000002-540C-42EB-80E2-6E8CE5CB88DC}"/>
            </c:ext>
          </c:extLst>
        </c:ser>
        <c:ser>
          <c:idx val="1"/>
          <c:order val="1"/>
          <c:tx>
            <c:strRef>
              <c:f>Sheet1!$A$3</c:f>
              <c:strCache>
                <c:ptCount val="1"/>
                <c:pt idx="0">
                  <c:v>Не согласен</c:v>
                </c:pt>
              </c:strCache>
            </c:strRef>
          </c:tx>
          <c:spPr>
            <a:solidFill>
              <a:srgbClr val="D97A8D"/>
            </a:solidFill>
            <a:ln w="9525" cap="flat">
              <a:noFill/>
              <a:prstDash val="solid"/>
              <a:round/>
            </a:ln>
            <a:effectLst/>
          </c:spPr>
          <c:invertIfNegative val="0"/>
          <c:dLbls>
            <c:dLbl>
              <c:idx val="1"/>
              <c:layout>
                <c:manualLayout>
                  <c:x val="1.2303906490310674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40C-42EB-80E2-6E8CE5CB88DC}"/>
                </c:ext>
              </c:extLst>
            </c:dLbl>
            <c:dLbl>
              <c:idx val="2"/>
              <c:layout>
                <c:manualLayout>
                  <c:x val="2.0506510817184458E-2"/>
                  <c:y val="1.9921608470667921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40C-42EB-80E2-6E8CE5CB88DC}"/>
                </c:ext>
              </c:extLst>
            </c:dLbl>
            <c:spPr>
              <a:noFill/>
              <a:ln>
                <a:noFill/>
              </a:ln>
              <a:effectLst/>
            </c:spPr>
            <c:txPr>
              <a:bodyPr wrap="square" lIns="38100" tIns="19050" rIns="38100" bIns="19050" anchor="ctr">
                <a:spAutoFit/>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Sheet1!$B$1:$D$1</c:f>
              <c:strCache>
                <c:ptCount val="3"/>
                <c:pt idx="0">
                  <c:v>Мне известны признаки финансовой пирамиды, я могу распознать финансовое мошенничество.</c:v>
                </c:pt>
                <c:pt idx="1">
                  <c:v>Я осведомлен(-а) о системе страхования вкладов и сумме компенсации по вкладу</c:v>
                </c:pt>
                <c:pt idx="2">
                  <c:v>Я хорошо разбираюсь в финансовых терминах</c:v>
                </c:pt>
              </c:strCache>
            </c:strRef>
          </c:cat>
          <c:val>
            <c:numRef>
              <c:f>Sheet1!$B$3:$D$3</c:f>
              <c:numCache>
                <c:formatCode>0%</c:formatCode>
                <c:ptCount val="3"/>
                <c:pt idx="0">
                  <c:v>0.23813028804035499</c:v>
                </c:pt>
                <c:pt idx="1">
                  <c:v>0.339779397718523</c:v>
                </c:pt>
                <c:pt idx="2">
                  <c:v>0.65558895679111107</c:v>
                </c:pt>
              </c:numCache>
            </c:numRef>
          </c:val>
          <c:extLst xmlns:c16r2="http://schemas.microsoft.com/office/drawing/2015/06/chart">
            <c:ext xmlns:c16="http://schemas.microsoft.com/office/drawing/2014/chart" uri="{C3380CC4-5D6E-409C-BE32-E72D297353CC}">
              <c16:uniqueId val="{00000005-540C-42EB-80E2-6E8CE5CB88DC}"/>
            </c:ext>
          </c:extLst>
        </c:ser>
        <c:dLbls>
          <c:showLegendKey val="0"/>
          <c:showVal val="0"/>
          <c:showCatName val="0"/>
          <c:showSerName val="0"/>
          <c:showPercent val="0"/>
          <c:showBubbleSize val="0"/>
        </c:dLbls>
        <c:gapWidth val="105"/>
        <c:overlap val="100"/>
        <c:axId val="164939776"/>
        <c:axId val="165275328"/>
      </c:barChart>
      <c:catAx>
        <c:axId val="164939776"/>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900">
                <a:latin typeface="Times New Roman" panose="02020603050405020304" pitchFamily="18" charset="0"/>
                <a:cs typeface="Times New Roman" panose="02020603050405020304" pitchFamily="18" charset="0"/>
              </a:defRPr>
            </a:pPr>
            <a:endParaRPr lang="ru-RU"/>
          </a:p>
        </c:txPr>
        <c:crossAx val="165275328"/>
        <c:crosses val="autoZero"/>
        <c:auto val="1"/>
        <c:lblAlgn val="ctr"/>
        <c:lblOffset val="100"/>
        <c:noMultiLvlLbl val="1"/>
      </c:catAx>
      <c:valAx>
        <c:axId val="165275328"/>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164939776"/>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7.0999353318300477E-3"/>
          <c:y val="0.88676565187805634"/>
          <c:w val="0.96859226032611812"/>
          <c:h val="9.820204389344947E-2"/>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932856516589687"/>
          <c:y val="9.5414160186498426E-3"/>
          <c:w val="0.50511798913477868"/>
          <c:h val="0.86895485890350677"/>
        </c:manualLayout>
      </c:layout>
      <c:barChart>
        <c:barDir val="bar"/>
        <c:grouping val="percentStacked"/>
        <c:varyColors val="0"/>
        <c:ser>
          <c:idx val="0"/>
          <c:order val="0"/>
          <c:tx>
            <c:strRef>
              <c:f>Sheet1!$A$2</c:f>
              <c:strCache>
                <c:ptCount val="1"/>
                <c:pt idx="0">
                  <c:v>Согласен</c:v>
                </c:pt>
              </c:strCache>
            </c:strRef>
          </c:tx>
          <c:spPr>
            <a:solidFill>
              <a:srgbClr val="548235"/>
            </a:solidFill>
            <a:ln w="9525" cap="flat">
              <a:noFill/>
              <a:prstDash val="solid"/>
              <a:round/>
            </a:ln>
            <a:effectLst/>
          </c:spPr>
          <c:invertIfNegative val="0"/>
          <c:dLbls>
            <c:dLbl>
              <c:idx val="0"/>
              <c:layout>
                <c:manualLayout>
                  <c:x val="2.0506510817184455E-3"/>
                  <c:y val="9.9608042353339603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336-414F-9B7F-B8719A7F1E57}"/>
                </c:ext>
              </c:extLst>
            </c:dLbl>
            <c:dLbl>
              <c:idx val="1"/>
              <c:layout>
                <c:manualLayout>
                  <c:x val="-2.0506510817184455E-3"/>
                  <c:y val="4.3472826766219441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336-414F-9B7F-B8719A7F1E57}"/>
                </c:ext>
              </c:extLst>
            </c:dLbl>
            <c:spPr>
              <a:noFill/>
              <a:ln>
                <a:noFill/>
              </a:ln>
              <a:effectLst/>
            </c:spPr>
            <c:txPr>
              <a:bodyPr wrap="square" lIns="38100" tIns="19050" rIns="38100" bIns="19050" anchor="ctr">
                <a:spAutoFit/>
              </a:bodyPr>
              <a:lstStyle/>
              <a:p>
                <a:pPr>
                  <a:defRPr sz="1100" b="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Sheet1!$B$1:$G$1</c:f>
              <c:strCache>
                <c:ptCount val="6"/>
                <c:pt idx="0">
                  <c:v>Я знаю и выполняю свои обязанности налогоплательщика.</c:v>
                </c:pt>
                <c:pt idx="1">
                  <c:v>Я слежу за своими финансами (или финансами своей семьи), планирую доходы и расходы.</c:v>
                </c:pt>
                <c:pt idx="2">
                  <c:v>Я живу по средствам, избегаю несоразмерных доходам долгов и неплатежей по ним. </c:v>
                </c:pt>
                <c:pt idx="3">
                  <c:v> Я ответственно подхожу к выбору финансовых услуг и организаций, изучаю условия и сравниваю разные варианты, прежде чем сделать выбор.</c:v>
                </c:pt>
                <c:pt idx="4">
                  <c:v>Я формирую долгосрочные сбережения и имею финансовую «подушку безопасности» для непредвиденных обстоятельств. </c:v>
                </c:pt>
                <c:pt idx="5">
                  <c:v>Я не сталкиваюсь с проблемой нехватки доходов до зарплаты.</c:v>
                </c:pt>
              </c:strCache>
            </c:strRef>
          </c:cat>
          <c:val>
            <c:numRef>
              <c:f>Sheet1!$B$2:$G$2</c:f>
              <c:numCache>
                <c:formatCode>0%</c:formatCode>
                <c:ptCount val="6"/>
                <c:pt idx="0">
                  <c:v>0.95488227484367894</c:v>
                </c:pt>
                <c:pt idx="1">
                  <c:v>0.87824068057717897</c:v>
                </c:pt>
                <c:pt idx="2">
                  <c:v>0.85596601379607407</c:v>
                </c:pt>
                <c:pt idx="3">
                  <c:v>0.852868427186383</c:v>
                </c:pt>
                <c:pt idx="4">
                  <c:v>0.49765078663023599</c:v>
                </c:pt>
                <c:pt idx="5">
                  <c:v>0.41831413498483699</c:v>
                </c:pt>
              </c:numCache>
            </c:numRef>
          </c:val>
          <c:extLst xmlns:c16r2="http://schemas.microsoft.com/office/drawing/2015/06/chart">
            <c:ext xmlns:c16="http://schemas.microsoft.com/office/drawing/2014/chart" uri="{C3380CC4-5D6E-409C-BE32-E72D297353CC}">
              <c16:uniqueId val="{00000002-0336-414F-9B7F-B8719A7F1E57}"/>
            </c:ext>
          </c:extLst>
        </c:ser>
        <c:ser>
          <c:idx val="1"/>
          <c:order val="1"/>
          <c:tx>
            <c:strRef>
              <c:f>Sheet1!$A$3</c:f>
              <c:strCache>
                <c:ptCount val="1"/>
                <c:pt idx="0">
                  <c:v>Не согласен</c:v>
                </c:pt>
              </c:strCache>
            </c:strRef>
          </c:tx>
          <c:spPr>
            <a:solidFill>
              <a:srgbClr val="D97A8D"/>
            </a:solidFill>
            <a:ln w="9525" cap="flat">
              <a:noFill/>
              <a:prstDash val="solid"/>
              <a:round/>
            </a:ln>
            <a:effectLst/>
          </c:spPr>
          <c:invertIfNegative val="0"/>
          <c:dLbls>
            <c:dLbl>
              <c:idx val="0"/>
              <c:layout>
                <c:manualLayout>
                  <c:x val="7.7664476868235972E-3"/>
                  <c:y val="6.9836059849503291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336-414F-9B7F-B8719A7F1E57}"/>
                </c:ext>
              </c:extLst>
            </c:dLbl>
            <c:dLbl>
              <c:idx val="1"/>
              <c:layout>
                <c:manualLayout>
                  <c:x val="8.202604326873745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336-414F-9B7F-B8719A7F1E57}"/>
                </c:ext>
              </c:extLst>
            </c:dLbl>
            <c:dLbl>
              <c:idx val="4"/>
              <c:layout>
                <c:manualLayout>
                  <c:x val="1.0253255408592191E-2"/>
                  <c:y val="-1.0121806237432044E-1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336-414F-9B7F-B8719A7F1E57}"/>
                </c:ext>
              </c:extLst>
            </c:dLbl>
            <c:spPr>
              <a:noFill/>
              <a:ln>
                <a:noFill/>
              </a:ln>
              <a:effectLst/>
            </c:spPr>
            <c:txPr>
              <a:bodyPr wrap="square" lIns="38100" tIns="19050" rIns="38100" bIns="19050" anchor="ctr">
                <a:spAutoFit/>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Sheet1!$B$1:$G$1</c:f>
              <c:strCache>
                <c:ptCount val="6"/>
                <c:pt idx="0">
                  <c:v>Я знаю и выполняю свои обязанности налогоплательщика.</c:v>
                </c:pt>
                <c:pt idx="1">
                  <c:v>Я слежу за своими финансами (или финансами своей семьи), планирую доходы и расходы.</c:v>
                </c:pt>
                <c:pt idx="2">
                  <c:v>Я живу по средствам, избегаю несоразмерных доходам долгов и неплатежей по ним. </c:v>
                </c:pt>
                <c:pt idx="3">
                  <c:v> Я ответственно подхожу к выбору финансовых услуг и организаций, изучаю условия и сравниваю разные варианты, прежде чем сделать выбор.</c:v>
                </c:pt>
                <c:pt idx="4">
                  <c:v>Я формирую долгосрочные сбережения и имею финансовую «подушку безопасности» для непредвиденных обстоятельств. </c:v>
                </c:pt>
                <c:pt idx="5">
                  <c:v>Я не сталкиваюсь с проблемой нехватки доходов до зарплаты.</c:v>
                </c:pt>
              </c:strCache>
            </c:strRef>
          </c:cat>
          <c:val>
            <c:numRef>
              <c:f>Sheet1!$B$3:$G$3</c:f>
              <c:numCache>
                <c:formatCode>0%</c:formatCode>
                <c:ptCount val="6"/>
                <c:pt idx="0">
                  <c:v>4.5117725156321703E-2</c:v>
                </c:pt>
                <c:pt idx="1">
                  <c:v>0.121759319422824</c:v>
                </c:pt>
                <c:pt idx="2">
                  <c:v>0.14403398620393099</c:v>
                </c:pt>
                <c:pt idx="3">
                  <c:v>0.14713157281362099</c:v>
                </c:pt>
                <c:pt idx="4">
                  <c:v>0.50234921336976701</c:v>
                </c:pt>
                <c:pt idx="5">
                  <c:v>0.58168586501516695</c:v>
                </c:pt>
              </c:numCache>
            </c:numRef>
          </c:val>
          <c:extLst xmlns:c16r2="http://schemas.microsoft.com/office/drawing/2015/06/chart">
            <c:ext xmlns:c16="http://schemas.microsoft.com/office/drawing/2014/chart" uri="{C3380CC4-5D6E-409C-BE32-E72D297353CC}">
              <c16:uniqueId val="{00000006-0336-414F-9B7F-B8719A7F1E57}"/>
            </c:ext>
          </c:extLst>
        </c:ser>
        <c:dLbls>
          <c:showLegendKey val="0"/>
          <c:showVal val="0"/>
          <c:showCatName val="0"/>
          <c:showSerName val="0"/>
          <c:showPercent val="0"/>
          <c:showBubbleSize val="0"/>
        </c:dLbls>
        <c:gapWidth val="105"/>
        <c:overlap val="100"/>
        <c:axId val="165057536"/>
        <c:axId val="165279360"/>
      </c:barChart>
      <c:catAx>
        <c:axId val="165057536"/>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900">
                <a:latin typeface="Times New Roman" panose="02020603050405020304" pitchFamily="18" charset="0"/>
                <a:cs typeface="Times New Roman" panose="02020603050405020304" pitchFamily="18" charset="0"/>
              </a:defRPr>
            </a:pPr>
            <a:endParaRPr lang="ru-RU"/>
          </a:p>
        </c:txPr>
        <c:crossAx val="165279360"/>
        <c:crosses val="autoZero"/>
        <c:auto val="1"/>
        <c:lblAlgn val="ctr"/>
        <c:lblOffset val="100"/>
        <c:noMultiLvlLbl val="1"/>
      </c:catAx>
      <c:valAx>
        <c:axId val="165279360"/>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165057536"/>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7.0999353318300477E-3"/>
          <c:y val="0.88676565187805634"/>
          <c:w val="0.96859226032611812"/>
          <c:h val="9.820204389344947E-2"/>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932856516589687"/>
          <c:y val="9.5414160186498426E-3"/>
          <c:w val="0.50511798913477868"/>
          <c:h val="0.86895485890350677"/>
        </c:manualLayout>
      </c:layout>
      <c:barChart>
        <c:barDir val="bar"/>
        <c:grouping val="percentStacked"/>
        <c:varyColors val="0"/>
        <c:ser>
          <c:idx val="0"/>
          <c:order val="0"/>
          <c:tx>
            <c:strRef>
              <c:f>Sheet1!$A$2</c:f>
              <c:strCache>
                <c:ptCount val="1"/>
                <c:pt idx="0">
                  <c:v>Согласен</c:v>
                </c:pt>
              </c:strCache>
            </c:strRef>
          </c:tx>
          <c:spPr>
            <a:solidFill>
              <a:srgbClr val="548235"/>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b="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Sheet1!$B$1:$G$1</c:f>
              <c:strCache>
                <c:ptCount val="6"/>
                <c:pt idx="0">
                  <c:v>Я считаю, что следуют вести финансовую подготовку к жизни на пенсии, а не рассчитывать только на государство.</c:v>
                </c:pt>
                <c:pt idx="1">
                  <c:v>Я считаю, что материальное положение человека зависит лично от него и его усилий.</c:v>
                </c:pt>
                <c:pt idx="2">
                  <c:v>Я считаю, что деньги нужны для того, чтобы их тратить.</c:v>
                </c:pt>
                <c:pt idx="3">
                  <c:v>Я получаю большее удовлетворение от траты денег, нежели от долгосрочного накопления средств.</c:v>
                </c:pt>
                <c:pt idx="4">
                  <c:v>Я не доверяю финансовым организациям. Я предпочту хранить деньги наличными, чем положить в банк.</c:v>
                </c:pt>
                <c:pt idx="5">
                  <c:v>Я живу сегодняшним днем, не заботясь о завтрашнем дне.</c:v>
                </c:pt>
              </c:strCache>
            </c:strRef>
          </c:cat>
          <c:val>
            <c:numRef>
              <c:f>Sheet1!$B$2:$G$2</c:f>
              <c:numCache>
                <c:formatCode>0%</c:formatCode>
                <c:ptCount val="6"/>
                <c:pt idx="0">
                  <c:v>0.76674302954582896</c:v>
                </c:pt>
                <c:pt idx="1">
                  <c:v>0.73650705297718599</c:v>
                </c:pt>
                <c:pt idx="2">
                  <c:v>0.663538977676982</c:v>
                </c:pt>
                <c:pt idx="3">
                  <c:v>0.464378139583564</c:v>
                </c:pt>
                <c:pt idx="4">
                  <c:v>0.337220316660446</c:v>
                </c:pt>
                <c:pt idx="5">
                  <c:v>0.24399545854726801</c:v>
                </c:pt>
              </c:numCache>
            </c:numRef>
          </c:val>
          <c:extLst xmlns:c16r2="http://schemas.microsoft.com/office/drawing/2015/06/chart">
            <c:ext xmlns:c16="http://schemas.microsoft.com/office/drawing/2014/chart" uri="{C3380CC4-5D6E-409C-BE32-E72D297353CC}">
              <c16:uniqueId val="{00000000-2D84-4315-8D7D-8DCEC0679479}"/>
            </c:ext>
          </c:extLst>
        </c:ser>
        <c:ser>
          <c:idx val="1"/>
          <c:order val="1"/>
          <c:tx>
            <c:strRef>
              <c:f>Sheet1!$A$3</c:f>
              <c:strCache>
                <c:ptCount val="1"/>
                <c:pt idx="0">
                  <c:v>Не согласен</c:v>
                </c:pt>
              </c:strCache>
            </c:strRef>
          </c:tx>
          <c:spPr>
            <a:solidFill>
              <a:srgbClr val="D97A8D"/>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Sheet1!$B$1:$G$1</c:f>
              <c:strCache>
                <c:ptCount val="6"/>
                <c:pt idx="0">
                  <c:v>Я считаю, что следуют вести финансовую подготовку к жизни на пенсии, а не рассчитывать только на государство.</c:v>
                </c:pt>
                <c:pt idx="1">
                  <c:v>Я считаю, что материальное положение человека зависит лично от него и его усилий.</c:v>
                </c:pt>
                <c:pt idx="2">
                  <c:v>Я считаю, что деньги нужны для того, чтобы их тратить.</c:v>
                </c:pt>
                <c:pt idx="3">
                  <c:v>Я получаю большее удовлетворение от траты денег, нежели от долгосрочного накопления средств.</c:v>
                </c:pt>
                <c:pt idx="4">
                  <c:v>Я не доверяю финансовым организациям. Я предпочту хранить деньги наличными, чем положить в банк.</c:v>
                </c:pt>
                <c:pt idx="5">
                  <c:v>Я живу сегодняшним днем, не заботясь о завтрашнем дне.</c:v>
                </c:pt>
              </c:strCache>
            </c:strRef>
          </c:cat>
          <c:val>
            <c:numRef>
              <c:f>Sheet1!$B$3:$G$3</c:f>
              <c:numCache>
                <c:formatCode>0%</c:formatCode>
                <c:ptCount val="6"/>
                <c:pt idx="0">
                  <c:v>0.23325697045417498</c:v>
                </c:pt>
                <c:pt idx="1">
                  <c:v>0.263492947022819</c:v>
                </c:pt>
                <c:pt idx="2">
                  <c:v>0.336461022323022</c:v>
                </c:pt>
                <c:pt idx="3">
                  <c:v>0.535621860416441</c:v>
                </c:pt>
                <c:pt idx="4">
                  <c:v>0.66277968333955795</c:v>
                </c:pt>
                <c:pt idx="5">
                  <c:v>0.75600454145273599</c:v>
                </c:pt>
              </c:numCache>
            </c:numRef>
          </c:val>
          <c:extLst xmlns:c16r2="http://schemas.microsoft.com/office/drawing/2015/06/chart">
            <c:ext xmlns:c16="http://schemas.microsoft.com/office/drawing/2014/chart" uri="{C3380CC4-5D6E-409C-BE32-E72D297353CC}">
              <c16:uniqueId val="{00000001-2D84-4315-8D7D-8DCEC0679479}"/>
            </c:ext>
          </c:extLst>
        </c:ser>
        <c:dLbls>
          <c:showLegendKey val="0"/>
          <c:showVal val="0"/>
          <c:showCatName val="0"/>
          <c:showSerName val="0"/>
          <c:showPercent val="0"/>
          <c:showBubbleSize val="0"/>
        </c:dLbls>
        <c:gapWidth val="105"/>
        <c:overlap val="100"/>
        <c:axId val="164940288"/>
        <c:axId val="165281088"/>
      </c:barChart>
      <c:catAx>
        <c:axId val="164940288"/>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900">
                <a:latin typeface="Times New Roman" panose="02020603050405020304" pitchFamily="18" charset="0"/>
                <a:cs typeface="Times New Roman" panose="02020603050405020304" pitchFamily="18" charset="0"/>
              </a:defRPr>
            </a:pPr>
            <a:endParaRPr lang="ru-RU"/>
          </a:p>
        </c:txPr>
        <c:crossAx val="165281088"/>
        <c:crosses val="autoZero"/>
        <c:auto val="1"/>
        <c:lblAlgn val="ctr"/>
        <c:lblOffset val="100"/>
        <c:noMultiLvlLbl val="1"/>
      </c:catAx>
      <c:valAx>
        <c:axId val="165281088"/>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164940288"/>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7.0999353318300477E-3"/>
          <c:y val="0.88676565187805634"/>
          <c:w val="0.96859226032611812"/>
          <c:h val="9.820204389344947E-2"/>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270228270556909"/>
          <c:y val="9.5414160186498426E-3"/>
          <c:w val="0.51392322854207462"/>
          <c:h val="0.90439961671457736"/>
        </c:manualLayout>
      </c:layout>
      <c:barChart>
        <c:barDir val="bar"/>
        <c:grouping val="percentStacked"/>
        <c:varyColors val="0"/>
        <c:ser>
          <c:idx val="0"/>
          <c:order val="0"/>
          <c:tx>
            <c:strRef>
              <c:f>Sheet1!$A$2</c:f>
              <c:strCache>
                <c:ptCount val="1"/>
                <c:pt idx="0">
                  <c:v>очень высокая конкуренция</c:v>
                </c:pt>
              </c:strCache>
            </c:strRef>
          </c:tx>
          <c:spPr>
            <a:solidFill>
              <a:srgbClr val="548235"/>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Sheet1!$B$1:$P$1</c:f>
              <c:strCache>
                <c:ptCount val="15"/>
                <c:pt idx="0">
                  <c:v>Рынок строительства объектов капитального строительства, за исключением жилищного и дорожного строительства</c:v>
                </c:pt>
                <c:pt idx="1">
                  <c:v>Рынок товарной аквакультуры</c:v>
                </c:pt>
                <c:pt idx="2">
                  <c:v>Рынок вылова водных биоресурсов</c:v>
                </c:pt>
                <c:pt idx="3">
                  <c:v>Рынок выполнения работ по содержанию и текущему ремонту общего имущества собственников помещений в многоквартирном доме</c:v>
                </c:pt>
                <c:pt idx="4">
                  <c:v>Рынок архитектурно-строительного проектирования</c:v>
                </c:pt>
                <c:pt idx="5">
                  <c:v>Рынок оказания услуг по ремонту автотранспортных средств</c:v>
                </c:pt>
                <c:pt idx="6">
                  <c:v>Рынок нефтепродуктов</c:v>
                </c:pt>
                <c:pt idx="7">
                  <c:v>Рынок племенного животноводства</c:v>
                </c:pt>
                <c:pt idx="8">
                  <c:v>Рынок услуг дополнительного образования детей</c:v>
                </c:pt>
                <c:pt idx="9">
                  <c:v>Рынок социальных услуг</c:v>
                </c:pt>
                <c:pt idx="10">
                  <c:v>Рынок переработки водных биоресурсов</c:v>
                </c:pt>
                <c:pt idx="11">
                  <c:v>Рынок производства кирпича</c:v>
                </c:pt>
                <c:pt idx="12">
                  <c:v>Рынок семеноводства</c:v>
                </c:pt>
                <c:pt idx="13">
                  <c:v>Рынок оказания услуг по перевозке пассажиров автомобильным транспортом по межмуниципальным маршрутам регулярных перевозок</c:v>
                </c:pt>
                <c:pt idx="14">
                  <c:v>Рынок услуг общего образования</c:v>
                </c:pt>
              </c:strCache>
            </c:strRef>
          </c:cat>
          <c:val>
            <c:numRef>
              <c:f>Sheet1!$B$2:$P$2</c:f>
              <c:numCache>
                <c:formatCode>General</c:formatCode>
                <c:ptCount val="15"/>
                <c:pt idx="0" formatCode="0%">
                  <c:v>6.382978723404259E-2</c:v>
                </c:pt>
                <c:pt idx="4" formatCode="0%">
                  <c:v>2.9411764705882401E-2</c:v>
                </c:pt>
                <c:pt idx="7" formatCode="0%">
                  <c:v>6.25E-2</c:v>
                </c:pt>
                <c:pt idx="9" formatCode="0%">
                  <c:v>2.7777777777777801E-2</c:v>
                </c:pt>
              </c:numCache>
            </c:numRef>
          </c:val>
          <c:extLst xmlns:c16r2="http://schemas.microsoft.com/office/drawing/2015/06/chart">
            <c:ext xmlns:c16="http://schemas.microsoft.com/office/drawing/2014/chart" uri="{C3380CC4-5D6E-409C-BE32-E72D297353CC}">
              <c16:uniqueId val="{00000000-ACCB-4291-89B5-2440B70CC801}"/>
            </c:ext>
          </c:extLst>
        </c:ser>
        <c:ser>
          <c:idx val="1"/>
          <c:order val="1"/>
          <c:tx>
            <c:strRef>
              <c:f>Sheet1!$A$3</c:f>
              <c:strCache>
                <c:ptCount val="1"/>
                <c:pt idx="0">
                  <c:v>высокая конкуренция</c:v>
                </c:pt>
              </c:strCache>
            </c:strRef>
          </c:tx>
          <c:spPr>
            <a:solidFill>
              <a:srgbClr val="A9D18E"/>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Sheet1!$B$1:$P$1</c:f>
              <c:strCache>
                <c:ptCount val="15"/>
                <c:pt idx="0">
                  <c:v>Рынок строительства объектов капитального строительства, за исключением жилищного и дорожного строительства</c:v>
                </c:pt>
                <c:pt idx="1">
                  <c:v>Рынок товарной аквакультуры</c:v>
                </c:pt>
                <c:pt idx="2">
                  <c:v>Рынок вылова водных биоресурсов</c:v>
                </c:pt>
                <c:pt idx="3">
                  <c:v>Рынок выполнения работ по содержанию и текущему ремонту общего имущества собственников помещений в многоквартирном доме</c:v>
                </c:pt>
                <c:pt idx="4">
                  <c:v>Рынок архитектурно-строительного проектирования</c:v>
                </c:pt>
                <c:pt idx="5">
                  <c:v>Рынок оказания услуг по ремонту автотранспортных средств</c:v>
                </c:pt>
                <c:pt idx="6">
                  <c:v>Рынок нефтепродуктов</c:v>
                </c:pt>
                <c:pt idx="7">
                  <c:v>Рынок племенного животноводства</c:v>
                </c:pt>
                <c:pt idx="8">
                  <c:v>Рынок услуг дополнительного образования детей</c:v>
                </c:pt>
                <c:pt idx="9">
                  <c:v>Рынок социальных услуг</c:v>
                </c:pt>
                <c:pt idx="10">
                  <c:v>Рынок переработки водных биоресурсов</c:v>
                </c:pt>
                <c:pt idx="11">
                  <c:v>Рынок производства кирпича</c:v>
                </c:pt>
                <c:pt idx="12">
                  <c:v>Рынок семеноводства</c:v>
                </c:pt>
                <c:pt idx="13">
                  <c:v>Рынок оказания услуг по перевозке пассажиров автомобильным транспортом по межмуниципальным маршрутам регулярных перевозок</c:v>
                </c:pt>
                <c:pt idx="14">
                  <c:v>Рынок услуг общего образования</c:v>
                </c:pt>
              </c:strCache>
            </c:strRef>
          </c:cat>
          <c:val>
            <c:numRef>
              <c:f>Sheet1!$B$3:$P$3</c:f>
              <c:numCache>
                <c:formatCode>0%</c:formatCode>
                <c:ptCount val="15"/>
                <c:pt idx="0">
                  <c:v>0.27659574468085102</c:v>
                </c:pt>
                <c:pt idx="1">
                  <c:v>0.33333333333333298</c:v>
                </c:pt>
                <c:pt idx="2">
                  <c:v>0.3</c:v>
                </c:pt>
                <c:pt idx="3">
                  <c:v>0.296296296296296</c:v>
                </c:pt>
                <c:pt idx="4">
                  <c:v>0.26470588235294101</c:v>
                </c:pt>
                <c:pt idx="5">
                  <c:v>0.28125</c:v>
                </c:pt>
                <c:pt idx="6">
                  <c:v>0.27272727272727298</c:v>
                </c:pt>
                <c:pt idx="7">
                  <c:v>0.1875</c:v>
                </c:pt>
                <c:pt idx="8">
                  <c:v>0.25</c:v>
                </c:pt>
                <c:pt idx="9">
                  <c:v>0.194444444444444</c:v>
                </c:pt>
                <c:pt idx="10">
                  <c:v>0.2</c:v>
                </c:pt>
                <c:pt idx="11">
                  <c:v>0.16666666666666699</c:v>
                </c:pt>
                <c:pt idx="12">
                  <c:v>0.14285714285714302</c:v>
                </c:pt>
                <c:pt idx="13">
                  <c:v>0.1</c:v>
                </c:pt>
                <c:pt idx="14">
                  <c:v>0.1</c:v>
                </c:pt>
              </c:numCache>
            </c:numRef>
          </c:val>
          <c:extLst xmlns:c16r2="http://schemas.microsoft.com/office/drawing/2015/06/chart">
            <c:ext xmlns:c16="http://schemas.microsoft.com/office/drawing/2014/chart" uri="{C3380CC4-5D6E-409C-BE32-E72D297353CC}">
              <c16:uniqueId val="{00000001-ACCB-4291-89B5-2440B70CC801}"/>
            </c:ext>
          </c:extLst>
        </c:ser>
        <c:ser>
          <c:idx val="2"/>
          <c:order val="2"/>
          <c:tx>
            <c:strRef>
              <c:f>Sheet1!$A$4</c:f>
              <c:strCache>
                <c:ptCount val="1"/>
                <c:pt idx="0">
                  <c:v>умеренная конкуренция</c:v>
                </c:pt>
              </c:strCache>
            </c:strRef>
          </c:tx>
          <c:spPr>
            <a:solidFill>
              <a:srgbClr val="FFC000"/>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Sheet1!$B$1:$P$1</c:f>
              <c:strCache>
                <c:ptCount val="15"/>
                <c:pt idx="0">
                  <c:v>Рынок строительства объектов капитального строительства, за исключением жилищного и дорожного строительства</c:v>
                </c:pt>
                <c:pt idx="1">
                  <c:v>Рынок товарной аквакультуры</c:v>
                </c:pt>
                <c:pt idx="2">
                  <c:v>Рынок вылова водных биоресурсов</c:v>
                </c:pt>
                <c:pt idx="3">
                  <c:v>Рынок выполнения работ по содержанию и текущему ремонту общего имущества собственников помещений в многоквартирном доме</c:v>
                </c:pt>
                <c:pt idx="4">
                  <c:v>Рынок архитектурно-строительного проектирования</c:v>
                </c:pt>
                <c:pt idx="5">
                  <c:v>Рынок оказания услуг по ремонту автотранспортных средств</c:v>
                </c:pt>
                <c:pt idx="6">
                  <c:v>Рынок нефтепродуктов</c:v>
                </c:pt>
                <c:pt idx="7">
                  <c:v>Рынок племенного животноводства</c:v>
                </c:pt>
                <c:pt idx="8">
                  <c:v>Рынок услуг дополнительного образования детей</c:v>
                </c:pt>
                <c:pt idx="9">
                  <c:v>Рынок социальных услуг</c:v>
                </c:pt>
                <c:pt idx="10">
                  <c:v>Рынок переработки водных биоресурсов</c:v>
                </c:pt>
                <c:pt idx="11">
                  <c:v>Рынок производства кирпича</c:v>
                </c:pt>
                <c:pt idx="12">
                  <c:v>Рынок семеноводства</c:v>
                </c:pt>
                <c:pt idx="13">
                  <c:v>Рынок оказания услуг по перевозке пассажиров автомобильным транспортом по межмуниципальным маршрутам регулярных перевозок</c:v>
                </c:pt>
                <c:pt idx="14">
                  <c:v>Рынок услуг общего образования</c:v>
                </c:pt>
              </c:strCache>
            </c:strRef>
          </c:cat>
          <c:val>
            <c:numRef>
              <c:f>Sheet1!$B$4:$P$4</c:f>
              <c:numCache>
                <c:formatCode>0%</c:formatCode>
                <c:ptCount val="15"/>
                <c:pt idx="0">
                  <c:v>0.38297872340425498</c:v>
                </c:pt>
                <c:pt idx="1">
                  <c:v>0.25</c:v>
                </c:pt>
                <c:pt idx="2">
                  <c:v>0.6</c:v>
                </c:pt>
                <c:pt idx="3">
                  <c:v>0.48148148148148101</c:v>
                </c:pt>
                <c:pt idx="4">
                  <c:v>0.47058823529411797</c:v>
                </c:pt>
                <c:pt idx="5">
                  <c:v>0.25</c:v>
                </c:pt>
                <c:pt idx="6">
                  <c:v>0.27272727272727298</c:v>
                </c:pt>
                <c:pt idx="7">
                  <c:v>0.375</c:v>
                </c:pt>
                <c:pt idx="8">
                  <c:v>0.33333333333333298</c:v>
                </c:pt>
                <c:pt idx="9">
                  <c:v>0.41666666666666702</c:v>
                </c:pt>
                <c:pt idx="10">
                  <c:v>0.6</c:v>
                </c:pt>
                <c:pt idx="11">
                  <c:v>0.25</c:v>
                </c:pt>
                <c:pt idx="12">
                  <c:v>0.57142857142857106</c:v>
                </c:pt>
                <c:pt idx="13">
                  <c:v>0.1</c:v>
                </c:pt>
                <c:pt idx="14">
                  <c:v>0.5</c:v>
                </c:pt>
              </c:numCache>
            </c:numRef>
          </c:val>
          <c:extLst xmlns:c16r2="http://schemas.microsoft.com/office/drawing/2015/06/chart">
            <c:ext xmlns:c16="http://schemas.microsoft.com/office/drawing/2014/chart" uri="{C3380CC4-5D6E-409C-BE32-E72D297353CC}">
              <c16:uniqueId val="{00000002-ACCB-4291-89B5-2440B70CC801}"/>
            </c:ext>
          </c:extLst>
        </c:ser>
        <c:ser>
          <c:idx val="3"/>
          <c:order val="3"/>
          <c:tx>
            <c:strRef>
              <c:f>Sheet1!$A$5</c:f>
              <c:strCache>
                <c:ptCount val="1"/>
                <c:pt idx="0">
                  <c:v>слабая конкуренция</c:v>
                </c:pt>
              </c:strCache>
            </c:strRef>
          </c:tx>
          <c:spPr>
            <a:solidFill>
              <a:srgbClr val="D97A8D"/>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Sheet1!$B$1:$P$1</c:f>
              <c:strCache>
                <c:ptCount val="15"/>
                <c:pt idx="0">
                  <c:v>Рынок строительства объектов капитального строительства, за исключением жилищного и дорожного строительства</c:v>
                </c:pt>
                <c:pt idx="1">
                  <c:v>Рынок товарной аквакультуры</c:v>
                </c:pt>
                <c:pt idx="2">
                  <c:v>Рынок вылова водных биоресурсов</c:v>
                </c:pt>
                <c:pt idx="3">
                  <c:v>Рынок выполнения работ по содержанию и текущему ремонту общего имущества собственников помещений в многоквартирном доме</c:v>
                </c:pt>
                <c:pt idx="4">
                  <c:v>Рынок архитектурно-строительного проектирования</c:v>
                </c:pt>
                <c:pt idx="5">
                  <c:v>Рынок оказания услуг по ремонту автотранспортных средств</c:v>
                </c:pt>
                <c:pt idx="6">
                  <c:v>Рынок нефтепродуктов</c:v>
                </c:pt>
                <c:pt idx="7">
                  <c:v>Рынок племенного животноводства</c:v>
                </c:pt>
                <c:pt idx="8">
                  <c:v>Рынок услуг дополнительного образования детей</c:v>
                </c:pt>
                <c:pt idx="9">
                  <c:v>Рынок социальных услуг</c:v>
                </c:pt>
                <c:pt idx="10">
                  <c:v>Рынок переработки водных биоресурсов</c:v>
                </c:pt>
                <c:pt idx="11">
                  <c:v>Рынок производства кирпича</c:v>
                </c:pt>
                <c:pt idx="12">
                  <c:v>Рынок семеноводства</c:v>
                </c:pt>
                <c:pt idx="13">
                  <c:v>Рынок оказания услуг по перевозке пассажиров автомобильным транспортом по межмуниципальным маршрутам регулярных перевозок</c:v>
                </c:pt>
                <c:pt idx="14">
                  <c:v>Рынок услуг общего образования</c:v>
                </c:pt>
              </c:strCache>
            </c:strRef>
          </c:cat>
          <c:val>
            <c:numRef>
              <c:f>Sheet1!$B$5:$P$5</c:f>
              <c:numCache>
                <c:formatCode>0%</c:formatCode>
                <c:ptCount val="15"/>
                <c:pt idx="0">
                  <c:v>6.382978723404259E-2</c:v>
                </c:pt>
                <c:pt idx="1">
                  <c:v>0.25</c:v>
                </c:pt>
                <c:pt idx="3">
                  <c:v>0.11111111111111099</c:v>
                </c:pt>
                <c:pt idx="4">
                  <c:v>8.8235294117647106E-2</c:v>
                </c:pt>
                <c:pt idx="5">
                  <c:v>0.3125</c:v>
                </c:pt>
                <c:pt idx="6">
                  <c:v>9.0909090909090898E-2</c:v>
                </c:pt>
                <c:pt idx="7">
                  <c:v>0.25</c:v>
                </c:pt>
                <c:pt idx="8">
                  <c:v>0.25</c:v>
                </c:pt>
                <c:pt idx="9">
                  <c:v>0.27777777777777801</c:v>
                </c:pt>
                <c:pt idx="10">
                  <c:v>0.1</c:v>
                </c:pt>
                <c:pt idx="11">
                  <c:v>0.25</c:v>
                </c:pt>
                <c:pt idx="12">
                  <c:v>0.214285714285714</c:v>
                </c:pt>
                <c:pt idx="13">
                  <c:v>0.3</c:v>
                </c:pt>
                <c:pt idx="14">
                  <c:v>0.2</c:v>
                </c:pt>
              </c:numCache>
            </c:numRef>
          </c:val>
          <c:extLst xmlns:c16r2="http://schemas.microsoft.com/office/drawing/2015/06/chart">
            <c:ext xmlns:c16="http://schemas.microsoft.com/office/drawing/2014/chart" uri="{C3380CC4-5D6E-409C-BE32-E72D297353CC}">
              <c16:uniqueId val="{00000003-ACCB-4291-89B5-2440B70CC801}"/>
            </c:ext>
          </c:extLst>
        </c:ser>
        <c:ser>
          <c:idx val="4"/>
          <c:order val="4"/>
          <c:tx>
            <c:strRef>
              <c:f>Sheet1!$A$6</c:f>
              <c:strCache>
                <c:ptCount val="1"/>
                <c:pt idx="0">
                  <c:v>нет конкуренции</c:v>
                </c:pt>
              </c:strCache>
            </c:strRef>
          </c:tx>
          <c:spPr>
            <a:solidFill>
              <a:srgbClr val="59221B"/>
            </a:solidFill>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Sheet1!$B$1:$P$1</c:f>
              <c:strCache>
                <c:ptCount val="15"/>
                <c:pt idx="0">
                  <c:v>Рынок строительства объектов капитального строительства, за исключением жилищного и дорожного строительства</c:v>
                </c:pt>
                <c:pt idx="1">
                  <c:v>Рынок товарной аквакультуры</c:v>
                </c:pt>
                <c:pt idx="2">
                  <c:v>Рынок вылова водных биоресурсов</c:v>
                </c:pt>
                <c:pt idx="3">
                  <c:v>Рынок выполнения работ по содержанию и текущему ремонту общего имущества собственников помещений в многоквартирном доме</c:v>
                </c:pt>
                <c:pt idx="4">
                  <c:v>Рынок архитектурно-строительного проектирования</c:v>
                </c:pt>
                <c:pt idx="5">
                  <c:v>Рынок оказания услуг по ремонту автотранспортных средств</c:v>
                </c:pt>
                <c:pt idx="6">
                  <c:v>Рынок нефтепродуктов</c:v>
                </c:pt>
                <c:pt idx="7">
                  <c:v>Рынок племенного животноводства</c:v>
                </c:pt>
                <c:pt idx="8">
                  <c:v>Рынок услуг дополнительного образования детей</c:v>
                </c:pt>
                <c:pt idx="9">
                  <c:v>Рынок социальных услуг</c:v>
                </c:pt>
                <c:pt idx="10">
                  <c:v>Рынок переработки водных биоресурсов</c:v>
                </c:pt>
                <c:pt idx="11">
                  <c:v>Рынок производства кирпича</c:v>
                </c:pt>
                <c:pt idx="12">
                  <c:v>Рынок семеноводства</c:v>
                </c:pt>
                <c:pt idx="13">
                  <c:v>Рынок оказания услуг по перевозке пассажиров автомобильным транспортом по межмуниципальным маршрутам регулярных перевозок</c:v>
                </c:pt>
                <c:pt idx="14">
                  <c:v>Рынок услуг общего образования</c:v>
                </c:pt>
              </c:strCache>
            </c:strRef>
          </c:cat>
          <c:val>
            <c:numRef>
              <c:f>Sheet1!$B$6:$P$6</c:f>
              <c:numCache>
                <c:formatCode>General</c:formatCode>
                <c:ptCount val="15"/>
                <c:pt idx="0" formatCode="0%">
                  <c:v>6.382978723404259E-2</c:v>
                </c:pt>
                <c:pt idx="2" formatCode="0%">
                  <c:v>0.1</c:v>
                </c:pt>
                <c:pt idx="3" formatCode="0%">
                  <c:v>3.7037037037037E-2</c:v>
                </c:pt>
                <c:pt idx="4" formatCode="0%">
                  <c:v>5.8823529411764698E-2</c:v>
                </c:pt>
                <c:pt idx="5" formatCode="0%">
                  <c:v>6.25E-2</c:v>
                </c:pt>
                <c:pt idx="6" formatCode="0%">
                  <c:v>0.27272727272727298</c:v>
                </c:pt>
                <c:pt idx="7" formatCode="0%">
                  <c:v>0.125</c:v>
                </c:pt>
                <c:pt idx="9" formatCode="0%">
                  <c:v>5.5555555555555601E-2</c:v>
                </c:pt>
                <c:pt idx="13" formatCode="0%">
                  <c:v>0.3</c:v>
                </c:pt>
                <c:pt idx="14" formatCode="0%">
                  <c:v>0.1</c:v>
                </c:pt>
              </c:numCache>
            </c:numRef>
          </c:val>
          <c:extLst xmlns:c16r2="http://schemas.microsoft.com/office/drawing/2015/06/chart">
            <c:ext xmlns:c16="http://schemas.microsoft.com/office/drawing/2014/chart" uri="{C3380CC4-5D6E-409C-BE32-E72D297353CC}">
              <c16:uniqueId val="{00000004-ACCB-4291-89B5-2440B70CC801}"/>
            </c:ext>
          </c:extLst>
        </c:ser>
        <c:ser>
          <c:idx val="5"/>
          <c:order val="5"/>
          <c:tx>
            <c:strRef>
              <c:f>Sheet1!$A$7</c:f>
              <c:strCache>
                <c:ptCount val="1"/>
                <c:pt idx="0">
                  <c:v>Затрудняюсь ответить</c:v>
                </c:pt>
              </c:strCache>
            </c:strRef>
          </c:tx>
          <c:spPr>
            <a:solidFill>
              <a:srgbClr val="E7E6E6">
                <a:lumMod val="75000"/>
              </a:srgbClr>
            </a:solidFill>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Sheet1!$B$1:$P$1</c:f>
              <c:strCache>
                <c:ptCount val="15"/>
                <c:pt idx="0">
                  <c:v>Рынок строительства объектов капитального строительства, за исключением жилищного и дорожного строительства</c:v>
                </c:pt>
                <c:pt idx="1">
                  <c:v>Рынок товарной аквакультуры</c:v>
                </c:pt>
                <c:pt idx="2">
                  <c:v>Рынок вылова водных биоресурсов</c:v>
                </c:pt>
                <c:pt idx="3">
                  <c:v>Рынок выполнения работ по содержанию и текущему ремонту общего имущества собственников помещений в многоквартирном доме</c:v>
                </c:pt>
                <c:pt idx="4">
                  <c:v>Рынок архитектурно-строительного проектирования</c:v>
                </c:pt>
                <c:pt idx="5">
                  <c:v>Рынок оказания услуг по ремонту автотранспортных средств</c:v>
                </c:pt>
                <c:pt idx="6">
                  <c:v>Рынок нефтепродуктов</c:v>
                </c:pt>
                <c:pt idx="7">
                  <c:v>Рынок племенного животноводства</c:v>
                </c:pt>
                <c:pt idx="8">
                  <c:v>Рынок услуг дополнительного образования детей</c:v>
                </c:pt>
                <c:pt idx="9">
                  <c:v>Рынок социальных услуг</c:v>
                </c:pt>
                <c:pt idx="10">
                  <c:v>Рынок переработки водных биоресурсов</c:v>
                </c:pt>
                <c:pt idx="11">
                  <c:v>Рынок производства кирпича</c:v>
                </c:pt>
                <c:pt idx="12">
                  <c:v>Рынок семеноводства</c:v>
                </c:pt>
                <c:pt idx="13">
                  <c:v>Рынок оказания услуг по перевозке пассажиров автомобильным транспортом по межмуниципальным маршрутам регулярных перевозок</c:v>
                </c:pt>
                <c:pt idx="14">
                  <c:v>Рынок услуг общего образования</c:v>
                </c:pt>
              </c:strCache>
            </c:strRef>
          </c:cat>
          <c:val>
            <c:numRef>
              <c:f>Sheet1!$B$7:$P$7</c:f>
              <c:numCache>
                <c:formatCode>0%</c:formatCode>
                <c:ptCount val="15"/>
                <c:pt idx="0">
                  <c:v>0.14893617021276601</c:v>
                </c:pt>
                <c:pt idx="1">
                  <c:v>0.16666666666666699</c:v>
                </c:pt>
                <c:pt idx="3">
                  <c:v>7.4074074074074098E-2</c:v>
                </c:pt>
                <c:pt idx="4">
                  <c:v>8.8235294117647106E-2</c:v>
                </c:pt>
                <c:pt idx="5">
                  <c:v>9.375E-2</c:v>
                </c:pt>
                <c:pt idx="6">
                  <c:v>9.0909090909090898E-2</c:v>
                </c:pt>
                <c:pt idx="8">
                  <c:v>0.16666666666666699</c:v>
                </c:pt>
                <c:pt idx="9">
                  <c:v>2.7777777777777801E-2</c:v>
                </c:pt>
                <c:pt idx="10">
                  <c:v>0.1</c:v>
                </c:pt>
                <c:pt idx="11">
                  <c:v>0.33333333333333298</c:v>
                </c:pt>
                <c:pt idx="12">
                  <c:v>7.1428571428571397E-2</c:v>
                </c:pt>
                <c:pt idx="13">
                  <c:v>0.2</c:v>
                </c:pt>
                <c:pt idx="14">
                  <c:v>0.1</c:v>
                </c:pt>
              </c:numCache>
            </c:numRef>
          </c:val>
          <c:extLst xmlns:c16r2="http://schemas.microsoft.com/office/drawing/2015/06/chart">
            <c:ext xmlns:c16="http://schemas.microsoft.com/office/drawing/2014/chart" uri="{C3380CC4-5D6E-409C-BE32-E72D297353CC}">
              <c16:uniqueId val="{00000005-ACCB-4291-89B5-2440B70CC801}"/>
            </c:ext>
          </c:extLst>
        </c:ser>
        <c:dLbls>
          <c:showLegendKey val="0"/>
          <c:showVal val="0"/>
          <c:showCatName val="0"/>
          <c:showSerName val="0"/>
          <c:showPercent val="0"/>
          <c:showBubbleSize val="0"/>
        </c:dLbls>
        <c:gapWidth val="105"/>
        <c:overlap val="100"/>
        <c:axId val="121018368"/>
        <c:axId val="119800960"/>
      </c:barChart>
      <c:catAx>
        <c:axId val="121018368"/>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950">
                <a:latin typeface="Times New Roman" panose="02020603050405020304" pitchFamily="18" charset="0"/>
                <a:cs typeface="Times New Roman" panose="02020603050405020304" pitchFamily="18" charset="0"/>
              </a:defRPr>
            </a:pPr>
            <a:endParaRPr lang="ru-RU"/>
          </a:p>
        </c:txPr>
        <c:crossAx val="119800960"/>
        <c:crosses val="autoZero"/>
        <c:auto val="1"/>
        <c:lblAlgn val="ctr"/>
        <c:lblOffset val="100"/>
        <c:noMultiLvlLbl val="1"/>
      </c:catAx>
      <c:valAx>
        <c:axId val="119800960"/>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121018368"/>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2.6945518821972748E-2"/>
          <c:y val="0.94023747031621052"/>
          <c:w val="0.89153513964386566"/>
          <c:h val="5.976252968378952E-2"/>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451671240264452"/>
          <c:y val="1.7822881701540297E-2"/>
          <c:w val="0.69992984189803098"/>
          <c:h val="0.83900944966148894"/>
        </c:manualLayout>
      </c:layout>
      <c:barChart>
        <c:barDir val="bar"/>
        <c:grouping val="percentStacked"/>
        <c:varyColors val="0"/>
        <c:ser>
          <c:idx val="0"/>
          <c:order val="0"/>
          <c:tx>
            <c:strRef>
              <c:f>Sheet1!$A$2</c:f>
              <c:strCache>
                <c:ptCount val="1"/>
                <c:pt idx="0">
                  <c:v>Пользовалась</c:v>
                </c:pt>
              </c:strCache>
            </c:strRef>
          </c:tx>
          <c:spPr>
            <a:solidFill>
              <a:srgbClr val="548235"/>
            </a:solidFill>
            <a:ln w="9525" cap="flat">
              <a:noFill/>
              <a:prstDash val="solid"/>
              <a:round/>
            </a:ln>
            <a:effectLst/>
          </c:spPr>
          <c:invertIfNegative val="0"/>
          <c:dLbls>
            <c:dLbl>
              <c:idx val="3"/>
              <c:layout>
                <c:manualLayout>
                  <c:x val="8.202604326873745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F33-4DAF-A9B1-DD66BCCFBE5A}"/>
                </c:ext>
              </c:extLst>
            </c:dLbl>
            <c:dLbl>
              <c:idx val="4"/>
              <c:layout>
                <c:manualLayout>
                  <c:x val="1.0253255408592229E-2"/>
                  <c:y val="1.6851826106006413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F33-4DAF-A9B1-DD66BCCFBE5A}"/>
                </c:ext>
              </c:extLst>
            </c:dLbl>
            <c:dLbl>
              <c:idx val="5"/>
              <c:layout>
                <c:manualLayout>
                  <c:x val="1.0253255408592229E-2"/>
                  <c:y val="1.6851826113853655E-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F33-4DAF-A9B1-DD66BCCFBE5A}"/>
                </c:ext>
              </c:extLst>
            </c:dLbl>
            <c:dLbl>
              <c:idx val="7"/>
              <c:layout>
                <c:manualLayout>
                  <c:x val="1.025325540859222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F33-4DAF-A9B1-DD66BCCFBE5A}"/>
                </c:ext>
              </c:extLst>
            </c:dLbl>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Расчетно-кассовое обслуживание</c:v>
                </c:pt>
                <c:pt idx="1">
                  <c:v>Зарплатные проекты</c:v>
                </c:pt>
                <c:pt idx="2">
                  <c:v>Кредитование</c:v>
                </c:pt>
                <c:pt idx="3">
                  <c:v>Добровольное медицинское страхование (ДМС)</c:v>
                </c:pt>
                <c:pt idx="4">
                  <c:v>Страхование имущества</c:v>
                </c:pt>
                <c:pt idx="5">
                  <c:v>Услуги эквайринга</c:v>
                </c:pt>
                <c:pt idx="6">
                  <c:v>Инвестиционные услуги</c:v>
                </c:pt>
                <c:pt idx="7">
                  <c:v>Услуги микрофинансовых организаций</c:v>
                </c:pt>
              </c:strCache>
            </c:strRef>
          </c:cat>
          <c:val>
            <c:numRef>
              <c:f>Sheet1!$B$2:$I$2</c:f>
              <c:numCache>
                <c:formatCode>0%</c:formatCode>
                <c:ptCount val="8"/>
                <c:pt idx="0">
                  <c:v>0.65400000000000003</c:v>
                </c:pt>
                <c:pt idx="1">
                  <c:v>0.63</c:v>
                </c:pt>
                <c:pt idx="2">
                  <c:v>0.43200000000000005</c:v>
                </c:pt>
                <c:pt idx="3">
                  <c:v>0.434</c:v>
                </c:pt>
                <c:pt idx="4">
                  <c:v>0.42200000000000004</c:v>
                </c:pt>
                <c:pt idx="5">
                  <c:v>0.33600000000000002</c:v>
                </c:pt>
                <c:pt idx="6">
                  <c:v>0.218</c:v>
                </c:pt>
                <c:pt idx="7">
                  <c:v>6.4000000000000001E-2</c:v>
                </c:pt>
              </c:numCache>
            </c:numRef>
          </c:val>
          <c:extLst xmlns:c16r2="http://schemas.microsoft.com/office/drawing/2015/06/chart">
            <c:ext xmlns:c16="http://schemas.microsoft.com/office/drawing/2014/chart" uri="{C3380CC4-5D6E-409C-BE32-E72D297353CC}">
              <c16:uniqueId val="{00000004-0F33-4DAF-A9B1-DD66BCCFBE5A}"/>
            </c:ext>
          </c:extLst>
        </c:ser>
        <c:ser>
          <c:idx val="1"/>
          <c:order val="1"/>
          <c:tx>
            <c:strRef>
              <c:f>Sheet1!$A$3</c:f>
              <c:strCache>
                <c:ptCount val="1"/>
                <c:pt idx="0">
                  <c:v>Не пользовалась</c:v>
                </c:pt>
              </c:strCache>
            </c:strRef>
          </c:tx>
          <c:spPr>
            <a:solidFill>
              <a:srgbClr val="D97A8D"/>
            </a:solidFill>
            <a:ln w="9525" cap="flat">
              <a:noFill/>
              <a:prstDash val="solid"/>
              <a:round/>
            </a:ln>
            <a:effectLst/>
          </c:spPr>
          <c:invertIfNegative val="0"/>
          <c:dLbls>
            <c:dLbl>
              <c:idx val="7"/>
              <c:layout>
                <c:manualLayout>
                  <c:x val="8.202604326873745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F33-4DAF-A9B1-DD66BCCFBE5A}"/>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Расчетно-кассовое обслуживание</c:v>
                </c:pt>
                <c:pt idx="1">
                  <c:v>Зарплатные проекты</c:v>
                </c:pt>
                <c:pt idx="2">
                  <c:v>Кредитование</c:v>
                </c:pt>
                <c:pt idx="3">
                  <c:v>Добровольное медицинское страхование (ДМС)</c:v>
                </c:pt>
                <c:pt idx="4">
                  <c:v>Страхование имущества</c:v>
                </c:pt>
                <c:pt idx="5">
                  <c:v>Услуги эквайринга</c:v>
                </c:pt>
                <c:pt idx="6">
                  <c:v>Инвестиционные услуги</c:v>
                </c:pt>
                <c:pt idx="7">
                  <c:v>Услуги микрофинансовых организаций</c:v>
                </c:pt>
              </c:strCache>
            </c:strRef>
          </c:cat>
          <c:val>
            <c:numRef>
              <c:f>Sheet1!$B$3:$I$3</c:f>
              <c:numCache>
                <c:formatCode>0%</c:formatCode>
                <c:ptCount val="8"/>
                <c:pt idx="0">
                  <c:v>0.23199999999999998</c:v>
                </c:pt>
                <c:pt idx="1">
                  <c:v>0.27399999999999997</c:v>
                </c:pt>
                <c:pt idx="2">
                  <c:v>0.41200000000000003</c:v>
                </c:pt>
                <c:pt idx="3">
                  <c:v>0.44600000000000001</c:v>
                </c:pt>
                <c:pt idx="4">
                  <c:v>0.42</c:v>
                </c:pt>
                <c:pt idx="5">
                  <c:v>0.45</c:v>
                </c:pt>
                <c:pt idx="6">
                  <c:v>0.55600000000000005</c:v>
                </c:pt>
                <c:pt idx="7">
                  <c:v>0.78200000000000003</c:v>
                </c:pt>
              </c:numCache>
            </c:numRef>
          </c:val>
          <c:extLst xmlns:c16r2="http://schemas.microsoft.com/office/drawing/2015/06/chart">
            <c:ext xmlns:c16="http://schemas.microsoft.com/office/drawing/2014/chart" uri="{C3380CC4-5D6E-409C-BE32-E72D297353CC}">
              <c16:uniqueId val="{00000006-0F33-4DAF-A9B1-DD66BCCFBE5A}"/>
            </c:ext>
          </c:extLst>
        </c:ser>
        <c:ser>
          <c:idx val="4"/>
          <c:order val="2"/>
          <c:tx>
            <c:strRef>
              <c:f>Sheet1!$A$4</c:f>
              <c:strCache>
                <c:ptCount val="1"/>
                <c:pt idx="0">
                  <c:v>Затрудняюсь ответить</c:v>
                </c:pt>
              </c:strCache>
            </c:strRef>
          </c:tx>
          <c:spPr>
            <a:solidFill>
              <a:sysClr val="window" lastClr="FFFFFF">
                <a:lumMod val="65000"/>
              </a:sysClr>
            </a:solidFill>
          </c:spPr>
          <c:invertIfNegative val="0"/>
          <c:dLbls>
            <c:dLbl>
              <c:idx val="0"/>
              <c:layout>
                <c:manualLayout>
                  <c:x val="8.602150537634408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F33-4DAF-A9B1-DD66BCCFBE5A}"/>
                </c:ext>
              </c:extLst>
            </c:dLbl>
            <c:dLbl>
              <c:idx val="3"/>
              <c:layout>
                <c:manualLayout>
                  <c:x val="1.0752688172042854E-2"/>
                  <c:y val="-5.1382067117569478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F33-4DAF-A9B1-DD66BCCFBE5A}"/>
                </c:ext>
              </c:extLst>
            </c:dLbl>
            <c:dLbl>
              <c:idx val="5"/>
              <c:layout>
                <c:manualLayout>
                  <c:x val="8.6021505376344086E-3"/>
                  <c:y val="5.1382067117569478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F33-4DAF-A9B1-DD66BCCFBE5A}"/>
                </c:ext>
              </c:extLst>
            </c:dLbl>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Sheet1!$B$1:$I$1</c:f>
              <c:strCache>
                <c:ptCount val="8"/>
                <c:pt idx="0">
                  <c:v>Расчетно-кассовое обслуживание</c:v>
                </c:pt>
                <c:pt idx="1">
                  <c:v>Зарплатные проекты</c:v>
                </c:pt>
                <c:pt idx="2">
                  <c:v>Кредитование</c:v>
                </c:pt>
                <c:pt idx="3">
                  <c:v>Добровольное медицинское страхование (ДМС)</c:v>
                </c:pt>
                <c:pt idx="4">
                  <c:v>Страхование имущества</c:v>
                </c:pt>
                <c:pt idx="5">
                  <c:v>Услуги эквайринга</c:v>
                </c:pt>
                <c:pt idx="6">
                  <c:v>Инвестиционные услуги</c:v>
                </c:pt>
                <c:pt idx="7">
                  <c:v>Услуги микрофинансовых организаций</c:v>
                </c:pt>
              </c:strCache>
            </c:strRef>
          </c:cat>
          <c:val>
            <c:numRef>
              <c:f>Sheet1!$B$4:$I$4</c:f>
              <c:numCache>
                <c:formatCode>0%</c:formatCode>
                <c:ptCount val="8"/>
                <c:pt idx="0">
                  <c:v>0.114</c:v>
                </c:pt>
                <c:pt idx="1">
                  <c:v>9.6000000000000002E-2</c:v>
                </c:pt>
                <c:pt idx="2">
                  <c:v>0.156</c:v>
                </c:pt>
                <c:pt idx="3">
                  <c:v>0.12</c:v>
                </c:pt>
                <c:pt idx="4">
                  <c:v>0.158</c:v>
                </c:pt>
                <c:pt idx="5">
                  <c:v>0.214</c:v>
                </c:pt>
                <c:pt idx="6">
                  <c:v>0.22600000000000001</c:v>
                </c:pt>
                <c:pt idx="7">
                  <c:v>0.154</c:v>
                </c:pt>
              </c:numCache>
            </c:numRef>
          </c:val>
          <c:extLst xmlns:c16r2="http://schemas.microsoft.com/office/drawing/2015/06/chart">
            <c:ext xmlns:c16="http://schemas.microsoft.com/office/drawing/2014/chart" uri="{C3380CC4-5D6E-409C-BE32-E72D297353CC}">
              <c16:uniqueId val="{0000000A-0F33-4DAF-A9B1-DD66BCCFBE5A}"/>
            </c:ext>
          </c:extLst>
        </c:ser>
        <c:dLbls>
          <c:showLegendKey val="0"/>
          <c:showVal val="0"/>
          <c:showCatName val="0"/>
          <c:showSerName val="0"/>
          <c:showPercent val="0"/>
          <c:showBubbleSize val="0"/>
        </c:dLbls>
        <c:gapWidth val="105"/>
        <c:overlap val="100"/>
        <c:axId val="165060096"/>
        <c:axId val="165279936"/>
      </c:barChart>
      <c:catAx>
        <c:axId val="165060096"/>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1000">
                <a:latin typeface="Times New Roman" panose="02020603050405020304" pitchFamily="18" charset="0"/>
                <a:cs typeface="Times New Roman" panose="02020603050405020304" pitchFamily="18" charset="0"/>
              </a:defRPr>
            </a:pPr>
            <a:endParaRPr lang="ru-RU"/>
          </a:p>
        </c:txPr>
        <c:crossAx val="165279936"/>
        <c:crosses val="autoZero"/>
        <c:auto val="1"/>
        <c:lblAlgn val="ctr"/>
        <c:lblOffset val="100"/>
        <c:noMultiLvlLbl val="1"/>
      </c:catAx>
      <c:valAx>
        <c:axId val="165279936"/>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165060096"/>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1.9403841822140722E-2"/>
          <c:y val="0.87581670268744494"/>
          <c:w val="0.97492021433340537"/>
          <c:h val="0.10880516339951889"/>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807657195024236"/>
          <c:y val="1.0887283806216411E-2"/>
          <c:w val="0.48168185838183281"/>
          <c:h val="0.95200030103763711"/>
        </c:manualLayout>
      </c:layout>
      <c:barChart>
        <c:barDir val="bar"/>
        <c:grouping val="clustered"/>
        <c:varyColors val="0"/>
        <c:ser>
          <c:idx val="0"/>
          <c:order val="0"/>
          <c:tx>
            <c:strRef>
              <c:f>Лист1!$B$1</c:f>
              <c:strCache>
                <c:ptCount val="1"/>
                <c:pt idx="0">
                  <c:v>2022</c:v>
                </c:pt>
              </c:strCache>
            </c:strRef>
          </c:tx>
          <c:spPr>
            <a:solidFill>
              <a:srgbClr val="591825"/>
            </a:solidFill>
            <a:ln>
              <a:noFill/>
            </a:ln>
            <a:effectLst/>
          </c:spPr>
          <c:invertIfNegative val="0"/>
          <c:dPt>
            <c:idx val="5"/>
            <c:invertIfNegative val="0"/>
            <c:bubble3D val="0"/>
            <c:extLst xmlns:c16r2="http://schemas.microsoft.com/office/drawing/2015/06/chart">
              <c:ext xmlns:c16="http://schemas.microsoft.com/office/drawing/2014/chart" uri="{C3380CC4-5D6E-409C-BE32-E72D297353CC}">
                <c16:uniqueId val="{00000000-9F33-4A94-951E-E26B74800DD7}"/>
              </c:ext>
            </c:extLst>
          </c:dPt>
          <c:dPt>
            <c:idx val="6"/>
            <c:invertIfNegative val="0"/>
            <c:bubble3D val="0"/>
            <c:spPr>
              <a:solidFill>
                <a:srgbClr val="00B050"/>
              </a:solidFill>
              <a:ln>
                <a:noFill/>
              </a:ln>
              <a:effectLst/>
            </c:spPr>
            <c:extLst xmlns:c16r2="http://schemas.microsoft.com/office/drawing/2015/06/chart">
              <c:ext xmlns:c16="http://schemas.microsoft.com/office/drawing/2014/chart" uri="{C3380CC4-5D6E-409C-BE32-E72D297353CC}">
                <c16:uniqueId val="{00000002-9F33-4A94-951E-E26B74800DD7}"/>
              </c:ext>
            </c:extLst>
          </c:dPt>
          <c:dPt>
            <c:idx val="7"/>
            <c:invertIfNegative val="0"/>
            <c:bubble3D val="0"/>
            <c:spPr>
              <a:solidFill>
                <a:srgbClr val="7F7F7F"/>
              </a:solidFill>
              <a:ln>
                <a:noFill/>
              </a:ln>
              <a:effectLst/>
            </c:spPr>
            <c:extLst xmlns:c16r2="http://schemas.microsoft.com/office/drawing/2015/06/chart">
              <c:ext xmlns:c16="http://schemas.microsoft.com/office/drawing/2014/chart" uri="{C3380CC4-5D6E-409C-BE32-E72D297353CC}">
                <c16:uniqueId val="{00000004-9F33-4A94-951E-E26B74800DD7}"/>
              </c:ext>
            </c:extLst>
          </c:dPt>
          <c:dLbls>
            <c:spPr>
              <a:noFill/>
              <a:ln>
                <a:noFill/>
              </a:ln>
              <a:effectLst/>
            </c:spPr>
            <c:txPr>
              <a:bodyPr rot="0" vert="horz"/>
              <a:lstStyle/>
              <a:p>
                <a:pPr>
                  <a:defRPr sz="1100" baseline="0">
                    <a:latin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Высокая стоимость или невыгодные условия обслуживания</c:v>
                </c:pt>
                <c:pt idx="1">
                  <c:v>Сложная процедура получения услуг </c:v>
                </c:pt>
                <c:pt idx="2">
                  <c:v>Длительный процесс получения услуг</c:v>
                </c:pt>
                <c:pt idx="3">
                  <c:v>Недостаточно развиты каналы дистанционного доступа к услугам</c:v>
                </c:pt>
                <c:pt idx="4">
                  <c:v>Недостаток финансовых организаций</c:v>
                </c:pt>
                <c:pt idx="5">
                  <c:v>Другое</c:v>
                </c:pt>
                <c:pt idx="6">
                  <c:v>Нет барьеров</c:v>
                </c:pt>
                <c:pt idx="7">
                  <c:v>Затрудняюсь ответить</c:v>
                </c:pt>
              </c:strCache>
            </c:strRef>
          </c:cat>
          <c:val>
            <c:numRef>
              <c:f>Лист1!$B$2:$B$9</c:f>
              <c:numCache>
                <c:formatCode>0%</c:formatCode>
                <c:ptCount val="8"/>
                <c:pt idx="0">
                  <c:v>0.34</c:v>
                </c:pt>
                <c:pt idx="1">
                  <c:v>0.29799999999999999</c:v>
                </c:pt>
                <c:pt idx="2">
                  <c:v>0.17399999999999999</c:v>
                </c:pt>
                <c:pt idx="3">
                  <c:v>0.14400000000000002</c:v>
                </c:pt>
                <c:pt idx="4">
                  <c:v>8.5999999999999993E-2</c:v>
                </c:pt>
                <c:pt idx="5">
                  <c:v>1.2E-2</c:v>
                </c:pt>
                <c:pt idx="6">
                  <c:v>0.23</c:v>
                </c:pt>
                <c:pt idx="7">
                  <c:v>0.17</c:v>
                </c:pt>
              </c:numCache>
            </c:numRef>
          </c:val>
          <c:extLst xmlns:c16r2="http://schemas.microsoft.com/office/drawing/2015/06/chart">
            <c:ext xmlns:c16="http://schemas.microsoft.com/office/drawing/2014/chart" uri="{C3380CC4-5D6E-409C-BE32-E72D297353CC}">
              <c16:uniqueId val="{00000005-9F33-4A94-951E-E26B74800DD7}"/>
            </c:ext>
          </c:extLst>
        </c:ser>
        <c:dLbls>
          <c:showLegendKey val="0"/>
          <c:showVal val="0"/>
          <c:showCatName val="0"/>
          <c:showSerName val="0"/>
          <c:showPercent val="0"/>
          <c:showBubbleSize val="0"/>
        </c:dLbls>
        <c:gapWidth val="76"/>
        <c:axId val="165296640"/>
        <c:axId val="166208064"/>
      </c:barChart>
      <c:catAx>
        <c:axId val="1652966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1100" baseline="0">
                <a:latin typeface="Times New Roman" panose="02020603050405020304" pitchFamily="18" charset="0"/>
              </a:defRPr>
            </a:pPr>
            <a:endParaRPr lang="ru-RU"/>
          </a:p>
        </c:txPr>
        <c:crossAx val="166208064"/>
        <c:crosses val="autoZero"/>
        <c:auto val="1"/>
        <c:lblAlgn val="ctr"/>
        <c:lblOffset val="100"/>
        <c:noMultiLvlLbl val="0"/>
      </c:catAx>
      <c:valAx>
        <c:axId val="166208064"/>
        <c:scaling>
          <c:orientation val="minMax"/>
        </c:scaling>
        <c:delete val="1"/>
        <c:axPos val="t"/>
        <c:majorGridlines>
          <c:spPr>
            <a:ln w="9525" cap="flat" cmpd="sng" algn="ctr">
              <a:noFill/>
              <a:round/>
            </a:ln>
            <a:effectLst/>
          </c:spPr>
        </c:majorGridlines>
        <c:numFmt formatCode="0%" sourceLinked="1"/>
        <c:majorTickMark val="none"/>
        <c:minorTickMark val="none"/>
        <c:tickLblPos val="none"/>
        <c:crossAx val="1652966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b="0"/>
      </a:pPr>
      <a:endParaRPr lang="ru-RU"/>
    </a:p>
  </c:txPr>
  <c:externalData r:id="rId2">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9223370516185481"/>
          <c:y val="1.3489704631991424E-2"/>
          <c:w val="0.33767370224555265"/>
          <c:h val="0.96843222062030976"/>
        </c:manualLayout>
      </c:layout>
      <c:barChart>
        <c:barDir val="bar"/>
        <c:grouping val="clustered"/>
        <c:varyColors val="0"/>
        <c:ser>
          <c:idx val="0"/>
          <c:order val="0"/>
          <c:tx>
            <c:strRef>
              <c:f>Лист1!$B$1</c:f>
              <c:strCache>
                <c:ptCount val="1"/>
                <c:pt idx="0">
                  <c:v>Столбец1</c:v>
                </c:pt>
              </c:strCache>
            </c:strRef>
          </c:tx>
          <c:spPr>
            <a:solidFill>
              <a:srgbClr val="59221B"/>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816B-4E1C-95D4-13E85D632F83}"/>
              </c:ext>
            </c:extLst>
          </c:dPt>
          <c:dPt>
            <c:idx val="3"/>
            <c:invertIfNegative val="0"/>
            <c:bubble3D val="0"/>
            <c:spPr>
              <a:solidFill>
                <a:srgbClr val="00B050"/>
              </a:solidFill>
              <a:ln>
                <a:noFill/>
              </a:ln>
              <a:effectLst/>
            </c:spPr>
            <c:extLst xmlns:c16r2="http://schemas.microsoft.com/office/drawing/2015/06/chart">
              <c:ext xmlns:c16="http://schemas.microsoft.com/office/drawing/2014/chart" uri="{C3380CC4-5D6E-409C-BE32-E72D297353CC}">
                <c16:uniqueId val="{00000002-816B-4E1C-95D4-13E85D632F83}"/>
              </c:ext>
            </c:extLst>
          </c:dPt>
          <c:dPt>
            <c:idx val="4"/>
            <c:invertIfNegative val="0"/>
            <c:bubble3D val="0"/>
            <c:spPr>
              <a:solidFill>
                <a:sysClr val="windowText" lastClr="000000">
                  <a:lumMod val="50000"/>
                  <a:lumOff val="50000"/>
                </a:sysClr>
              </a:solidFill>
              <a:ln>
                <a:noFill/>
              </a:ln>
              <a:effectLst/>
            </c:spPr>
            <c:extLst xmlns:c16r2="http://schemas.microsoft.com/office/drawing/2015/06/chart">
              <c:ext xmlns:c16="http://schemas.microsoft.com/office/drawing/2014/chart" uri="{C3380CC4-5D6E-409C-BE32-E72D297353CC}">
                <c16:uniqueId val="{00000004-816B-4E1C-95D4-13E85D632F83}"/>
              </c:ext>
            </c:extLst>
          </c:dPt>
          <c:dLbls>
            <c:dLbl>
              <c:idx val="2"/>
              <c:layout>
                <c:manualLayout>
                  <c:x val="-2.3148148148148147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16B-4E1C-95D4-13E85D632F83}"/>
                </c:ext>
              </c:extLst>
            </c:dLbl>
            <c:spPr>
              <a:noFill/>
              <a:ln>
                <a:noFill/>
              </a:ln>
              <a:effectLst/>
            </c:spPr>
            <c:txPr>
              <a:bodyPr rot="0" vert="horz"/>
              <a:lstStyle/>
              <a:p>
                <a:pPr>
                  <a:defRPr baseline="0">
                    <a:latin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Барьеров стало меньше</c:v>
                </c:pt>
                <c:pt idx="1">
                  <c:v>Барьеров стало больше</c:v>
                </c:pt>
                <c:pt idx="2">
                  <c:v>Барьеры отсутствовали, но сейчас появились</c:v>
                </c:pt>
                <c:pt idx="3">
                  <c:v>Ничего не изменилось</c:v>
                </c:pt>
                <c:pt idx="4">
                  <c:v>Затрудняюсь ответить</c:v>
                </c:pt>
              </c:strCache>
            </c:strRef>
          </c:cat>
          <c:val>
            <c:numRef>
              <c:f>Лист1!$B$2:$B$6</c:f>
              <c:numCache>
                <c:formatCode>0%</c:formatCode>
                <c:ptCount val="5"/>
                <c:pt idx="0">
                  <c:v>0.222</c:v>
                </c:pt>
                <c:pt idx="1">
                  <c:v>0.14800000000000002</c:v>
                </c:pt>
                <c:pt idx="2">
                  <c:v>2.4E-2</c:v>
                </c:pt>
                <c:pt idx="3">
                  <c:v>0.41600000000000004</c:v>
                </c:pt>
                <c:pt idx="4">
                  <c:v>0.19</c:v>
                </c:pt>
              </c:numCache>
            </c:numRef>
          </c:val>
          <c:extLst xmlns:c16r2="http://schemas.microsoft.com/office/drawing/2015/06/chart">
            <c:ext xmlns:c16="http://schemas.microsoft.com/office/drawing/2014/chart" uri="{C3380CC4-5D6E-409C-BE32-E72D297353CC}">
              <c16:uniqueId val="{00000006-816B-4E1C-95D4-13E85D632F83}"/>
            </c:ext>
          </c:extLst>
        </c:ser>
        <c:dLbls>
          <c:showLegendKey val="0"/>
          <c:showVal val="0"/>
          <c:showCatName val="0"/>
          <c:showSerName val="0"/>
          <c:showPercent val="0"/>
          <c:showBubbleSize val="0"/>
        </c:dLbls>
        <c:gapWidth val="69"/>
        <c:axId val="165058560"/>
        <c:axId val="166212096"/>
      </c:barChart>
      <c:catAx>
        <c:axId val="1650585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1100" baseline="0">
                <a:latin typeface="Times New Roman" panose="02020603050405020304" pitchFamily="18" charset="0"/>
              </a:defRPr>
            </a:pPr>
            <a:endParaRPr lang="ru-RU"/>
          </a:p>
        </c:txPr>
        <c:crossAx val="166212096"/>
        <c:crosses val="autoZero"/>
        <c:auto val="1"/>
        <c:lblAlgn val="ctr"/>
        <c:lblOffset val="100"/>
        <c:noMultiLvlLbl val="0"/>
      </c:catAx>
      <c:valAx>
        <c:axId val="166212096"/>
        <c:scaling>
          <c:orientation val="minMax"/>
        </c:scaling>
        <c:delete val="1"/>
        <c:axPos val="t"/>
        <c:majorGridlines>
          <c:spPr>
            <a:ln w="9525" cap="flat" cmpd="sng" algn="ctr">
              <a:noFill/>
              <a:round/>
            </a:ln>
            <a:effectLst/>
          </c:spPr>
        </c:majorGridlines>
        <c:numFmt formatCode="0%" sourceLinked="1"/>
        <c:majorTickMark val="out"/>
        <c:minorTickMark val="none"/>
        <c:tickLblPos val="nextTo"/>
        <c:crossAx val="1650585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b="0">
          <a:solidFill>
            <a:sysClr val="windowText" lastClr="000000"/>
          </a:solidFill>
          <a:latin typeface="+mn-lt"/>
        </a:defRPr>
      </a:pPr>
      <a:endParaRPr lang="ru-RU"/>
    </a:p>
  </c:txPr>
  <c:externalData r:id="rId2">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декабрь 2021</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Российская Федерация</c:v>
                </c:pt>
                <c:pt idx="1">
                  <c:v>СЗФО</c:v>
                </c:pt>
                <c:pt idx="2">
                  <c:v>Республика Карелия</c:v>
                </c:pt>
                <c:pt idx="3">
                  <c:v>Вологодская область</c:v>
                </c:pt>
                <c:pt idx="4">
                  <c:v>Ленинградская область</c:v>
                </c:pt>
                <c:pt idx="5">
                  <c:v>Новгородская область</c:v>
                </c:pt>
                <c:pt idx="6">
                  <c:v>Псковская область</c:v>
                </c:pt>
                <c:pt idx="7">
                  <c:v>Санкт-Петербург</c:v>
                </c:pt>
              </c:strCache>
            </c:strRef>
          </c:cat>
          <c:val>
            <c:numRef>
              <c:f>Лист1!$B$2:$B$9</c:f>
              <c:numCache>
                <c:formatCode>#,##0.00</c:formatCode>
                <c:ptCount val="8"/>
                <c:pt idx="0">
                  <c:v>18728.18</c:v>
                </c:pt>
                <c:pt idx="1">
                  <c:v>19267.18</c:v>
                </c:pt>
                <c:pt idx="2">
                  <c:v>19293.86</c:v>
                </c:pt>
                <c:pt idx="3">
                  <c:v>18625.189999999999</c:v>
                </c:pt>
                <c:pt idx="4">
                  <c:v>18627.64</c:v>
                </c:pt>
                <c:pt idx="5">
                  <c:v>16731.78</c:v>
                </c:pt>
                <c:pt idx="6">
                  <c:v>16967.68</c:v>
                </c:pt>
                <c:pt idx="7">
                  <c:v>19889.43</c:v>
                </c:pt>
              </c:numCache>
            </c:numRef>
          </c:val>
          <c:extLst xmlns:c16r2="http://schemas.microsoft.com/office/drawing/2015/06/chart">
            <c:ext xmlns:c16="http://schemas.microsoft.com/office/drawing/2014/chart" uri="{C3380CC4-5D6E-409C-BE32-E72D297353CC}">
              <c16:uniqueId val="{00000000-5FBE-48D3-84C9-331D9500980B}"/>
            </c:ext>
          </c:extLst>
        </c:ser>
        <c:ser>
          <c:idx val="1"/>
          <c:order val="1"/>
          <c:tx>
            <c:strRef>
              <c:f>Лист1!$C$1</c:f>
              <c:strCache>
                <c:ptCount val="1"/>
                <c:pt idx="0">
                  <c:v>октябрь 2022</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Российская Федерация</c:v>
                </c:pt>
                <c:pt idx="1">
                  <c:v>СЗФО</c:v>
                </c:pt>
                <c:pt idx="2">
                  <c:v>Республика Карелия</c:v>
                </c:pt>
                <c:pt idx="3">
                  <c:v>Вологодская область</c:v>
                </c:pt>
                <c:pt idx="4">
                  <c:v>Ленинградская область</c:v>
                </c:pt>
                <c:pt idx="5">
                  <c:v>Новгородская область</c:v>
                </c:pt>
                <c:pt idx="6">
                  <c:v>Псковская область</c:v>
                </c:pt>
                <c:pt idx="7">
                  <c:v>Санкт-Петербург</c:v>
                </c:pt>
              </c:strCache>
            </c:strRef>
          </c:cat>
          <c:val>
            <c:numRef>
              <c:f>Лист1!$C$2:$C$9</c:f>
              <c:numCache>
                <c:formatCode>#,##0.00</c:formatCode>
                <c:ptCount val="8"/>
                <c:pt idx="0">
                  <c:v>19885.86</c:v>
                </c:pt>
                <c:pt idx="1">
                  <c:v>21036.26</c:v>
                </c:pt>
                <c:pt idx="2">
                  <c:v>20819.189999999999</c:v>
                </c:pt>
                <c:pt idx="3">
                  <c:v>20555.599999999999</c:v>
                </c:pt>
                <c:pt idx="4">
                  <c:v>19882.12</c:v>
                </c:pt>
                <c:pt idx="5">
                  <c:v>17823.099999999999</c:v>
                </c:pt>
                <c:pt idx="6">
                  <c:v>18430.689999999999</c:v>
                </c:pt>
                <c:pt idx="7">
                  <c:v>22030.5</c:v>
                </c:pt>
              </c:numCache>
            </c:numRef>
          </c:val>
          <c:extLst xmlns:c16r2="http://schemas.microsoft.com/office/drawing/2015/06/chart">
            <c:ext xmlns:c16="http://schemas.microsoft.com/office/drawing/2014/chart" uri="{C3380CC4-5D6E-409C-BE32-E72D297353CC}">
              <c16:uniqueId val="{00000001-5FBE-48D3-84C9-331D9500980B}"/>
            </c:ext>
          </c:extLst>
        </c:ser>
        <c:dLbls>
          <c:showLegendKey val="0"/>
          <c:showVal val="0"/>
          <c:showCatName val="0"/>
          <c:showSerName val="0"/>
          <c:showPercent val="0"/>
          <c:showBubbleSize val="0"/>
        </c:dLbls>
        <c:gapWidth val="219"/>
        <c:overlap val="-27"/>
        <c:axId val="166392320"/>
        <c:axId val="166212672"/>
      </c:barChart>
      <c:lineChart>
        <c:grouping val="standard"/>
        <c:varyColors val="0"/>
        <c:ser>
          <c:idx val="2"/>
          <c:order val="2"/>
          <c:tx>
            <c:strRef>
              <c:f>Лист1!$D$1</c:f>
              <c:strCache>
                <c:ptCount val="1"/>
                <c:pt idx="0">
                  <c:v>динамика, % (расчет, правая шкала)</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Российская Федерация</c:v>
                </c:pt>
                <c:pt idx="1">
                  <c:v>СЗФО</c:v>
                </c:pt>
                <c:pt idx="2">
                  <c:v>Республика Карелия</c:v>
                </c:pt>
                <c:pt idx="3">
                  <c:v>Вологодская область</c:v>
                </c:pt>
                <c:pt idx="4">
                  <c:v>Ленинградская область</c:v>
                </c:pt>
                <c:pt idx="5">
                  <c:v>Новгородская область</c:v>
                </c:pt>
                <c:pt idx="6">
                  <c:v>Псковская область</c:v>
                </c:pt>
                <c:pt idx="7">
                  <c:v>Санкт-Петербург</c:v>
                </c:pt>
              </c:strCache>
            </c:strRef>
          </c:cat>
          <c:val>
            <c:numRef>
              <c:f>Лист1!$D$2:$D$9</c:f>
              <c:numCache>
                <c:formatCode>#,##0.0</c:formatCode>
                <c:ptCount val="8"/>
                <c:pt idx="0">
                  <c:v>106.18148693573002</c:v>
                </c:pt>
                <c:pt idx="1">
                  <c:v>109.18183148753475</c:v>
                </c:pt>
                <c:pt idx="2">
                  <c:v>107.90577935156571</c:v>
                </c:pt>
                <c:pt idx="3">
                  <c:v>110.36451171773281</c:v>
                </c:pt>
                <c:pt idx="4">
                  <c:v>106.73450850456634</c:v>
                </c:pt>
                <c:pt idx="5">
                  <c:v>106.5224381386798</c:v>
                </c:pt>
                <c:pt idx="6">
                  <c:v>108.62233375452624</c:v>
                </c:pt>
                <c:pt idx="7">
                  <c:v>110.7648635481258</c:v>
                </c:pt>
              </c:numCache>
            </c:numRef>
          </c:val>
          <c:smooth val="0"/>
          <c:extLst xmlns:c16r2="http://schemas.microsoft.com/office/drawing/2015/06/chart">
            <c:ext xmlns:c16="http://schemas.microsoft.com/office/drawing/2014/chart" uri="{C3380CC4-5D6E-409C-BE32-E72D297353CC}">
              <c16:uniqueId val="{00000002-5FBE-48D3-84C9-331D9500980B}"/>
            </c:ext>
          </c:extLst>
        </c:ser>
        <c:dLbls>
          <c:showLegendKey val="0"/>
          <c:showVal val="0"/>
          <c:showCatName val="0"/>
          <c:showSerName val="0"/>
          <c:showPercent val="0"/>
          <c:showBubbleSize val="0"/>
        </c:dLbls>
        <c:marker val="1"/>
        <c:smooth val="0"/>
        <c:axId val="166393344"/>
        <c:axId val="166213248"/>
      </c:lineChart>
      <c:catAx>
        <c:axId val="166392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6212672"/>
        <c:crosses val="autoZero"/>
        <c:auto val="1"/>
        <c:lblAlgn val="ctr"/>
        <c:lblOffset val="100"/>
        <c:noMultiLvlLbl val="0"/>
      </c:catAx>
      <c:valAx>
        <c:axId val="166212672"/>
        <c:scaling>
          <c:orientation val="minMax"/>
          <c:max val="30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6392320"/>
        <c:crosses val="autoZero"/>
        <c:crossBetween val="between"/>
      </c:valAx>
      <c:valAx>
        <c:axId val="166213248"/>
        <c:scaling>
          <c:orientation val="minMax"/>
          <c:max val="125"/>
          <c:min val="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6393344"/>
        <c:crosses val="max"/>
        <c:crossBetween val="between"/>
        <c:majorUnit val="50"/>
      </c:valAx>
      <c:catAx>
        <c:axId val="166393344"/>
        <c:scaling>
          <c:orientation val="minMax"/>
        </c:scaling>
        <c:delete val="1"/>
        <c:axPos val="b"/>
        <c:numFmt formatCode="General" sourceLinked="1"/>
        <c:majorTickMark val="out"/>
        <c:minorTickMark val="none"/>
        <c:tickLblPos val="nextTo"/>
        <c:crossAx val="16621324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412504951128613"/>
          <c:y val="4.7303521022136384E-2"/>
          <c:w val="0.50241242476107006"/>
          <c:h val="0.93317793636237889"/>
        </c:manualLayout>
      </c:layout>
      <c:barChart>
        <c:barDir val="bar"/>
        <c:grouping val="clustered"/>
        <c:varyColors val="0"/>
        <c:ser>
          <c:idx val="0"/>
          <c:order val="0"/>
          <c:tx>
            <c:strRef>
              <c:f>Лист1!$B$1</c:f>
              <c:strCache>
                <c:ptCount val="1"/>
                <c:pt idx="0">
                  <c:v>ИПЦ октябрь 2022 к декабрю 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Лист1!$A$2:$A$25</c:f>
              <c:strCache>
                <c:ptCount val="24"/>
                <c:pt idx="0">
                  <c:v>Соль поваренная пищевая, кг</c:v>
                </c:pt>
                <c:pt idx="1">
                  <c:v>Рис шлифованный, кг</c:v>
                </c:pt>
                <c:pt idx="2">
                  <c:v>Чай черный байховый, кг</c:v>
                </c:pt>
                <c:pt idx="3">
                  <c:v>Говядина (кроме бескостного мяса), кг</c:v>
                </c:pt>
                <c:pt idx="4">
                  <c:v>Масло сливочное, кг</c:v>
                </c:pt>
                <c:pt idx="5">
                  <c:v>Молоко питьевое цельное пастеризованное 2,5-3,2% жирности, л</c:v>
                </c:pt>
                <c:pt idx="6">
                  <c:v>Масло подсолнечное, л</c:v>
                </c:pt>
                <c:pt idx="7">
                  <c:v>Сахар-песок, кг</c:v>
                </c:pt>
                <c:pt idx="8">
                  <c:v>Вермишель, кг</c:v>
                </c:pt>
                <c:pt idx="9">
                  <c:v>Мука пшеничная, кг</c:v>
                </c:pt>
                <c:pt idx="10">
                  <c:v>Рыба мороженая неразделанная, кг</c:v>
                </c:pt>
                <c:pt idx="11">
                  <c:v>Куры охлажденные и мороженые, кг</c:v>
                </c:pt>
                <c:pt idx="12">
                  <c:v>Хлеб и булочные изделия из пшеничной муки различных сортов, кг</c:v>
                </c:pt>
                <c:pt idx="13">
                  <c:v>Хлеб из ржаной муки и из смеси муки ржаной и пшеничной, кг</c:v>
                </c:pt>
                <c:pt idx="14">
                  <c:v>Яблоки, кг</c:v>
                </c:pt>
                <c:pt idx="15">
                  <c:v>Крупа гречневая-ядрица, кг</c:v>
                </c:pt>
                <c:pt idx="16">
                  <c:v>Пшено, кг</c:v>
                </c:pt>
                <c:pt idx="17">
                  <c:v>Лук репчатый, кг</c:v>
                </c:pt>
                <c:pt idx="18">
                  <c:v>Свинина (кроме бескостного мяса), кг</c:v>
                </c:pt>
                <c:pt idx="19">
                  <c:v>Баранина (кроме бескостного мяса), кг</c:v>
                </c:pt>
                <c:pt idx="20">
                  <c:v>Яйца куриные, 10 шт.</c:v>
                </c:pt>
                <c:pt idx="21">
                  <c:v>Морковь, кг</c:v>
                </c:pt>
                <c:pt idx="22">
                  <c:v>Картофель, кг</c:v>
                </c:pt>
                <c:pt idx="23">
                  <c:v>Капуста белокочанная свежая, кг</c:v>
                </c:pt>
              </c:strCache>
            </c:strRef>
          </c:cat>
          <c:val>
            <c:numRef>
              <c:f>Лист1!$B$2:$B$25</c:f>
              <c:numCache>
                <c:formatCode>0.0</c:formatCode>
                <c:ptCount val="24"/>
                <c:pt idx="0">
                  <c:v>127.49</c:v>
                </c:pt>
                <c:pt idx="1">
                  <c:v>124.82</c:v>
                </c:pt>
                <c:pt idx="2">
                  <c:v>122.26</c:v>
                </c:pt>
                <c:pt idx="3">
                  <c:v>114.89</c:v>
                </c:pt>
                <c:pt idx="4">
                  <c:v>113.17</c:v>
                </c:pt>
                <c:pt idx="5">
                  <c:v>112.8</c:v>
                </c:pt>
                <c:pt idx="6">
                  <c:v>112.47</c:v>
                </c:pt>
                <c:pt idx="7">
                  <c:v>110.32</c:v>
                </c:pt>
                <c:pt idx="8">
                  <c:v>109.85</c:v>
                </c:pt>
                <c:pt idx="9">
                  <c:v>109.67</c:v>
                </c:pt>
                <c:pt idx="10">
                  <c:v>106.12</c:v>
                </c:pt>
                <c:pt idx="11">
                  <c:v>105.85</c:v>
                </c:pt>
                <c:pt idx="12">
                  <c:v>105.1</c:v>
                </c:pt>
                <c:pt idx="13">
                  <c:v>104.67</c:v>
                </c:pt>
                <c:pt idx="14">
                  <c:v>102.86</c:v>
                </c:pt>
                <c:pt idx="15">
                  <c:v>100.16</c:v>
                </c:pt>
                <c:pt idx="16">
                  <c:v>97.99</c:v>
                </c:pt>
                <c:pt idx="17">
                  <c:v>97.63</c:v>
                </c:pt>
                <c:pt idx="18">
                  <c:v>95.94</c:v>
                </c:pt>
                <c:pt idx="19">
                  <c:v>95.2</c:v>
                </c:pt>
                <c:pt idx="20">
                  <c:v>93.64</c:v>
                </c:pt>
                <c:pt idx="21">
                  <c:v>71.150000000000006</c:v>
                </c:pt>
                <c:pt idx="22">
                  <c:v>63.21</c:v>
                </c:pt>
                <c:pt idx="23">
                  <c:v>39.71</c:v>
                </c:pt>
              </c:numCache>
            </c:numRef>
          </c:val>
          <c:extLst xmlns:c16r2="http://schemas.microsoft.com/office/drawing/2015/06/chart">
            <c:ext xmlns:c16="http://schemas.microsoft.com/office/drawing/2014/chart" uri="{C3380CC4-5D6E-409C-BE32-E72D297353CC}">
              <c16:uniqueId val="{00000000-6E97-42A4-B545-F1A19583B295}"/>
            </c:ext>
          </c:extLst>
        </c:ser>
        <c:dLbls>
          <c:showLegendKey val="0"/>
          <c:showVal val="0"/>
          <c:showCatName val="0"/>
          <c:showSerName val="0"/>
          <c:showPercent val="0"/>
          <c:showBubbleSize val="0"/>
        </c:dLbls>
        <c:gapWidth val="182"/>
        <c:axId val="31699456"/>
        <c:axId val="166213824"/>
      </c:barChart>
      <c:catAx>
        <c:axId val="31699456"/>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6213824"/>
        <c:crosses val="autoZero"/>
        <c:auto val="1"/>
        <c:lblAlgn val="ctr"/>
        <c:lblOffset val="100"/>
        <c:noMultiLvlLbl val="0"/>
      </c:catAx>
      <c:valAx>
        <c:axId val="166213824"/>
        <c:scaling>
          <c:orientation val="minMax"/>
          <c:max val="140"/>
          <c:min val="0"/>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1699456"/>
        <c:crosses val="autoZero"/>
        <c:crossBetween val="between"/>
        <c:majorUnit val="100"/>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Количество каналов связи (адресов социально значимых объектов), ед.</a:t>
            </a:r>
          </a:p>
        </c:rich>
      </c:tx>
      <c:overlay val="0"/>
    </c:title>
    <c:autoTitleDeleted val="0"/>
    <c:view3D>
      <c:rotX val="15"/>
      <c:rotY val="30"/>
      <c:depthPercent val="100"/>
      <c:rAngAx val="1"/>
    </c:view3D>
    <c:floor>
      <c:thickness val="0"/>
    </c:floor>
    <c:sideWall>
      <c:thickness val="0"/>
    </c:sideWall>
    <c:backWall>
      <c:thickness val="0"/>
    </c:backWall>
    <c:plotArea>
      <c:layout/>
      <c:bar3DChart>
        <c:barDir val="col"/>
        <c:grouping val="clustered"/>
        <c:varyColors val="0"/>
        <c:ser>
          <c:idx val="0"/>
          <c:order val="0"/>
          <c:tx>
            <c:strRef>
              <c:f>'Диаграма ЕСПД'!$B$2</c:f>
              <c:strCache>
                <c:ptCount val="1"/>
                <c:pt idx="0">
                  <c:v>Количество каналов связи (адресов социально значимых объектов)</c:v>
                </c:pt>
              </c:strCache>
            </c:strRef>
          </c:tx>
          <c:invertIfNegative val="0"/>
          <c:dLbls>
            <c:dLbl>
              <c:idx val="0"/>
              <c:layout>
                <c:manualLayout>
                  <c:x val="-8.1052068614724596E-3"/>
                  <c:y val="0.15870871683972682"/>
                </c:manualLayout>
              </c:layout>
              <c:showLegendKey val="0"/>
              <c:showVal val="1"/>
              <c:showCatName val="0"/>
              <c:showSerName val="0"/>
              <c:showPercent val="0"/>
              <c:showBubbleSize val="0"/>
            </c:dLbl>
            <c:dLbl>
              <c:idx val="1"/>
              <c:layout>
                <c:manualLayout>
                  <c:x val="-3.7148435639850179E-17"/>
                  <c:y val="0.24562063320433911"/>
                </c:manualLayout>
              </c:layout>
              <c:showLegendKey val="0"/>
              <c:showVal val="1"/>
              <c:showCatName val="0"/>
              <c:showSerName val="0"/>
              <c:showPercent val="0"/>
              <c:showBubbleSize val="0"/>
            </c:dLbl>
            <c:dLbl>
              <c:idx val="2"/>
              <c:layout>
                <c:manualLayout>
                  <c:x val="-2.0263017153681106E-3"/>
                  <c:y val="0.26451452806621134"/>
                </c:manualLayout>
              </c:layout>
              <c:showLegendKey val="0"/>
              <c:showVal val="1"/>
              <c:showCatName val="0"/>
              <c:showSerName val="0"/>
              <c:showPercent val="0"/>
              <c:showBubbleSize val="0"/>
            </c:dLbl>
            <c:dLbl>
              <c:idx val="3"/>
              <c:layout>
                <c:manualLayout>
                  <c:x val="0"/>
                  <c:y val="0.31363865470707902"/>
                </c:manualLayout>
              </c:layout>
              <c:showLegendKey val="0"/>
              <c:showVal val="1"/>
              <c:showCatName val="0"/>
              <c:showSerName val="0"/>
              <c:showPercent val="0"/>
              <c:showBubbleSize val="0"/>
            </c:dLbl>
            <c:dLbl>
              <c:idx val="4"/>
              <c:layout>
                <c:manualLayout>
                  <c:x val="-7.4296871279700357E-17"/>
                  <c:y val="0.27207208601096022"/>
                </c:manualLayout>
              </c:layout>
              <c:showLegendKey val="0"/>
              <c:showVal val="1"/>
              <c:showCatName val="0"/>
              <c:showSerName val="0"/>
              <c:showPercent val="0"/>
              <c:showBubbleSize val="0"/>
            </c:dLbl>
            <c:dLbl>
              <c:idx val="5"/>
              <c:layout>
                <c:manualLayout>
                  <c:x val="4.0526034307362211E-3"/>
                  <c:y val="0.23806307525959028"/>
                </c:manualLayout>
              </c:layout>
              <c:showLegendKey val="0"/>
              <c:showVal val="1"/>
              <c:showCatName val="0"/>
              <c:showSerName val="0"/>
              <c:showPercent val="0"/>
              <c:showBubbleSize val="0"/>
            </c:dLbl>
            <c:dLbl>
              <c:idx val="6"/>
              <c:layout>
                <c:manualLayout>
                  <c:x val="8.105206861472293E-3"/>
                  <c:y val="0.18893894861872232"/>
                </c:manualLayout>
              </c:layout>
              <c:showLegendKey val="0"/>
              <c:showVal val="1"/>
              <c:showCatName val="0"/>
              <c:showSerName val="0"/>
              <c:showPercent val="0"/>
              <c:showBubbleSize val="0"/>
            </c:dLbl>
            <c:dLbl>
              <c:idx val="7"/>
              <c:layout>
                <c:manualLayout>
                  <c:x val="0"/>
                  <c:y val="0.30985987573470475"/>
                </c:manualLayout>
              </c:layout>
              <c:showLegendKey val="0"/>
              <c:showVal val="1"/>
              <c:showCatName val="0"/>
              <c:showSerName val="0"/>
              <c:showPercent val="0"/>
              <c:showBubbleSize val="0"/>
            </c:dLbl>
            <c:txPr>
              <a:bodyPr/>
              <a:lstStyle/>
              <a:p>
                <a:pPr>
                  <a:defRPr sz="1600" b="1">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'Диаграма ЕСПД'!$A$3:$A$10</c:f>
              <c:numCache>
                <c:formatCode>General</c:formatCode>
                <c:ptCount val="8"/>
                <c:pt idx="0">
                  <c:v>2015</c:v>
                </c:pt>
                <c:pt idx="1">
                  <c:v>2016</c:v>
                </c:pt>
                <c:pt idx="2">
                  <c:v>2017</c:v>
                </c:pt>
                <c:pt idx="3">
                  <c:v>2018</c:v>
                </c:pt>
                <c:pt idx="4">
                  <c:v>2019</c:v>
                </c:pt>
                <c:pt idx="5">
                  <c:v>2020</c:v>
                </c:pt>
                <c:pt idx="6">
                  <c:v>2021</c:v>
                </c:pt>
                <c:pt idx="7">
                  <c:v>2022</c:v>
                </c:pt>
              </c:numCache>
            </c:numRef>
          </c:cat>
          <c:val>
            <c:numRef>
              <c:f>'Диаграма ЕСПД'!$B$3:$B$10</c:f>
              <c:numCache>
                <c:formatCode>General</c:formatCode>
                <c:ptCount val="8"/>
                <c:pt idx="0">
                  <c:v>171</c:v>
                </c:pt>
                <c:pt idx="1">
                  <c:v>271</c:v>
                </c:pt>
                <c:pt idx="2">
                  <c:v>310</c:v>
                </c:pt>
                <c:pt idx="3">
                  <c:v>389</c:v>
                </c:pt>
                <c:pt idx="4">
                  <c:v>394</c:v>
                </c:pt>
                <c:pt idx="5">
                  <c:v>401</c:v>
                </c:pt>
                <c:pt idx="6">
                  <c:v>403</c:v>
                </c:pt>
                <c:pt idx="7">
                  <c:v>545</c:v>
                </c:pt>
              </c:numCache>
            </c:numRef>
          </c:val>
        </c:ser>
        <c:dLbls>
          <c:showLegendKey val="0"/>
          <c:showVal val="0"/>
          <c:showCatName val="0"/>
          <c:showSerName val="0"/>
          <c:showPercent val="0"/>
          <c:showBubbleSize val="0"/>
        </c:dLbls>
        <c:gapWidth val="0"/>
        <c:gapDepth val="0"/>
        <c:shape val="box"/>
        <c:axId val="165466112"/>
        <c:axId val="150873792"/>
        <c:axId val="0"/>
      </c:bar3DChart>
      <c:catAx>
        <c:axId val="165466112"/>
        <c:scaling>
          <c:orientation val="minMax"/>
        </c:scaling>
        <c:delete val="0"/>
        <c:axPos val="b"/>
        <c:numFmt formatCode="General" sourceLinked="1"/>
        <c:majorTickMark val="none"/>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150873792"/>
        <c:crosses val="autoZero"/>
        <c:auto val="1"/>
        <c:lblAlgn val="ctr"/>
        <c:lblOffset val="100"/>
        <c:noMultiLvlLbl val="0"/>
      </c:catAx>
      <c:valAx>
        <c:axId val="150873792"/>
        <c:scaling>
          <c:orientation val="minMax"/>
        </c:scaling>
        <c:delete val="0"/>
        <c:axPos val="l"/>
        <c:title>
          <c:tx>
            <c:rich>
              <a:bodyPr/>
              <a:lstStyle/>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Количество каналов связи 
(адресов социально значимых объектов)</a:t>
                </a:r>
              </a:p>
            </c:rich>
          </c:tx>
          <c:layout>
            <c:manualLayout>
              <c:xMode val="edge"/>
              <c:yMode val="edge"/>
              <c:x val="2.947231912305491E-2"/>
              <c:y val="0.1551493563304587"/>
            </c:manualLayout>
          </c:layout>
          <c:overlay val="0"/>
        </c:title>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165466112"/>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1450194483415901"/>
          <c:y val="9.5414160186498426E-3"/>
          <c:w val="0.48212356641348475"/>
          <c:h val="0.90439961671457736"/>
        </c:manualLayout>
      </c:layout>
      <c:barChart>
        <c:barDir val="bar"/>
        <c:grouping val="percentStacked"/>
        <c:varyColors val="0"/>
        <c:ser>
          <c:idx val="0"/>
          <c:order val="0"/>
          <c:tx>
            <c:strRef>
              <c:f>Sheet1!$A$2</c:f>
              <c:strCache>
                <c:ptCount val="1"/>
                <c:pt idx="0">
                  <c:v>очень высокая конкуренция</c:v>
                </c:pt>
              </c:strCache>
            </c:strRef>
          </c:tx>
          <c:spPr>
            <a:solidFill>
              <a:srgbClr val="548235"/>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Sheet1!$B$1:$K$1</c:f>
              <c:strCache>
                <c:ptCount val="10"/>
                <c:pt idx="0">
                  <c:v>Рынок услуг среднего профессионального образования</c:v>
                </c:pt>
                <c:pt idx="1">
                  <c:v>Рынок услуг по сбору и транспортированию твердых коммунальных отходов</c:v>
                </c:pt>
                <c:pt idx="2">
                  <c:v>Рынок услуг дошкольного образования</c:v>
                </c:pt>
                <c:pt idx="3">
                  <c:v>Рынок теплоснабжения (производство тепловой энергии)</c:v>
                </c:pt>
                <c:pt idx="4">
                  <c:v>Рынок производства бетона</c:v>
                </c:pt>
                <c:pt idx="5">
                  <c:v>Рынок услуг жилищно-коммунального хозяйства</c:v>
                </c:pt>
                <c:pt idx="6">
                  <c:v>Рынок купли-продажи электрической энергии (мощности) на розничном рынке электрической энергии (мощности)</c:v>
                </c:pt>
                <c:pt idx="7">
                  <c:v>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c:v>
                </c:pt>
                <c:pt idx="8">
                  <c:v>Рынок оказания услуг по перевозке пассажиров автомобильным транспортом по муниципальным маршрутам регулярных перевозок</c:v>
                </c:pt>
                <c:pt idx="9">
                  <c:v>Рынок услуг детского отдыха и оздоровления</c:v>
                </c:pt>
              </c:strCache>
            </c:strRef>
          </c:cat>
          <c:val>
            <c:numRef>
              <c:f>Sheet1!$B$2:$K$2</c:f>
              <c:numCache>
                <c:formatCode>General</c:formatCode>
                <c:ptCount val="10"/>
              </c:numCache>
            </c:numRef>
          </c:val>
          <c:extLst xmlns:c16r2="http://schemas.microsoft.com/office/drawing/2015/06/chart">
            <c:ext xmlns:c16="http://schemas.microsoft.com/office/drawing/2014/chart" uri="{C3380CC4-5D6E-409C-BE32-E72D297353CC}">
              <c16:uniqueId val="{00000000-AD86-416E-8678-B33A34C8EC3C}"/>
            </c:ext>
          </c:extLst>
        </c:ser>
        <c:ser>
          <c:idx val="1"/>
          <c:order val="1"/>
          <c:tx>
            <c:strRef>
              <c:f>Sheet1!$A$3</c:f>
              <c:strCache>
                <c:ptCount val="1"/>
                <c:pt idx="0">
                  <c:v>высокая конкуренция</c:v>
                </c:pt>
              </c:strCache>
            </c:strRef>
          </c:tx>
          <c:spPr>
            <a:solidFill>
              <a:srgbClr val="A9D18E"/>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Sheet1!$B$1:$K$1</c:f>
              <c:strCache>
                <c:ptCount val="10"/>
                <c:pt idx="0">
                  <c:v>Рынок услуг среднего профессионального образования</c:v>
                </c:pt>
                <c:pt idx="1">
                  <c:v>Рынок услуг по сбору и транспортированию твердых коммунальных отходов</c:v>
                </c:pt>
                <c:pt idx="2">
                  <c:v>Рынок услуг дошкольного образования</c:v>
                </c:pt>
                <c:pt idx="3">
                  <c:v>Рынок теплоснабжения (производство тепловой энергии)</c:v>
                </c:pt>
                <c:pt idx="4">
                  <c:v>Рынок производства бетона</c:v>
                </c:pt>
                <c:pt idx="5">
                  <c:v>Рынок услуг жилищно-коммунального хозяйства</c:v>
                </c:pt>
                <c:pt idx="6">
                  <c:v>Рынок купли-продажи электрической энергии (мощности) на розничном рынке электрической энергии (мощности)</c:v>
                </c:pt>
                <c:pt idx="7">
                  <c:v>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c:v>
                </c:pt>
                <c:pt idx="8">
                  <c:v>Рынок оказания услуг по перевозке пассажиров автомобильным транспортом по муниципальным маршрутам регулярных перевозок</c:v>
                </c:pt>
                <c:pt idx="9">
                  <c:v>Рынок услуг детского отдыха и оздоровления</c:v>
                </c:pt>
              </c:strCache>
            </c:strRef>
          </c:cat>
          <c:val>
            <c:numRef>
              <c:f>Sheet1!$B$3:$K$3</c:f>
              <c:numCache>
                <c:formatCode>0%</c:formatCode>
                <c:ptCount val="10"/>
                <c:pt idx="0">
                  <c:v>0.1</c:v>
                </c:pt>
                <c:pt idx="1">
                  <c:v>0.1</c:v>
                </c:pt>
                <c:pt idx="2">
                  <c:v>9.0909090909090898E-2</c:v>
                </c:pt>
                <c:pt idx="3">
                  <c:v>9.0909090909090898E-2</c:v>
                </c:pt>
                <c:pt idx="4">
                  <c:v>8.3333333333333301E-2</c:v>
                </c:pt>
                <c:pt idx="5">
                  <c:v>6.6666666666666693E-2</c:v>
                </c:pt>
              </c:numCache>
            </c:numRef>
          </c:val>
          <c:extLst xmlns:c16r2="http://schemas.microsoft.com/office/drawing/2015/06/chart">
            <c:ext xmlns:c16="http://schemas.microsoft.com/office/drawing/2014/chart" uri="{C3380CC4-5D6E-409C-BE32-E72D297353CC}">
              <c16:uniqueId val="{00000001-AD86-416E-8678-B33A34C8EC3C}"/>
            </c:ext>
          </c:extLst>
        </c:ser>
        <c:ser>
          <c:idx val="2"/>
          <c:order val="2"/>
          <c:tx>
            <c:strRef>
              <c:f>Sheet1!$A$4</c:f>
              <c:strCache>
                <c:ptCount val="1"/>
                <c:pt idx="0">
                  <c:v>умеренная конкуренция</c:v>
                </c:pt>
              </c:strCache>
            </c:strRef>
          </c:tx>
          <c:spPr>
            <a:solidFill>
              <a:srgbClr val="FFC000"/>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Sheet1!$B$1:$K$1</c:f>
              <c:strCache>
                <c:ptCount val="10"/>
                <c:pt idx="0">
                  <c:v>Рынок услуг среднего профессионального образования</c:v>
                </c:pt>
                <c:pt idx="1">
                  <c:v>Рынок услуг по сбору и транспортированию твердых коммунальных отходов</c:v>
                </c:pt>
                <c:pt idx="2">
                  <c:v>Рынок услуг дошкольного образования</c:v>
                </c:pt>
                <c:pt idx="3">
                  <c:v>Рынок теплоснабжения (производство тепловой энергии)</c:v>
                </c:pt>
                <c:pt idx="4">
                  <c:v>Рынок производства бетона</c:v>
                </c:pt>
                <c:pt idx="5">
                  <c:v>Рынок услуг жилищно-коммунального хозяйства</c:v>
                </c:pt>
                <c:pt idx="6">
                  <c:v>Рынок купли-продажи электрической энергии (мощности) на розничном рынке электрической энергии (мощности)</c:v>
                </c:pt>
                <c:pt idx="7">
                  <c:v>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c:v>
                </c:pt>
                <c:pt idx="8">
                  <c:v>Рынок оказания услуг по перевозке пассажиров автомобильным транспортом по муниципальным маршрутам регулярных перевозок</c:v>
                </c:pt>
                <c:pt idx="9">
                  <c:v>Рынок услуг детского отдыха и оздоровления</c:v>
                </c:pt>
              </c:strCache>
            </c:strRef>
          </c:cat>
          <c:val>
            <c:numRef>
              <c:f>Sheet1!$B$4:$K$4</c:f>
              <c:numCache>
                <c:formatCode>0%</c:formatCode>
                <c:ptCount val="10"/>
                <c:pt idx="0">
                  <c:v>0.7</c:v>
                </c:pt>
                <c:pt idx="1">
                  <c:v>0.3</c:v>
                </c:pt>
                <c:pt idx="2">
                  <c:v>0.36363636363636404</c:v>
                </c:pt>
                <c:pt idx="3">
                  <c:v>0.54545454545454497</c:v>
                </c:pt>
                <c:pt idx="4">
                  <c:v>0.16666666666666699</c:v>
                </c:pt>
                <c:pt idx="5">
                  <c:v>0.6</c:v>
                </c:pt>
                <c:pt idx="6">
                  <c:v>0.2</c:v>
                </c:pt>
                <c:pt idx="7">
                  <c:v>0.3</c:v>
                </c:pt>
                <c:pt idx="8">
                  <c:v>0.45454545454545503</c:v>
                </c:pt>
                <c:pt idx="9">
                  <c:v>0.8</c:v>
                </c:pt>
              </c:numCache>
            </c:numRef>
          </c:val>
          <c:extLst xmlns:c16r2="http://schemas.microsoft.com/office/drawing/2015/06/chart">
            <c:ext xmlns:c16="http://schemas.microsoft.com/office/drawing/2014/chart" uri="{C3380CC4-5D6E-409C-BE32-E72D297353CC}">
              <c16:uniqueId val="{00000002-AD86-416E-8678-B33A34C8EC3C}"/>
            </c:ext>
          </c:extLst>
        </c:ser>
        <c:ser>
          <c:idx val="3"/>
          <c:order val="3"/>
          <c:tx>
            <c:strRef>
              <c:f>Sheet1!$A$5</c:f>
              <c:strCache>
                <c:ptCount val="1"/>
                <c:pt idx="0">
                  <c:v>слабая конкуренция</c:v>
                </c:pt>
              </c:strCache>
            </c:strRef>
          </c:tx>
          <c:spPr>
            <a:solidFill>
              <a:srgbClr val="D97A8D"/>
            </a:solidFill>
            <a:ln w="9525" cap="flat">
              <a:noFill/>
              <a:prstDash val="solid"/>
              <a:round/>
            </a:ln>
            <a:effectLst/>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Sheet1!$B$1:$K$1</c:f>
              <c:strCache>
                <c:ptCount val="10"/>
                <c:pt idx="0">
                  <c:v>Рынок услуг среднего профессионального образования</c:v>
                </c:pt>
                <c:pt idx="1">
                  <c:v>Рынок услуг по сбору и транспортированию твердых коммунальных отходов</c:v>
                </c:pt>
                <c:pt idx="2">
                  <c:v>Рынок услуг дошкольного образования</c:v>
                </c:pt>
                <c:pt idx="3">
                  <c:v>Рынок теплоснабжения (производство тепловой энергии)</c:v>
                </c:pt>
                <c:pt idx="4">
                  <c:v>Рынок производства бетона</c:v>
                </c:pt>
                <c:pt idx="5">
                  <c:v>Рынок услуг жилищно-коммунального хозяйства</c:v>
                </c:pt>
                <c:pt idx="6">
                  <c:v>Рынок купли-продажи электрической энергии (мощности) на розничном рынке электрической энергии (мощности)</c:v>
                </c:pt>
                <c:pt idx="7">
                  <c:v>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c:v>
                </c:pt>
                <c:pt idx="8">
                  <c:v>Рынок оказания услуг по перевозке пассажиров автомобильным транспортом по муниципальным маршрутам регулярных перевозок</c:v>
                </c:pt>
                <c:pt idx="9">
                  <c:v>Рынок услуг детского отдыха и оздоровления</c:v>
                </c:pt>
              </c:strCache>
            </c:strRef>
          </c:cat>
          <c:val>
            <c:numRef>
              <c:f>Sheet1!$B$5:$K$5</c:f>
              <c:numCache>
                <c:formatCode>0%</c:formatCode>
                <c:ptCount val="10"/>
                <c:pt idx="0">
                  <c:v>0.1</c:v>
                </c:pt>
                <c:pt idx="1">
                  <c:v>0.2</c:v>
                </c:pt>
                <c:pt idx="2">
                  <c:v>0.18181818181818202</c:v>
                </c:pt>
                <c:pt idx="3">
                  <c:v>9.0909090909090898E-2</c:v>
                </c:pt>
                <c:pt idx="4">
                  <c:v>0.33333333333333298</c:v>
                </c:pt>
                <c:pt idx="6">
                  <c:v>0.5</c:v>
                </c:pt>
                <c:pt idx="7">
                  <c:v>0.5</c:v>
                </c:pt>
                <c:pt idx="8">
                  <c:v>0.27272727272727298</c:v>
                </c:pt>
                <c:pt idx="9">
                  <c:v>0.1</c:v>
                </c:pt>
              </c:numCache>
            </c:numRef>
          </c:val>
          <c:extLst xmlns:c16r2="http://schemas.microsoft.com/office/drawing/2015/06/chart">
            <c:ext xmlns:c16="http://schemas.microsoft.com/office/drawing/2014/chart" uri="{C3380CC4-5D6E-409C-BE32-E72D297353CC}">
              <c16:uniqueId val="{00000003-AD86-416E-8678-B33A34C8EC3C}"/>
            </c:ext>
          </c:extLst>
        </c:ser>
        <c:ser>
          <c:idx val="4"/>
          <c:order val="4"/>
          <c:tx>
            <c:strRef>
              <c:f>Sheet1!$A$6</c:f>
              <c:strCache>
                <c:ptCount val="1"/>
                <c:pt idx="0">
                  <c:v>нет конкуренции</c:v>
                </c:pt>
              </c:strCache>
            </c:strRef>
          </c:tx>
          <c:spPr>
            <a:solidFill>
              <a:srgbClr val="59221B"/>
            </a:solidFill>
          </c:spPr>
          <c:invertIfNegative val="0"/>
          <c:dLbls>
            <c:spPr>
              <a:noFill/>
              <a:ln>
                <a:noFill/>
              </a:ln>
              <a:effectLst/>
            </c:spPr>
            <c:txPr>
              <a:bodyPr wrap="square" lIns="38100" tIns="19050" rIns="38100" bIns="19050" anchor="ctr">
                <a:spAutoFit/>
              </a:bodyPr>
              <a:lstStyle/>
              <a:p>
                <a:pPr>
                  <a:defRPr sz="1100">
                    <a:solidFill>
                      <a:schemeClr val="bg1"/>
                    </a:solidFill>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Sheet1!$B$1:$K$1</c:f>
              <c:strCache>
                <c:ptCount val="10"/>
                <c:pt idx="0">
                  <c:v>Рынок услуг среднего профессионального образования</c:v>
                </c:pt>
                <c:pt idx="1">
                  <c:v>Рынок услуг по сбору и транспортированию твердых коммунальных отходов</c:v>
                </c:pt>
                <c:pt idx="2">
                  <c:v>Рынок услуг дошкольного образования</c:v>
                </c:pt>
                <c:pt idx="3">
                  <c:v>Рынок теплоснабжения (производство тепловой энергии)</c:v>
                </c:pt>
                <c:pt idx="4">
                  <c:v>Рынок производства бетона</c:v>
                </c:pt>
                <c:pt idx="5">
                  <c:v>Рынок услуг жилищно-коммунального хозяйства</c:v>
                </c:pt>
                <c:pt idx="6">
                  <c:v>Рынок купли-продажи электрической энергии (мощности) на розничном рынке электрической энергии (мощности)</c:v>
                </c:pt>
                <c:pt idx="7">
                  <c:v>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c:v>
                </c:pt>
                <c:pt idx="8">
                  <c:v>Рынок оказания услуг по перевозке пассажиров автомобильным транспортом по муниципальным маршрутам регулярных перевозок</c:v>
                </c:pt>
                <c:pt idx="9">
                  <c:v>Рынок услуг детского отдыха и оздоровления</c:v>
                </c:pt>
              </c:strCache>
            </c:strRef>
          </c:cat>
          <c:val>
            <c:numRef>
              <c:f>Sheet1!$B$6:$K$6</c:f>
              <c:numCache>
                <c:formatCode>0%</c:formatCode>
                <c:ptCount val="10"/>
                <c:pt idx="1">
                  <c:v>0.2</c:v>
                </c:pt>
                <c:pt idx="2">
                  <c:v>0.27272727272727298</c:v>
                </c:pt>
                <c:pt idx="3">
                  <c:v>9.0909090909090898E-2</c:v>
                </c:pt>
                <c:pt idx="4">
                  <c:v>8.3333333333333301E-2</c:v>
                </c:pt>
                <c:pt idx="5">
                  <c:v>0.133333333333333</c:v>
                </c:pt>
                <c:pt idx="8">
                  <c:v>9.0909090909090898E-2</c:v>
                </c:pt>
              </c:numCache>
            </c:numRef>
          </c:val>
          <c:extLst xmlns:c16r2="http://schemas.microsoft.com/office/drawing/2015/06/chart">
            <c:ext xmlns:c16="http://schemas.microsoft.com/office/drawing/2014/chart" uri="{C3380CC4-5D6E-409C-BE32-E72D297353CC}">
              <c16:uniqueId val="{00000004-AD86-416E-8678-B33A34C8EC3C}"/>
            </c:ext>
          </c:extLst>
        </c:ser>
        <c:ser>
          <c:idx val="5"/>
          <c:order val="5"/>
          <c:tx>
            <c:strRef>
              <c:f>Sheet1!$A$7</c:f>
              <c:strCache>
                <c:ptCount val="1"/>
                <c:pt idx="0">
                  <c:v>Затрудняюсь ответить</c:v>
                </c:pt>
              </c:strCache>
            </c:strRef>
          </c:tx>
          <c:spPr>
            <a:solidFill>
              <a:srgbClr val="E7E6E6">
                <a:lumMod val="75000"/>
              </a:srgbClr>
            </a:solidFill>
          </c:spPr>
          <c:invertIfNegative val="0"/>
          <c:dLbls>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Sheet1!$B$1:$K$1</c:f>
              <c:strCache>
                <c:ptCount val="10"/>
                <c:pt idx="0">
                  <c:v>Рынок услуг среднего профессионального образования</c:v>
                </c:pt>
                <c:pt idx="1">
                  <c:v>Рынок услуг по сбору и транспортированию твердых коммунальных отходов</c:v>
                </c:pt>
                <c:pt idx="2">
                  <c:v>Рынок услуг дошкольного образования</c:v>
                </c:pt>
                <c:pt idx="3">
                  <c:v>Рынок теплоснабжения (производство тепловой энергии)</c:v>
                </c:pt>
                <c:pt idx="4">
                  <c:v>Рынок производства бетона</c:v>
                </c:pt>
                <c:pt idx="5">
                  <c:v>Рынок услуг жилищно-коммунального хозяйства</c:v>
                </c:pt>
                <c:pt idx="6">
                  <c:v>Рынок купли-продажи электрической энергии (мощности) на розничном рынке электрической энергии (мощности)</c:v>
                </c:pt>
                <c:pt idx="7">
                  <c:v>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c:v>
                </c:pt>
                <c:pt idx="8">
                  <c:v>Рынок оказания услуг по перевозке пассажиров автомобильным транспортом по муниципальным маршрутам регулярных перевозок</c:v>
                </c:pt>
                <c:pt idx="9">
                  <c:v>Рынок услуг детского отдыха и оздоровления</c:v>
                </c:pt>
              </c:strCache>
            </c:strRef>
          </c:cat>
          <c:val>
            <c:numRef>
              <c:f>Sheet1!$B$7:$K$7</c:f>
              <c:numCache>
                <c:formatCode>0%</c:formatCode>
                <c:ptCount val="10"/>
                <c:pt idx="0">
                  <c:v>0.1</c:v>
                </c:pt>
                <c:pt idx="1">
                  <c:v>0.2</c:v>
                </c:pt>
                <c:pt idx="2">
                  <c:v>9.0909090909090898E-2</c:v>
                </c:pt>
                <c:pt idx="3">
                  <c:v>0.18181818181818202</c:v>
                </c:pt>
                <c:pt idx="4">
                  <c:v>0.33333333333333298</c:v>
                </c:pt>
                <c:pt idx="5">
                  <c:v>0.2</c:v>
                </c:pt>
                <c:pt idx="6">
                  <c:v>0.3</c:v>
                </c:pt>
                <c:pt idx="7">
                  <c:v>0.2</c:v>
                </c:pt>
                <c:pt idx="8">
                  <c:v>0.18181818181818202</c:v>
                </c:pt>
                <c:pt idx="9">
                  <c:v>0.1</c:v>
                </c:pt>
              </c:numCache>
            </c:numRef>
          </c:val>
          <c:extLst xmlns:c16r2="http://schemas.microsoft.com/office/drawing/2015/06/chart">
            <c:ext xmlns:c16="http://schemas.microsoft.com/office/drawing/2014/chart" uri="{C3380CC4-5D6E-409C-BE32-E72D297353CC}">
              <c16:uniqueId val="{00000005-AD86-416E-8678-B33A34C8EC3C}"/>
            </c:ext>
          </c:extLst>
        </c:ser>
        <c:dLbls>
          <c:showLegendKey val="0"/>
          <c:showVal val="0"/>
          <c:showCatName val="0"/>
          <c:showSerName val="0"/>
          <c:showPercent val="0"/>
          <c:showBubbleSize val="0"/>
        </c:dLbls>
        <c:gapWidth val="105"/>
        <c:overlap val="100"/>
        <c:axId val="120679936"/>
        <c:axId val="119805568"/>
      </c:barChart>
      <c:catAx>
        <c:axId val="120679936"/>
        <c:scaling>
          <c:orientation val="maxMin"/>
        </c:scaling>
        <c:delete val="0"/>
        <c:axPos val="l"/>
        <c:numFmt formatCode="General" sourceLinked="0"/>
        <c:majorTickMark val="out"/>
        <c:minorTickMark val="none"/>
        <c:tickLblPos val="nextTo"/>
        <c:spPr>
          <a:ln w="12700" cap="flat">
            <a:noFill/>
            <a:prstDash val="solid"/>
            <a:miter lim="800000"/>
          </a:ln>
        </c:spPr>
        <c:txPr>
          <a:bodyPr rot="0"/>
          <a:lstStyle/>
          <a:p>
            <a:pPr>
              <a:defRPr sz="950">
                <a:latin typeface="Times New Roman" panose="02020603050405020304" pitchFamily="18" charset="0"/>
                <a:cs typeface="Times New Roman" panose="02020603050405020304" pitchFamily="18" charset="0"/>
              </a:defRPr>
            </a:pPr>
            <a:endParaRPr lang="ru-RU"/>
          </a:p>
        </c:txPr>
        <c:crossAx val="119805568"/>
        <c:crosses val="autoZero"/>
        <c:auto val="1"/>
        <c:lblAlgn val="ctr"/>
        <c:lblOffset val="100"/>
        <c:noMultiLvlLbl val="1"/>
      </c:catAx>
      <c:valAx>
        <c:axId val="119805568"/>
        <c:scaling>
          <c:orientation val="minMax"/>
        </c:scaling>
        <c:delete val="0"/>
        <c:axPos val="t"/>
        <c:numFmt formatCode="0%" sourceLinked="0"/>
        <c:majorTickMark val="none"/>
        <c:minorTickMark val="none"/>
        <c:tickLblPos val="none"/>
        <c:spPr>
          <a:ln w="12700" cap="flat">
            <a:noFill/>
            <a:prstDash val="solid"/>
            <a:miter lim="800000"/>
          </a:ln>
        </c:spPr>
        <c:txPr>
          <a:bodyPr rot="0"/>
          <a:lstStyle/>
          <a:p>
            <a:pPr>
              <a:defRPr/>
            </a:pPr>
            <a:endParaRPr lang="ru-RU"/>
          </a:p>
        </c:txPr>
        <c:crossAx val="120679936"/>
        <c:crosses val="autoZero"/>
        <c:crossBetween val="between"/>
        <c:majorUnit val="0.25"/>
        <c:minorUnit val="0.125"/>
      </c:valAx>
      <c:spPr>
        <a:solidFill>
          <a:srgbClr val="FFFFFF"/>
        </a:solidFill>
        <a:ln w="12700" cap="flat">
          <a:noFill/>
          <a:miter lim="400000"/>
        </a:ln>
        <a:effectLst/>
      </c:spPr>
    </c:plotArea>
    <c:legend>
      <c:legendPos val="b"/>
      <c:layout>
        <c:manualLayout>
          <c:xMode val="edge"/>
          <c:yMode val="edge"/>
          <c:x val="2.6945518821972748E-2"/>
          <c:y val="0.94023747031621052"/>
          <c:w val="0.89153513964386566"/>
          <c:h val="5.976252968378952E-2"/>
        </c:manualLayout>
      </c:layout>
      <c:overlay val="1"/>
      <c:spPr>
        <a:noFill/>
        <a:ln w="12700" cap="flat">
          <a:noFill/>
          <a:miter lim="400000"/>
        </a:ln>
        <a:effectLst/>
      </c:spPr>
      <c:txPr>
        <a:bodyPr rot="0"/>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1"/>
  </c:chart>
  <c:spPr>
    <a:solidFill>
      <a:srgbClr val="FFFFFF"/>
    </a:solidFill>
    <a:ln>
      <a:noFill/>
    </a:ln>
    <a:effectLst/>
  </c:spPr>
  <c:txPr>
    <a:bodyPr/>
    <a:lstStyle/>
    <a:p>
      <a:pPr>
        <a:defRPr>
          <a:latin typeface="Arial" panose="020B0604020202020204" pitchFamily="34" charset="0"/>
          <a:cs typeface="Arial" panose="020B0604020202020204" pitchFamily="34"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Другая 28">
    <a:dk1>
      <a:sysClr val="windowText" lastClr="000000"/>
    </a:dk1>
    <a:lt1>
      <a:sysClr val="window" lastClr="FFFFFF"/>
    </a:lt1>
    <a:dk2>
      <a:srgbClr val="3D3D3D"/>
    </a:dk2>
    <a:lt2>
      <a:srgbClr val="EBEBEB"/>
    </a:lt2>
    <a:accent1>
      <a:srgbClr val="591825"/>
    </a:accent1>
    <a:accent2>
      <a:srgbClr val="B2324B"/>
    </a:accent2>
    <a:accent3>
      <a:srgbClr val="D97A8D"/>
    </a:accent3>
    <a:accent4>
      <a:srgbClr val="969FA7"/>
    </a:accent4>
    <a:accent5>
      <a:srgbClr val="66B1CE"/>
    </a:accent5>
    <a:accent6>
      <a:srgbClr val="40619D"/>
    </a:accent6>
    <a:hlink>
      <a:srgbClr val="828282"/>
    </a:hlink>
    <a:folHlink>
      <a:srgbClr val="A5A5A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Дивиденд">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Override>
</file>

<file path=word/theme/themeOverride10.xml><?xml version="1.0" encoding="utf-8"?>
<a:themeOverride xmlns:a="http://schemas.openxmlformats.org/drawingml/2006/main">
  <a:clrScheme name="Другая 28">
    <a:dk1>
      <a:sysClr val="windowText" lastClr="000000"/>
    </a:dk1>
    <a:lt1>
      <a:sysClr val="window" lastClr="FFFFFF"/>
    </a:lt1>
    <a:dk2>
      <a:srgbClr val="3D3D3D"/>
    </a:dk2>
    <a:lt2>
      <a:srgbClr val="EBEBEB"/>
    </a:lt2>
    <a:accent1>
      <a:srgbClr val="591825"/>
    </a:accent1>
    <a:accent2>
      <a:srgbClr val="B2324B"/>
    </a:accent2>
    <a:accent3>
      <a:srgbClr val="D97A8D"/>
    </a:accent3>
    <a:accent4>
      <a:srgbClr val="969FA7"/>
    </a:accent4>
    <a:accent5>
      <a:srgbClr val="66B1CE"/>
    </a:accent5>
    <a:accent6>
      <a:srgbClr val="40619D"/>
    </a:accent6>
    <a:hlink>
      <a:srgbClr val="828282"/>
    </a:hlink>
    <a:folHlink>
      <a:srgbClr val="A5A5A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Дивиденд">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Override>
</file>

<file path=word/theme/themeOverride11.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Другая 28">
    <a:dk1>
      <a:sysClr val="windowText" lastClr="000000"/>
    </a:dk1>
    <a:lt1>
      <a:sysClr val="window" lastClr="FFFFFF"/>
    </a:lt1>
    <a:dk2>
      <a:srgbClr val="3D3D3D"/>
    </a:dk2>
    <a:lt2>
      <a:srgbClr val="EBEBEB"/>
    </a:lt2>
    <a:accent1>
      <a:srgbClr val="591825"/>
    </a:accent1>
    <a:accent2>
      <a:srgbClr val="B2324B"/>
    </a:accent2>
    <a:accent3>
      <a:srgbClr val="D97A8D"/>
    </a:accent3>
    <a:accent4>
      <a:srgbClr val="969FA7"/>
    </a:accent4>
    <a:accent5>
      <a:srgbClr val="66B1CE"/>
    </a:accent5>
    <a:accent6>
      <a:srgbClr val="40619D"/>
    </a:accent6>
    <a:hlink>
      <a:srgbClr val="828282"/>
    </a:hlink>
    <a:folHlink>
      <a:srgbClr val="A5A5A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Дивиденд">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Override>
</file>

<file path=word/theme/themeOverride14.xml><?xml version="1.0" encoding="utf-8"?>
<a:themeOverride xmlns:a="http://schemas.openxmlformats.org/drawingml/2006/main">
  <a:clrScheme name="Другая 28">
    <a:dk1>
      <a:sysClr val="windowText" lastClr="000000"/>
    </a:dk1>
    <a:lt1>
      <a:sysClr val="window" lastClr="FFFFFF"/>
    </a:lt1>
    <a:dk2>
      <a:srgbClr val="3D3D3D"/>
    </a:dk2>
    <a:lt2>
      <a:srgbClr val="EBEBEB"/>
    </a:lt2>
    <a:accent1>
      <a:srgbClr val="591825"/>
    </a:accent1>
    <a:accent2>
      <a:srgbClr val="B2324B"/>
    </a:accent2>
    <a:accent3>
      <a:srgbClr val="D97A8D"/>
    </a:accent3>
    <a:accent4>
      <a:srgbClr val="969FA7"/>
    </a:accent4>
    <a:accent5>
      <a:srgbClr val="66B1CE"/>
    </a:accent5>
    <a:accent6>
      <a:srgbClr val="40619D"/>
    </a:accent6>
    <a:hlink>
      <a:srgbClr val="828282"/>
    </a:hlink>
    <a:folHlink>
      <a:srgbClr val="A5A5A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Дивиденд">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Override>
</file>

<file path=word/theme/themeOverride15.xml><?xml version="1.0" encoding="utf-8"?>
<a:themeOverride xmlns:a="http://schemas.openxmlformats.org/drawingml/2006/main">
  <a:clrScheme name="Другая 28">
    <a:dk1>
      <a:sysClr val="windowText" lastClr="000000"/>
    </a:dk1>
    <a:lt1>
      <a:sysClr val="window" lastClr="FFFFFF"/>
    </a:lt1>
    <a:dk2>
      <a:srgbClr val="3D3D3D"/>
    </a:dk2>
    <a:lt2>
      <a:srgbClr val="EBEBEB"/>
    </a:lt2>
    <a:accent1>
      <a:srgbClr val="591825"/>
    </a:accent1>
    <a:accent2>
      <a:srgbClr val="B2324B"/>
    </a:accent2>
    <a:accent3>
      <a:srgbClr val="D97A8D"/>
    </a:accent3>
    <a:accent4>
      <a:srgbClr val="969FA7"/>
    </a:accent4>
    <a:accent5>
      <a:srgbClr val="66B1CE"/>
    </a:accent5>
    <a:accent6>
      <a:srgbClr val="40619D"/>
    </a:accent6>
    <a:hlink>
      <a:srgbClr val="828282"/>
    </a:hlink>
    <a:folHlink>
      <a:srgbClr val="A5A5A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Дивиденд">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Override>
</file>

<file path=word/theme/themeOverride16.xml><?xml version="1.0" encoding="utf-8"?>
<a:themeOverride xmlns:a="http://schemas.openxmlformats.org/drawingml/2006/main">
  <a:clrScheme name="Другая 28">
    <a:dk1>
      <a:sysClr val="windowText" lastClr="000000"/>
    </a:dk1>
    <a:lt1>
      <a:sysClr val="window" lastClr="FFFFFF"/>
    </a:lt1>
    <a:dk2>
      <a:srgbClr val="3D3D3D"/>
    </a:dk2>
    <a:lt2>
      <a:srgbClr val="EBEBEB"/>
    </a:lt2>
    <a:accent1>
      <a:srgbClr val="591825"/>
    </a:accent1>
    <a:accent2>
      <a:srgbClr val="B2324B"/>
    </a:accent2>
    <a:accent3>
      <a:srgbClr val="D97A8D"/>
    </a:accent3>
    <a:accent4>
      <a:srgbClr val="969FA7"/>
    </a:accent4>
    <a:accent5>
      <a:srgbClr val="66B1CE"/>
    </a:accent5>
    <a:accent6>
      <a:srgbClr val="40619D"/>
    </a:accent6>
    <a:hlink>
      <a:srgbClr val="828282"/>
    </a:hlink>
    <a:folHlink>
      <a:srgbClr val="A5A5A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Дивиденд">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Override>
</file>

<file path=word/theme/themeOverride17.xml><?xml version="1.0" encoding="utf-8"?>
<a:themeOverride xmlns:a="http://schemas.openxmlformats.org/drawingml/2006/main">
  <a:clrScheme name="Другая 28">
    <a:dk1>
      <a:sysClr val="windowText" lastClr="000000"/>
    </a:dk1>
    <a:lt1>
      <a:sysClr val="window" lastClr="FFFFFF"/>
    </a:lt1>
    <a:dk2>
      <a:srgbClr val="3D3D3D"/>
    </a:dk2>
    <a:lt2>
      <a:srgbClr val="EBEBEB"/>
    </a:lt2>
    <a:accent1>
      <a:srgbClr val="591825"/>
    </a:accent1>
    <a:accent2>
      <a:srgbClr val="B2324B"/>
    </a:accent2>
    <a:accent3>
      <a:srgbClr val="D97A8D"/>
    </a:accent3>
    <a:accent4>
      <a:srgbClr val="969FA7"/>
    </a:accent4>
    <a:accent5>
      <a:srgbClr val="66B1CE"/>
    </a:accent5>
    <a:accent6>
      <a:srgbClr val="40619D"/>
    </a:accent6>
    <a:hlink>
      <a:srgbClr val="828282"/>
    </a:hlink>
    <a:folHlink>
      <a:srgbClr val="A5A5A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Дивиденд">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Override>
</file>

<file path=word/theme/themeOverride18.xml><?xml version="1.0" encoding="utf-8"?>
<a:themeOverride xmlns:a="http://schemas.openxmlformats.org/drawingml/2006/main">
  <a:clrScheme name="Другая 28">
    <a:dk1>
      <a:sysClr val="windowText" lastClr="000000"/>
    </a:dk1>
    <a:lt1>
      <a:sysClr val="window" lastClr="FFFFFF"/>
    </a:lt1>
    <a:dk2>
      <a:srgbClr val="3D3D3D"/>
    </a:dk2>
    <a:lt2>
      <a:srgbClr val="EBEBEB"/>
    </a:lt2>
    <a:accent1>
      <a:srgbClr val="591825"/>
    </a:accent1>
    <a:accent2>
      <a:srgbClr val="B2324B"/>
    </a:accent2>
    <a:accent3>
      <a:srgbClr val="D97A8D"/>
    </a:accent3>
    <a:accent4>
      <a:srgbClr val="969FA7"/>
    </a:accent4>
    <a:accent5>
      <a:srgbClr val="66B1CE"/>
    </a:accent5>
    <a:accent6>
      <a:srgbClr val="40619D"/>
    </a:accent6>
    <a:hlink>
      <a:srgbClr val="828282"/>
    </a:hlink>
    <a:folHlink>
      <a:srgbClr val="A5A5A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Дивиденд">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Override>
</file>

<file path=word/theme/themeOverride19.xml><?xml version="1.0" encoding="utf-8"?>
<a:themeOverride xmlns:a="http://schemas.openxmlformats.org/drawingml/2006/main">
  <a:clrScheme name="Другая 28">
    <a:dk1>
      <a:sysClr val="windowText" lastClr="000000"/>
    </a:dk1>
    <a:lt1>
      <a:sysClr val="window" lastClr="FFFFFF"/>
    </a:lt1>
    <a:dk2>
      <a:srgbClr val="3D3D3D"/>
    </a:dk2>
    <a:lt2>
      <a:srgbClr val="EBEBEB"/>
    </a:lt2>
    <a:accent1>
      <a:srgbClr val="591825"/>
    </a:accent1>
    <a:accent2>
      <a:srgbClr val="B2324B"/>
    </a:accent2>
    <a:accent3>
      <a:srgbClr val="D97A8D"/>
    </a:accent3>
    <a:accent4>
      <a:srgbClr val="969FA7"/>
    </a:accent4>
    <a:accent5>
      <a:srgbClr val="66B1CE"/>
    </a:accent5>
    <a:accent6>
      <a:srgbClr val="40619D"/>
    </a:accent6>
    <a:hlink>
      <a:srgbClr val="828282"/>
    </a:hlink>
    <a:folHlink>
      <a:srgbClr val="A5A5A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Дивиденд">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Override>
</file>

<file path=word/theme/themeOverride2.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Другая 28">
    <a:dk1>
      <a:sysClr val="windowText" lastClr="000000"/>
    </a:dk1>
    <a:lt1>
      <a:sysClr val="window" lastClr="FFFFFF"/>
    </a:lt1>
    <a:dk2>
      <a:srgbClr val="3D3D3D"/>
    </a:dk2>
    <a:lt2>
      <a:srgbClr val="EBEBEB"/>
    </a:lt2>
    <a:accent1>
      <a:srgbClr val="591825"/>
    </a:accent1>
    <a:accent2>
      <a:srgbClr val="B2324B"/>
    </a:accent2>
    <a:accent3>
      <a:srgbClr val="D97A8D"/>
    </a:accent3>
    <a:accent4>
      <a:srgbClr val="969FA7"/>
    </a:accent4>
    <a:accent5>
      <a:srgbClr val="66B1CE"/>
    </a:accent5>
    <a:accent6>
      <a:srgbClr val="40619D"/>
    </a:accent6>
    <a:hlink>
      <a:srgbClr val="828282"/>
    </a:hlink>
    <a:folHlink>
      <a:srgbClr val="A5A5A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Дивиденд">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Override>
</file>

<file path=word/theme/themeOverride21.xml><?xml version="1.0" encoding="utf-8"?>
<a:themeOverride xmlns:a="http://schemas.openxmlformats.org/drawingml/2006/main">
  <a:clrScheme name="Другая 28">
    <a:dk1>
      <a:sysClr val="windowText" lastClr="000000"/>
    </a:dk1>
    <a:lt1>
      <a:sysClr val="window" lastClr="FFFFFF"/>
    </a:lt1>
    <a:dk2>
      <a:srgbClr val="3D3D3D"/>
    </a:dk2>
    <a:lt2>
      <a:srgbClr val="EBEBEB"/>
    </a:lt2>
    <a:accent1>
      <a:srgbClr val="591825"/>
    </a:accent1>
    <a:accent2>
      <a:srgbClr val="B2324B"/>
    </a:accent2>
    <a:accent3>
      <a:srgbClr val="D97A8D"/>
    </a:accent3>
    <a:accent4>
      <a:srgbClr val="969FA7"/>
    </a:accent4>
    <a:accent5>
      <a:srgbClr val="66B1CE"/>
    </a:accent5>
    <a:accent6>
      <a:srgbClr val="40619D"/>
    </a:accent6>
    <a:hlink>
      <a:srgbClr val="828282"/>
    </a:hlink>
    <a:folHlink>
      <a:srgbClr val="A5A5A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Дивиденд">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Другая 28">
    <a:dk1>
      <a:sysClr val="windowText" lastClr="000000"/>
    </a:dk1>
    <a:lt1>
      <a:sysClr val="window" lastClr="FFFFFF"/>
    </a:lt1>
    <a:dk2>
      <a:srgbClr val="3D3D3D"/>
    </a:dk2>
    <a:lt2>
      <a:srgbClr val="EBEBEB"/>
    </a:lt2>
    <a:accent1>
      <a:srgbClr val="591825"/>
    </a:accent1>
    <a:accent2>
      <a:srgbClr val="B2324B"/>
    </a:accent2>
    <a:accent3>
      <a:srgbClr val="D97A8D"/>
    </a:accent3>
    <a:accent4>
      <a:srgbClr val="969FA7"/>
    </a:accent4>
    <a:accent5>
      <a:srgbClr val="66B1CE"/>
    </a:accent5>
    <a:accent6>
      <a:srgbClr val="40619D"/>
    </a:accent6>
    <a:hlink>
      <a:srgbClr val="828282"/>
    </a:hlink>
    <a:folHlink>
      <a:srgbClr val="A5A5A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Дивиденд">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Override>
</file>

<file path=word/theme/themeOverride33.xml><?xml version="1.0" encoding="utf-8"?>
<a:themeOverride xmlns:a="http://schemas.openxmlformats.org/drawingml/2006/main">
  <a:clrScheme name="Другая 28">
    <a:dk1>
      <a:sysClr val="windowText" lastClr="000000"/>
    </a:dk1>
    <a:lt1>
      <a:sysClr val="window" lastClr="FFFFFF"/>
    </a:lt1>
    <a:dk2>
      <a:srgbClr val="3D3D3D"/>
    </a:dk2>
    <a:lt2>
      <a:srgbClr val="EBEBEB"/>
    </a:lt2>
    <a:accent1>
      <a:srgbClr val="591825"/>
    </a:accent1>
    <a:accent2>
      <a:srgbClr val="B2324B"/>
    </a:accent2>
    <a:accent3>
      <a:srgbClr val="D97A8D"/>
    </a:accent3>
    <a:accent4>
      <a:srgbClr val="969FA7"/>
    </a:accent4>
    <a:accent5>
      <a:srgbClr val="66B1CE"/>
    </a:accent5>
    <a:accent6>
      <a:srgbClr val="40619D"/>
    </a:accent6>
    <a:hlink>
      <a:srgbClr val="828282"/>
    </a:hlink>
    <a:folHlink>
      <a:srgbClr val="A5A5A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Дивиденд">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Override>
</file>

<file path=word/theme/themeOverride34.xml><?xml version="1.0" encoding="utf-8"?>
<a:themeOverride xmlns:a="http://schemas.openxmlformats.org/drawingml/2006/main">
  <a:clrScheme name="Другая 28">
    <a:dk1>
      <a:sysClr val="windowText" lastClr="000000"/>
    </a:dk1>
    <a:lt1>
      <a:sysClr val="window" lastClr="FFFFFF"/>
    </a:lt1>
    <a:dk2>
      <a:srgbClr val="3D3D3D"/>
    </a:dk2>
    <a:lt2>
      <a:srgbClr val="EBEBEB"/>
    </a:lt2>
    <a:accent1>
      <a:srgbClr val="591825"/>
    </a:accent1>
    <a:accent2>
      <a:srgbClr val="B2324B"/>
    </a:accent2>
    <a:accent3>
      <a:srgbClr val="D97A8D"/>
    </a:accent3>
    <a:accent4>
      <a:srgbClr val="969FA7"/>
    </a:accent4>
    <a:accent5>
      <a:srgbClr val="66B1CE"/>
    </a:accent5>
    <a:accent6>
      <a:srgbClr val="40619D"/>
    </a:accent6>
    <a:hlink>
      <a:srgbClr val="828282"/>
    </a:hlink>
    <a:folHlink>
      <a:srgbClr val="A5A5A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Дивиденд">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Override>
</file>

<file path=word/theme/themeOverride35.xml><?xml version="1.0" encoding="utf-8"?>
<a:themeOverride xmlns:a="http://schemas.openxmlformats.org/drawingml/2006/main">
  <a:clrScheme name="Другая 28">
    <a:dk1>
      <a:sysClr val="windowText" lastClr="000000"/>
    </a:dk1>
    <a:lt1>
      <a:sysClr val="window" lastClr="FFFFFF"/>
    </a:lt1>
    <a:dk2>
      <a:srgbClr val="3D3D3D"/>
    </a:dk2>
    <a:lt2>
      <a:srgbClr val="EBEBEB"/>
    </a:lt2>
    <a:accent1>
      <a:srgbClr val="591825"/>
    </a:accent1>
    <a:accent2>
      <a:srgbClr val="B2324B"/>
    </a:accent2>
    <a:accent3>
      <a:srgbClr val="D97A8D"/>
    </a:accent3>
    <a:accent4>
      <a:srgbClr val="969FA7"/>
    </a:accent4>
    <a:accent5>
      <a:srgbClr val="66B1CE"/>
    </a:accent5>
    <a:accent6>
      <a:srgbClr val="40619D"/>
    </a:accent6>
    <a:hlink>
      <a:srgbClr val="828282"/>
    </a:hlink>
    <a:folHlink>
      <a:srgbClr val="A5A5A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Дивиденд">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Override>
</file>

<file path=word/theme/themeOverride36.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Другая 28">
    <a:dk1>
      <a:sysClr val="windowText" lastClr="000000"/>
    </a:dk1>
    <a:lt1>
      <a:sysClr val="window" lastClr="FFFFFF"/>
    </a:lt1>
    <a:dk2>
      <a:srgbClr val="3D3D3D"/>
    </a:dk2>
    <a:lt2>
      <a:srgbClr val="EBEBEB"/>
    </a:lt2>
    <a:accent1>
      <a:srgbClr val="591825"/>
    </a:accent1>
    <a:accent2>
      <a:srgbClr val="B2324B"/>
    </a:accent2>
    <a:accent3>
      <a:srgbClr val="D97A8D"/>
    </a:accent3>
    <a:accent4>
      <a:srgbClr val="969FA7"/>
    </a:accent4>
    <a:accent5>
      <a:srgbClr val="66B1CE"/>
    </a:accent5>
    <a:accent6>
      <a:srgbClr val="40619D"/>
    </a:accent6>
    <a:hlink>
      <a:srgbClr val="828282"/>
    </a:hlink>
    <a:folHlink>
      <a:srgbClr val="A5A5A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Дивиденд">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Override>
</file>

<file path=word/theme/themeOverride39.xml><?xml version="1.0" encoding="utf-8"?>
<a:themeOverride xmlns:a="http://schemas.openxmlformats.org/drawingml/2006/main">
  <a:clrScheme name="Другая 28">
    <a:dk1>
      <a:sysClr val="windowText" lastClr="000000"/>
    </a:dk1>
    <a:lt1>
      <a:sysClr val="window" lastClr="FFFFFF"/>
    </a:lt1>
    <a:dk2>
      <a:srgbClr val="3D3D3D"/>
    </a:dk2>
    <a:lt2>
      <a:srgbClr val="EBEBEB"/>
    </a:lt2>
    <a:accent1>
      <a:srgbClr val="591825"/>
    </a:accent1>
    <a:accent2>
      <a:srgbClr val="B2324B"/>
    </a:accent2>
    <a:accent3>
      <a:srgbClr val="D97A8D"/>
    </a:accent3>
    <a:accent4>
      <a:srgbClr val="969FA7"/>
    </a:accent4>
    <a:accent5>
      <a:srgbClr val="66B1CE"/>
    </a:accent5>
    <a:accent6>
      <a:srgbClr val="40619D"/>
    </a:accent6>
    <a:hlink>
      <a:srgbClr val="828282"/>
    </a:hlink>
    <a:folHlink>
      <a:srgbClr val="A5A5A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Дивиденд">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Override>
</file>

<file path=word/theme/themeOverride4.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Другая 28">
    <a:dk1>
      <a:sysClr val="windowText" lastClr="000000"/>
    </a:dk1>
    <a:lt1>
      <a:sysClr val="window" lastClr="FFFFFF"/>
    </a:lt1>
    <a:dk2>
      <a:srgbClr val="3D3D3D"/>
    </a:dk2>
    <a:lt2>
      <a:srgbClr val="EBEBEB"/>
    </a:lt2>
    <a:accent1>
      <a:srgbClr val="591825"/>
    </a:accent1>
    <a:accent2>
      <a:srgbClr val="B2324B"/>
    </a:accent2>
    <a:accent3>
      <a:srgbClr val="D97A8D"/>
    </a:accent3>
    <a:accent4>
      <a:srgbClr val="969FA7"/>
    </a:accent4>
    <a:accent5>
      <a:srgbClr val="66B1CE"/>
    </a:accent5>
    <a:accent6>
      <a:srgbClr val="40619D"/>
    </a:accent6>
    <a:hlink>
      <a:srgbClr val="828282"/>
    </a:hlink>
    <a:folHlink>
      <a:srgbClr val="A5A5A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Дивиденд">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Override>
</file>

<file path=word/theme/themeOverride46.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Другая 28">
    <a:dk1>
      <a:sysClr val="windowText" lastClr="000000"/>
    </a:dk1>
    <a:lt1>
      <a:sysClr val="window" lastClr="FFFFFF"/>
    </a:lt1>
    <a:dk2>
      <a:srgbClr val="3D3D3D"/>
    </a:dk2>
    <a:lt2>
      <a:srgbClr val="EBEBEB"/>
    </a:lt2>
    <a:accent1>
      <a:srgbClr val="591825"/>
    </a:accent1>
    <a:accent2>
      <a:srgbClr val="B2324B"/>
    </a:accent2>
    <a:accent3>
      <a:srgbClr val="D97A8D"/>
    </a:accent3>
    <a:accent4>
      <a:srgbClr val="969FA7"/>
    </a:accent4>
    <a:accent5>
      <a:srgbClr val="66B1CE"/>
    </a:accent5>
    <a:accent6>
      <a:srgbClr val="40619D"/>
    </a:accent6>
    <a:hlink>
      <a:srgbClr val="828282"/>
    </a:hlink>
    <a:folHlink>
      <a:srgbClr val="A5A5A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Дивиденд">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Override>
</file>

<file path=word/theme/themeOverride60.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2.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3.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4.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5.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6.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7.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8.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9.xml><?xml version="1.0" encoding="utf-8"?>
<a:themeOverride xmlns:a="http://schemas.openxmlformats.org/drawingml/2006/main">
  <a:clrScheme name="Другая 28">
    <a:dk1>
      <a:sysClr val="windowText" lastClr="000000"/>
    </a:dk1>
    <a:lt1>
      <a:sysClr val="window" lastClr="FFFFFF"/>
    </a:lt1>
    <a:dk2>
      <a:srgbClr val="3D3D3D"/>
    </a:dk2>
    <a:lt2>
      <a:srgbClr val="EBEBEB"/>
    </a:lt2>
    <a:accent1>
      <a:srgbClr val="591825"/>
    </a:accent1>
    <a:accent2>
      <a:srgbClr val="B2324B"/>
    </a:accent2>
    <a:accent3>
      <a:srgbClr val="D97A8D"/>
    </a:accent3>
    <a:accent4>
      <a:srgbClr val="969FA7"/>
    </a:accent4>
    <a:accent5>
      <a:srgbClr val="66B1CE"/>
    </a:accent5>
    <a:accent6>
      <a:srgbClr val="40619D"/>
    </a:accent6>
    <a:hlink>
      <a:srgbClr val="828282"/>
    </a:hlink>
    <a:folHlink>
      <a:srgbClr val="A5A5A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Дивиденд">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Override>
</file>

<file path=word/theme/themeOverride7.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0.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1.xml><?xml version="1.0" encoding="utf-8"?>
<a:themeOverride xmlns:a="http://schemas.openxmlformats.org/drawingml/2006/main">
  <a:clrScheme name="Другая 28">
    <a:dk1>
      <a:sysClr val="windowText" lastClr="000000"/>
    </a:dk1>
    <a:lt1>
      <a:sysClr val="window" lastClr="FFFFFF"/>
    </a:lt1>
    <a:dk2>
      <a:srgbClr val="3D3D3D"/>
    </a:dk2>
    <a:lt2>
      <a:srgbClr val="EBEBEB"/>
    </a:lt2>
    <a:accent1>
      <a:srgbClr val="591825"/>
    </a:accent1>
    <a:accent2>
      <a:srgbClr val="B2324B"/>
    </a:accent2>
    <a:accent3>
      <a:srgbClr val="D97A8D"/>
    </a:accent3>
    <a:accent4>
      <a:srgbClr val="969FA7"/>
    </a:accent4>
    <a:accent5>
      <a:srgbClr val="66B1CE"/>
    </a:accent5>
    <a:accent6>
      <a:srgbClr val="40619D"/>
    </a:accent6>
    <a:hlink>
      <a:srgbClr val="828282"/>
    </a:hlink>
    <a:folHlink>
      <a:srgbClr val="A5A5A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Дивиденд">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Override>
</file>

<file path=word/theme/themeOverride72.xml><?xml version="1.0" encoding="utf-8"?>
<a:themeOverride xmlns:a="http://schemas.openxmlformats.org/drawingml/2006/main">
  <a:clrScheme name="Другая 28">
    <a:dk1>
      <a:sysClr val="windowText" lastClr="000000"/>
    </a:dk1>
    <a:lt1>
      <a:sysClr val="window" lastClr="FFFFFF"/>
    </a:lt1>
    <a:dk2>
      <a:srgbClr val="3D3D3D"/>
    </a:dk2>
    <a:lt2>
      <a:srgbClr val="EBEBEB"/>
    </a:lt2>
    <a:accent1>
      <a:srgbClr val="591825"/>
    </a:accent1>
    <a:accent2>
      <a:srgbClr val="B2324B"/>
    </a:accent2>
    <a:accent3>
      <a:srgbClr val="D97A8D"/>
    </a:accent3>
    <a:accent4>
      <a:srgbClr val="969FA7"/>
    </a:accent4>
    <a:accent5>
      <a:srgbClr val="66B1CE"/>
    </a:accent5>
    <a:accent6>
      <a:srgbClr val="40619D"/>
    </a:accent6>
    <a:hlink>
      <a:srgbClr val="828282"/>
    </a:hlink>
    <a:folHlink>
      <a:srgbClr val="A5A5A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Дивиденд">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Override>
</file>

<file path=word/theme/themeOverride73.xml><?xml version="1.0" encoding="utf-8"?>
<a:themeOverride xmlns:a="http://schemas.openxmlformats.org/drawingml/2006/main">
  <a:clrScheme name="Другая 28">
    <a:dk1>
      <a:sysClr val="windowText" lastClr="000000"/>
    </a:dk1>
    <a:lt1>
      <a:sysClr val="window" lastClr="FFFFFF"/>
    </a:lt1>
    <a:dk2>
      <a:srgbClr val="3D3D3D"/>
    </a:dk2>
    <a:lt2>
      <a:srgbClr val="EBEBEB"/>
    </a:lt2>
    <a:accent1>
      <a:srgbClr val="591825"/>
    </a:accent1>
    <a:accent2>
      <a:srgbClr val="B2324B"/>
    </a:accent2>
    <a:accent3>
      <a:srgbClr val="D97A8D"/>
    </a:accent3>
    <a:accent4>
      <a:srgbClr val="969FA7"/>
    </a:accent4>
    <a:accent5>
      <a:srgbClr val="66B1CE"/>
    </a:accent5>
    <a:accent6>
      <a:srgbClr val="40619D"/>
    </a:accent6>
    <a:hlink>
      <a:srgbClr val="828282"/>
    </a:hlink>
    <a:folHlink>
      <a:srgbClr val="A5A5A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Дивиденд">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Override>
</file>

<file path=word/theme/themeOverride74.xml><?xml version="1.0" encoding="utf-8"?>
<a:themeOverride xmlns:a="http://schemas.openxmlformats.org/drawingml/2006/main">
  <a:clrScheme name="Другая 28">
    <a:dk1>
      <a:sysClr val="windowText" lastClr="000000"/>
    </a:dk1>
    <a:lt1>
      <a:sysClr val="window" lastClr="FFFFFF"/>
    </a:lt1>
    <a:dk2>
      <a:srgbClr val="3D3D3D"/>
    </a:dk2>
    <a:lt2>
      <a:srgbClr val="EBEBEB"/>
    </a:lt2>
    <a:accent1>
      <a:srgbClr val="591825"/>
    </a:accent1>
    <a:accent2>
      <a:srgbClr val="B2324B"/>
    </a:accent2>
    <a:accent3>
      <a:srgbClr val="D97A8D"/>
    </a:accent3>
    <a:accent4>
      <a:srgbClr val="969FA7"/>
    </a:accent4>
    <a:accent5>
      <a:srgbClr val="66B1CE"/>
    </a:accent5>
    <a:accent6>
      <a:srgbClr val="40619D"/>
    </a:accent6>
    <a:hlink>
      <a:srgbClr val="828282"/>
    </a:hlink>
    <a:folHlink>
      <a:srgbClr val="A5A5A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Дивиденд">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Override>
</file>

<file path=word/theme/themeOverride75.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6.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7.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8.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9.xml><?xml version="1.0" encoding="utf-8"?>
<a:themeOverride xmlns:a="http://schemas.openxmlformats.org/drawingml/2006/main">
  <a:clrScheme name="Другая 28">
    <a:dk1>
      <a:sysClr val="windowText" lastClr="000000"/>
    </a:dk1>
    <a:lt1>
      <a:sysClr val="window" lastClr="FFFFFF"/>
    </a:lt1>
    <a:dk2>
      <a:srgbClr val="3D3D3D"/>
    </a:dk2>
    <a:lt2>
      <a:srgbClr val="EBEBEB"/>
    </a:lt2>
    <a:accent1>
      <a:srgbClr val="591825"/>
    </a:accent1>
    <a:accent2>
      <a:srgbClr val="B2324B"/>
    </a:accent2>
    <a:accent3>
      <a:srgbClr val="D97A8D"/>
    </a:accent3>
    <a:accent4>
      <a:srgbClr val="969FA7"/>
    </a:accent4>
    <a:accent5>
      <a:srgbClr val="66B1CE"/>
    </a:accent5>
    <a:accent6>
      <a:srgbClr val="40619D"/>
    </a:accent6>
    <a:hlink>
      <a:srgbClr val="828282"/>
    </a:hlink>
    <a:folHlink>
      <a:srgbClr val="A5A5A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Дивиденд">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Override>
</file>

<file path=word/theme/themeOverride8.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0.xml><?xml version="1.0" encoding="utf-8"?>
<a:themeOverride xmlns:a="http://schemas.openxmlformats.org/drawingml/2006/main">
  <a:clrScheme name="Другая 28">
    <a:dk1>
      <a:sysClr val="windowText" lastClr="000000"/>
    </a:dk1>
    <a:lt1>
      <a:sysClr val="window" lastClr="FFFFFF"/>
    </a:lt1>
    <a:dk2>
      <a:srgbClr val="3D3D3D"/>
    </a:dk2>
    <a:lt2>
      <a:srgbClr val="EBEBEB"/>
    </a:lt2>
    <a:accent1>
      <a:srgbClr val="591825"/>
    </a:accent1>
    <a:accent2>
      <a:srgbClr val="B2324B"/>
    </a:accent2>
    <a:accent3>
      <a:srgbClr val="D97A8D"/>
    </a:accent3>
    <a:accent4>
      <a:srgbClr val="969FA7"/>
    </a:accent4>
    <a:accent5>
      <a:srgbClr val="66B1CE"/>
    </a:accent5>
    <a:accent6>
      <a:srgbClr val="40619D"/>
    </a:accent6>
    <a:hlink>
      <a:srgbClr val="828282"/>
    </a:hlink>
    <a:folHlink>
      <a:srgbClr val="A5A5A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Дивиденд">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Override>
</file>

<file path=word/theme/themeOverride8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548C4F-02B7-4BBA-892E-70ADA5539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62247</Words>
  <Characters>354811</Characters>
  <Application>Microsoft Office Word</Application>
  <DocSecurity>0</DocSecurity>
  <Lines>2956</Lines>
  <Paragraphs>832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416226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Викторовна Конинина</dc:creator>
  <cp:lastModifiedBy>Елена Викторовна Конинина</cp:lastModifiedBy>
  <cp:revision>2</cp:revision>
  <cp:lastPrinted>2022-03-09T13:42:00Z</cp:lastPrinted>
  <dcterms:created xsi:type="dcterms:W3CDTF">2023-03-07T06:22:00Z</dcterms:created>
  <dcterms:modified xsi:type="dcterms:W3CDTF">2023-03-07T06:22:00Z</dcterms:modified>
</cp:coreProperties>
</file>