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4" w:rsidRPr="001304C1" w:rsidRDefault="00C55094" w:rsidP="00C55094">
      <w:pPr>
        <w:spacing w:after="0" w:line="240" w:lineRule="auto"/>
        <w:jc w:val="center"/>
        <w:rPr>
          <w:rFonts w:ascii="Times New Roman" w:hAnsi="Times New Roman"/>
          <w:b/>
          <w:sz w:val="24"/>
          <w:szCs w:val="24"/>
        </w:rPr>
      </w:pPr>
      <w:r w:rsidRPr="001304C1">
        <w:rPr>
          <w:rFonts w:ascii="Times New Roman" w:hAnsi="Times New Roman"/>
          <w:b/>
          <w:sz w:val="24"/>
          <w:szCs w:val="24"/>
        </w:rPr>
        <w:t>СПРАВКА</w:t>
      </w:r>
    </w:p>
    <w:p w:rsidR="008D7F2C" w:rsidRPr="001304C1" w:rsidRDefault="00C55094" w:rsidP="00D95671">
      <w:pPr>
        <w:spacing w:after="0" w:line="240" w:lineRule="auto"/>
        <w:jc w:val="center"/>
        <w:rPr>
          <w:rFonts w:ascii="Times New Roman" w:hAnsi="Times New Roman"/>
          <w:b/>
          <w:bCs/>
          <w:sz w:val="24"/>
          <w:szCs w:val="24"/>
        </w:rPr>
      </w:pPr>
      <w:r w:rsidRPr="001304C1">
        <w:rPr>
          <w:rFonts w:ascii="Times New Roman" w:hAnsi="Times New Roman"/>
          <w:b/>
          <w:sz w:val="24"/>
          <w:szCs w:val="24"/>
        </w:rPr>
        <w:t xml:space="preserve">по результатам общественного </w:t>
      </w:r>
      <w:proofErr w:type="gramStart"/>
      <w:r w:rsidRPr="001304C1">
        <w:rPr>
          <w:rFonts w:ascii="Times New Roman" w:hAnsi="Times New Roman"/>
          <w:b/>
          <w:sz w:val="24"/>
          <w:szCs w:val="24"/>
        </w:rPr>
        <w:t>обсуждения</w:t>
      </w:r>
      <w:r w:rsidR="00D95671" w:rsidRPr="001304C1">
        <w:rPr>
          <w:rFonts w:ascii="Times New Roman" w:hAnsi="Times New Roman"/>
          <w:b/>
          <w:sz w:val="24"/>
          <w:szCs w:val="24"/>
        </w:rPr>
        <w:t xml:space="preserve"> </w:t>
      </w:r>
      <w:r w:rsidR="00D95671" w:rsidRPr="001304C1">
        <w:rPr>
          <w:rFonts w:ascii="Times New Roman" w:hAnsi="Times New Roman"/>
          <w:b/>
          <w:sz w:val="24"/>
          <w:szCs w:val="24"/>
        </w:rPr>
        <w:br/>
      </w:r>
      <w:r w:rsidR="008D7F2C" w:rsidRPr="001304C1">
        <w:rPr>
          <w:rFonts w:ascii="Times New Roman" w:hAnsi="Times New Roman"/>
          <w:b/>
          <w:bCs/>
          <w:sz w:val="24"/>
          <w:szCs w:val="24"/>
        </w:rPr>
        <w:t>проекта прогноза социально-экономического развития Ленинградской области</w:t>
      </w:r>
      <w:proofErr w:type="gramEnd"/>
      <w:r w:rsidR="00CC762E" w:rsidRPr="001304C1">
        <w:rPr>
          <w:rFonts w:ascii="Times New Roman" w:hAnsi="Times New Roman"/>
          <w:b/>
          <w:bCs/>
          <w:sz w:val="24"/>
          <w:szCs w:val="24"/>
        </w:rPr>
        <w:t xml:space="preserve"> </w:t>
      </w:r>
      <w:r w:rsidR="0097209F" w:rsidRPr="001304C1">
        <w:rPr>
          <w:rFonts w:ascii="Times New Roman" w:hAnsi="Times New Roman"/>
          <w:b/>
          <w:bCs/>
          <w:sz w:val="24"/>
          <w:szCs w:val="24"/>
        </w:rPr>
        <w:t>до 2035 года</w:t>
      </w:r>
    </w:p>
    <w:p w:rsidR="00C55094" w:rsidRPr="001304C1" w:rsidRDefault="00C55094" w:rsidP="00C55094">
      <w:pPr>
        <w:spacing w:after="0" w:line="240" w:lineRule="auto"/>
        <w:jc w:val="center"/>
        <w:rPr>
          <w:rFonts w:ascii="Times New Roman" w:hAnsi="Times New Roman"/>
          <w:b/>
          <w:sz w:val="24"/>
          <w:szCs w:val="24"/>
        </w:rPr>
      </w:pPr>
    </w:p>
    <w:p w:rsidR="00EB57B7" w:rsidRPr="001304C1" w:rsidRDefault="00EB57B7" w:rsidP="00BF4429">
      <w:pPr>
        <w:spacing w:after="0" w:line="240" w:lineRule="auto"/>
        <w:ind w:firstLine="709"/>
        <w:jc w:val="both"/>
        <w:rPr>
          <w:rFonts w:ascii="Times New Roman" w:hAnsi="Times New Roman"/>
          <w:sz w:val="24"/>
          <w:szCs w:val="24"/>
        </w:rPr>
      </w:pPr>
      <w:r w:rsidRPr="001304C1">
        <w:rPr>
          <w:rFonts w:ascii="Times New Roman" w:hAnsi="Times New Roman"/>
          <w:bCs/>
          <w:sz w:val="24"/>
          <w:szCs w:val="24"/>
        </w:rPr>
        <w:t>В период с</w:t>
      </w:r>
      <w:r w:rsidR="00D70B3F" w:rsidRPr="001304C1">
        <w:rPr>
          <w:rFonts w:ascii="Times New Roman" w:hAnsi="Times New Roman"/>
          <w:bCs/>
          <w:sz w:val="24"/>
          <w:szCs w:val="24"/>
        </w:rPr>
        <w:t xml:space="preserve"> </w:t>
      </w:r>
      <w:r w:rsidR="00DD75EA" w:rsidRPr="001304C1">
        <w:rPr>
          <w:rFonts w:ascii="Times New Roman" w:hAnsi="Times New Roman"/>
          <w:bCs/>
          <w:sz w:val="24"/>
          <w:szCs w:val="24"/>
        </w:rPr>
        <w:t>19 по 30 декабря</w:t>
      </w:r>
      <w:r w:rsidR="00D70B3F" w:rsidRPr="001304C1">
        <w:rPr>
          <w:rFonts w:ascii="Times New Roman" w:hAnsi="Times New Roman"/>
          <w:bCs/>
          <w:sz w:val="24"/>
          <w:szCs w:val="24"/>
        </w:rPr>
        <w:t xml:space="preserve"> 2022 года </w:t>
      </w:r>
      <w:r w:rsidRPr="001304C1">
        <w:rPr>
          <w:rFonts w:ascii="Times New Roman" w:hAnsi="Times New Roman"/>
          <w:bCs/>
          <w:sz w:val="24"/>
          <w:szCs w:val="24"/>
        </w:rPr>
        <w:t xml:space="preserve">проект прогноза социально-экономического развития Ленинградской области </w:t>
      </w:r>
      <w:r w:rsidR="005065C0" w:rsidRPr="001304C1">
        <w:rPr>
          <w:rFonts w:ascii="Times New Roman" w:hAnsi="Times New Roman"/>
          <w:bCs/>
          <w:sz w:val="24"/>
          <w:szCs w:val="24"/>
        </w:rPr>
        <w:t>до 2035</w:t>
      </w:r>
      <w:r w:rsidRPr="001304C1">
        <w:rPr>
          <w:rFonts w:ascii="Times New Roman" w:hAnsi="Times New Roman"/>
          <w:bCs/>
          <w:sz w:val="24"/>
          <w:szCs w:val="24"/>
        </w:rPr>
        <w:t xml:space="preserve"> год</w:t>
      </w:r>
      <w:r w:rsidR="005065C0" w:rsidRPr="001304C1">
        <w:rPr>
          <w:rFonts w:ascii="Times New Roman" w:hAnsi="Times New Roman"/>
          <w:bCs/>
          <w:sz w:val="24"/>
          <w:szCs w:val="24"/>
        </w:rPr>
        <w:t>а</w:t>
      </w:r>
      <w:r w:rsidRPr="001304C1">
        <w:rPr>
          <w:rFonts w:ascii="Times New Roman" w:hAnsi="Times New Roman"/>
          <w:bCs/>
          <w:sz w:val="24"/>
          <w:szCs w:val="24"/>
        </w:rPr>
        <w:br/>
        <w:t>(далее – проект прогноза) был</w:t>
      </w:r>
      <w:r w:rsidRPr="001304C1">
        <w:rPr>
          <w:rFonts w:ascii="Times New Roman" w:hAnsi="Times New Roman"/>
          <w:sz w:val="24"/>
          <w:szCs w:val="24"/>
        </w:rPr>
        <w:t xml:space="preserve"> размещен для общественного обсуждения:</w:t>
      </w:r>
    </w:p>
    <w:p w:rsidR="00D70B3F" w:rsidRPr="001304C1" w:rsidRDefault="00EB57B7" w:rsidP="00BF4429">
      <w:pPr>
        <w:spacing w:after="0" w:line="240" w:lineRule="auto"/>
        <w:ind w:firstLine="709"/>
        <w:jc w:val="both"/>
        <w:rPr>
          <w:rFonts w:ascii="Times New Roman" w:hAnsi="Times New Roman"/>
          <w:sz w:val="24"/>
          <w:szCs w:val="24"/>
        </w:rPr>
      </w:pPr>
      <w:r w:rsidRPr="001304C1">
        <w:rPr>
          <w:rFonts w:ascii="Times New Roman" w:hAnsi="Times New Roman"/>
          <w:sz w:val="24"/>
          <w:szCs w:val="24"/>
        </w:rPr>
        <w:t xml:space="preserve">- на официальном сайте Комитета экономического развития и инвестиционной деятельности Ленинградской области в сети Интернет по адресу: </w:t>
      </w:r>
      <w:r w:rsidR="005065C0" w:rsidRPr="001304C1">
        <w:rPr>
          <w:rFonts w:ascii="Times New Roman" w:hAnsi="Times New Roman"/>
          <w:sz w:val="24"/>
          <w:szCs w:val="24"/>
        </w:rPr>
        <w:t xml:space="preserve">https://econ.lenobl.ru/ru/budget/social/prognoz-lo-dolg/uvedomlenie-2022/ </w:t>
      </w:r>
    </w:p>
    <w:p w:rsidR="00EB57B7" w:rsidRPr="001304C1" w:rsidRDefault="00EB57B7" w:rsidP="00BF4429">
      <w:pPr>
        <w:spacing w:after="0" w:line="240" w:lineRule="auto"/>
        <w:ind w:firstLine="709"/>
        <w:jc w:val="both"/>
        <w:rPr>
          <w:rFonts w:ascii="Times New Roman" w:hAnsi="Times New Roman"/>
          <w:sz w:val="24"/>
          <w:szCs w:val="24"/>
        </w:rPr>
      </w:pPr>
      <w:r w:rsidRPr="001304C1">
        <w:rPr>
          <w:rFonts w:ascii="Times New Roman" w:hAnsi="Times New Roman"/>
          <w:sz w:val="24"/>
          <w:szCs w:val="24"/>
        </w:rPr>
        <w:t xml:space="preserve">- на сайте </w:t>
      </w:r>
      <w:r w:rsidRPr="001304C1">
        <w:rPr>
          <w:rFonts w:ascii="Times New Roman" w:hAnsi="Times New Roman"/>
          <w:sz w:val="24"/>
          <w:szCs w:val="24"/>
          <w:shd w:val="clear" w:color="auto" w:fill="FFFFFF"/>
        </w:rPr>
        <w:t>Государственной автоматизированной информационной системы «</w:t>
      </w:r>
      <w:r w:rsidRPr="001304C1">
        <w:rPr>
          <w:rFonts w:ascii="Times New Roman" w:hAnsi="Times New Roman"/>
          <w:bCs/>
          <w:sz w:val="24"/>
          <w:szCs w:val="24"/>
          <w:shd w:val="clear" w:color="auto" w:fill="FFFFFF"/>
        </w:rPr>
        <w:t>Управление»</w:t>
      </w:r>
      <w:r w:rsidRPr="001304C1">
        <w:rPr>
          <w:rFonts w:ascii="Times New Roman" w:hAnsi="Times New Roman"/>
          <w:sz w:val="24"/>
          <w:szCs w:val="24"/>
        </w:rPr>
        <w:t xml:space="preserve"> в разделе «Общественное обсуждение проектов» по адресу: http://gasu.gov.ru/stratpassport.</w:t>
      </w:r>
    </w:p>
    <w:p w:rsidR="00EB57B7" w:rsidRPr="001304C1" w:rsidRDefault="00EB57B7" w:rsidP="00D95671">
      <w:pPr>
        <w:spacing w:after="0" w:line="240" w:lineRule="auto"/>
        <w:ind w:firstLine="709"/>
        <w:jc w:val="both"/>
        <w:rPr>
          <w:rFonts w:ascii="Times New Roman" w:hAnsi="Times New Roman"/>
          <w:sz w:val="24"/>
          <w:szCs w:val="24"/>
        </w:rPr>
      </w:pPr>
    </w:p>
    <w:p w:rsidR="00D95671" w:rsidRPr="001304C1" w:rsidRDefault="008D7F2C" w:rsidP="00D95671">
      <w:pPr>
        <w:spacing w:after="0" w:line="240" w:lineRule="auto"/>
        <w:ind w:firstLine="709"/>
        <w:jc w:val="both"/>
        <w:rPr>
          <w:rFonts w:ascii="Times New Roman" w:hAnsi="Times New Roman"/>
          <w:bCs/>
          <w:sz w:val="24"/>
          <w:szCs w:val="24"/>
        </w:rPr>
      </w:pPr>
      <w:r w:rsidRPr="001304C1">
        <w:rPr>
          <w:rFonts w:ascii="Times New Roman" w:hAnsi="Times New Roman"/>
          <w:sz w:val="24"/>
          <w:szCs w:val="24"/>
        </w:rPr>
        <w:t xml:space="preserve">Извещения о проведении общественного обсуждения </w:t>
      </w:r>
      <w:r w:rsidR="00EB57B7" w:rsidRPr="001304C1">
        <w:rPr>
          <w:rFonts w:ascii="Times New Roman" w:hAnsi="Times New Roman"/>
          <w:bCs/>
          <w:sz w:val="24"/>
          <w:szCs w:val="24"/>
        </w:rPr>
        <w:t xml:space="preserve">проекта прогноза </w:t>
      </w:r>
      <w:r w:rsidRPr="001304C1">
        <w:rPr>
          <w:rFonts w:ascii="Times New Roman" w:hAnsi="Times New Roman"/>
          <w:bCs/>
          <w:sz w:val="24"/>
          <w:szCs w:val="24"/>
        </w:rPr>
        <w:t xml:space="preserve">были направлены в следующие </w:t>
      </w:r>
      <w:r w:rsidR="005476F3" w:rsidRPr="001304C1">
        <w:rPr>
          <w:rFonts w:ascii="Times New Roman" w:hAnsi="Times New Roman"/>
          <w:bCs/>
          <w:sz w:val="24"/>
          <w:szCs w:val="24"/>
        </w:rPr>
        <w:t xml:space="preserve">организации </w:t>
      </w:r>
      <w:r w:rsidR="00D95671" w:rsidRPr="001304C1">
        <w:rPr>
          <w:rFonts w:ascii="Times New Roman" w:hAnsi="Times New Roman"/>
          <w:bCs/>
          <w:sz w:val="24"/>
          <w:szCs w:val="24"/>
        </w:rPr>
        <w:t>Ленинградской области:</w:t>
      </w:r>
    </w:p>
    <w:p w:rsidR="00FD4118" w:rsidRPr="001304C1" w:rsidRDefault="003D4023" w:rsidP="00FD4118">
      <w:pPr>
        <w:spacing w:after="0" w:line="240" w:lineRule="auto"/>
        <w:ind w:firstLine="709"/>
        <w:jc w:val="both"/>
        <w:rPr>
          <w:rFonts w:ascii="Times New Roman" w:hAnsi="Times New Roman"/>
          <w:sz w:val="24"/>
          <w:szCs w:val="24"/>
        </w:rPr>
      </w:pPr>
      <w:r w:rsidRPr="001304C1">
        <w:rPr>
          <w:rFonts w:ascii="Times New Roman" w:hAnsi="Times New Roman"/>
          <w:bCs/>
          <w:sz w:val="24"/>
          <w:szCs w:val="24"/>
        </w:rPr>
        <w:t xml:space="preserve">- </w:t>
      </w:r>
      <w:r w:rsidRPr="001304C1">
        <w:rPr>
          <w:rFonts w:ascii="Times New Roman" w:hAnsi="Times New Roman"/>
          <w:sz w:val="24"/>
          <w:szCs w:val="24"/>
        </w:rPr>
        <w:t>Ленинградская областная торгово-промышленная палата,</w:t>
      </w:r>
    </w:p>
    <w:p w:rsidR="00FD4118" w:rsidRPr="001304C1" w:rsidRDefault="00FD4118" w:rsidP="00FD4118">
      <w:pPr>
        <w:spacing w:after="0" w:line="240" w:lineRule="auto"/>
        <w:ind w:firstLine="709"/>
        <w:jc w:val="both"/>
        <w:rPr>
          <w:rFonts w:ascii="Times New Roman" w:hAnsi="Times New Roman"/>
          <w:sz w:val="24"/>
          <w:szCs w:val="24"/>
        </w:rPr>
      </w:pPr>
      <w:r w:rsidRPr="001304C1">
        <w:rPr>
          <w:rFonts w:ascii="Times New Roman" w:hAnsi="Times New Roman"/>
          <w:sz w:val="24"/>
          <w:szCs w:val="24"/>
        </w:rPr>
        <w:t xml:space="preserve">- </w:t>
      </w:r>
      <w:r w:rsidR="00D70B3F" w:rsidRPr="001304C1">
        <w:rPr>
          <w:rFonts w:ascii="Times New Roman" w:hAnsi="Times New Roman"/>
          <w:sz w:val="24"/>
          <w:szCs w:val="24"/>
        </w:rPr>
        <w:t>Общественная палата Ленинградской области,</w:t>
      </w:r>
    </w:p>
    <w:p w:rsidR="00467225" w:rsidRPr="001304C1" w:rsidRDefault="003D4023" w:rsidP="008D7F2C">
      <w:pPr>
        <w:spacing w:after="0" w:line="240" w:lineRule="auto"/>
        <w:ind w:firstLine="709"/>
        <w:jc w:val="both"/>
        <w:rPr>
          <w:rFonts w:ascii="Times New Roman" w:eastAsia="Times New Roman" w:hAnsi="Times New Roman"/>
          <w:sz w:val="24"/>
          <w:szCs w:val="24"/>
          <w:lang w:eastAsia="ru-RU"/>
        </w:rPr>
      </w:pPr>
      <w:r w:rsidRPr="001304C1">
        <w:rPr>
          <w:rFonts w:ascii="Times New Roman" w:hAnsi="Times New Roman"/>
          <w:bCs/>
          <w:sz w:val="24"/>
          <w:szCs w:val="24"/>
        </w:rPr>
        <w:t xml:space="preserve">- </w:t>
      </w:r>
      <w:r w:rsidR="00467225" w:rsidRPr="001304C1">
        <w:rPr>
          <w:rFonts w:ascii="Times New Roman" w:eastAsia="Times New Roman" w:hAnsi="Times New Roman"/>
          <w:sz w:val="24"/>
          <w:szCs w:val="24"/>
          <w:lang w:eastAsia="ru-RU"/>
        </w:rPr>
        <w:t>Санкт-Петербургск</w:t>
      </w:r>
      <w:r w:rsidR="0051402A" w:rsidRPr="001304C1">
        <w:rPr>
          <w:rFonts w:ascii="Times New Roman" w:eastAsia="Times New Roman" w:hAnsi="Times New Roman"/>
          <w:sz w:val="24"/>
          <w:szCs w:val="24"/>
          <w:lang w:eastAsia="ru-RU"/>
        </w:rPr>
        <w:t>ий</w:t>
      </w:r>
      <w:r w:rsidR="00467225" w:rsidRPr="001304C1">
        <w:rPr>
          <w:rFonts w:ascii="Times New Roman" w:eastAsia="Times New Roman" w:hAnsi="Times New Roman"/>
          <w:sz w:val="24"/>
          <w:szCs w:val="24"/>
          <w:lang w:eastAsia="ru-RU"/>
        </w:rPr>
        <w:t xml:space="preserve"> филиал ФГАОУ В</w:t>
      </w:r>
      <w:r w:rsidR="0051402A" w:rsidRPr="001304C1">
        <w:rPr>
          <w:rFonts w:ascii="Times New Roman" w:eastAsia="Times New Roman" w:hAnsi="Times New Roman"/>
          <w:sz w:val="24"/>
          <w:szCs w:val="24"/>
          <w:lang w:eastAsia="ru-RU"/>
        </w:rPr>
        <w:t>ПО НИУ «Высшая школа экономики»</w:t>
      </w:r>
      <w:r w:rsidR="00156DDB" w:rsidRPr="001304C1">
        <w:rPr>
          <w:rFonts w:ascii="Times New Roman" w:eastAsia="Times New Roman" w:hAnsi="Times New Roman"/>
          <w:sz w:val="24"/>
          <w:szCs w:val="24"/>
          <w:lang w:eastAsia="ru-RU"/>
        </w:rPr>
        <w:t>,</w:t>
      </w:r>
    </w:p>
    <w:p w:rsidR="00156DDB" w:rsidRPr="001304C1" w:rsidRDefault="00156DDB" w:rsidP="00156DDB">
      <w:pPr>
        <w:spacing w:after="0" w:line="240" w:lineRule="auto"/>
        <w:ind w:firstLine="709"/>
        <w:jc w:val="both"/>
        <w:rPr>
          <w:rFonts w:ascii="Times New Roman" w:eastAsia="Times New Roman" w:hAnsi="Times New Roman"/>
          <w:sz w:val="24"/>
          <w:szCs w:val="24"/>
          <w:lang w:eastAsia="ru-RU"/>
        </w:rPr>
      </w:pPr>
      <w:r w:rsidRPr="001304C1">
        <w:rPr>
          <w:rFonts w:ascii="Times New Roman" w:eastAsia="Times New Roman" w:hAnsi="Times New Roman"/>
          <w:sz w:val="24"/>
          <w:szCs w:val="24"/>
          <w:lang w:eastAsia="ru-RU"/>
        </w:rPr>
        <w:t>- Региональное объединение работодателей «Союз промышленников и предпринимателей Ленинградской области».</w:t>
      </w:r>
    </w:p>
    <w:p w:rsidR="00D0653D" w:rsidRPr="001304C1" w:rsidRDefault="00D0653D" w:rsidP="0051402A">
      <w:pPr>
        <w:spacing w:after="0" w:line="240" w:lineRule="auto"/>
        <w:ind w:firstLine="709"/>
        <w:jc w:val="both"/>
        <w:rPr>
          <w:rFonts w:ascii="Times New Roman" w:hAnsi="Times New Roman"/>
          <w:sz w:val="24"/>
          <w:szCs w:val="24"/>
        </w:rPr>
      </w:pPr>
    </w:p>
    <w:p w:rsidR="00E22397" w:rsidRPr="001304C1" w:rsidRDefault="009E5A05" w:rsidP="00922A30">
      <w:pPr>
        <w:spacing w:after="0" w:line="240" w:lineRule="auto"/>
        <w:ind w:firstLine="709"/>
        <w:jc w:val="both"/>
        <w:rPr>
          <w:rFonts w:ascii="Times New Roman" w:hAnsi="Times New Roman"/>
          <w:sz w:val="24"/>
          <w:szCs w:val="24"/>
        </w:rPr>
      </w:pPr>
      <w:r w:rsidRPr="001304C1">
        <w:rPr>
          <w:rFonts w:ascii="Times New Roman" w:hAnsi="Times New Roman"/>
          <w:sz w:val="24"/>
          <w:szCs w:val="24"/>
        </w:rPr>
        <w:t xml:space="preserve">По </w:t>
      </w:r>
      <w:r w:rsidR="009F5DD4" w:rsidRPr="001304C1">
        <w:rPr>
          <w:rFonts w:ascii="Times New Roman" w:hAnsi="Times New Roman"/>
          <w:sz w:val="24"/>
          <w:szCs w:val="24"/>
        </w:rPr>
        <w:t>итогам</w:t>
      </w:r>
      <w:r w:rsidRPr="001304C1">
        <w:rPr>
          <w:rFonts w:ascii="Times New Roman" w:hAnsi="Times New Roman"/>
          <w:sz w:val="24"/>
          <w:szCs w:val="24"/>
        </w:rPr>
        <w:t xml:space="preserve"> общественного обсуждения </w:t>
      </w:r>
      <w:r w:rsidRPr="001304C1">
        <w:rPr>
          <w:rFonts w:ascii="Times New Roman" w:hAnsi="Times New Roman"/>
          <w:bCs/>
          <w:sz w:val="24"/>
          <w:szCs w:val="24"/>
        </w:rPr>
        <w:t xml:space="preserve">проекта прогноза в Комитет экономического развития и инвестиционной деятельности </w:t>
      </w:r>
      <w:r w:rsidR="00C37561" w:rsidRPr="001304C1">
        <w:rPr>
          <w:rFonts w:ascii="Times New Roman" w:hAnsi="Times New Roman"/>
          <w:bCs/>
          <w:sz w:val="24"/>
          <w:szCs w:val="24"/>
        </w:rPr>
        <w:t xml:space="preserve">Ленинградской области </w:t>
      </w:r>
      <w:r w:rsidR="005065C0" w:rsidRPr="001304C1">
        <w:rPr>
          <w:rFonts w:ascii="Times New Roman" w:hAnsi="Times New Roman"/>
          <w:bCs/>
          <w:sz w:val="24"/>
          <w:szCs w:val="24"/>
        </w:rPr>
        <w:t>поступил</w:t>
      </w:r>
      <w:r w:rsidRPr="001304C1">
        <w:rPr>
          <w:rFonts w:ascii="Times New Roman" w:hAnsi="Times New Roman"/>
          <w:bCs/>
          <w:sz w:val="24"/>
          <w:szCs w:val="24"/>
        </w:rPr>
        <w:t xml:space="preserve"> </w:t>
      </w:r>
      <w:r w:rsidR="00467225" w:rsidRPr="001304C1">
        <w:rPr>
          <w:rFonts w:ascii="Times New Roman" w:hAnsi="Times New Roman"/>
          <w:sz w:val="24"/>
          <w:szCs w:val="24"/>
        </w:rPr>
        <w:t xml:space="preserve">отзыв </w:t>
      </w:r>
      <w:r w:rsidR="00922A30" w:rsidRPr="001304C1">
        <w:rPr>
          <w:rFonts w:ascii="Times New Roman" w:hAnsi="Times New Roman"/>
          <w:sz w:val="24"/>
          <w:szCs w:val="24"/>
        </w:rPr>
        <w:t>от</w:t>
      </w:r>
      <w:r w:rsidR="00E22397" w:rsidRPr="001304C1">
        <w:rPr>
          <w:rFonts w:ascii="Times New Roman" w:hAnsi="Times New Roman"/>
          <w:sz w:val="24"/>
          <w:szCs w:val="24"/>
        </w:rPr>
        <w:t xml:space="preserve"> </w:t>
      </w:r>
      <w:r w:rsidR="00922A30" w:rsidRPr="001304C1">
        <w:rPr>
          <w:rFonts w:ascii="Times New Roman" w:hAnsi="Times New Roman"/>
          <w:sz w:val="24"/>
          <w:szCs w:val="24"/>
        </w:rPr>
        <w:t xml:space="preserve">Общественной палаты Ленинградской области </w:t>
      </w:r>
      <w:r w:rsidR="00E22397" w:rsidRPr="001304C1">
        <w:rPr>
          <w:rFonts w:ascii="Times New Roman" w:hAnsi="Times New Roman"/>
          <w:sz w:val="24"/>
          <w:szCs w:val="24"/>
        </w:rPr>
        <w:t>по электронной почте</w:t>
      </w:r>
      <w:r w:rsidR="00922A30" w:rsidRPr="001304C1">
        <w:rPr>
          <w:rFonts w:ascii="Times New Roman" w:hAnsi="Times New Roman"/>
          <w:sz w:val="24"/>
          <w:szCs w:val="24"/>
        </w:rPr>
        <w:t xml:space="preserve">. </w:t>
      </w:r>
      <w:r w:rsidR="00E22397" w:rsidRPr="001304C1">
        <w:rPr>
          <w:rFonts w:ascii="Times New Roman" w:hAnsi="Times New Roman"/>
          <w:sz w:val="24"/>
          <w:szCs w:val="24"/>
          <w:shd w:val="clear" w:color="auto" w:fill="FFFFFF"/>
        </w:rPr>
        <w:t>Через государственную автоматизированную информационную систему «</w:t>
      </w:r>
      <w:r w:rsidR="00E22397" w:rsidRPr="001304C1">
        <w:rPr>
          <w:rFonts w:ascii="Times New Roman" w:hAnsi="Times New Roman"/>
          <w:bCs/>
          <w:sz w:val="24"/>
          <w:szCs w:val="24"/>
          <w:shd w:val="clear" w:color="auto" w:fill="FFFFFF"/>
        </w:rPr>
        <w:t>Управление»</w:t>
      </w:r>
      <w:r w:rsidR="00E22397" w:rsidRPr="001304C1">
        <w:rPr>
          <w:rFonts w:ascii="Times New Roman" w:hAnsi="Times New Roman"/>
          <w:sz w:val="24"/>
          <w:szCs w:val="24"/>
        </w:rPr>
        <w:t xml:space="preserve"> отзывов не поступило.</w:t>
      </w:r>
    </w:p>
    <w:p w:rsidR="00F407D1" w:rsidRPr="001304C1" w:rsidRDefault="00F407D1" w:rsidP="008D7F2C">
      <w:pPr>
        <w:spacing w:after="0" w:line="240" w:lineRule="auto"/>
        <w:ind w:firstLine="709"/>
        <w:jc w:val="both"/>
        <w:rPr>
          <w:rFonts w:ascii="Times New Roman" w:hAnsi="Times New Roman"/>
          <w:bCs/>
          <w:sz w:val="24"/>
          <w:szCs w:val="24"/>
        </w:rPr>
      </w:pPr>
    </w:p>
    <w:p w:rsidR="00C55094" w:rsidRPr="001304C1" w:rsidRDefault="000210EE" w:rsidP="009E5A05">
      <w:pPr>
        <w:spacing w:after="0" w:line="240" w:lineRule="auto"/>
        <w:jc w:val="center"/>
        <w:rPr>
          <w:rFonts w:ascii="Times New Roman" w:hAnsi="Times New Roman"/>
          <w:b/>
          <w:bCs/>
          <w:sz w:val="24"/>
          <w:szCs w:val="24"/>
        </w:rPr>
      </w:pPr>
      <w:r w:rsidRPr="001304C1">
        <w:rPr>
          <w:rFonts w:ascii="Times New Roman" w:hAnsi="Times New Roman"/>
          <w:b/>
          <w:sz w:val="24"/>
          <w:szCs w:val="24"/>
        </w:rPr>
        <w:t xml:space="preserve">Результаты рассмотрения </w:t>
      </w:r>
      <w:r w:rsidR="00C55094" w:rsidRPr="001304C1">
        <w:rPr>
          <w:rFonts w:ascii="Times New Roman" w:hAnsi="Times New Roman"/>
          <w:b/>
          <w:sz w:val="24"/>
          <w:szCs w:val="24"/>
        </w:rPr>
        <w:t>замечани</w:t>
      </w:r>
      <w:r w:rsidRPr="001304C1">
        <w:rPr>
          <w:rFonts w:ascii="Times New Roman" w:hAnsi="Times New Roman"/>
          <w:b/>
          <w:sz w:val="24"/>
          <w:szCs w:val="24"/>
        </w:rPr>
        <w:t>й</w:t>
      </w:r>
      <w:r w:rsidR="00C55094" w:rsidRPr="001304C1">
        <w:rPr>
          <w:rFonts w:ascii="Times New Roman" w:hAnsi="Times New Roman"/>
          <w:b/>
          <w:sz w:val="24"/>
          <w:szCs w:val="24"/>
        </w:rPr>
        <w:t xml:space="preserve"> и </w:t>
      </w:r>
      <w:r w:rsidR="00467225" w:rsidRPr="001304C1">
        <w:rPr>
          <w:rFonts w:ascii="Times New Roman" w:hAnsi="Times New Roman"/>
          <w:b/>
          <w:sz w:val="24"/>
          <w:szCs w:val="24"/>
        </w:rPr>
        <w:t>предложений</w:t>
      </w:r>
      <w:r w:rsidR="00C55094" w:rsidRPr="001304C1">
        <w:rPr>
          <w:rFonts w:ascii="Times New Roman" w:hAnsi="Times New Roman"/>
          <w:b/>
          <w:sz w:val="24"/>
          <w:szCs w:val="24"/>
        </w:rPr>
        <w:t>, поступивши</w:t>
      </w:r>
      <w:r w:rsidRPr="001304C1">
        <w:rPr>
          <w:rFonts w:ascii="Times New Roman" w:hAnsi="Times New Roman"/>
          <w:b/>
          <w:sz w:val="24"/>
          <w:szCs w:val="24"/>
        </w:rPr>
        <w:t>х</w:t>
      </w:r>
      <w:r w:rsidR="00C55094" w:rsidRPr="001304C1">
        <w:rPr>
          <w:rFonts w:ascii="Times New Roman" w:hAnsi="Times New Roman"/>
          <w:b/>
          <w:sz w:val="24"/>
          <w:szCs w:val="24"/>
        </w:rPr>
        <w:t xml:space="preserve"> в </w:t>
      </w:r>
      <w:r w:rsidR="0051402A" w:rsidRPr="001304C1">
        <w:rPr>
          <w:rFonts w:ascii="Times New Roman" w:hAnsi="Times New Roman"/>
          <w:b/>
          <w:sz w:val="24"/>
          <w:szCs w:val="24"/>
        </w:rPr>
        <w:t xml:space="preserve">рамках общественного </w:t>
      </w:r>
      <w:proofErr w:type="gramStart"/>
      <w:r w:rsidR="0051402A" w:rsidRPr="001304C1">
        <w:rPr>
          <w:rFonts w:ascii="Times New Roman" w:hAnsi="Times New Roman"/>
          <w:b/>
          <w:sz w:val="24"/>
          <w:szCs w:val="24"/>
        </w:rPr>
        <w:t xml:space="preserve">обсуждения </w:t>
      </w:r>
      <w:r w:rsidR="0051402A" w:rsidRPr="001304C1">
        <w:rPr>
          <w:rFonts w:ascii="Times New Roman" w:hAnsi="Times New Roman"/>
          <w:b/>
          <w:sz w:val="24"/>
          <w:szCs w:val="24"/>
        </w:rPr>
        <w:br/>
      </w:r>
      <w:r w:rsidR="00C55094" w:rsidRPr="001304C1">
        <w:rPr>
          <w:rFonts w:ascii="Times New Roman" w:hAnsi="Times New Roman"/>
          <w:b/>
          <w:bCs/>
          <w:sz w:val="24"/>
          <w:szCs w:val="24"/>
        </w:rPr>
        <w:t>проекта прогноза социально-экономического развития Ленинградской области</w:t>
      </w:r>
      <w:proofErr w:type="gramEnd"/>
      <w:r w:rsidR="00C55094" w:rsidRPr="001304C1">
        <w:rPr>
          <w:rFonts w:ascii="Times New Roman" w:hAnsi="Times New Roman"/>
          <w:b/>
          <w:bCs/>
          <w:sz w:val="24"/>
          <w:szCs w:val="24"/>
        </w:rPr>
        <w:t xml:space="preserve"> </w:t>
      </w:r>
      <w:r w:rsidR="00922A30" w:rsidRPr="001304C1">
        <w:rPr>
          <w:rFonts w:ascii="Times New Roman" w:hAnsi="Times New Roman"/>
          <w:b/>
          <w:bCs/>
          <w:sz w:val="24"/>
          <w:szCs w:val="24"/>
        </w:rPr>
        <w:t>до 2035 года</w:t>
      </w:r>
    </w:p>
    <w:p w:rsidR="008D35E1" w:rsidRPr="001304C1" w:rsidRDefault="008D35E1" w:rsidP="009E5A05">
      <w:pPr>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108"/>
        <w:gridCol w:w="5528"/>
        <w:gridCol w:w="7655"/>
      </w:tblGrid>
      <w:tr w:rsidR="001736A1" w:rsidRPr="001304C1" w:rsidTr="009A56D6">
        <w:trPr>
          <w:tblHeader/>
        </w:trPr>
        <w:tc>
          <w:tcPr>
            <w:tcW w:w="552" w:type="dxa"/>
            <w:shd w:val="clear" w:color="auto" w:fill="auto"/>
          </w:tcPr>
          <w:p w:rsidR="001736A1" w:rsidRPr="001304C1" w:rsidRDefault="001736A1" w:rsidP="00D90B93">
            <w:pPr>
              <w:spacing w:after="0" w:line="240" w:lineRule="auto"/>
              <w:jc w:val="center"/>
              <w:rPr>
                <w:rFonts w:ascii="Times New Roman" w:hAnsi="Times New Roman"/>
                <w:b/>
                <w:bCs/>
                <w:sz w:val="24"/>
                <w:szCs w:val="24"/>
              </w:rPr>
            </w:pPr>
            <w:r w:rsidRPr="001304C1">
              <w:rPr>
                <w:rFonts w:ascii="Times New Roman" w:hAnsi="Times New Roman"/>
                <w:b/>
                <w:sz w:val="24"/>
                <w:szCs w:val="24"/>
              </w:rPr>
              <w:t xml:space="preserve">№ </w:t>
            </w:r>
            <w:proofErr w:type="gramStart"/>
            <w:r w:rsidRPr="001304C1">
              <w:rPr>
                <w:rFonts w:ascii="Times New Roman" w:hAnsi="Times New Roman"/>
                <w:b/>
                <w:sz w:val="24"/>
                <w:szCs w:val="24"/>
              </w:rPr>
              <w:t>п</w:t>
            </w:r>
            <w:proofErr w:type="gramEnd"/>
            <w:r w:rsidRPr="001304C1">
              <w:rPr>
                <w:rFonts w:ascii="Times New Roman" w:hAnsi="Times New Roman"/>
                <w:b/>
                <w:sz w:val="24"/>
                <w:szCs w:val="24"/>
              </w:rPr>
              <w:t>/п</w:t>
            </w:r>
          </w:p>
        </w:tc>
        <w:tc>
          <w:tcPr>
            <w:tcW w:w="2108" w:type="dxa"/>
            <w:shd w:val="clear" w:color="auto" w:fill="auto"/>
            <w:vAlign w:val="center"/>
          </w:tcPr>
          <w:p w:rsidR="001736A1" w:rsidRPr="001304C1" w:rsidRDefault="001736A1" w:rsidP="008D35E1">
            <w:pPr>
              <w:spacing w:after="0" w:line="240" w:lineRule="auto"/>
              <w:jc w:val="center"/>
              <w:rPr>
                <w:rFonts w:ascii="Times New Roman" w:hAnsi="Times New Roman"/>
                <w:b/>
                <w:bCs/>
                <w:sz w:val="24"/>
                <w:szCs w:val="24"/>
              </w:rPr>
            </w:pPr>
            <w:r w:rsidRPr="001304C1">
              <w:rPr>
                <w:rFonts w:ascii="Times New Roman" w:hAnsi="Times New Roman"/>
                <w:b/>
                <w:sz w:val="24"/>
                <w:szCs w:val="24"/>
              </w:rPr>
              <w:t>Сведения о лице, направившем замечания или предложения, дата поступления и способ поступления</w:t>
            </w:r>
          </w:p>
        </w:tc>
        <w:tc>
          <w:tcPr>
            <w:tcW w:w="5528" w:type="dxa"/>
            <w:shd w:val="clear" w:color="auto" w:fill="auto"/>
            <w:vAlign w:val="center"/>
          </w:tcPr>
          <w:p w:rsidR="001736A1" w:rsidRPr="001304C1" w:rsidRDefault="001736A1" w:rsidP="008D35E1">
            <w:pPr>
              <w:spacing w:after="0" w:line="240" w:lineRule="auto"/>
              <w:jc w:val="center"/>
              <w:rPr>
                <w:rFonts w:ascii="Times New Roman" w:hAnsi="Times New Roman"/>
                <w:b/>
                <w:bCs/>
                <w:sz w:val="24"/>
                <w:szCs w:val="24"/>
              </w:rPr>
            </w:pPr>
            <w:r w:rsidRPr="001304C1">
              <w:rPr>
                <w:rFonts w:ascii="Times New Roman" w:hAnsi="Times New Roman"/>
                <w:b/>
                <w:sz w:val="24"/>
                <w:szCs w:val="24"/>
              </w:rPr>
              <w:t xml:space="preserve">Содержание замечания </w:t>
            </w:r>
            <w:r w:rsidR="00D0653D" w:rsidRPr="001304C1">
              <w:rPr>
                <w:rFonts w:ascii="Times New Roman" w:hAnsi="Times New Roman"/>
                <w:b/>
                <w:sz w:val="24"/>
                <w:szCs w:val="24"/>
              </w:rPr>
              <w:br/>
            </w:r>
            <w:r w:rsidRPr="001304C1">
              <w:rPr>
                <w:rFonts w:ascii="Times New Roman" w:hAnsi="Times New Roman"/>
                <w:b/>
                <w:sz w:val="24"/>
                <w:szCs w:val="24"/>
              </w:rPr>
              <w:t>или предложения</w:t>
            </w:r>
          </w:p>
        </w:tc>
        <w:tc>
          <w:tcPr>
            <w:tcW w:w="7655" w:type="dxa"/>
            <w:shd w:val="clear" w:color="auto" w:fill="auto"/>
            <w:vAlign w:val="center"/>
          </w:tcPr>
          <w:p w:rsidR="001736A1" w:rsidRPr="001304C1" w:rsidRDefault="001736A1" w:rsidP="008D35E1">
            <w:pPr>
              <w:spacing w:after="0" w:line="240" w:lineRule="auto"/>
              <w:jc w:val="center"/>
              <w:rPr>
                <w:rFonts w:ascii="Times New Roman" w:hAnsi="Times New Roman"/>
                <w:b/>
                <w:bCs/>
                <w:sz w:val="24"/>
                <w:szCs w:val="24"/>
              </w:rPr>
            </w:pPr>
            <w:r w:rsidRPr="001304C1">
              <w:rPr>
                <w:rFonts w:ascii="Times New Roman" w:hAnsi="Times New Roman"/>
                <w:b/>
                <w:sz w:val="24"/>
                <w:szCs w:val="24"/>
              </w:rPr>
              <w:t>Результаты рассмотрения (</w:t>
            </w:r>
            <w:proofErr w:type="gramStart"/>
            <w:r w:rsidRPr="001304C1">
              <w:rPr>
                <w:rFonts w:ascii="Times New Roman" w:hAnsi="Times New Roman"/>
                <w:b/>
                <w:sz w:val="24"/>
                <w:szCs w:val="24"/>
              </w:rPr>
              <w:t>учтено/частично учтено</w:t>
            </w:r>
            <w:proofErr w:type="gramEnd"/>
            <w:r w:rsidRPr="001304C1">
              <w:rPr>
                <w:rFonts w:ascii="Times New Roman" w:hAnsi="Times New Roman"/>
                <w:b/>
                <w:sz w:val="24"/>
                <w:szCs w:val="24"/>
              </w:rPr>
              <w:t xml:space="preserve"> или отклонено; указание причины полного или частичного отклонения)</w:t>
            </w:r>
          </w:p>
        </w:tc>
      </w:tr>
    </w:tbl>
    <w:p w:rsidR="001736A1" w:rsidRPr="001304C1" w:rsidRDefault="001736A1" w:rsidP="009E5A05">
      <w:pPr>
        <w:spacing w:after="0" w:line="240" w:lineRule="auto"/>
        <w:jc w:val="center"/>
        <w:rPr>
          <w:rFonts w:ascii="Times New Roman" w:hAnsi="Times New Roman"/>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108"/>
        <w:gridCol w:w="5528"/>
        <w:gridCol w:w="7655"/>
      </w:tblGrid>
      <w:tr w:rsidR="005476F3" w:rsidRPr="001304C1" w:rsidTr="009A56D6">
        <w:trPr>
          <w:tblHeader/>
        </w:trPr>
        <w:tc>
          <w:tcPr>
            <w:tcW w:w="552" w:type="dxa"/>
            <w:shd w:val="clear" w:color="auto" w:fill="auto"/>
          </w:tcPr>
          <w:p w:rsidR="00D95671" w:rsidRPr="001304C1" w:rsidRDefault="001736A1" w:rsidP="00471146">
            <w:pPr>
              <w:spacing w:after="0" w:line="240" w:lineRule="auto"/>
              <w:jc w:val="center"/>
              <w:rPr>
                <w:rFonts w:ascii="Times New Roman" w:hAnsi="Times New Roman"/>
                <w:b/>
                <w:bCs/>
                <w:sz w:val="24"/>
                <w:szCs w:val="24"/>
              </w:rPr>
            </w:pPr>
            <w:r w:rsidRPr="001304C1">
              <w:rPr>
                <w:rFonts w:ascii="Times New Roman" w:hAnsi="Times New Roman"/>
                <w:b/>
                <w:sz w:val="24"/>
                <w:szCs w:val="24"/>
              </w:rPr>
              <w:t>1</w:t>
            </w:r>
          </w:p>
        </w:tc>
        <w:tc>
          <w:tcPr>
            <w:tcW w:w="2108" w:type="dxa"/>
            <w:shd w:val="clear" w:color="auto" w:fill="auto"/>
          </w:tcPr>
          <w:p w:rsidR="00D95671" w:rsidRPr="001304C1" w:rsidRDefault="001736A1" w:rsidP="0051402A">
            <w:pPr>
              <w:spacing w:after="0" w:line="240" w:lineRule="auto"/>
              <w:jc w:val="center"/>
              <w:rPr>
                <w:rFonts w:ascii="Times New Roman" w:hAnsi="Times New Roman"/>
                <w:b/>
                <w:bCs/>
                <w:sz w:val="24"/>
                <w:szCs w:val="24"/>
              </w:rPr>
            </w:pPr>
            <w:r w:rsidRPr="001304C1">
              <w:rPr>
                <w:rFonts w:ascii="Times New Roman" w:hAnsi="Times New Roman"/>
                <w:b/>
                <w:sz w:val="24"/>
                <w:szCs w:val="24"/>
              </w:rPr>
              <w:t>2</w:t>
            </w:r>
          </w:p>
        </w:tc>
        <w:tc>
          <w:tcPr>
            <w:tcW w:w="5528" w:type="dxa"/>
            <w:shd w:val="clear" w:color="auto" w:fill="auto"/>
          </w:tcPr>
          <w:p w:rsidR="00D95671" w:rsidRPr="001304C1" w:rsidRDefault="001736A1" w:rsidP="001F0BAC">
            <w:pPr>
              <w:spacing w:after="0" w:line="240" w:lineRule="auto"/>
              <w:jc w:val="center"/>
              <w:rPr>
                <w:rFonts w:ascii="Times New Roman" w:hAnsi="Times New Roman"/>
                <w:b/>
                <w:bCs/>
                <w:sz w:val="24"/>
                <w:szCs w:val="24"/>
              </w:rPr>
            </w:pPr>
            <w:r w:rsidRPr="001304C1">
              <w:rPr>
                <w:rFonts w:ascii="Times New Roman" w:hAnsi="Times New Roman"/>
                <w:b/>
                <w:sz w:val="24"/>
                <w:szCs w:val="24"/>
              </w:rPr>
              <w:t>3</w:t>
            </w:r>
          </w:p>
        </w:tc>
        <w:tc>
          <w:tcPr>
            <w:tcW w:w="7655" w:type="dxa"/>
            <w:shd w:val="clear" w:color="auto" w:fill="auto"/>
          </w:tcPr>
          <w:p w:rsidR="00D95671" w:rsidRPr="001304C1" w:rsidRDefault="001736A1" w:rsidP="001F0BAC">
            <w:pPr>
              <w:spacing w:after="0" w:line="240" w:lineRule="auto"/>
              <w:jc w:val="center"/>
              <w:rPr>
                <w:rFonts w:ascii="Times New Roman" w:hAnsi="Times New Roman"/>
                <w:b/>
                <w:bCs/>
                <w:sz w:val="24"/>
                <w:szCs w:val="24"/>
              </w:rPr>
            </w:pPr>
            <w:r w:rsidRPr="001304C1">
              <w:rPr>
                <w:rFonts w:ascii="Times New Roman" w:hAnsi="Times New Roman"/>
                <w:b/>
                <w:sz w:val="24"/>
                <w:szCs w:val="24"/>
              </w:rPr>
              <w:t>4</w:t>
            </w:r>
          </w:p>
        </w:tc>
      </w:tr>
      <w:tr w:rsidR="0046601F" w:rsidRPr="001304C1" w:rsidTr="009A56D6">
        <w:trPr>
          <w:trHeight w:val="334"/>
        </w:trPr>
        <w:tc>
          <w:tcPr>
            <w:tcW w:w="552" w:type="dxa"/>
            <w:vMerge w:val="restart"/>
            <w:shd w:val="clear" w:color="auto" w:fill="auto"/>
          </w:tcPr>
          <w:p w:rsidR="0046601F" w:rsidRPr="001304C1" w:rsidRDefault="0046601F" w:rsidP="000A4BC5">
            <w:pPr>
              <w:spacing w:after="0" w:line="240" w:lineRule="auto"/>
              <w:rPr>
                <w:rFonts w:ascii="Times New Roman" w:hAnsi="Times New Roman"/>
                <w:sz w:val="24"/>
                <w:szCs w:val="24"/>
              </w:rPr>
            </w:pPr>
            <w:r w:rsidRPr="001304C1">
              <w:rPr>
                <w:rFonts w:ascii="Times New Roman" w:hAnsi="Times New Roman"/>
                <w:sz w:val="24"/>
                <w:szCs w:val="24"/>
              </w:rPr>
              <w:t>1.</w:t>
            </w:r>
          </w:p>
        </w:tc>
        <w:tc>
          <w:tcPr>
            <w:tcW w:w="2108" w:type="dxa"/>
            <w:vMerge w:val="restart"/>
            <w:shd w:val="clear" w:color="auto" w:fill="auto"/>
          </w:tcPr>
          <w:p w:rsidR="0046601F" w:rsidRPr="001304C1" w:rsidRDefault="00C00938" w:rsidP="000A4BC5">
            <w:pPr>
              <w:spacing w:after="0" w:line="240" w:lineRule="auto"/>
              <w:rPr>
                <w:rFonts w:ascii="Times New Roman" w:hAnsi="Times New Roman"/>
                <w:sz w:val="24"/>
                <w:szCs w:val="24"/>
              </w:rPr>
            </w:pPr>
            <w:r w:rsidRPr="001304C1">
              <w:rPr>
                <w:rFonts w:ascii="Times New Roman" w:hAnsi="Times New Roman"/>
                <w:sz w:val="24"/>
                <w:szCs w:val="24"/>
              </w:rPr>
              <w:t>Трусов Ю.В., председатель</w:t>
            </w:r>
            <w:r w:rsidR="0046601F" w:rsidRPr="001304C1">
              <w:rPr>
                <w:rFonts w:ascii="Times New Roman" w:hAnsi="Times New Roman"/>
                <w:sz w:val="24"/>
                <w:szCs w:val="24"/>
              </w:rPr>
              <w:t xml:space="preserve"> Общественной палаты Ленинградской </w:t>
            </w:r>
            <w:r w:rsidR="0046601F" w:rsidRPr="001304C1">
              <w:rPr>
                <w:rFonts w:ascii="Times New Roman" w:hAnsi="Times New Roman"/>
                <w:sz w:val="24"/>
                <w:szCs w:val="24"/>
              </w:rPr>
              <w:lastRenderedPageBreak/>
              <w:t>области,</w:t>
            </w:r>
          </w:p>
          <w:p w:rsidR="0046601F" w:rsidRPr="001304C1" w:rsidRDefault="0046601F" w:rsidP="000A4BC5">
            <w:pPr>
              <w:spacing w:after="0" w:line="240" w:lineRule="auto"/>
              <w:rPr>
                <w:rFonts w:ascii="Times New Roman" w:hAnsi="Times New Roman"/>
                <w:color w:val="FF0000"/>
                <w:sz w:val="24"/>
                <w:szCs w:val="24"/>
              </w:rPr>
            </w:pPr>
            <w:r w:rsidRPr="001304C1">
              <w:rPr>
                <w:rFonts w:ascii="Times New Roman" w:hAnsi="Times New Roman"/>
                <w:sz w:val="24"/>
                <w:szCs w:val="24"/>
              </w:rPr>
              <w:t>по электронной почте</w:t>
            </w:r>
          </w:p>
        </w:tc>
        <w:tc>
          <w:tcPr>
            <w:tcW w:w="5528" w:type="dxa"/>
            <w:shd w:val="clear" w:color="auto" w:fill="auto"/>
          </w:tcPr>
          <w:p w:rsidR="0046601F" w:rsidRPr="001304C1" w:rsidRDefault="003F37A0" w:rsidP="001304C1">
            <w:pPr>
              <w:autoSpaceDE w:val="0"/>
              <w:autoSpaceDN w:val="0"/>
              <w:adjustRightInd w:val="0"/>
              <w:spacing w:after="0" w:line="240" w:lineRule="auto"/>
              <w:rPr>
                <w:rFonts w:ascii="Times New Roman" w:hAnsi="Times New Roman"/>
                <w:sz w:val="24"/>
                <w:szCs w:val="24"/>
                <w:lang w:val="en-US"/>
              </w:rPr>
            </w:pPr>
            <w:proofErr w:type="gramStart"/>
            <w:r w:rsidRPr="001304C1">
              <w:rPr>
                <w:rFonts w:ascii="Times New Roman" w:hAnsi="Times New Roman"/>
                <w:color w:val="000000"/>
                <w:sz w:val="24"/>
                <w:szCs w:val="24"/>
                <w:lang w:eastAsia="ru-RU"/>
              </w:rPr>
              <w:lastRenderedPageBreak/>
              <w:t>1.</w:t>
            </w:r>
            <w:r w:rsidR="00C00938" w:rsidRPr="001304C1">
              <w:rPr>
                <w:rFonts w:ascii="Times New Roman" w:hAnsi="Times New Roman"/>
                <w:color w:val="000000"/>
                <w:sz w:val="24"/>
                <w:szCs w:val="24"/>
                <w:lang w:eastAsia="ru-RU"/>
              </w:rPr>
              <w:t xml:space="preserve">Прогнозируемый прирост заработной платы в 2036 году к уровню 2022 года в 1.41 раза, при условии прироста потребительских цен за этот же период в 1.97 раза свидетельствует о прогнозируемом снижении уровня материального </w:t>
            </w:r>
            <w:r w:rsidR="00C00938" w:rsidRPr="001304C1">
              <w:rPr>
                <w:rFonts w:ascii="Times New Roman" w:hAnsi="Times New Roman"/>
                <w:color w:val="000000"/>
                <w:sz w:val="24"/>
                <w:szCs w:val="24"/>
                <w:lang w:eastAsia="ru-RU"/>
              </w:rPr>
              <w:lastRenderedPageBreak/>
              <w:t>обеспечения работающих жителей Ленинградской области, что с учётом ожидаемой величины прожиточного минимума в 2023 году 25181 руб. (с нашей точки зрения показатель заниженный, поскольку даже исходя из</w:t>
            </w:r>
            <w:proofErr w:type="gramEnd"/>
            <w:r w:rsidR="00C00938" w:rsidRPr="001304C1">
              <w:rPr>
                <w:rFonts w:ascii="Times New Roman" w:hAnsi="Times New Roman"/>
                <w:color w:val="000000"/>
                <w:sz w:val="24"/>
                <w:szCs w:val="24"/>
                <w:lang w:eastAsia="ru-RU"/>
              </w:rPr>
              <w:t xml:space="preserve"> проекта прогноза он будет выше) приведет к снижению жизненного уровня населения области. С этим нельзя согласиться.</w:t>
            </w:r>
          </w:p>
        </w:tc>
        <w:tc>
          <w:tcPr>
            <w:tcW w:w="7655" w:type="dxa"/>
            <w:shd w:val="clear" w:color="auto" w:fill="auto"/>
          </w:tcPr>
          <w:p w:rsidR="0046601F" w:rsidRPr="001304C1" w:rsidRDefault="0046601F" w:rsidP="001F0BAC">
            <w:pPr>
              <w:spacing w:after="0" w:line="240" w:lineRule="auto"/>
              <w:rPr>
                <w:rFonts w:ascii="Times New Roman" w:hAnsi="Times New Roman"/>
                <w:b/>
                <w:sz w:val="24"/>
                <w:szCs w:val="24"/>
              </w:rPr>
            </w:pPr>
            <w:r w:rsidRPr="001304C1">
              <w:rPr>
                <w:rFonts w:ascii="Times New Roman" w:hAnsi="Times New Roman"/>
                <w:b/>
                <w:sz w:val="24"/>
                <w:szCs w:val="24"/>
              </w:rPr>
              <w:lastRenderedPageBreak/>
              <w:t>Замечание не принято.</w:t>
            </w:r>
          </w:p>
          <w:p w:rsidR="0079336B" w:rsidRPr="001304C1" w:rsidRDefault="00420657" w:rsidP="00A13A5A">
            <w:pPr>
              <w:autoSpaceDE w:val="0"/>
              <w:autoSpaceDN w:val="0"/>
              <w:adjustRightInd w:val="0"/>
              <w:spacing w:after="0" w:line="240" w:lineRule="auto"/>
              <w:jc w:val="both"/>
              <w:rPr>
                <w:rFonts w:ascii="Times New Roman" w:hAnsi="Times New Roman"/>
                <w:sz w:val="24"/>
                <w:szCs w:val="24"/>
              </w:rPr>
            </w:pPr>
            <w:r w:rsidRPr="001304C1">
              <w:rPr>
                <w:rFonts w:ascii="Times New Roman" w:hAnsi="Times New Roman"/>
                <w:sz w:val="24"/>
                <w:szCs w:val="24"/>
              </w:rPr>
              <w:t xml:space="preserve">Речь идет о приросте </w:t>
            </w:r>
            <w:r w:rsidRPr="001304C1">
              <w:rPr>
                <w:rFonts w:ascii="Times New Roman" w:hAnsi="Times New Roman"/>
                <w:b/>
                <w:sz w:val="24"/>
                <w:szCs w:val="24"/>
              </w:rPr>
              <w:t xml:space="preserve">реальной </w:t>
            </w:r>
            <w:r w:rsidRPr="001304C1">
              <w:rPr>
                <w:rFonts w:ascii="Times New Roman" w:hAnsi="Times New Roman"/>
                <w:sz w:val="24"/>
                <w:szCs w:val="24"/>
              </w:rPr>
              <w:t>заработной платы</w:t>
            </w:r>
            <w:r w:rsidR="003831C8" w:rsidRPr="001304C1">
              <w:rPr>
                <w:rFonts w:ascii="Times New Roman" w:hAnsi="Times New Roman"/>
                <w:sz w:val="24"/>
                <w:szCs w:val="24"/>
              </w:rPr>
              <w:t xml:space="preserve"> (в 1,4 раза)</w:t>
            </w:r>
            <w:r w:rsidR="00F5125C" w:rsidRPr="001304C1">
              <w:rPr>
                <w:rFonts w:ascii="Times New Roman" w:hAnsi="Times New Roman"/>
                <w:sz w:val="24"/>
                <w:szCs w:val="24"/>
              </w:rPr>
              <w:t xml:space="preserve">, </w:t>
            </w:r>
            <w:r w:rsidR="003831C8" w:rsidRPr="001304C1">
              <w:rPr>
                <w:rFonts w:ascii="Times New Roman" w:hAnsi="Times New Roman"/>
                <w:sz w:val="24"/>
                <w:szCs w:val="24"/>
              </w:rPr>
              <w:t>которая</w:t>
            </w:r>
            <w:r w:rsidR="00F5125C" w:rsidRPr="001304C1">
              <w:rPr>
                <w:rFonts w:ascii="Times New Roman" w:hAnsi="Times New Roman"/>
                <w:sz w:val="24"/>
                <w:szCs w:val="24"/>
              </w:rPr>
              <w:t xml:space="preserve"> </w:t>
            </w:r>
            <w:r w:rsidR="00F5125C" w:rsidRPr="001304C1">
              <w:rPr>
                <w:rFonts w:ascii="Times New Roman" w:hAnsi="Times New Roman"/>
                <w:b/>
                <w:sz w:val="24"/>
                <w:szCs w:val="24"/>
              </w:rPr>
              <w:t xml:space="preserve">уже </w:t>
            </w:r>
            <w:r w:rsidR="001F0BAC" w:rsidRPr="001304C1">
              <w:rPr>
                <w:rFonts w:ascii="Times New Roman" w:hAnsi="Times New Roman"/>
                <w:b/>
                <w:sz w:val="24"/>
                <w:szCs w:val="24"/>
              </w:rPr>
              <w:t>скорректирована</w:t>
            </w:r>
            <w:r w:rsidR="00F5125C" w:rsidRPr="001304C1">
              <w:rPr>
                <w:rFonts w:ascii="Times New Roman" w:hAnsi="Times New Roman"/>
                <w:sz w:val="24"/>
                <w:szCs w:val="24"/>
              </w:rPr>
              <w:t xml:space="preserve"> с учетом инфляции</w:t>
            </w:r>
            <w:r w:rsidR="001F0BAC" w:rsidRPr="001304C1">
              <w:rPr>
                <w:rFonts w:ascii="Times New Roman" w:hAnsi="Times New Roman"/>
                <w:sz w:val="24"/>
                <w:szCs w:val="24"/>
              </w:rPr>
              <w:t xml:space="preserve"> и отражает реальный рост покупательной способности населения</w:t>
            </w:r>
            <w:r w:rsidR="003831C8" w:rsidRPr="001304C1">
              <w:rPr>
                <w:rFonts w:ascii="Times New Roman" w:hAnsi="Times New Roman"/>
                <w:sz w:val="24"/>
                <w:szCs w:val="24"/>
              </w:rPr>
              <w:t>. Прирост</w:t>
            </w:r>
            <w:r w:rsidR="00B045D8" w:rsidRPr="001304C1">
              <w:rPr>
                <w:rFonts w:ascii="Times New Roman" w:hAnsi="Times New Roman"/>
                <w:sz w:val="24"/>
                <w:szCs w:val="24"/>
              </w:rPr>
              <w:t xml:space="preserve"> же </w:t>
            </w:r>
            <w:r w:rsidR="003831C8" w:rsidRPr="001304C1">
              <w:rPr>
                <w:rFonts w:ascii="Times New Roman" w:hAnsi="Times New Roman"/>
                <w:sz w:val="24"/>
                <w:szCs w:val="24"/>
              </w:rPr>
              <w:t>номинальной заработной платы</w:t>
            </w:r>
            <w:r w:rsidR="001F0BAC" w:rsidRPr="001304C1">
              <w:rPr>
                <w:rFonts w:ascii="Times New Roman" w:hAnsi="Times New Roman"/>
                <w:sz w:val="24"/>
                <w:szCs w:val="24"/>
              </w:rPr>
              <w:t xml:space="preserve">, который прогнозируется на </w:t>
            </w:r>
            <w:r w:rsidR="006D3B34" w:rsidRPr="001304C1">
              <w:rPr>
                <w:rFonts w:ascii="Times New Roman" w:hAnsi="Times New Roman"/>
                <w:sz w:val="24"/>
                <w:szCs w:val="24"/>
              </w:rPr>
              <w:t>уровне 2,</w:t>
            </w:r>
            <w:r w:rsidR="00A13A5A" w:rsidRPr="001304C1">
              <w:rPr>
                <w:rFonts w:ascii="Times New Roman" w:hAnsi="Times New Roman"/>
                <w:sz w:val="24"/>
                <w:szCs w:val="24"/>
              </w:rPr>
              <w:t>4</w:t>
            </w:r>
            <w:r w:rsidR="001F0BAC" w:rsidRPr="001304C1">
              <w:rPr>
                <w:rFonts w:ascii="Times New Roman" w:hAnsi="Times New Roman"/>
                <w:sz w:val="24"/>
                <w:szCs w:val="24"/>
              </w:rPr>
              <w:t xml:space="preserve"> р., </w:t>
            </w:r>
            <w:r w:rsidR="00B045D8" w:rsidRPr="001304C1">
              <w:rPr>
                <w:rFonts w:ascii="Times New Roman" w:hAnsi="Times New Roman"/>
                <w:sz w:val="24"/>
                <w:szCs w:val="24"/>
              </w:rPr>
              <w:lastRenderedPageBreak/>
              <w:t>действительно</w:t>
            </w:r>
            <w:r w:rsidR="003831C8" w:rsidRPr="001304C1">
              <w:rPr>
                <w:rFonts w:ascii="Times New Roman" w:hAnsi="Times New Roman"/>
                <w:sz w:val="24"/>
                <w:szCs w:val="24"/>
              </w:rPr>
              <w:t xml:space="preserve"> не всегда информативен с точки </w:t>
            </w:r>
            <w:proofErr w:type="gramStart"/>
            <w:r w:rsidR="003831C8" w:rsidRPr="001304C1">
              <w:rPr>
                <w:rFonts w:ascii="Times New Roman" w:hAnsi="Times New Roman"/>
                <w:sz w:val="24"/>
                <w:szCs w:val="24"/>
              </w:rPr>
              <w:t>зрения оценки изменения покупательской способности населения</w:t>
            </w:r>
            <w:proofErr w:type="gramEnd"/>
            <w:r w:rsidR="003831C8" w:rsidRPr="001304C1">
              <w:rPr>
                <w:rFonts w:ascii="Times New Roman" w:hAnsi="Times New Roman"/>
                <w:sz w:val="24"/>
                <w:szCs w:val="24"/>
              </w:rPr>
              <w:t>.</w:t>
            </w:r>
          </w:p>
        </w:tc>
      </w:tr>
      <w:tr w:rsidR="0046601F" w:rsidRPr="001304C1" w:rsidTr="009A56D6">
        <w:trPr>
          <w:trHeight w:val="334"/>
        </w:trPr>
        <w:tc>
          <w:tcPr>
            <w:tcW w:w="552" w:type="dxa"/>
            <w:vMerge/>
            <w:shd w:val="clear" w:color="auto" w:fill="auto"/>
          </w:tcPr>
          <w:p w:rsidR="0046601F" w:rsidRPr="001304C1" w:rsidRDefault="0046601F" w:rsidP="00471146">
            <w:pPr>
              <w:spacing w:after="0" w:line="240" w:lineRule="auto"/>
              <w:rPr>
                <w:rFonts w:ascii="Times New Roman" w:hAnsi="Times New Roman"/>
                <w:sz w:val="24"/>
                <w:szCs w:val="24"/>
              </w:rPr>
            </w:pPr>
          </w:p>
        </w:tc>
        <w:tc>
          <w:tcPr>
            <w:tcW w:w="2108" w:type="dxa"/>
            <w:vMerge/>
            <w:shd w:val="clear" w:color="auto" w:fill="auto"/>
          </w:tcPr>
          <w:p w:rsidR="0046601F" w:rsidRPr="001304C1" w:rsidRDefault="0046601F" w:rsidP="00FA5202">
            <w:pPr>
              <w:spacing w:after="0" w:line="240" w:lineRule="auto"/>
              <w:rPr>
                <w:rFonts w:ascii="Times New Roman" w:hAnsi="Times New Roman"/>
                <w:color w:val="FF0000"/>
                <w:sz w:val="24"/>
                <w:szCs w:val="24"/>
              </w:rPr>
            </w:pPr>
          </w:p>
        </w:tc>
        <w:tc>
          <w:tcPr>
            <w:tcW w:w="5528" w:type="dxa"/>
            <w:shd w:val="clear" w:color="auto" w:fill="auto"/>
          </w:tcPr>
          <w:p w:rsidR="0046601F" w:rsidRPr="001304C1" w:rsidRDefault="003F37A0" w:rsidP="001304C1">
            <w:pPr>
              <w:spacing w:after="0" w:line="240" w:lineRule="auto"/>
              <w:rPr>
                <w:rFonts w:ascii="Times New Roman" w:hAnsi="Times New Roman"/>
                <w:sz w:val="24"/>
                <w:szCs w:val="24"/>
              </w:rPr>
            </w:pPr>
            <w:r w:rsidRPr="001304C1">
              <w:rPr>
                <w:rFonts w:ascii="Times New Roman" w:hAnsi="Times New Roman"/>
                <w:sz w:val="24"/>
                <w:szCs w:val="24"/>
              </w:rPr>
              <w:t xml:space="preserve">2. В проекте прогноза фиксируется сохранение высоких объемов строительства жилья; вместе с тем отмечается «дисбаланс расселения населения и размещения производства», а также «неравномерное развитие муниципальных образований». Поскольку эти процессы в Ленинградской области идут уже много лет, возникает вопрос: а что предусматривается  для устранения диспропорций, </w:t>
            </w:r>
            <w:proofErr w:type="gramStart"/>
            <w:r w:rsidRPr="001304C1">
              <w:rPr>
                <w:rFonts w:ascii="Times New Roman" w:hAnsi="Times New Roman"/>
                <w:sz w:val="24"/>
                <w:szCs w:val="24"/>
              </w:rPr>
              <w:t>вызванных</w:t>
            </w:r>
            <w:proofErr w:type="gramEnd"/>
            <w:r w:rsidRPr="001304C1">
              <w:rPr>
                <w:rFonts w:ascii="Times New Roman" w:hAnsi="Times New Roman"/>
                <w:sz w:val="24"/>
                <w:szCs w:val="24"/>
              </w:rPr>
              <w:t xml:space="preserve"> в том числе перекосами в жилищном строительстве, когда ряд (в основном близких к Санкт-Петербургу) территорий интенсивно застраивается жилыми домами, что вызывает </w:t>
            </w:r>
            <w:proofErr w:type="spellStart"/>
            <w:r w:rsidRPr="001304C1">
              <w:rPr>
                <w:rFonts w:ascii="Times New Roman" w:hAnsi="Times New Roman"/>
                <w:sz w:val="24"/>
                <w:szCs w:val="24"/>
              </w:rPr>
              <w:t>перетоки</w:t>
            </w:r>
            <w:proofErr w:type="spellEnd"/>
            <w:r w:rsidRPr="001304C1">
              <w:rPr>
                <w:rFonts w:ascii="Times New Roman" w:hAnsi="Times New Roman"/>
                <w:sz w:val="24"/>
                <w:szCs w:val="24"/>
              </w:rPr>
              <w:t xml:space="preserve"> и неравномерную концентрацию населения, а в ряде территорий «происходит убыль населения, рост бюджетного дефицита, существуют риски снижения экономической и социальной устойчивости, инвестиционной активности, показателей качества жизни населения» (стр. 11 проекта прогноза).</w:t>
            </w:r>
          </w:p>
        </w:tc>
        <w:tc>
          <w:tcPr>
            <w:tcW w:w="7655" w:type="dxa"/>
            <w:shd w:val="clear" w:color="auto" w:fill="auto"/>
          </w:tcPr>
          <w:p w:rsidR="0046601F" w:rsidRPr="001304C1" w:rsidRDefault="00D70A5C" w:rsidP="001F0BAC">
            <w:pPr>
              <w:spacing w:after="0" w:line="240" w:lineRule="auto"/>
              <w:rPr>
                <w:rFonts w:ascii="Times New Roman" w:hAnsi="Times New Roman"/>
                <w:b/>
                <w:sz w:val="24"/>
                <w:szCs w:val="24"/>
              </w:rPr>
            </w:pPr>
            <w:r w:rsidRPr="001304C1">
              <w:rPr>
                <w:rFonts w:ascii="Times New Roman" w:hAnsi="Times New Roman"/>
                <w:b/>
                <w:sz w:val="24"/>
                <w:szCs w:val="24"/>
              </w:rPr>
              <w:t>Замечани</w:t>
            </w:r>
            <w:r w:rsidR="00B438B8" w:rsidRPr="001304C1">
              <w:rPr>
                <w:rFonts w:ascii="Times New Roman" w:hAnsi="Times New Roman"/>
                <w:b/>
                <w:sz w:val="24"/>
                <w:szCs w:val="24"/>
              </w:rPr>
              <w:t>е</w:t>
            </w:r>
            <w:r w:rsidRPr="001304C1">
              <w:rPr>
                <w:rFonts w:ascii="Times New Roman" w:hAnsi="Times New Roman"/>
                <w:b/>
                <w:sz w:val="24"/>
                <w:szCs w:val="24"/>
              </w:rPr>
              <w:t xml:space="preserve"> </w:t>
            </w:r>
            <w:r w:rsidR="0046601F" w:rsidRPr="001304C1">
              <w:rPr>
                <w:rFonts w:ascii="Times New Roman" w:hAnsi="Times New Roman"/>
                <w:b/>
                <w:sz w:val="24"/>
                <w:szCs w:val="24"/>
              </w:rPr>
              <w:t>не принят</w:t>
            </w:r>
            <w:r w:rsidR="00B438B8" w:rsidRPr="001304C1">
              <w:rPr>
                <w:rFonts w:ascii="Times New Roman" w:hAnsi="Times New Roman"/>
                <w:b/>
                <w:sz w:val="24"/>
                <w:szCs w:val="24"/>
              </w:rPr>
              <w:t>о</w:t>
            </w:r>
            <w:r w:rsidR="0046601F" w:rsidRPr="001304C1">
              <w:rPr>
                <w:rFonts w:ascii="Times New Roman" w:hAnsi="Times New Roman"/>
                <w:b/>
                <w:sz w:val="24"/>
                <w:szCs w:val="24"/>
              </w:rPr>
              <w:t>.</w:t>
            </w:r>
          </w:p>
          <w:p w:rsidR="001F0BAC" w:rsidRPr="001304C1" w:rsidRDefault="0046601F" w:rsidP="001F0BAC">
            <w:pPr>
              <w:pStyle w:val="ac"/>
              <w:jc w:val="both"/>
              <w:rPr>
                <w:rFonts w:ascii="Times New Roman" w:hAnsi="Times New Roman"/>
                <w:sz w:val="24"/>
                <w:szCs w:val="24"/>
              </w:rPr>
            </w:pPr>
            <w:r w:rsidRPr="001304C1">
              <w:rPr>
                <w:rFonts w:ascii="Times New Roman" w:hAnsi="Times New Roman"/>
                <w:sz w:val="24"/>
                <w:szCs w:val="24"/>
              </w:rPr>
              <w:t xml:space="preserve"> </w:t>
            </w:r>
            <w:r w:rsidR="003F37A0" w:rsidRPr="001304C1">
              <w:rPr>
                <w:rFonts w:ascii="Times New Roman" w:hAnsi="Times New Roman"/>
                <w:sz w:val="24"/>
                <w:szCs w:val="24"/>
              </w:rPr>
              <w:t xml:space="preserve">Согласно действующей Стратегии социально-экономического развития Ленинградской области до 2030 года (в редакции областного закона от 19.12.2019 №100-оз, далее – Стратегия ЛО) сбалансированное размещение населения и мест приложения труда является стратегической целью пространственного развития Ленинградской области. </w:t>
            </w:r>
          </w:p>
          <w:p w:rsidR="003F37A0" w:rsidRPr="001304C1" w:rsidRDefault="003F37A0" w:rsidP="001F0BAC">
            <w:pPr>
              <w:pStyle w:val="ac"/>
              <w:jc w:val="both"/>
              <w:rPr>
                <w:rFonts w:ascii="Times New Roman" w:hAnsi="Times New Roman"/>
                <w:sz w:val="24"/>
                <w:szCs w:val="24"/>
              </w:rPr>
            </w:pPr>
            <w:r w:rsidRPr="001304C1">
              <w:rPr>
                <w:rFonts w:ascii="Times New Roman" w:hAnsi="Times New Roman"/>
                <w:sz w:val="24"/>
                <w:szCs w:val="24"/>
              </w:rPr>
              <w:t>Ключевыми принципами пространственного развития Ленинградской области выступают:</w:t>
            </w:r>
          </w:p>
          <w:p w:rsidR="003F37A0" w:rsidRPr="001304C1" w:rsidRDefault="003F37A0" w:rsidP="001F0BAC">
            <w:pPr>
              <w:pStyle w:val="ac"/>
              <w:jc w:val="both"/>
              <w:rPr>
                <w:rFonts w:ascii="Times New Roman" w:hAnsi="Times New Roman"/>
                <w:bCs/>
                <w:sz w:val="24"/>
                <w:szCs w:val="24"/>
              </w:rPr>
            </w:pPr>
            <w:r w:rsidRPr="001304C1">
              <w:rPr>
                <w:rFonts w:ascii="Times New Roman" w:hAnsi="Times New Roman"/>
                <w:bCs/>
                <w:spacing w:val="-4"/>
                <w:sz w:val="24"/>
                <w:szCs w:val="24"/>
              </w:rPr>
              <w:t>1) </w:t>
            </w:r>
            <w:proofErr w:type="spellStart"/>
            <w:r w:rsidRPr="001304C1">
              <w:rPr>
                <w:rFonts w:ascii="Times New Roman" w:hAnsi="Times New Roman"/>
                <w:bCs/>
                <w:spacing w:val="-4"/>
                <w:sz w:val="24"/>
                <w:szCs w:val="24"/>
              </w:rPr>
              <w:t>полицентричность</w:t>
            </w:r>
            <w:proofErr w:type="spellEnd"/>
            <w:r w:rsidRPr="001304C1">
              <w:rPr>
                <w:rFonts w:ascii="Times New Roman" w:hAnsi="Times New Roman"/>
                <w:bCs/>
                <w:spacing w:val="-4"/>
                <w:sz w:val="24"/>
                <w:szCs w:val="24"/>
              </w:rPr>
              <w:t xml:space="preserve"> – более равномерное распределение экономического</w:t>
            </w:r>
            <w:r w:rsidRPr="001304C1">
              <w:rPr>
                <w:rFonts w:ascii="Times New Roman" w:hAnsi="Times New Roman"/>
                <w:bCs/>
                <w:sz w:val="24"/>
                <w:szCs w:val="24"/>
              </w:rPr>
              <w:t xml:space="preserve"> развития (заметный рост не только в агломерации);</w:t>
            </w:r>
          </w:p>
          <w:p w:rsidR="003F37A0" w:rsidRPr="001304C1" w:rsidRDefault="003F37A0" w:rsidP="001F0BAC">
            <w:pPr>
              <w:pStyle w:val="ac"/>
              <w:jc w:val="both"/>
              <w:rPr>
                <w:rFonts w:ascii="Times New Roman" w:hAnsi="Times New Roman"/>
                <w:bCs/>
                <w:sz w:val="24"/>
                <w:szCs w:val="24"/>
              </w:rPr>
            </w:pPr>
            <w:r w:rsidRPr="001304C1">
              <w:rPr>
                <w:rFonts w:ascii="Times New Roman" w:hAnsi="Times New Roman"/>
                <w:bCs/>
                <w:sz w:val="24"/>
                <w:szCs w:val="24"/>
              </w:rPr>
              <w:t xml:space="preserve">2) сокращение </w:t>
            </w:r>
            <w:proofErr w:type="spellStart"/>
            <w:r w:rsidRPr="001304C1">
              <w:rPr>
                <w:rFonts w:ascii="Times New Roman" w:hAnsi="Times New Roman"/>
                <w:bCs/>
                <w:sz w:val="24"/>
                <w:szCs w:val="24"/>
              </w:rPr>
              <w:t>внутрирегионального</w:t>
            </w:r>
            <w:proofErr w:type="spellEnd"/>
            <w:r w:rsidRPr="001304C1">
              <w:rPr>
                <w:rFonts w:ascii="Times New Roman" w:hAnsi="Times New Roman"/>
                <w:bCs/>
                <w:sz w:val="24"/>
                <w:szCs w:val="24"/>
              </w:rPr>
              <w:t xml:space="preserve"> дисбаланса в качестве жизни населения (внимание к росту качества жизни на периферии региона).</w:t>
            </w:r>
          </w:p>
          <w:p w:rsidR="003F37A0" w:rsidRPr="001304C1" w:rsidRDefault="003F37A0" w:rsidP="001F0BAC">
            <w:pPr>
              <w:pStyle w:val="ac"/>
              <w:jc w:val="both"/>
              <w:rPr>
                <w:rFonts w:ascii="Times New Roman" w:hAnsi="Times New Roman"/>
                <w:sz w:val="24"/>
                <w:szCs w:val="24"/>
              </w:rPr>
            </w:pPr>
            <w:r w:rsidRPr="001304C1">
              <w:rPr>
                <w:rFonts w:ascii="Times New Roman" w:hAnsi="Times New Roman"/>
                <w:sz w:val="24"/>
                <w:szCs w:val="24"/>
              </w:rPr>
              <w:t xml:space="preserve">Для управления территориями с различной степенью развития экономики и организации расселения, а также территориями, требующими особых мер Стратегией ЛО выделены шесть зон, в том числе зона агломерации, точки роста, малые агломерации, зона равновесия, зона отдаленных территорий и исторические поселения. Принципы управления, направления и </w:t>
            </w:r>
            <w:r w:rsidRPr="001304C1">
              <w:rPr>
                <w:rFonts w:ascii="Times New Roman" w:hAnsi="Times New Roman"/>
                <w:bCs/>
                <w:sz w:val="24"/>
                <w:szCs w:val="24"/>
              </w:rPr>
              <w:t xml:space="preserve">меры пространственной политики применительно к каждой для </w:t>
            </w:r>
            <w:r w:rsidRPr="001304C1">
              <w:rPr>
                <w:rFonts w:ascii="Times New Roman" w:hAnsi="Times New Roman"/>
                <w:sz w:val="24"/>
                <w:szCs w:val="24"/>
              </w:rPr>
              <w:t>выделенных зон также представлены в Стратегии ЛО.</w:t>
            </w:r>
          </w:p>
          <w:p w:rsidR="003F37A0" w:rsidRPr="001304C1" w:rsidRDefault="003F37A0" w:rsidP="001F0BAC">
            <w:pPr>
              <w:pStyle w:val="ac"/>
              <w:jc w:val="both"/>
              <w:rPr>
                <w:rFonts w:ascii="Times New Roman" w:hAnsi="Times New Roman"/>
                <w:sz w:val="24"/>
                <w:szCs w:val="24"/>
              </w:rPr>
            </w:pPr>
            <w:r w:rsidRPr="001304C1">
              <w:rPr>
                <w:rFonts w:ascii="Times New Roman" w:hAnsi="Times New Roman"/>
                <w:sz w:val="24"/>
                <w:szCs w:val="24"/>
              </w:rPr>
              <w:t>Например, для зоны равновесия, включающей большую часть сельской местности, предусмотрены принципы управления:</w:t>
            </w:r>
          </w:p>
          <w:p w:rsidR="003F37A0" w:rsidRPr="001304C1" w:rsidRDefault="001F0BAC" w:rsidP="001F0BAC">
            <w:pPr>
              <w:pStyle w:val="ac"/>
              <w:jc w:val="both"/>
              <w:rPr>
                <w:rFonts w:ascii="Times New Roman" w:hAnsi="Times New Roman"/>
                <w:sz w:val="24"/>
                <w:szCs w:val="24"/>
              </w:rPr>
            </w:pPr>
            <w:r w:rsidRPr="001304C1">
              <w:rPr>
                <w:rFonts w:ascii="Times New Roman" w:hAnsi="Times New Roman"/>
                <w:sz w:val="24"/>
                <w:szCs w:val="24"/>
              </w:rPr>
              <w:t>- р</w:t>
            </w:r>
            <w:r w:rsidR="003F37A0" w:rsidRPr="001304C1">
              <w:rPr>
                <w:rFonts w:ascii="Times New Roman" w:hAnsi="Times New Roman"/>
                <w:sz w:val="24"/>
                <w:szCs w:val="24"/>
              </w:rPr>
              <w:t>азвитие обеспечивающей инфраструктуры: транспортной, коммунальной, социальной;</w:t>
            </w:r>
          </w:p>
          <w:p w:rsidR="003F37A0" w:rsidRPr="001304C1" w:rsidRDefault="001F0BAC" w:rsidP="001F0BAC">
            <w:pPr>
              <w:pStyle w:val="ac"/>
              <w:jc w:val="both"/>
              <w:rPr>
                <w:rFonts w:ascii="Times New Roman" w:hAnsi="Times New Roman"/>
                <w:sz w:val="24"/>
                <w:szCs w:val="24"/>
              </w:rPr>
            </w:pPr>
            <w:r w:rsidRPr="001304C1">
              <w:rPr>
                <w:rFonts w:ascii="Times New Roman" w:hAnsi="Times New Roman"/>
                <w:sz w:val="24"/>
                <w:szCs w:val="24"/>
              </w:rPr>
              <w:t>- р</w:t>
            </w:r>
            <w:r w:rsidR="003F37A0" w:rsidRPr="001304C1">
              <w:rPr>
                <w:rFonts w:ascii="Times New Roman" w:hAnsi="Times New Roman"/>
                <w:sz w:val="24"/>
                <w:szCs w:val="24"/>
              </w:rPr>
              <w:t>азмещение предприятий АПК, выносимых из пригородного пояса;</w:t>
            </w:r>
          </w:p>
          <w:p w:rsidR="003F37A0" w:rsidRPr="001304C1" w:rsidRDefault="001F0BAC" w:rsidP="001F0BAC">
            <w:pPr>
              <w:pStyle w:val="ac"/>
              <w:jc w:val="both"/>
              <w:rPr>
                <w:rFonts w:ascii="Times New Roman" w:hAnsi="Times New Roman"/>
                <w:sz w:val="24"/>
                <w:szCs w:val="24"/>
              </w:rPr>
            </w:pPr>
            <w:r w:rsidRPr="001304C1">
              <w:rPr>
                <w:rFonts w:ascii="Times New Roman" w:hAnsi="Times New Roman"/>
                <w:sz w:val="24"/>
                <w:szCs w:val="24"/>
              </w:rPr>
              <w:t>- с</w:t>
            </w:r>
            <w:r w:rsidR="003F37A0" w:rsidRPr="001304C1">
              <w:rPr>
                <w:rFonts w:ascii="Times New Roman" w:hAnsi="Times New Roman"/>
                <w:sz w:val="24"/>
                <w:szCs w:val="24"/>
              </w:rPr>
              <w:t>оздание квалифицированных рабочих мест, внедрение программ повышения квалификации местного населения;</w:t>
            </w:r>
          </w:p>
          <w:p w:rsidR="003F37A0" w:rsidRPr="001304C1" w:rsidRDefault="001F0BAC" w:rsidP="001F0BAC">
            <w:pPr>
              <w:pStyle w:val="ac"/>
              <w:jc w:val="both"/>
              <w:rPr>
                <w:rFonts w:ascii="Times New Roman" w:hAnsi="Times New Roman"/>
                <w:sz w:val="24"/>
                <w:szCs w:val="24"/>
              </w:rPr>
            </w:pPr>
            <w:r w:rsidRPr="001304C1">
              <w:rPr>
                <w:rFonts w:ascii="Times New Roman" w:hAnsi="Times New Roman"/>
                <w:sz w:val="24"/>
                <w:szCs w:val="24"/>
              </w:rPr>
              <w:lastRenderedPageBreak/>
              <w:t>- р</w:t>
            </w:r>
            <w:r w:rsidR="003F37A0" w:rsidRPr="001304C1">
              <w:rPr>
                <w:rFonts w:ascii="Times New Roman" w:hAnsi="Times New Roman"/>
                <w:sz w:val="24"/>
                <w:szCs w:val="24"/>
              </w:rPr>
              <w:t>еализация программы переселения высококвалифицированных специалистов (жилье, комфортная среда, социальная инфраструктура).</w:t>
            </w:r>
          </w:p>
          <w:p w:rsidR="0046601F" w:rsidRPr="001304C1" w:rsidRDefault="003F37A0" w:rsidP="001F0BAC">
            <w:pPr>
              <w:pStyle w:val="ac"/>
              <w:jc w:val="both"/>
              <w:rPr>
                <w:rFonts w:ascii="Times New Roman" w:hAnsi="Times New Roman"/>
                <w:bCs/>
                <w:sz w:val="24"/>
                <w:szCs w:val="24"/>
              </w:rPr>
            </w:pPr>
            <w:r w:rsidRPr="001304C1">
              <w:rPr>
                <w:rFonts w:ascii="Times New Roman" w:hAnsi="Times New Roman"/>
                <w:bCs/>
                <w:sz w:val="24"/>
                <w:szCs w:val="24"/>
              </w:rPr>
              <w:t xml:space="preserve">Вместе с обозначенными нерыночными инструментами (прерогатива государства и муниципалитетов), </w:t>
            </w:r>
            <w:r w:rsidRPr="001304C1">
              <w:rPr>
                <w:rFonts w:ascii="Times New Roman" w:hAnsi="Times New Roman"/>
                <w:b/>
                <w:bCs/>
                <w:sz w:val="24"/>
                <w:szCs w:val="24"/>
              </w:rPr>
              <w:t>реализация принципов, заложенных в Стратегии ЛО, невозможна без соответствующей градостроительной политики и наличия высокого инвестиционного спроса на земельные участки вне Санкт-Петербургской агломерации</w:t>
            </w:r>
            <w:r w:rsidRPr="001304C1">
              <w:rPr>
                <w:rFonts w:ascii="Times New Roman" w:hAnsi="Times New Roman"/>
                <w:bCs/>
                <w:sz w:val="24"/>
                <w:szCs w:val="24"/>
              </w:rPr>
              <w:t>.</w:t>
            </w:r>
          </w:p>
        </w:tc>
      </w:tr>
      <w:tr w:rsidR="00FD0389" w:rsidRPr="001304C1" w:rsidTr="009A56D6">
        <w:trPr>
          <w:trHeight w:val="809"/>
        </w:trPr>
        <w:tc>
          <w:tcPr>
            <w:tcW w:w="552" w:type="dxa"/>
            <w:vMerge w:val="restart"/>
            <w:shd w:val="clear" w:color="auto" w:fill="auto"/>
          </w:tcPr>
          <w:p w:rsidR="00FD0389" w:rsidRPr="001304C1" w:rsidRDefault="00FD0389" w:rsidP="00471146">
            <w:pPr>
              <w:spacing w:after="0" w:line="240" w:lineRule="auto"/>
              <w:rPr>
                <w:rFonts w:ascii="Times New Roman" w:hAnsi="Times New Roman"/>
                <w:sz w:val="24"/>
                <w:szCs w:val="24"/>
              </w:rPr>
            </w:pPr>
            <w:r w:rsidRPr="001304C1">
              <w:rPr>
                <w:rFonts w:ascii="Times New Roman" w:hAnsi="Times New Roman"/>
                <w:sz w:val="24"/>
                <w:szCs w:val="24"/>
              </w:rPr>
              <w:lastRenderedPageBreak/>
              <w:t xml:space="preserve">2. </w:t>
            </w:r>
          </w:p>
        </w:tc>
        <w:tc>
          <w:tcPr>
            <w:tcW w:w="2108" w:type="dxa"/>
            <w:vMerge w:val="restart"/>
            <w:shd w:val="clear" w:color="auto" w:fill="auto"/>
          </w:tcPr>
          <w:p w:rsidR="00FD0389" w:rsidRPr="001304C1" w:rsidRDefault="00FD0389" w:rsidP="00C00938">
            <w:pPr>
              <w:spacing w:after="0" w:line="240" w:lineRule="auto"/>
              <w:rPr>
                <w:rFonts w:ascii="Times New Roman" w:hAnsi="Times New Roman"/>
                <w:sz w:val="24"/>
                <w:szCs w:val="24"/>
              </w:rPr>
            </w:pPr>
          </w:p>
        </w:tc>
        <w:tc>
          <w:tcPr>
            <w:tcW w:w="5528" w:type="dxa"/>
            <w:shd w:val="clear" w:color="auto" w:fill="auto"/>
          </w:tcPr>
          <w:p w:rsidR="003F37A0" w:rsidRPr="001304C1" w:rsidRDefault="003F37A0" w:rsidP="001F0BAC">
            <w:pPr>
              <w:pStyle w:val="Default"/>
              <w:rPr>
                <w:rFonts w:ascii="Times New Roman" w:hAnsi="Times New Roman" w:cs="Times New Roman"/>
              </w:rPr>
            </w:pPr>
            <w:r w:rsidRPr="001304C1">
              <w:rPr>
                <w:rFonts w:ascii="Times New Roman" w:hAnsi="Times New Roman" w:cs="Times New Roman"/>
              </w:rPr>
              <w:t>3. В проекте не приводится никаких расчетов потребности в жилой площади ни в Ленинградской области вообще, ни по муниципа</w:t>
            </w:r>
            <w:r w:rsidR="009A56D6" w:rsidRPr="001304C1">
              <w:rPr>
                <w:rFonts w:ascii="Times New Roman" w:hAnsi="Times New Roman" w:cs="Times New Roman"/>
              </w:rPr>
              <w:t>льным образованиям в частности</w:t>
            </w:r>
          </w:p>
          <w:p w:rsidR="00FD0389" w:rsidRPr="001304C1" w:rsidRDefault="00FD0389" w:rsidP="001F0BAC">
            <w:pPr>
              <w:spacing w:after="0" w:line="240" w:lineRule="auto"/>
              <w:jc w:val="both"/>
              <w:rPr>
                <w:rFonts w:ascii="Times New Roman" w:hAnsi="Times New Roman"/>
                <w:sz w:val="24"/>
                <w:szCs w:val="24"/>
              </w:rPr>
            </w:pPr>
          </w:p>
        </w:tc>
        <w:tc>
          <w:tcPr>
            <w:tcW w:w="7655" w:type="dxa"/>
            <w:shd w:val="clear" w:color="auto" w:fill="auto"/>
          </w:tcPr>
          <w:p w:rsidR="003F37A0" w:rsidRPr="001304C1" w:rsidRDefault="003F37A0" w:rsidP="001F0BAC">
            <w:pPr>
              <w:spacing w:after="0" w:line="240" w:lineRule="auto"/>
              <w:rPr>
                <w:rFonts w:ascii="Times New Roman" w:hAnsi="Times New Roman"/>
                <w:b/>
                <w:sz w:val="24"/>
                <w:szCs w:val="24"/>
              </w:rPr>
            </w:pPr>
            <w:r w:rsidRPr="001304C1">
              <w:rPr>
                <w:rFonts w:ascii="Times New Roman" w:hAnsi="Times New Roman"/>
                <w:b/>
                <w:sz w:val="24"/>
                <w:szCs w:val="24"/>
              </w:rPr>
              <w:t>Замечани</w:t>
            </w:r>
            <w:r w:rsidR="00B438B8" w:rsidRPr="001304C1">
              <w:rPr>
                <w:rFonts w:ascii="Times New Roman" w:hAnsi="Times New Roman"/>
                <w:b/>
                <w:sz w:val="24"/>
                <w:szCs w:val="24"/>
              </w:rPr>
              <w:t>е</w:t>
            </w:r>
            <w:r w:rsidRPr="001304C1">
              <w:rPr>
                <w:rFonts w:ascii="Times New Roman" w:hAnsi="Times New Roman"/>
                <w:b/>
                <w:sz w:val="24"/>
                <w:szCs w:val="24"/>
              </w:rPr>
              <w:t xml:space="preserve"> не принят</w:t>
            </w:r>
            <w:r w:rsidR="00B438B8" w:rsidRPr="001304C1">
              <w:rPr>
                <w:rFonts w:ascii="Times New Roman" w:hAnsi="Times New Roman"/>
                <w:b/>
                <w:sz w:val="24"/>
                <w:szCs w:val="24"/>
              </w:rPr>
              <w:t>о</w:t>
            </w:r>
            <w:r w:rsidRPr="001304C1">
              <w:rPr>
                <w:rFonts w:ascii="Times New Roman" w:hAnsi="Times New Roman"/>
                <w:b/>
                <w:sz w:val="24"/>
                <w:szCs w:val="24"/>
              </w:rPr>
              <w:t>.</w:t>
            </w:r>
          </w:p>
          <w:p w:rsidR="00FD0389" w:rsidRPr="001304C1" w:rsidRDefault="003F37A0" w:rsidP="001F0BAC">
            <w:pPr>
              <w:pStyle w:val="ac"/>
              <w:jc w:val="both"/>
              <w:rPr>
                <w:rFonts w:ascii="Times New Roman" w:hAnsi="Times New Roman"/>
                <w:sz w:val="24"/>
                <w:szCs w:val="24"/>
              </w:rPr>
            </w:pPr>
            <w:proofErr w:type="gramStart"/>
            <w:r w:rsidRPr="001304C1">
              <w:rPr>
                <w:rFonts w:ascii="Times New Roman" w:hAnsi="Times New Roman"/>
                <w:b/>
                <w:sz w:val="24"/>
                <w:szCs w:val="24"/>
              </w:rPr>
              <w:t>Расчеты потребности в жилой площади</w:t>
            </w:r>
            <w:r w:rsidRPr="001304C1">
              <w:rPr>
                <w:rFonts w:ascii="Times New Roman" w:hAnsi="Times New Roman"/>
                <w:sz w:val="24"/>
                <w:szCs w:val="24"/>
              </w:rPr>
              <w:t xml:space="preserve"> </w:t>
            </w:r>
            <w:r w:rsidRPr="001304C1">
              <w:rPr>
                <w:rFonts w:ascii="Times New Roman" w:hAnsi="Times New Roman"/>
                <w:b/>
                <w:sz w:val="24"/>
                <w:szCs w:val="24"/>
              </w:rPr>
              <w:t>приводятся</w:t>
            </w:r>
            <w:r w:rsidRPr="001304C1">
              <w:rPr>
                <w:rFonts w:ascii="Times New Roman" w:hAnsi="Times New Roman"/>
                <w:sz w:val="24"/>
                <w:szCs w:val="24"/>
              </w:rPr>
              <w:t xml:space="preserve"> </w:t>
            </w:r>
            <w:r w:rsidRPr="001304C1">
              <w:rPr>
                <w:rFonts w:ascii="Times New Roman" w:hAnsi="Times New Roman"/>
                <w:b/>
                <w:sz w:val="24"/>
                <w:szCs w:val="24"/>
              </w:rPr>
              <w:t>в документах территориального планирования Ленинградской области</w:t>
            </w:r>
            <w:r w:rsidRPr="001304C1">
              <w:rPr>
                <w:rFonts w:ascii="Times New Roman" w:hAnsi="Times New Roman"/>
                <w:sz w:val="24"/>
                <w:szCs w:val="24"/>
              </w:rPr>
              <w:t xml:space="preserve"> (укрупненная оценка в материалах по обоснованию) и муниципальных образований (укрупненная оценка в материалах по обоснованию схем территориального планирования районов, обоснование потребности расширения границ населенных пунктов, проектные решения генеральных планов городского округа и поселений) </w:t>
            </w:r>
            <w:r w:rsidRPr="001304C1">
              <w:rPr>
                <w:rFonts w:ascii="Times New Roman" w:hAnsi="Times New Roman"/>
                <w:b/>
                <w:sz w:val="24"/>
                <w:szCs w:val="24"/>
              </w:rPr>
              <w:t xml:space="preserve">на основании значений минимально допустимого уровня жилищной обеспеченности </w:t>
            </w:r>
            <w:r w:rsidRPr="001304C1">
              <w:rPr>
                <w:rFonts w:ascii="Times New Roman" w:hAnsi="Times New Roman"/>
                <w:sz w:val="24"/>
                <w:szCs w:val="24"/>
              </w:rPr>
              <w:t>(общей площадью квартир) на одного жителя, кв</w:t>
            </w:r>
            <w:proofErr w:type="gramEnd"/>
            <w:r w:rsidRPr="001304C1">
              <w:rPr>
                <w:rFonts w:ascii="Times New Roman" w:hAnsi="Times New Roman"/>
                <w:sz w:val="24"/>
                <w:szCs w:val="24"/>
              </w:rPr>
              <w:t xml:space="preserve">. </w:t>
            </w:r>
            <w:proofErr w:type="gramStart"/>
            <w:r w:rsidRPr="001304C1">
              <w:rPr>
                <w:rFonts w:ascii="Times New Roman" w:hAnsi="Times New Roman"/>
                <w:sz w:val="24"/>
                <w:szCs w:val="24"/>
              </w:rPr>
              <w:t>м</w:t>
            </w:r>
            <w:proofErr w:type="gramEnd"/>
            <w:r w:rsidRPr="001304C1">
              <w:rPr>
                <w:rFonts w:ascii="Times New Roman" w:hAnsi="Times New Roman"/>
                <w:sz w:val="24"/>
                <w:szCs w:val="24"/>
              </w:rPr>
              <w:t xml:space="preserve">/чел, </w:t>
            </w:r>
            <w:r w:rsidRPr="001304C1">
              <w:rPr>
                <w:rFonts w:ascii="Times New Roman" w:hAnsi="Times New Roman"/>
                <w:b/>
                <w:sz w:val="24"/>
                <w:szCs w:val="24"/>
              </w:rPr>
              <w:t>установленного</w:t>
            </w:r>
            <w:r w:rsidRPr="001304C1">
              <w:rPr>
                <w:rFonts w:ascii="Times New Roman" w:hAnsi="Times New Roman"/>
                <w:sz w:val="24"/>
                <w:szCs w:val="24"/>
              </w:rPr>
              <w:t xml:space="preserve"> в среднем для Ленинградской области и трем зонам в зависимости от интенсивности урбанизации </w:t>
            </w:r>
            <w:r w:rsidRPr="001304C1">
              <w:rPr>
                <w:rFonts w:ascii="Times New Roman" w:hAnsi="Times New Roman"/>
                <w:b/>
                <w:sz w:val="24"/>
                <w:szCs w:val="24"/>
              </w:rPr>
              <w:t>в действующих Региональных нормативах градостроительного проектирования</w:t>
            </w:r>
            <w:r w:rsidRPr="001304C1">
              <w:rPr>
                <w:rFonts w:ascii="Times New Roman" w:hAnsi="Times New Roman"/>
                <w:sz w:val="24"/>
                <w:szCs w:val="24"/>
              </w:rPr>
              <w:t xml:space="preserve"> Ленинградской области (Постановление Правительства Ленинградской области от 12.03.2012 №83 в действующей редакции). </w:t>
            </w:r>
            <w:r w:rsidRPr="001304C1">
              <w:rPr>
                <w:rFonts w:ascii="Times New Roman" w:hAnsi="Times New Roman"/>
                <w:b/>
                <w:sz w:val="24"/>
                <w:szCs w:val="24"/>
              </w:rPr>
              <w:t>На основании этих расчетов принимаются проектные решения о выделении достаточной площади жилых зон</w:t>
            </w:r>
            <w:r w:rsidRPr="001304C1">
              <w:rPr>
                <w:rFonts w:ascii="Times New Roman" w:hAnsi="Times New Roman"/>
                <w:sz w:val="24"/>
                <w:szCs w:val="24"/>
              </w:rPr>
              <w:t>, что позволяет удовлетворить как практическую, так и нормативно обоснованную потребность в жилищном строительстве в горизонте ближайших 20 лет.</w:t>
            </w:r>
          </w:p>
        </w:tc>
      </w:tr>
      <w:tr w:rsidR="009A56D6" w:rsidRPr="001304C1" w:rsidTr="001304C1">
        <w:trPr>
          <w:trHeight w:val="3927"/>
        </w:trPr>
        <w:tc>
          <w:tcPr>
            <w:tcW w:w="552" w:type="dxa"/>
            <w:vMerge/>
            <w:shd w:val="clear" w:color="auto" w:fill="auto"/>
          </w:tcPr>
          <w:p w:rsidR="009A56D6" w:rsidRPr="001304C1" w:rsidRDefault="009A56D6" w:rsidP="00471146">
            <w:pPr>
              <w:spacing w:after="0" w:line="240" w:lineRule="auto"/>
              <w:rPr>
                <w:rFonts w:ascii="Times New Roman" w:hAnsi="Times New Roman"/>
                <w:sz w:val="24"/>
                <w:szCs w:val="24"/>
              </w:rPr>
            </w:pPr>
          </w:p>
        </w:tc>
        <w:tc>
          <w:tcPr>
            <w:tcW w:w="2108" w:type="dxa"/>
            <w:vMerge/>
            <w:shd w:val="clear" w:color="auto" w:fill="auto"/>
          </w:tcPr>
          <w:p w:rsidR="009A56D6" w:rsidRPr="001304C1" w:rsidRDefault="009A56D6" w:rsidP="00FA5202">
            <w:pPr>
              <w:spacing w:after="0" w:line="240" w:lineRule="auto"/>
              <w:rPr>
                <w:rFonts w:ascii="Times New Roman" w:hAnsi="Times New Roman"/>
                <w:sz w:val="24"/>
                <w:szCs w:val="24"/>
              </w:rPr>
            </w:pPr>
          </w:p>
        </w:tc>
        <w:tc>
          <w:tcPr>
            <w:tcW w:w="5528" w:type="dxa"/>
            <w:shd w:val="clear" w:color="auto" w:fill="auto"/>
          </w:tcPr>
          <w:p w:rsidR="009A56D6" w:rsidRPr="001304C1" w:rsidRDefault="009A56D6" w:rsidP="001304C1">
            <w:pPr>
              <w:pStyle w:val="Default"/>
              <w:rPr>
                <w:rFonts w:ascii="Times New Roman" w:hAnsi="Times New Roman" w:cs="Times New Roman"/>
              </w:rPr>
            </w:pPr>
            <w:r w:rsidRPr="001304C1">
              <w:rPr>
                <w:rFonts w:ascii="Times New Roman" w:hAnsi="Times New Roman" w:cs="Times New Roman"/>
              </w:rPr>
              <w:t xml:space="preserve">4. По позиции 23 раздела 1 подраздел 3 "обработка древесины и производство изделий из дерева..." планируются темпы роста с 90% в 2022 году по отношению к 2021 году до 103,5% в 2023 году. Неясно, чем обусловлены такие высокие темпы. </w:t>
            </w:r>
          </w:p>
          <w:p w:rsidR="009A56D6" w:rsidRPr="001304C1" w:rsidRDefault="009A56D6" w:rsidP="001304C1">
            <w:pPr>
              <w:pStyle w:val="Default"/>
              <w:rPr>
                <w:rFonts w:ascii="Times New Roman" w:hAnsi="Times New Roman" w:cs="Times New Roman"/>
              </w:rPr>
            </w:pPr>
            <w:r w:rsidRPr="001304C1">
              <w:rPr>
                <w:rFonts w:ascii="Times New Roman" w:hAnsi="Times New Roman" w:cs="Times New Roman"/>
              </w:rPr>
              <w:t xml:space="preserve">В то же время </w:t>
            </w:r>
            <w:proofErr w:type="spellStart"/>
            <w:r w:rsidRPr="001304C1">
              <w:rPr>
                <w:rFonts w:ascii="Times New Roman" w:hAnsi="Times New Roman" w:cs="Times New Roman"/>
              </w:rPr>
              <w:t>лесодобывающие</w:t>
            </w:r>
            <w:proofErr w:type="spellEnd"/>
            <w:r w:rsidRPr="001304C1">
              <w:rPr>
                <w:rFonts w:ascii="Times New Roman" w:hAnsi="Times New Roman" w:cs="Times New Roman"/>
              </w:rPr>
              <w:t xml:space="preserve"> восточные районы Ленинградской области имеют малые объёмы производства по переработке леса. Предлагается рассмотреть возможность вхождения Ленинградской области в Государственную программу Минстроя Российской Федерации по деревянному домостроению, производству стройматериалов на основе древесины в этих районах Ленинградской области</w:t>
            </w:r>
          </w:p>
        </w:tc>
        <w:tc>
          <w:tcPr>
            <w:tcW w:w="7655" w:type="dxa"/>
            <w:shd w:val="clear" w:color="auto" w:fill="auto"/>
          </w:tcPr>
          <w:p w:rsidR="003E6820" w:rsidRPr="001304C1" w:rsidRDefault="003E6820" w:rsidP="001F0BAC">
            <w:pPr>
              <w:spacing w:after="0" w:line="240" w:lineRule="auto"/>
              <w:rPr>
                <w:rFonts w:ascii="Times New Roman" w:hAnsi="Times New Roman"/>
                <w:b/>
                <w:sz w:val="24"/>
                <w:szCs w:val="24"/>
              </w:rPr>
            </w:pPr>
            <w:r w:rsidRPr="001304C1">
              <w:rPr>
                <w:rFonts w:ascii="Times New Roman" w:hAnsi="Times New Roman"/>
                <w:b/>
                <w:sz w:val="24"/>
                <w:szCs w:val="24"/>
              </w:rPr>
              <w:t>Замечание не принято.</w:t>
            </w:r>
          </w:p>
          <w:p w:rsidR="009A56D6" w:rsidRPr="001304C1" w:rsidRDefault="003E6820" w:rsidP="001F0BAC">
            <w:pPr>
              <w:tabs>
                <w:tab w:val="left" w:pos="1140"/>
              </w:tabs>
              <w:spacing w:after="0" w:line="240" w:lineRule="auto"/>
              <w:jc w:val="both"/>
              <w:rPr>
                <w:rFonts w:ascii="Times New Roman" w:hAnsi="Times New Roman"/>
                <w:sz w:val="24"/>
                <w:szCs w:val="24"/>
              </w:rPr>
            </w:pPr>
            <w:r w:rsidRPr="001304C1">
              <w:rPr>
                <w:rFonts w:ascii="Times New Roman" w:hAnsi="Times New Roman"/>
                <w:sz w:val="24"/>
                <w:szCs w:val="24"/>
              </w:rPr>
              <w:t xml:space="preserve">Рост промышленного показателя «Обработка древесины </w:t>
            </w:r>
            <w:r w:rsidRPr="001304C1">
              <w:rPr>
                <w:rFonts w:ascii="Times New Roman" w:hAnsi="Times New Roman"/>
                <w:sz w:val="24"/>
                <w:szCs w:val="24"/>
              </w:rPr>
              <w:br/>
              <w:t>и производство изделий из дерева и пробки, кроме мебели, производство изделий из соломки и материалов для плетения» на 3,4 % в 2023 году по отношению к 2022 году обусловлен ожиданием увеличения производственных мощностей передаваемых крупных иностранных предприятий Российским владельцам, осуществляющих обработку древесины таких как: ООО «</w:t>
            </w:r>
            <w:proofErr w:type="gramStart"/>
            <w:r w:rsidRPr="001304C1">
              <w:rPr>
                <w:rFonts w:ascii="Times New Roman" w:hAnsi="Times New Roman"/>
                <w:sz w:val="24"/>
                <w:szCs w:val="24"/>
              </w:rPr>
              <w:t>ММ</w:t>
            </w:r>
            <w:proofErr w:type="gramEnd"/>
            <w:r w:rsidRPr="001304C1">
              <w:rPr>
                <w:rFonts w:ascii="Times New Roman" w:hAnsi="Times New Roman"/>
                <w:sz w:val="24"/>
                <w:szCs w:val="24"/>
              </w:rPr>
              <w:t xml:space="preserve"> – ЕФИМОВСКИЙ» (новый собственник ООО «</w:t>
            </w:r>
            <w:proofErr w:type="spellStart"/>
            <w:r w:rsidRPr="001304C1">
              <w:rPr>
                <w:rFonts w:ascii="Times New Roman" w:hAnsi="Times New Roman"/>
                <w:sz w:val="24"/>
                <w:szCs w:val="24"/>
              </w:rPr>
              <w:t>Аспек</w:t>
            </w:r>
            <w:proofErr w:type="spellEnd"/>
            <w:r w:rsidRPr="001304C1">
              <w:rPr>
                <w:rFonts w:ascii="Times New Roman" w:hAnsi="Times New Roman"/>
                <w:sz w:val="24"/>
                <w:szCs w:val="24"/>
              </w:rPr>
              <w:t xml:space="preserve"> – Лес») и ООО «</w:t>
            </w:r>
            <w:proofErr w:type="spellStart"/>
            <w:r w:rsidRPr="001304C1">
              <w:rPr>
                <w:rFonts w:ascii="Times New Roman" w:hAnsi="Times New Roman"/>
                <w:sz w:val="24"/>
                <w:szCs w:val="24"/>
              </w:rPr>
              <w:t>Мется</w:t>
            </w:r>
            <w:proofErr w:type="spellEnd"/>
            <w:r w:rsidRPr="001304C1">
              <w:rPr>
                <w:rFonts w:ascii="Times New Roman" w:hAnsi="Times New Roman"/>
                <w:sz w:val="24"/>
                <w:szCs w:val="24"/>
              </w:rPr>
              <w:t xml:space="preserve"> </w:t>
            </w:r>
            <w:proofErr w:type="spellStart"/>
            <w:r w:rsidRPr="001304C1">
              <w:rPr>
                <w:rFonts w:ascii="Times New Roman" w:hAnsi="Times New Roman"/>
                <w:sz w:val="24"/>
                <w:szCs w:val="24"/>
              </w:rPr>
              <w:t>свирь</w:t>
            </w:r>
            <w:proofErr w:type="spellEnd"/>
            <w:r w:rsidRPr="001304C1">
              <w:rPr>
                <w:rFonts w:ascii="Times New Roman" w:hAnsi="Times New Roman"/>
                <w:sz w:val="24"/>
                <w:szCs w:val="24"/>
              </w:rPr>
              <w:t>» (идет поиск покупателя). Также ООО «ЗАВОД НЕВСКИЙ ЛАМИНАТ» планирует увеличить объёмы готовой продукции в связи с ростом спроса среди населения.</w:t>
            </w:r>
          </w:p>
        </w:tc>
      </w:tr>
      <w:tr w:rsidR="009A56D6" w:rsidRPr="001304C1" w:rsidTr="009A56D6">
        <w:trPr>
          <w:trHeight w:val="3077"/>
        </w:trPr>
        <w:tc>
          <w:tcPr>
            <w:tcW w:w="552" w:type="dxa"/>
            <w:vMerge/>
            <w:shd w:val="clear" w:color="auto" w:fill="auto"/>
          </w:tcPr>
          <w:p w:rsidR="009A56D6" w:rsidRPr="001304C1" w:rsidRDefault="009A56D6" w:rsidP="00471146">
            <w:pPr>
              <w:spacing w:after="0" w:line="240" w:lineRule="auto"/>
              <w:rPr>
                <w:rFonts w:ascii="Times New Roman" w:hAnsi="Times New Roman"/>
                <w:sz w:val="24"/>
                <w:szCs w:val="24"/>
              </w:rPr>
            </w:pPr>
          </w:p>
        </w:tc>
        <w:tc>
          <w:tcPr>
            <w:tcW w:w="2108" w:type="dxa"/>
            <w:vMerge/>
            <w:shd w:val="clear" w:color="auto" w:fill="auto"/>
          </w:tcPr>
          <w:p w:rsidR="009A56D6" w:rsidRPr="001304C1" w:rsidRDefault="009A56D6" w:rsidP="00FA5202">
            <w:pPr>
              <w:spacing w:after="0" w:line="240" w:lineRule="auto"/>
              <w:rPr>
                <w:rFonts w:ascii="Times New Roman" w:hAnsi="Times New Roman"/>
                <w:sz w:val="24"/>
                <w:szCs w:val="24"/>
              </w:rPr>
            </w:pPr>
          </w:p>
        </w:tc>
        <w:tc>
          <w:tcPr>
            <w:tcW w:w="5528" w:type="dxa"/>
            <w:shd w:val="clear" w:color="auto" w:fill="auto"/>
          </w:tcPr>
          <w:p w:rsidR="009A56D6" w:rsidRPr="001304C1" w:rsidRDefault="009A56D6" w:rsidP="001F0BAC">
            <w:pPr>
              <w:pStyle w:val="Default"/>
              <w:rPr>
                <w:rFonts w:ascii="Times New Roman" w:hAnsi="Times New Roman" w:cs="Times New Roman"/>
              </w:rPr>
            </w:pPr>
            <w:r w:rsidRPr="001304C1">
              <w:rPr>
                <w:rFonts w:ascii="Times New Roman" w:eastAsia="Times New Roman" w:hAnsi="Times New Roman" w:cs="Times New Roman"/>
              </w:rPr>
              <w:t xml:space="preserve">5. </w:t>
            </w:r>
            <w:r w:rsidRPr="001304C1">
              <w:rPr>
                <w:rFonts w:ascii="Times New Roman" w:hAnsi="Times New Roman" w:cs="Times New Roman"/>
              </w:rPr>
              <w:t xml:space="preserve">По позиции 42 раздела 1 подраздела 3 "водоснабжение, водоотведение, организация сбора и утилизации отходов, деятельность по ликвидации загрязнений". Динамика показателей до 2035 года по этой позиции не отражает влияния строительства мусороперерабатывающих производств Бронка и Дубровка. Или оно исчезающе мало? </w:t>
            </w:r>
          </w:p>
          <w:p w:rsidR="009A56D6" w:rsidRPr="001304C1" w:rsidRDefault="009A56D6" w:rsidP="001F0BAC">
            <w:pPr>
              <w:spacing w:after="0" w:line="240" w:lineRule="auto"/>
              <w:jc w:val="both"/>
              <w:rPr>
                <w:rFonts w:ascii="Times New Roman" w:eastAsia="Times New Roman" w:hAnsi="Times New Roman"/>
                <w:sz w:val="24"/>
                <w:szCs w:val="24"/>
                <w:lang w:eastAsia="ru-RU"/>
              </w:rPr>
            </w:pPr>
          </w:p>
        </w:tc>
        <w:tc>
          <w:tcPr>
            <w:tcW w:w="7655" w:type="dxa"/>
            <w:shd w:val="clear" w:color="auto" w:fill="auto"/>
          </w:tcPr>
          <w:p w:rsidR="00066FD6" w:rsidRPr="001304C1" w:rsidRDefault="00066FD6" w:rsidP="001F0BAC">
            <w:pPr>
              <w:spacing w:after="0" w:line="240" w:lineRule="auto"/>
              <w:rPr>
                <w:rFonts w:ascii="Times New Roman" w:hAnsi="Times New Roman"/>
                <w:b/>
                <w:sz w:val="24"/>
                <w:szCs w:val="24"/>
              </w:rPr>
            </w:pPr>
            <w:r w:rsidRPr="001304C1">
              <w:rPr>
                <w:rFonts w:ascii="Times New Roman" w:hAnsi="Times New Roman"/>
                <w:b/>
                <w:sz w:val="24"/>
                <w:szCs w:val="24"/>
              </w:rPr>
              <w:t>Замечани</w:t>
            </w:r>
            <w:r w:rsidR="00B438B8" w:rsidRPr="001304C1">
              <w:rPr>
                <w:rFonts w:ascii="Times New Roman" w:hAnsi="Times New Roman"/>
                <w:b/>
                <w:sz w:val="24"/>
                <w:szCs w:val="24"/>
              </w:rPr>
              <w:t>е</w:t>
            </w:r>
            <w:r w:rsidRPr="001304C1">
              <w:rPr>
                <w:rFonts w:ascii="Times New Roman" w:hAnsi="Times New Roman"/>
                <w:b/>
                <w:sz w:val="24"/>
                <w:szCs w:val="24"/>
              </w:rPr>
              <w:t xml:space="preserve"> не принят</w:t>
            </w:r>
            <w:r w:rsidR="00B438B8" w:rsidRPr="001304C1">
              <w:rPr>
                <w:rFonts w:ascii="Times New Roman" w:hAnsi="Times New Roman"/>
                <w:b/>
                <w:sz w:val="24"/>
                <w:szCs w:val="24"/>
              </w:rPr>
              <w:t>о</w:t>
            </w:r>
            <w:r w:rsidRPr="001304C1">
              <w:rPr>
                <w:rFonts w:ascii="Times New Roman" w:hAnsi="Times New Roman"/>
                <w:b/>
                <w:sz w:val="24"/>
                <w:szCs w:val="24"/>
              </w:rPr>
              <w:t>.</w:t>
            </w:r>
          </w:p>
          <w:p w:rsidR="009A56D6" w:rsidRPr="001304C1" w:rsidRDefault="009A56D6" w:rsidP="001F0BAC">
            <w:pPr>
              <w:pStyle w:val="ac"/>
              <w:jc w:val="both"/>
              <w:rPr>
                <w:rFonts w:ascii="Times New Roman" w:hAnsi="Times New Roman"/>
                <w:sz w:val="24"/>
                <w:szCs w:val="24"/>
              </w:rPr>
            </w:pPr>
            <w:r w:rsidRPr="001304C1">
              <w:rPr>
                <w:rFonts w:ascii="Times New Roman" w:hAnsi="Times New Roman"/>
                <w:b/>
                <w:sz w:val="24"/>
                <w:szCs w:val="24"/>
              </w:rPr>
              <w:t>Динамика показателя</w:t>
            </w:r>
            <w:r w:rsidRPr="001304C1">
              <w:rPr>
                <w:rFonts w:ascii="Times New Roman" w:hAnsi="Times New Roman"/>
                <w:sz w:val="24"/>
                <w:szCs w:val="24"/>
              </w:rPr>
              <w:t xml:space="preserve"> в позиции 42 раздела 1 подраздела 3 «водоснабжение, водоотведение, организация сбора и утилизации отходов, деятельность по ликвидации загрязнений» </w:t>
            </w:r>
            <w:r w:rsidRPr="001304C1">
              <w:rPr>
                <w:rFonts w:ascii="Times New Roman" w:hAnsi="Times New Roman"/>
                <w:b/>
                <w:sz w:val="24"/>
                <w:szCs w:val="24"/>
              </w:rPr>
              <w:t xml:space="preserve">коррелирует с динамикой численности населения </w:t>
            </w:r>
            <w:r w:rsidRPr="001304C1">
              <w:rPr>
                <w:rFonts w:ascii="Times New Roman" w:hAnsi="Times New Roman"/>
                <w:sz w:val="24"/>
                <w:szCs w:val="24"/>
              </w:rPr>
              <w:t xml:space="preserve">Ленинградской области. </w:t>
            </w:r>
            <w:proofErr w:type="gramStart"/>
            <w:r w:rsidRPr="001304C1">
              <w:rPr>
                <w:rFonts w:ascii="Times New Roman" w:hAnsi="Times New Roman"/>
                <w:sz w:val="24"/>
                <w:szCs w:val="24"/>
              </w:rPr>
              <w:t xml:space="preserve">Вместе с тем в соответствии с документом стратегического планирования, разрабатываемым в рамках планирования и программирования, – </w:t>
            </w:r>
            <w:r w:rsidRPr="001304C1">
              <w:rPr>
                <w:rFonts w:ascii="Times New Roman" w:hAnsi="Times New Roman"/>
                <w:b/>
                <w:sz w:val="24"/>
                <w:szCs w:val="24"/>
              </w:rPr>
              <w:t>проектом Схемы территориального планирования Ленинградской области</w:t>
            </w:r>
            <w:r w:rsidRPr="001304C1">
              <w:rPr>
                <w:rFonts w:ascii="Times New Roman" w:hAnsi="Times New Roman"/>
                <w:sz w:val="24"/>
                <w:szCs w:val="24"/>
              </w:rPr>
              <w:t xml:space="preserve"> в области обращения с отходами, в том числе с твердыми коммунальными отходами, на территории региона </w:t>
            </w:r>
            <w:r w:rsidRPr="001304C1">
              <w:rPr>
                <w:rFonts w:ascii="Times New Roman" w:hAnsi="Times New Roman"/>
                <w:b/>
                <w:sz w:val="24"/>
                <w:szCs w:val="24"/>
              </w:rPr>
              <w:t>предусматривается размещение (строительство) 6 объектов</w:t>
            </w:r>
            <w:r w:rsidRPr="001304C1">
              <w:rPr>
                <w:rFonts w:ascii="Times New Roman" w:hAnsi="Times New Roman"/>
                <w:sz w:val="24"/>
                <w:szCs w:val="24"/>
              </w:rPr>
              <w:t xml:space="preserve"> (комплексов) по обработке (сортировке), обезвреживанию и размещению твердых коммунальных отходов III – V классов опасности и отдельных видов промышленных отходов</w:t>
            </w:r>
            <w:proofErr w:type="gramEnd"/>
            <w:r w:rsidRPr="001304C1">
              <w:rPr>
                <w:rFonts w:ascii="Times New Roman" w:hAnsi="Times New Roman"/>
                <w:sz w:val="24"/>
                <w:szCs w:val="24"/>
              </w:rPr>
              <w:t xml:space="preserve"> (далее – комплексы обработки ТКО) в Выборгском (1), </w:t>
            </w:r>
            <w:proofErr w:type="spellStart"/>
            <w:r w:rsidRPr="001304C1">
              <w:rPr>
                <w:rFonts w:ascii="Times New Roman" w:hAnsi="Times New Roman"/>
                <w:sz w:val="24"/>
                <w:szCs w:val="24"/>
              </w:rPr>
              <w:t>Кингисеппском</w:t>
            </w:r>
            <w:proofErr w:type="spellEnd"/>
            <w:r w:rsidRPr="001304C1">
              <w:rPr>
                <w:rFonts w:ascii="Times New Roman" w:hAnsi="Times New Roman"/>
                <w:sz w:val="24"/>
                <w:szCs w:val="24"/>
              </w:rPr>
              <w:t xml:space="preserve"> (1), Всеволожском (2), </w:t>
            </w:r>
            <w:proofErr w:type="spellStart"/>
            <w:r w:rsidRPr="001304C1">
              <w:rPr>
                <w:rFonts w:ascii="Times New Roman" w:hAnsi="Times New Roman"/>
                <w:sz w:val="24"/>
                <w:szCs w:val="24"/>
              </w:rPr>
              <w:t>Волховском</w:t>
            </w:r>
            <w:proofErr w:type="spellEnd"/>
            <w:r w:rsidRPr="001304C1">
              <w:rPr>
                <w:rFonts w:ascii="Times New Roman" w:hAnsi="Times New Roman"/>
                <w:sz w:val="24"/>
                <w:szCs w:val="24"/>
              </w:rPr>
              <w:t xml:space="preserve"> (1), Бокситогорском (1) суммарной мощностью обработки 1920 тысяч тонн твердых коммунальных отходов в год. </w:t>
            </w:r>
            <w:r w:rsidRPr="001304C1">
              <w:rPr>
                <w:rFonts w:ascii="Times New Roman" w:hAnsi="Times New Roman"/>
                <w:b/>
                <w:sz w:val="24"/>
                <w:szCs w:val="24"/>
              </w:rPr>
              <w:t>Данные объекты на смену действующим</w:t>
            </w:r>
            <w:r w:rsidRPr="001304C1">
              <w:rPr>
                <w:rFonts w:ascii="Times New Roman" w:hAnsi="Times New Roman"/>
                <w:sz w:val="24"/>
                <w:szCs w:val="24"/>
              </w:rPr>
              <w:t xml:space="preserve"> объектам размещения отходов </w:t>
            </w:r>
            <w:r w:rsidRPr="001304C1">
              <w:rPr>
                <w:rFonts w:ascii="Times New Roman" w:hAnsi="Times New Roman"/>
                <w:b/>
                <w:sz w:val="24"/>
                <w:szCs w:val="24"/>
              </w:rPr>
              <w:t>примут коммунальные отходы, образующиеся на территории Ленинградской области</w:t>
            </w:r>
            <w:r w:rsidRPr="001304C1">
              <w:rPr>
                <w:rFonts w:ascii="Times New Roman" w:hAnsi="Times New Roman"/>
                <w:sz w:val="24"/>
                <w:szCs w:val="24"/>
              </w:rPr>
              <w:t xml:space="preserve"> и частично Санкт-Петербурга. </w:t>
            </w:r>
            <w:r w:rsidRPr="001304C1">
              <w:rPr>
                <w:rFonts w:ascii="Times New Roman" w:hAnsi="Times New Roman"/>
                <w:b/>
                <w:sz w:val="24"/>
                <w:szCs w:val="24"/>
              </w:rPr>
              <w:t>Применение современных технологий обработки</w:t>
            </w:r>
            <w:r w:rsidRPr="001304C1">
              <w:rPr>
                <w:rFonts w:ascii="Times New Roman" w:hAnsi="Times New Roman"/>
                <w:sz w:val="24"/>
                <w:szCs w:val="24"/>
              </w:rPr>
              <w:t xml:space="preserve"> коммунальных отходов, увеличение доли извлекаемого вторичного сырья, </w:t>
            </w:r>
            <w:r w:rsidRPr="001304C1">
              <w:rPr>
                <w:rFonts w:ascii="Times New Roman" w:hAnsi="Times New Roman"/>
                <w:b/>
                <w:sz w:val="24"/>
                <w:szCs w:val="24"/>
              </w:rPr>
              <w:t xml:space="preserve">в целом не приведет к существенному или </w:t>
            </w:r>
            <w:r w:rsidRPr="001304C1">
              <w:rPr>
                <w:rFonts w:ascii="Times New Roman" w:hAnsi="Times New Roman"/>
                <w:b/>
                <w:sz w:val="24"/>
                <w:szCs w:val="24"/>
              </w:rPr>
              <w:lastRenderedPageBreak/>
              <w:t>резкому изменению динамики валового объема</w:t>
            </w:r>
            <w:r w:rsidRPr="001304C1">
              <w:rPr>
                <w:rFonts w:ascii="Times New Roman" w:hAnsi="Times New Roman"/>
                <w:sz w:val="24"/>
                <w:szCs w:val="24"/>
              </w:rPr>
              <w:t xml:space="preserve"> собираемых, обрабатываемых и утилизируемых отходов. Извлечение пригодных для вторичного использования материалов и их последующее вовлечение в обрабатывающее производство несущественно отразится в динамике позиции 16 раздела 1 подраздела 3 «Обрабатывающие производства».</w:t>
            </w:r>
          </w:p>
          <w:p w:rsidR="009A56D6" w:rsidRPr="001304C1" w:rsidRDefault="009A56D6" w:rsidP="001F0BAC">
            <w:pPr>
              <w:pStyle w:val="ac"/>
              <w:jc w:val="both"/>
              <w:rPr>
                <w:rFonts w:ascii="Times New Roman" w:hAnsi="Times New Roman"/>
                <w:b/>
                <w:sz w:val="24"/>
                <w:szCs w:val="24"/>
              </w:rPr>
            </w:pPr>
            <w:r w:rsidRPr="001304C1">
              <w:rPr>
                <w:rFonts w:ascii="Times New Roman" w:hAnsi="Times New Roman"/>
                <w:sz w:val="24"/>
                <w:szCs w:val="24"/>
              </w:rPr>
              <w:t xml:space="preserve">Дополнительно отмечаем, что в </w:t>
            </w:r>
            <w:r w:rsidRPr="001304C1">
              <w:rPr>
                <w:rFonts w:ascii="Times New Roman" w:hAnsi="Times New Roman"/>
                <w:b/>
                <w:sz w:val="24"/>
                <w:szCs w:val="24"/>
              </w:rPr>
              <w:t>настоящее время строительство комплексов обработки ТКО в указанных Вами локациях не начато</w:t>
            </w:r>
            <w:r w:rsidRPr="001304C1">
              <w:rPr>
                <w:rFonts w:ascii="Times New Roman" w:hAnsi="Times New Roman"/>
                <w:sz w:val="24"/>
                <w:szCs w:val="24"/>
              </w:rPr>
              <w:t>. По имеющимся сведениям на площадках Дубровка (</w:t>
            </w:r>
            <w:proofErr w:type="spellStart"/>
            <w:r w:rsidRPr="001304C1">
              <w:rPr>
                <w:rFonts w:ascii="Times New Roman" w:hAnsi="Times New Roman"/>
                <w:sz w:val="24"/>
                <w:szCs w:val="24"/>
              </w:rPr>
              <w:t>Колтушское</w:t>
            </w:r>
            <w:proofErr w:type="spellEnd"/>
            <w:r w:rsidRPr="001304C1">
              <w:rPr>
                <w:rFonts w:ascii="Times New Roman" w:hAnsi="Times New Roman"/>
                <w:sz w:val="24"/>
                <w:szCs w:val="24"/>
              </w:rPr>
              <w:t xml:space="preserve"> сельское поселение) и </w:t>
            </w:r>
            <w:proofErr w:type="spellStart"/>
            <w:r w:rsidRPr="001304C1">
              <w:rPr>
                <w:rFonts w:ascii="Times New Roman" w:hAnsi="Times New Roman"/>
                <w:sz w:val="24"/>
                <w:szCs w:val="24"/>
              </w:rPr>
              <w:t>Брандовка</w:t>
            </w:r>
            <w:proofErr w:type="spellEnd"/>
            <w:r w:rsidRPr="001304C1">
              <w:rPr>
                <w:rFonts w:ascii="Times New Roman" w:hAnsi="Times New Roman"/>
                <w:sz w:val="24"/>
                <w:szCs w:val="24"/>
              </w:rPr>
              <w:t xml:space="preserve"> (</w:t>
            </w:r>
            <w:proofErr w:type="spellStart"/>
            <w:r w:rsidRPr="001304C1">
              <w:rPr>
                <w:rFonts w:ascii="Times New Roman" w:hAnsi="Times New Roman"/>
                <w:sz w:val="24"/>
                <w:szCs w:val="24"/>
              </w:rPr>
              <w:t>Оржицкое</w:t>
            </w:r>
            <w:proofErr w:type="spellEnd"/>
            <w:r w:rsidRPr="001304C1">
              <w:rPr>
                <w:rFonts w:ascii="Times New Roman" w:hAnsi="Times New Roman"/>
                <w:sz w:val="24"/>
                <w:szCs w:val="24"/>
              </w:rPr>
              <w:t xml:space="preserve"> сельское поселение) проводятся изыскания с целью определения возможности размещения в выработанных карьерах современных мощностей по обработке ТКО. Сведений о строительстве мусороперерабатывающих производств на территории </w:t>
            </w:r>
            <w:proofErr w:type="spellStart"/>
            <w:r w:rsidRPr="001304C1">
              <w:rPr>
                <w:rFonts w:ascii="Times New Roman" w:hAnsi="Times New Roman"/>
                <w:sz w:val="24"/>
                <w:szCs w:val="24"/>
              </w:rPr>
              <w:t>Петродворцового</w:t>
            </w:r>
            <w:proofErr w:type="spellEnd"/>
            <w:r w:rsidRPr="001304C1">
              <w:rPr>
                <w:rFonts w:ascii="Times New Roman" w:hAnsi="Times New Roman"/>
                <w:sz w:val="24"/>
                <w:szCs w:val="24"/>
              </w:rPr>
              <w:t xml:space="preserve"> района Санкт-Петербурга (Бронка) Комитет не располагает.</w:t>
            </w:r>
          </w:p>
        </w:tc>
      </w:tr>
      <w:tr w:rsidR="00FD0389" w:rsidRPr="001304C1" w:rsidTr="009A56D6">
        <w:trPr>
          <w:trHeight w:val="4410"/>
        </w:trPr>
        <w:tc>
          <w:tcPr>
            <w:tcW w:w="552" w:type="dxa"/>
            <w:vMerge/>
            <w:shd w:val="clear" w:color="auto" w:fill="auto"/>
          </w:tcPr>
          <w:p w:rsidR="00FD0389" w:rsidRPr="001304C1" w:rsidRDefault="00FD0389" w:rsidP="00471146">
            <w:pPr>
              <w:spacing w:after="0" w:line="240" w:lineRule="auto"/>
              <w:rPr>
                <w:rFonts w:ascii="Times New Roman" w:hAnsi="Times New Roman"/>
                <w:sz w:val="24"/>
                <w:szCs w:val="24"/>
              </w:rPr>
            </w:pPr>
            <w:bookmarkStart w:id="0" w:name="_GoBack" w:colFirst="2" w:colLast="2"/>
          </w:p>
        </w:tc>
        <w:tc>
          <w:tcPr>
            <w:tcW w:w="2108" w:type="dxa"/>
            <w:vMerge/>
            <w:shd w:val="clear" w:color="auto" w:fill="auto"/>
          </w:tcPr>
          <w:p w:rsidR="00FD0389" w:rsidRPr="001304C1" w:rsidRDefault="00FD0389" w:rsidP="00FA5202">
            <w:pPr>
              <w:spacing w:after="0" w:line="240" w:lineRule="auto"/>
              <w:rPr>
                <w:rFonts w:ascii="Times New Roman" w:hAnsi="Times New Roman"/>
                <w:sz w:val="24"/>
                <w:szCs w:val="24"/>
              </w:rPr>
            </w:pPr>
          </w:p>
        </w:tc>
        <w:tc>
          <w:tcPr>
            <w:tcW w:w="5528" w:type="dxa"/>
            <w:shd w:val="clear" w:color="auto" w:fill="auto"/>
          </w:tcPr>
          <w:p w:rsidR="009A56D6" w:rsidRPr="001304C1" w:rsidRDefault="009A56D6" w:rsidP="001304C1">
            <w:pPr>
              <w:pStyle w:val="Default"/>
              <w:rPr>
                <w:rFonts w:ascii="Times New Roman" w:hAnsi="Times New Roman" w:cs="Times New Roman"/>
              </w:rPr>
            </w:pPr>
            <w:r w:rsidRPr="001304C1">
              <w:rPr>
                <w:rFonts w:ascii="Times New Roman" w:eastAsia="Times New Roman" w:hAnsi="Times New Roman" w:cs="Times New Roman"/>
              </w:rPr>
              <w:t xml:space="preserve">6. </w:t>
            </w:r>
            <w:r w:rsidRPr="001304C1">
              <w:rPr>
                <w:rFonts w:ascii="Times New Roman" w:hAnsi="Times New Roman" w:cs="Times New Roman"/>
              </w:rPr>
              <w:t xml:space="preserve">По позиции 48 раздела 1 подраздела 5 "плотность автодорог общего пользования с твёрдым покрытием", из приведённых показателей и расчёта протяжённости дорог на площадь Ленинградской области 94667,7 квадратных километров следует, что прирост таких дорог в 2023 году составит 4,7 км, в 2025 году 25,5 км. </w:t>
            </w:r>
          </w:p>
          <w:p w:rsidR="00FD0389" w:rsidRPr="001304C1" w:rsidRDefault="009A56D6" w:rsidP="001304C1">
            <w:pPr>
              <w:spacing w:after="0" w:line="240" w:lineRule="auto"/>
              <w:rPr>
                <w:rFonts w:ascii="Times New Roman" w:eastAsia="Times New Roman" w:hAnsi="Times New Roman"/>
                <w:sz w:val="24"/>
                <w:szCs w:val="24"/>
                <w:lang w:eastAsia="ru-RU"/>
              </w:rPr>
            </w:pPr>
            <w:r w:rsidRPr="001304C1">
              <w:rPr>
                <w:rFonts w:ascii="Times New Roman" w:hAnsi="Times New Roman"/>
                <w:color w:val="000000"/>
                <w:sz w:val="24"/>
                <w:szCs w:val="24"/>
                <w:lang w:eastAsia="ru-RU"/>
              </w:rPr>
              <w:t>Известно, что протяжённость муниципальных дорог из 20,5 тыс. км всех дорог составляет половину, то есть более 10 тыс. км. Из них более половины дорог без твёрдого покрытия. Таким образом, строительство муниципальных автодорог с твёрдым покрытием не планируется. Предлагается определить на перспективу политику (подходы) в отношении устройства муниципальных дорог с твёрдым покрытием</w:t>
            </w:r>
          </w:p>
        </w:tc>
        <w:tc>
          <w:tcPr>
            <w:tcW w:w="7655" w:type="dxa"/>
            <w:shd w:val="clear" w:color="auto" w:fill="auto"/>
          </w:tcPr>
          <w:p w:rsidR="00066FD6" w:rsidRPr="001304C1" w:rsidRDefault="00066FD6" w:rsidP="001F0BAC">
            <w:pPr>
              <w:spacing w:after="0" w:line="240" w:lineRule="auto"/>
              <w:rPr>
                <w:rFonts w:ascii="Times New Roman" w:hAnsi="Times New Roman"/>
                <w:b/>
                <w:sz w:val="24"/>
                <w:szCs w:val="24"/>
              </w:rPr>
            </w:pPr>
            <w:r w:rsidRPr="001304C1">
              <w:rPr>
                <w:rFonts w:ascii="Times New Roman" w:hAnsi="Times New Roman"/>
                <w:b/>
                <w:sz w:val="24"/>
                <w:szCs w:val="24"/>
              </w:rPr>
              <w:t>Замечани</w:t>
            </w:r>
            <w:r w:rsidR="00B438B8" w:rsidRPr="001304C1">
              <w:rPr>
                <w:rFonts w:ascii="Times New Roman" w:hAnsi="Times New Roman"/>
                <w:b/>
                <w:sz w:val="24"/>
                <w:szCs w:val="24"/>
              </w:rPr>
              <w:t>е</w:t>
            </w:r>
            <w:r w:rsidRPr="001304C1">
              <w:rPr>
                <w:rFonts w:ascii="Times New Roman" w:hAnsi="Times New Roman"/>
                <w:b/>
                <w:sz w:val="24"/>
                <w:szCs w:val="24"/>
              </w:rPr>
              <w:t xml:space="preserve"> не принят</w:t>
            </w:r>
            <w:r w:rsidR="00B438B8" w:rsidRPr="001304C1">
              <w:rPr>
                <w:rFonts w:ascii="Times New Roman" w:hAnsi="Times New Roman"/>
                <w:b/>
                <w:sz w:val="24"/>
                <w:szCs w:val="24"/>
              </w:rPr>
              <w:t>о</w:t>
            </w:r>
            <w:r w:rsidRPr="001304C1">
              <w:rPr>
                <w:rFonts w:ascii="Times New Roman" w:hAnsi="Times New Roman"/>
                <w:b/>
                <w:sz w:val="24"/>
                <w:szCs w:val="24"/>
              </w:rPr>
              <w:t>.</w:t>
            </w:r>
          </w:p>
          <w:p w:rsidR="00FD0389" w:rsidRPr="001304C1" w:rsidRDefault="00066FD6" w:rsidP="001F0BAC">
            <w:pPr>
              <w:tabs>
                <w:tab w:val="left" w:pos="1140"/>
              </w:tabs>
              <w:spacing w:after="0" w:line="240" w:lineRule="auto"/>
              <w:jc w:val="both"/>
              <w:rPr>
                <w:rFonts w:ascii="Times New Roman" w:hAnsi="Times New Roman"/>
                <w:b/>
                <w:sz w:val="24"/>
                <w:szCs w:val="24"/>
              </w:rPr>
            </w:pPr>
            <w:r w:rsidRPr="001304C1">
              <w:rPr>
                <w:rFonts w:ascii="Times New Roman" w:hAnsi="Times New Roman"/>
                <w:color w:val="000000"/>
                <w:sz w:val="24"/>
                <w:szCs w:val="24"/>
                <w:lang w:eastAsia="ru-RU"/>
              </w:rPr>
              <w:t xml:space="preserve">Политика (подходы) в отношении устройства муниципальных дорог с твёрдым покрытием </w:t>
            </w:r>
            <w:r w:rsidR="00B438B8" w:rsidRPr="001304C1">
              <w:rPr>
                <w:rFonts w:ascii="Times New Roman" w:hAnsi="Times New Roman"/>
                <w:color w:val="000000"/>
                <w:sz w:val="24"/>
                <w:szCs w:val="24"/>
                <w:lang w:eastAsia="ru-RU"/>
              </w:rPr>
              <w:t>определены в государственной программе  Ленинградской области «Развитие транспортной системы Ленинградской области» (постановление Правительства Ленинградской области от 14.11.2013 № 397), а также в Программе комплексного развития транспортной инфраструктуры Ленинградской области (распоряжение Правительства Ленинградской области от 11.05.2022  № 294-р).</w:t>
            </w:r>
          </w:p>
          <w:p w:rsidR="00066FD6" w:rsidRPr="001304C1" w:rsidRDefault="00066FD6" w:rsidP="001F0BAC">
            <w:pPr>
              <w:tabs>
                <w:tab w:val="left" w:pos="1140"/>
              </w:tabs>
              <w:spacing w:after="0" w:line="240" w:lineRule="auto"/>
              <w:rPr>
                <w:rFonts w:ascii="Times New Roman" w:hAnsi="Times New Roman"/>
                <w:b/>
                <w:sz w:val="24"/>
                <w:szCs w:val="24"/>
              </w:rPr>
            </w:pPr>
          </w:p>
        </w:tc>
      </w:tr>
      <w:bookmarkEnd w:id="0"/>
    </w:tbl>
    <w:p w:rsidR="00C55094" w:rsidRPr="001304C1" w:rsidRDefault="00C55094">
      <w:pPr>
        <w:rPr>
          <w:rFonts w:ascii="Times New Roman" w:hAnsi="Times New Roman"/>
          <w:sz w:val="24"/>
          <w:szCs w:val="24"/>
        </w:rPr>
      </w:pPr>
    </w:p>
    <w:sectPr w:rsidR="00C55094" w:rsidRPr="001304C1" w:rsidSect="00471146">
      <w:headerReference w:type="default" r:id="rId9"/>
      <w:pgSz w:w="16838" w:h="11906" w:orient="landscape"/>
      <w:pgMar w:top="851"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FE" w:rsidRDefault="007162FE" w:rsidP="00D95671">
      <w:pPr>
        <w:spacing w:after="0" w:line="240" w:lineRule="auto"/>
      </w:pPr>
      <w:r>
        <w:separator/>
      </w:r>
    </w:p>
  </w:endnote>
  <w:endnote w:type="continuationSeparator" w:id="0">
    <w:p w:rsidR="007162FE" w:rsidRDefault="007162FE" w:rsidP="00D9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FE" w:rsidRDefault="007162FE" w:rsidP="00D95671">
      <w:pPr>
        <w:spacing w:after="0" w:line="240" w:lineRule="auto"/>
      </w:pPr>
      <w:r>
        <w:separator/>
      </w:r>
    </w:p>
  </w:footnote>
  <w:footnote w:type="continuationSeparator" w:id="0">
    <w:p w:rsidR="007162FE" w:rsidRDefault="007162FE" w:rsidP="00D95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71" w:rsidRDefault="00D95671" w:rsidP="00D95671">
    <w:pPr>
      <w:pStyle w:val="a6"/>
      <w:spacing w:after="0" w:line="240" w:lineRule="auto"/>
      <w:jc w:val="center"/>
      <w:rPr>
        <w:rFonts w:ascii="Times New Roman" w:hAnsi="Times New Roman"/>
        <w:sz w:val="20"/>
        <w:szCs w:val="20"/>
      </w:rPr>
    </w:pPr>
    <w:r w:rsidRPr="00D95671">
      <w:rPr>
        <w:rFonts w:ascii="Times New Roman" w:hAnsi="Times New Roman"/>
        <w:sz w:val="20"/>
        <w:szCs w:val="20"/>
      </w:rPr>
      <w:fldChar w:fldCharType="begin"/>
    </w:r>
    <w:r w:rsidRPr="00D95671">
      <w:rPr>
        <w:rFonts w:ascii="Times New Roman" w:hAnsi="Times New Roman"/>
        <w:sz w:val="20"/>
        <w:szCs w:val="20"/>
      </w:rPr>
      <w:instrText>PAGE   \* MERGEFORMAT</w:instrText>
    </w:r>
    <w:r w:rsidRPr="00D95671">
      <w:rPr>
        <w:rFonts w:ascii="Times New Roman" w:hAnsi="Times New Roman"/>
        <w:sz w:val="20"/>
        <w:szCs w:val="20"/>
      </w:rPr>
      <w:fldChar w:fldCharType="separate"/>
    </w:r>
    <w:r w:rsidR="001304C1">
      <w:rPr>
        <w:rFonts w:ascii="Times New Roman" w:hAnsi="Times New Roman"/>
        <w:noProof/>
        <w:sz w:val="20"/>
        <w:szCs w:val="20"/>
      </w:rPr>
      <w:t>5</w:t>
    </w:r>
    <w:r w:rsidRPr="00D95671">
      <w:rPr>
        <w:rFonts w:ascii="Times New Roman" w:hAnsi="Times New Roman"/>
        <w:sz w:val="20"/>
        <w:szCs w:val="20"/>
      </w:rPr>
      <w:fldChar w:fldCharType="end"/>
    </w:r>
  </w:p>
  <w:p w:rsidR="00782F6D" w:rsidRPr="00D95671" w:rsidRDefault="00782F6D" w:rsidP="00D95671">
    <w:pPr>
      <w:pStyle w:val="a6"/>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7D95"/>
    <w:multiLevelType w:val="hybridMultilevel"/>
    <w:tmpl w:val="5AF6E948"/>
    <w:lvl w:ilvl="0" w:tplc="30AEE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AC2245"/>
    <w:multiLevelType w:val="hybridMultilevel"/>
    <w:tmpl w:val="0AF4A3AC"/>
    <w:lvl w:ilvl="0" w:tplc="EC02977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DE7EBE"/>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3450CB4"/>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595F28"/>
    <w:multiLevelType w:val="hybridMultilevel"/>
    <w:tmpl w:val="8E3C310C"/>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7F2F7950"/>
    <w:multiLevelType w:val="hybridMultilevel"/>
    <w:tmpl w:val="A184D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4"/>
    <w:rsid w:val="00006CF7"/>
    <w:rsid w:val="00016B9E"/>
    <w:rsid w:val="000210EE"/>
    <w:rsid w:val="0002384B"/>
    <w:rsid w:val="00040E70"/>
    <w:rsid w:val="000508D6"/>
    <w:rsid w:val="00056847"/>
    <w:rsid w:val="00056B4A"/>
    <w:rsid w:val="00056DBC"/>
    <w:rsid w:val="00066FD6"/>
    <w:rsid w:val="00067AF9"/>
    <w:rsid w:val="000A1252"/>
    <w:rsid w:val="000F73C8"/>
    <w:rsid w:val="0012437E"/>
    <w:rsid w:val="001304C1"/>
    <w:rsid w:val="00147542"/>
    <w:rsid w:val="00156DDB"/>
    <w:rsid w:val="001736A1"/>
    <w:rsid w:val="001C448F"/>
    <w:rsid w:val="001F0BAC"/>
    <w:rsid w:val="00233533"/>
    <w:rsid w:val="002427A3"/>
    <w:rsid w:val="00271986"/>
    <w:rsid w:val="002847BE"/>
    <w:rsid w:val="002B22DB"/>
    <w:rsid w:val="002C44B3"/>
    <w:rsid w:val="002D33B0"/>
    <w:rsid w:val="00314F2F"/>
    <w:rsid w:val="003166E7"/>
    <w:rsid w:val="00330231"/>
    <w:rsid w:val="0036750E"/>
    <w:rsid w:val="00373743"/>
    <w:rsid w:val="003831C8"/>
    <w:rsid w:val="00391D3F"/>
    <w:rsid w:val="003A3476"/>
    <w:rsid w:val="003C5602"/>
    <w:rsid w:val="003D4023"/>
    <w:rsid w:val="003E6820"/>
    <w:rsid w:val="003F37A0"/>
    <w:rsid w:val="003F68CA"/>
    <w:rsid w:val="004174EE"/>
    <w:rsid w:val="00420657"/>
    <w:rsid w:val="00422744"/>
    <w:rsid w:val="0044703A"/>
    <w:rsid w:val="00461B2D"/>
    <w:rsid w:val="0046601F"/>
    <w:rsid w:val="00467225"/>
    <w:rsid w:val="00470392"/>
    <w:rsid w:val="00471146"/>
    <w:rsid w:val="0047287E"/>
    <w:rsid w:val="00484CD2"/>
    <w:rsid w:val="00492EF9"/>
    <w:rsid w:val="004A4FA2"/>
    <w:rsid w:val="004F52BB"/>
    <w:rsid w:val="005065C0"/>
    <w:rsid w:val="0051402A"/>
    <w:rsid w:val="0052109A"/>
    <w:rsid w:val="0052241C"/>
    <w:rsid w:val="00524517"/>
    <w:rsid w:val="005264B2"/>
    <w:rsid w:val="005470D0"/>
    <w:rsid w:val="00547576"/>
    <w:rsid w:val="005476F3"/>
    <w:rsid w:val="0055399F"/>
    <w:rsid w:val="0055455E"/>
    <w:rsid w:val="00571D66"/>
    <w:rsid w:val="00571EFA"/>
    <w:rsid w:val="0057317C"/>
    <w:rsid w:val="0059391A"/>
    <w:rsid w:val="005A12BC"/>
    <w:rsid w:val="005A1B4B"/>
    <w:rsid w:val="005D33EC"/>
    <w:rsid w:val="005E1BC7"/>
    <w:rsid w:val="00625E5F"/>
    <w:rsid w:val="0063232E"/>
    <w:rsid w:val="00650289"/>
    <w:rsid w:val="00652FEE"/>
    <w:rsid w:val="00666CF7"/>
    <w:rsid w:val="006726C0"/>
    <w:rsid w:val="006A280E"/>
    <w:rsid w:val="006D242F"/>
    <w:rsid w:val="006D3B34"/>
    <w:rsid w:val="007162FE"/>
    <w:rsid w:val="007242F7"/>
    <w:rsid w:val="0072587C"/>
    <w:rsid w:val="007308A6"/>
    <w:rsid w:val="007471BE"/>
    <w:rsid w:val="00754BAF"/>
    <w:rsid w:val="00782F6D"/>
    <w:rsid w:val="0079336B"/>
    <w:rsid w:val="007A44DA"/>
    <w:rsid w:val="007C18AE"/>
    <w:rsid w:val="007C4D59"/>
    <w:rsid w:val="007F2A6A"/>
    <w:rsid w:val="00803B58"/>
    <w:rsid w:val="00832750"/>
    <w:rsid w:val="00863564"/>
    <w:rsid w:val="00864633"/>
    <w:rsid w:val="00876EEE"/>
    <w:rsid w:val="0088091A"/>
    <w:rsid w:val="00886809"/>
    <w:rsid w:val="008B0ABB"/>
    <w:rsid w:val="008C6417"/>
    <w:rsid w:val="008D35E1"/>
    <w:rsid w:val="008D4260"/>
    <w:rsid w:val="008D7F2C"/>
    <w:rsid w:val="008F2813"/>
    <w:rsid w:val="008F7187"/>
    <w:rsid w:val="00913104"/>
    <w:rsid w:val="00922A30"/>
    <w:rsid w:val="00926C8F"/>
    <w:rsid w:val="009362A5"/>
    <w:rsid w:val="0097209F"/>
    <w:rsid w:val="00973AED"/>
    <w:rsid w:val="00973B8B"/>
    <w:rsid w:val="009A56D6"/>
    <w:rsid w:val="009D79B8"/>
    <w:rsid w:val="009E5A05"/>
    <w:rsid w:val="009F5DD4"/>
    <w:rsid w:val="00A135E7"/>
    <w:rsid w:val="00A13A5A"/>
    <w:rsid w:val="00A21712"/>
    <w:rsid w:val="00A55D58"/>
    <w:rsid w:val="00AD2F0E"/>
    <w:rsid w:val="00AE2308"/>
    <w:rsid w:val="00AE5D29"/>
    <w:rsid w:val="00AF00E5"/>
    <w:rsid w:val="00AF2ED1"/>
    <w:rsid w:val="00AF4FF1"/>
    <w:rsid w:val="00B03AD6"/>
    <w:rsid w:val="00B045D8"/>
    <w:rsid w:val="00B06771"/>
    <w:rsid w:val="00B2426C"/>
    <w:rsid w:val="00B3373F"/>
    <w:rsid w:val="00B438B8"/>
    <w:rsid w:val="00B5606E"/>
    <w:rsid w:val="00B64A35"/>
    <w:rsid w:val="00B66754"/>
    <w:rsid w:val="00B7477D"/>
    <w:rsid w:val="00B7501C"/>
    <w:rsid w:val="00B75C1B"/>
    <w:rsid w:val="00B773FE"/>
    <w:rsid w:val="00B95053"/>
    <w:rsid w:val="00BC1765"/>
    <w:rsid w:val="00BD3EBF"/>
    <w:rsid w:val="00BD4B51"/>
    <w:rsid w:val="00BD7F61"/>
    <w:rsid w:val="00BF4429"/>
    <w:rsid w:val="00BF70D3"/>
    <w:rsid w:val="00C00938"/>
    <w:rsid w:val="00C1582D"/>
    <w:rsid w:val="00C2509F"/>
    <w:rsid w:val="00C33DFA"/>
    <w:rsid w:val="00C37561"/>
    <w:rsid w:val="00C538DF"/>
    <w:rsid w:val="00C55094"/>
    <w:rsid w:val="00CC14DE"/>
    <w:rsid w:val="00CC5618"/>
    <w:rsid w:val="00CC762E"/>
    <w:rsid w:val="00CD5963"/>
    <w:rsid w:val="00D05504"/>
    <w:rsid w:val="00D0653D"/>
    <w:rsid w:val="00D218E5"/>
    <w:rsid w:val="00D70A5C"/>
    <w:rsid w:val="00D70B3F"/>
    <w:rsid w:val="00D77AD7"/>
    <w:rsid w:val="00D90B93"/>
    <w:rsid w:val="00D95671"/>
    <w:rsid w:val="00DD75EA"/>
    <w:rsid w:val="00DE151E"/>
    <w:rsid w:val="00DF218B"/>
    <w:rsid w:val="00E11A88"/>
    <w:rsid w:val="00E22397"/>
    <w:rsid w:val="00E47027"/>
    <w:rsid w:val="00E65357"/>
    <w:rsid w:val="00E714D9"/>
    <w:rsid w:val="00E744C4"/>
    <w:rsid w:val="00E762B3"/>
    <w:rsid w:val="00EA46B7"/>
    <w:rsid w:val="00EB57B7"/>
    <w:rsid w:val="00EE22AC"/>
    <w:rsid w:val="00EF59AB"/>
    <w:rsid w:val="00F033A0"/>
    <w:rsid w:val="00F407D1"/>
    <w:rsid w:val="00F5125C"/>
    <w:rsid w:val="00F71980"/>
    <w:rsid w:val="00F962BB"/>
    <w:rsid w:val="00FA4F52"/>
    <w:rsid w:val="00FA5202"/>
    <w:rsid w:val="00FD0389"/>
    <w:rsid w:val="00FD4118"/>
    <w:rsid w:val="00FE17AF"/>
    <w:rsid w:val="00FE17B2"/>
    <w:rsid w:val="00FF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 w:type="paragraph" w:styleId="ac">
    <w:name w:val="No Spacing"/>
    <w:uiPriority w:val="1"/>
    <w:qFormat/>
    <w:rsid w:val="00F5125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 w:type="paragraph" w:styleId="ac">
    <w:name w:val="No Spacing"/>
    <w:uiPriority w:val="1"/>
    <w:qFormat/>
    <w:rsid w:val="00F512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533">
      <w:bodyDiv w:val="1"/>
      <w:marLeft w:val="0"/>
      <w:marRight w:val="0"/>
      <w:marTop w:val="0"/>
      <w:marBottom w:val="0"/>
      <w:divBdr>
        <w:top w:val="none" w:sz="0" w:space="0" w:color="auto"/>
        <w:left w:val="none" w:sz="0" w:space="0" w:color="auto"/>
        <w:bottom w:val="none" w:sz="0" w:space="0" w:color="auto"/>
        <w:right w:val="none" w:sz="0" w:space="0" w:color="auto"/>
      </w:divBdr>
    </w:div>
    <w:div w:id="171334095">
      <w:bodyDiv w:val="1"/>
      <w:marLeft w:val="0"/>
      <w:marRight w:val="0"/>
      <w:marTop w:val="0"/>
      <w:marBottom w:val="0"/>
      <w:divBdr>
        <w:top w:val="none" w:sz="0" w:space="0" w:color="auto"/>
        <w:left w:val="none" w:sz="0" w:space="0" w:color="auto"/>
        <w:bottom w:val="none" w:sz="0" w:space="0" w:color="auto"/>
        <w:right w:val="none" w:sz="0" w:space="0" w:color="auto"/>
      </w:divBdr>
    </w:div>
    <w:div w:id="484322951">
      <w:bodyDiv w:val="1"/>
      <w:marLeft w:val="0"/>
      <w:marRight w:val="0"/>
      <w:marTop w:val="0"/>
      <w:marBottom w:val="0"/>
      <w:divBdr>
        <w:top w:val="none" w:sz="0" w:space="0" w:color="auto"/>
        <w:left w:val="none" w:sz="0" w:space="0" w:color="auto"/>
        <w:bottom w:val="none" w:sz="0" w:space="0" w:color="auto"/>
        <w:right w:val="none" w:sz="0" w:space="0" w:color="auto"/>
      </w:divBdr>
    </w:div>
    <w:div w:id="576788389">
      <w:bodyDiv w:val="1"/>
      <w:marLeft w:val="0"/>
      <w:marRight w:val="0"/>
      <w:marTop w:val="0"/>
      <w:marBottom w:val="0"/>
      <w:divBdr>
        <w:top w:val="none" w:sz="0" w:space="0" w:color="auto"/>
        <w:left w:val="none" w:sz="0" w:space="0" w:color="auto"/>
        <w:bottom w:val="none" w:sz="0" w:space="0" w:color="auto"/>
        <w:right w:val="none" w:sz="0" w:space="0" w:color="auto"/>
      </w:divBdr>
    </w:div>
    <w:div w:id="577600139">
      <w:bodyDiv w:val="1"/>
      <w:marLeft w:val="0"/>
      <w:marRight w:val="0"/>
      <w:marTop w:val="0"/>
      <w:marBottom w:val="0"/>
      <w:divBdr>
        <w:top w:val="none" w:sz="0" w:space="0" w:color="auto"/>
        <w:left w:val="none" w:sz="0" w:space="0" w:color="auto"/>
        <w:bottom w:val="none" w:sz="0" w:space="0" w:color="auto"/>
        <w:right w:val="none" w:sz="0" w:space="0" w:color="auto"/>
      </w:divBdr>
    </w:div>
    <w:div w:id="674184433">
      <w:bodyDiv w:val="1"/>
      <w:marLeft w:val="0"/>
      <w:marRight w:val="0"/>
      <w:marTop w:val="0"/>
      <w:marBottom w:val="0"/>
      <w:divBdr>
        <w:top w:val="none" w:sz="0" w:space="0" w:color="auto"/>
        <w:left w:val="none" w:sz="0" w:space="0" w:color="auto"/>
        <w:bottom w:val="none" w:sz="0" w:space="0" w:color="auto"/>
        <w:right w:val="none" w:sz="0" w:space="0" w:color="auto"/>
      </w:divBdr>
    </w:div>
    <w:div w:id="676074581">
      <w:bodyDiv w:val="1"/>
      <w:marLeft w:val="0"/>
      <w:marRight w:val="0"/>
      <w:marTop w:val="0"/>
      <w:marBottom w:val="0"/>
      <w:divBdr>
        <w:top w:val="none" w:sz="0" w:space="0" w:color="auto"/>
        <w:left w:val="none" w:sz="0" w:space="0" w:color="auto"/>
        <w:bottom w:val="none" w:sz="0" w:space="0" w:color="auto"/>
        <w:right w:val="none" w:sz="0" w:space="0" w:color="auto"/>
      </w:divBdr>
    </w:div>
    <w:div w:id="750784275">
      <w:bodyDiv w:val="1"/>
      <w:marLeft w:val="0"/>
      <w:marRight w:val="0"/>
      <w:marTop w:val="0"/>
      <w:marBottom w:val="0"/>
      <w:divBdr>
        <w:top w:val="none" w:sz="0" w:space="0" w:color="auto"/>
        <w:left w:val="none" w:sz="0" w:space="0" w:color="auto"/>
        <w:bottom w:val="none" w:sz="0" w:space="0" w:color="auto"/>
        <w:right w:val="none" w:sz="0" w:space="0" w:color="auto"/>
      </w:divBdr>
    </w:div>
    <w:div w:id="826554424">
      <w:bodyDiv w:val="1"/>
      <w:marLeft w:val="0"/>
      <w:marRight w:val="0"/>
      <w:marTop w:val="0"/>
      <w:marBottom w:val="0"/>
      <w:divBdr>
        <w:top w:val="none" w:sz="0" w:space="0" w:color="auto"/>
        <w:left w:val="none" w:sz="0" w:space="0" w:color="auto"/>
        <w:bottom w:val="none" w:sz="0" w:space="0" w:color="auto"/>
        <w:right w:val="none" w:sz="0" w:space="0" w:color="auto"/>
      </w:divBdr>
    </w:div>
    <w:div w:id="869683329">
      <w:bodyDiv w:val="1"/>
      <w:marLeft w:val="0"/>
      <w:marRight w:val="0"/>
      <w:marTop w:val="0"/>
      <w:marBottom w:val="0"/>
      <w:divBdr>
        <w:top w:val="none" w:sz="0" w:space="0" w:color="auto"/>
        <w:left w:val="none" w:sz="0" w:space="0" w:color="auto"/>
        <w:bottom w:val="none" w:sz="0" w:space="0" w:color="auto"/>
        <w:right w:val="none" w:sz="0" w:space="0" w:color="auto"/>
      </w:divBdr>
    </w:div>
    <w:div w:id="895044951">
      <w:bodyDiv w:val="1"/>
      <w:marLeft w:val="0"/>
      <w:marRight w:val="0"/>
      <w:marTop w:val="0"/>
      <w:marBottom w:val="0"/>
      <w:divBdr>
        <w:top w:val="none" w:sz="0" w:space="0" w:color="auto"/>
        <w:left w:val="none" w:sz="0" w:space="0" w:color="auto"/>
        <w:bottom w:val="none" w:sz="0" w:space="0" w:color="auto"/>
        <w:right w:val="none" w:sz="0" w:space="0" w:color="auto"/>
      </w:divBdr>
    </w:div>
    <w:div w:id="1009671857">
      <w:bodyDiv w:val="1"/>
      <w:marLeft w:val="0"/>
      <w:marRight w:val="0"/>
      <w:marTop w:val="0"/>
      <w:marBottom w:val="0"/>
      <w:divBdr>
        <w:top w:val="none" w:sz="0" w:space="0" w:color="auto"/>
        <w:left w:val="none" w:sz="0" w:space="0" w:color="auto"/>
        <w:bottom w:val="none" w:sz="0" w:space="0" w:color="auto"/>
        <w:right w:val="none" w:sz="0" w:space="0" w:color="auto"/>
      </w:divBdr>
    </w:div>
    <w:div w:id="1115176738">
      <w:bodyDiv w:val="1"/>
      <w:marLeft w:val="0"/>
      <w:marRight w:val="0"/>
      <w:marTop w:val="0"/>
      <w:marBottom w:val="0"/>
      <w:divBdr>
        <w:top w:val="none" w:sz="0" w:space="0" w:color="auto"/>
        <w:left w:val="none" w:sz="0" w:space="0" w:color="auto"/>
        <w:bottom w:val="none" w:sz="0" w:space="0" w:color="auto"/>
        <w:right w:val="none" w:sz="0" w:space="0" w:color="auto"/>
      </w:divBdr>
    </w:div>
    <w:div w:id="1140730738">
      <w:bodyDiv w:val="1"/>
      <w:marLeft w:val="0"/>
      <w:marRight w:val="0"/>
      <w:marTop w:val="0"/>
      <w:marBottom w:val="0"/>
      <w:divBdr>
        <w:top w:val="none" w:sz="0" w:space="0" w:color="auto"/>
        <w:left w:val="none" w:sz="0" w:space="0" w:color="auto"/>
        <w:bottom w:val="none" w:sz="0" w:space="0" w:color="auto"/>
        <w:right w:val="none" w:sz="0" w:space="0" w:color="auto"/>
      </w:divBdr>
    </w:div>
    <w:div w:id="1232231504">
      <w:bodyDiv w:val="1"/>
      <w:marLeft w:val="0"/>
      <w:marRight w:val="0"/>
      <w:marTop w:val="0"/>
      <w:marBottom w:val="0"/>
      <w:divBdr>
        <w:top w:val="none" w:sz="0" w:space="0" w:color="auto"/>
        <w:left w:val="none" w:sz="0" w:space="0" w:color="auto"/>
        <w:bottom w:val="none" w:sz="0" w:space="0" w:color="auto"/>
        <w:right w:val="none" w:sz="0" w:space="0" w:color="auto"/>
      </w:divBdr>
    </w:div>
    <w:div w:id="1283265263">
      <w:bodyDiv w:val="1"/>
      <w:marLeft w:val="0"/>
      <w:marRight w:val="0"/>
      <w:marTop w:val="0"/>
      <w:marBottom w:val="0"/>
      <w:divBdr>
        <w:top w:val="none" w:sz="0" w:space="0" w:color="auto"/>
        <w:left w:val="none" w:sz="0" w:space="0" w:color="auto"/>
        <w:bottom w:val="none" w:sz="0" w:space="0" w:color="auto"/>
        <w:right w:val="none" w:sz="0" w:space="0" w:color="auto"/>
      </w:divBdr>
    </w:div>
    <w:div w:id="1293748120">
      <w:bodyDiv w:val="1"/>
      <w:marLeft w:val="0"/>
      <w:marRight w:val="0"/>
      <w:marTop w:val="0"/>
      <w:marBottom w:val="0"/>
      <w:divBdr>
        <w:top w:val="none" w:sz="0" w:space="0" w:color="auto"/>
        <w:left w:val="none" w:sz="0" w:space="0" w:color="auto"/>
        <w:bottom w:val="none" w:sz="0" w:space="0" w:color="auto"/>
        <w:right w:val="none" w:sz="0" w:space="0" w:color="auto"/>
      </w:divBdr>
    </w:div>
    <w:div w:id="1428110545">
      <w:bodyDiv w:val="1"/>
      <w:marLeft w:val="0"/>
      <w:marRight w:val="0"/>
      <w:marTop w:val="0"/>
      <w:marBottom w:val="0"/>
      <w:divBdr>
        <w:top w:val="none" w:sz="0" w:space="0" w:color="auto"/>
        <w:left w:val="none" w:sz="0" w:space="0" w:color="auto"/>
        <w:bottom w:val="none" w:sz="0" w:space="0" w:color="auto"/>
        <w:right w:val="none" w:sz="0" w:space="0" w:color="auto"/>
      </w:divBdr>
    </w:div>
    <w:div w:id="1520267288">
      <w:bodyDiv w:val="1"/>
      <w:marLeft w:val="0"/>
      <w:marRight w:val="0"/>
      <w:marTop w:val="0"/>
      <w:marBottom w:val="0"/>
      <w:divBdr>
        <w:top w:val="none" w:sz="0" w:space="0" w:color="auto"/>
        <w:left w:val="none" w:sz="0" w:space="0" w:color="auto"/>
        <w:bottom w:val="none" w:sz="0" w:space="0" w:color="auto"/>
        <w:right w:val="none" w:sz="0" w:space="0" w:color="auto"/>
      </w:divBdr>
    </w:div>
    <w:div w:id="1630166414">
      <w:bodyDiv w:val="1"/>
      <w:marLeft w:val="0"/>
      <w:marRight w:val="0"/>
      <w:marTop w:val="0"/>
      <w:marBottom w:val="0"/>
      <w:divBdr>
        <w:top w:val="none" w:sz="0" w:space="0" w:color="auto"/>
        <w:left w:val="none" w:sz="0" w:space="0" w:color="auto"/>
        <w:bottom w:val="none" w:sz="0" w:space="0" w:color="auto"/>
        <w:right w:val="none" w:sz="0" w:space="0" w:color="auto"/>
      </w:divBdr>
    </w:div>
    <w:div w:id="1673145781">
      <w:bodyDiv w:val="1"/>
      <w:marLeft w:val="0"/>
      <w:marRight w:val="0"/>
      <w:marTop w:val="0"/>
      <w:marBottom w:val="0"/>
      <w:divBdr>
        <w:top w:val="none" w:sz="0" w:space="0" w:color="auto"/>
        <w:left w:val="none" w:sz="0" w:space="0" w:color="auto"/>
        <w:bottom w:val="none" w:sz="0" w:space="0" w:color="auto"/>
        <w:right w:val="none" w:sz="0" w:space="0" w:color="auto"/>
      </w:divBdr>
    </w:div>
    <w:div w:id="1704594270">
      <w:bodyDiv w:val="1"/>
      <w:marLeft w:val="0"/>
      <w:marRight w:val="0"/>
      <w:marTop w:val="0"/>
      <w:marBottom w:val="0"/>
      <w:divBdr>
        <w:top w:val="none" w:sz="0" w:space="0" w:color="auto"/>
        <w:left w:val="none" w:sz="0" w:space="0" w:color="auto"/>
        <w:bottom w:val="none" w:sz="0" w:space="0" w:color="auto"/>
        <w:right w:val="none" w:sz="0" w:space="0" w:color="auto"/>
      </w:divBdr>
    </w:div>
    <w:div w:id="1847669651">
      <w:bodyDiv w:val="1"/>
      <w:marLeft w:val="0"/>
      <w:marRight w:val="0"/>
      <w:marTop w:val="0"/>
      <w:marBottom w:val="0"/>
      <w:divBdr>
        <w:top w:val="none" w:sz="0" w:space="0" w:color="auto"/>
        <w:left w:val="none" w:sz="0" w:space="0" w:color="auto"/>
        <w:bottom w:val="none" w:sz="0" w:space="0" w:color="auto"/>
        <w:right w:val="none" w:sz="0" w:space="0" w:color="auto"/>
      </w:divBdr>
    </w:div>
    <w:div w:id="1891111730">
      <w:bodyDiv w:val="1"/>
      <w:marLeft w:val="0"/>
      <w:marRight w:val="0"/>
      <w:marTop w:val="0"/>
      <w:marBottom w:val="0"/>
      <w:divBdr>
        <w:top w:val="none" w:sz="0" w:space="0" w:color="auto"/>
        <w:left w:val="none" w:sz="0" w:space="0" w:color="auto"/>
        <w:bottom w:val="none" w:sz="0" w:space="0" w:color="auto"/>
        <w:right w:val="none" w:sz="0" w:space="0" w:color="auto"/>
      </w:divBdr>
    </w:div>
    <w:div w:id="1971007757">
      <w:bodyDiv w:val="1"/>
      <w:marLeft w:val="0"/>
      <w:marRight w:val="0"/>
      <w:marTop w:val="0"/>
      <w:marBottom w:val="0"/>
      <w:divBdr>
        <w:top w:val="none" w:sz="0" w:space="0" w:color="auto"/>
        <w:left w:val="none" w:sz="0" w:space="0" w:color="auto"/>
        <w:bottom w:val="none" w:sz="0" w:space="0" w:color="auto"/>
        <w:right w:val="none" w:sz="0" w:space="0" w:color="auto"/>
      </w:divBdr>
    </w:div>
    <w:div w:id="1990740785">
      <w:bodyDiv w:val="1"/>
      <w:marLeft w:val="0"/>
      <w:marRight w:val="0"/>
      <w:marTop w:val="0"/>
      <w:marBottom w:val="0"/>
      <w:divBdr>
        <w:top w:val="none" w:sz="0" w:space="0" w:color="auto"/>
        <w:left w:val="none" w:sz="0" w:space="0" w:color="auto"/>
        <w:bottom w:val="none" w:sz="0" w:space="0" w:color="auto"/>
        <w:right w:val="none" w:sz="0" w:space="0" w:color="auto"/>
      </w:divBdr>
    </w:div>
    <w:div w:id="2079403970">
      <w:bodyDiv w:val="1"/>
      <w:marLeft w:val="0"/>
      <w:marRight w:val="0"/>
      <w:marTop w:val="0"/>
      <w:marBottom w:val="0"/>
      <w:divBdr>
        <w:top w:val="none" w:sz="0" w:space="0" w:color="auto"/>
        <w:left w:val="none" w:sz="0" w:space="0" w:color="auto"/>
        <w:bottom w:val="none" w:sz="0" w:space="0" w:color="auto"/>
        <w:right w:val="none" w:sz="0" w:space="0" w:color="auto"/>
      </w:divBdr>
    </w:div>
    <w:div w:id="21062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4DA4-1A45-4D92-A4CF-CE8F2332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Ковалёва</cp:lastModifiedBy>
  <cp:revision>2</cp:revision>
  <dcterms:created xsi:type="dcterms:W3CDTF">2023-01-11T12:07:00Z</dcterms:created>
  <dcterms:modified xsi:type="dcterms:W3CDTF">2023-01-11T12:07:00Z</dcterms:modified>
</cp:coreProperties>
</file>