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6" w:rsidRDefault="000B57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5766" w:rsidRDefault="000B5766">
      <w:pPr>
        <w:pStyle w:val="ConsPlusNormal"/>
        <w:jc w:val="center"/>
        <w:outlineLvl w:val="0"/>
      </w:pPr>
    </w:p>
    <w:p w:rsidR="000B5766" w:rsidRDefault="000B57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5766" w:rsidRDefault="000B5766">
      <w:pPr>
        <w:pStyle w:val="ConsPlusTitle"/>
        <w:jc w:val="center"/>
      </w:pPr>
    </w:p>
    <w:p w:rsidR="000B5766" w:rsidRDefault="000B5766">
      <w:pPr>
        <w:pStyle w:val="ConsPlusTitle"/>
        <w:jc w:val="center"/>
      </w:pPr>
      <w:r>
        <w:t>ПОСТАНОВЛЕНИЕ</w:t>
      </w:r>
    </w:p>
    <w:p w:rsidR="000B5766" w:rsidRDefault="000B5766">
      <w:pPr>
        <w:pStyle w:val="ConsPlusTitle"/>
        <w:jc w:val="center"/>
      </w:pPr>
      <w:r>
        <w:t>от 12 декабря 2012 г. N 1287</w:t>
      </w:r>
    </w:p>
    <w:p w:rsidR="000B5766" w:rsidRDefault="000B5766">
      <w:pPr>
        <w:pStyle w:val="ConsPlusTitle"/>
        <w:jc w:val="center"/>
      </w:pPr>
    </w:p>
    <w:p w:rsidR="000B5766" w:rsidRDefault="000B5766">
      <w:pPr>
        <w:pStyle w:val="ConsPlusTitle"/>
        <w:jc w:val="center"/>
      </w:pPr>
      <w:r>
        <w:t>О ЛИЦЕНЗИРОВАНИИ</w:t>
      </w:r>
    </w:p>
    <w:p w:rsidR="000B5766" w:rsidRDefault="000B5766">
      <w:pPr>
        <w:pStyle w:val="ConsPlusTitle"/>
        <w:jc w:val="center"/>
      </w:pPr>
      <w:r>
        <w:t>ДЕЯТЕЛЬНОСТИ ПО ЗАГОТОВКЕ, ХРАНЕНИЮ, ПЕРЕРАБОТКЕ</w:t>
      </w:r>
    </w:p>
    <w:p w:rsidR="000B5766" w:rsidRDefault="000B5766">
      <w:pPr>
        <w:pStyle w:val="ConsPlusTitle"/>
        <w:jc w:val="center"/>
      </w:pPr>
      <w:r>
        <w:t>И РЕАЛИЗАЦИИ ЛОМА ЧЕРНЫХ И ЦВЕТНЫХ МЕТАЛЛОВ</w:t>
      </w:r>
    </w:p>
    <w:p w:rsidR="000B5766" w:rsidRDefault="000B5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766" w:rsidRDefault="000B5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07.10.2020 N 1619,</w:t>
            </w:r>
            <w:proofErr w:type="gramEnd"/>
          </w:p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от 26.02.2022 N 237)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</w:tr>
    </w:tbl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1. Утвердить прилагаемое Положение о лицензировании деятельности по заготовке, хранению, переработке и реализации лома черных металлов, цветных металлов.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2. Утвердить прилагаемые изменения, которые вносятся в акты Правительства Российской Федерации по вопросам обращения с ломом черных и цветных металлов.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14 декабря 2006 г. N 766 "О лицензировании деятельности в области обращения с ломом цветных и черных металлов" (Собрание законодательства Российской Федерации, 2006, N 52, ст. 5586);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пункт 12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пункт 29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пункт 28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jc w:val="right"/>
      </w:pPr>
      <w:r>
        <w:t>Председатель Правительства</w:t>
      </w:r>
    </w:p>
    <w:p w:rsidR="000B5766" w:rsidRDefault="000B5766">
      <w:pPr>
        <w:pStyle w:val="ConsPlusNormal"/>
        <w:jc w:val="right"/>
      </w:pPr>
      <w:r>
        <w:t>Российской Федерации</w:t>
      </w:r>
    </w:p>
    <w:p w:rsidR="000B5766" w:rsidRDefault="000B5766">
      <w:pPr>
        <w:pStyle w:val="ConsPlusNormal"/>
        <w:jc w:val="right"/>
      </w:pPr>
      <w:r>
        <w:t>Д.МЕДВЕДЕВ</w:t>
      </w: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  <w:outlineLvl w:val="0"/>
      </w:pPr>
      <w:r>
        <w:lastRenderedPageBreak/>
        <w:t>Утверждено</w:t>
      </w:r>
    </w:p>
    <w:p w:rsidR="000B5766" w:rsidRDefault="000B5766">
      <w:pPr>
        <w:pStyle w:val="ConsPlusNormal"/>
        <w:jc w:val="right"/>
      </w:pPr>
      <w:r>
        <w:t>постановлением Правительства</w:t>
      </w:r>
    </w:p>
    <w:p w:rsidR="000B5766" w:rsidRDefault="000B5766">
      <w:pPr>
        <w:pStyle w:val="ConsPlusNormal"/>
        <w:jc w:val="right"/>
      </w:pPr>
      <w:r>
        <w:t>Российской Федерации</w:t>
      </w:r>
    </w:p>
    <w:p w:rsidR="000B5766" w:rsidRDefault="000B5766">
      <w:pPr>
        <w:pStyle w:val="ConsPlusNormal"/>
        <w:jc w:val="right"/>
      </w:pPr>
      <w:r>
        <w:t>от 12 декабря 2012 г. N 1287</w:t>
      </w:r>
    </w:p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Title"/>
        <w:jc w:val="center"/>
      </w:pPr>
      <w:bookmarkStart w:id="0" w:name="P35"/>
      <w:bookmarkEnd w:id="0"/>
      <w:r>
        <w:t>ПОЛОЖЕНИЕ</w:t>
      </w:r>
    </w:p>
    <w:p w:rsidR="000B5766" w:rsidRDefault="000B5766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0B5766" w:rsidRDefault="000B5766">
      <w:pPr>
        <w:pStyle w:val="ConsPlusTitle"/>
        <w:jc w:val="center"/>
      </w:pPr>
      <w:r>
        <w:t>ПЕРЕРАБОТКЕ И РЕАЛИЗАЦИИ ЛОМА ЧЕРНЫХ МЕТАЛЛОВ,</w:t>
      </w:r>
    </w:p>
    <w:p w:rsidR="000B5766" w:rsidRDefault="000B5766">
      <w:pPr>
        <w:pStyle w:val="ConsPlusTitle"/>
        <w:jc w:val="center"/>
      </w:pPr>
      <w:r>
        <w:t>ЦВЕТНЫХ МЕТАЛЛОВ</w:t>
      </w:r>
    </w:p>
    <w:p w:rsidR="000B5766" w:rsidRDefault="000B5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766" w:rsidRDefault="000B5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 от 07.10.2020 N 1619,</w:t>
            </w:r>
            <w:proofErr w:type="gramEnd"/>
          </w:p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от 26.02.2022 N 237)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</w:tr>
    </w:tbl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 (далее - деятельность).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2. Лицензирование деятельности осуществляют уполномоченные органы исполнительной власти субъектов Российской Федерации в соответствии с частью 9 статьи 22 Федерального закона "О лицензировании отдельных видов деятельности".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заготовка, хранение, переработка и реализация лома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заготовка, хранение и реализация лома цветных металлов.</w:t>
      </w:r>
    </w:p>
    <w:p w:rsidR="000B5766" w:rsidRDefault="000B5766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>" введен Постановлением Правительства РФ от 07.10.2020 N 1619)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4. В настоящем Положении используются следующие основные понятия: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"хранение" - содержание заготовленного лома черных и (или) цветных металлов в целях последующей переработки и (или) реализации;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"реализация" - отчуждение заготовленного лома черных и (или) цветных металлов на возмездной или безвозмездной основе.</w:t>
      </w:r>
    </w:p>
    <w:p w:rsidR="000B5766" w:rsidRDefault="000B5766">
      <w:pPr>
        <w:pStyle w:val="ConsPlusNormal"/>
        <w:jc w:val="both"/>
      </w:pPr>
      <w:r>
        <w:t>(п. 4 в ред. Постановления Правительства РФ от 07.10.2020 N 1619)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Лицензионными требованиями к осуществлению лицензируемой деятельности являются: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0B5766" w:rsidRDefault="000B5766">
      <w:pPr>
        <w:pStyle w:val="ConsPlusNormal"/>
        <w:jc w:val="both"/>
      </w:pPr>
      <w:r>
        <w:lastRenderedPageBreak/>
        <w:t>(пп. "а" в ред. Постановления Правительства РФ от 07.10.2020 N 1619)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б) наличие у соискателя лицензии условий для выполнения требований Правил обращения с ломом и отходами черных металлов и их отчуждения, утвержденных постановлением Правительства Российской Федерации от 11 мая 2001 г. N 369 (далее - Правила обращения с ломом черных металлов), и Правил обращения с ломом и отходами цветных металлов и их отчуждения, утвержденных постановлением Правительства Российской Федерации от 11 мая 2001</w:t>
      </w:r>
      <w:proofErr w:type="gramEnd"/>
      <w:r>
        <w:t xml:space="preserve"> г. N 370 (далее - Правила обращения с ломом цветных металлов), в соответствии со статьей 13.1 Федерального закона "Об отходах производства и потребления" и соблюдение лицензиатом Правил обращения с ломом черных металлов и Правил обращения с ломом цветных металлов.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6. Грубыми нарушениями лицензионных требований при осуществлении лицензируемой деятельности являются повлекшие за собой последствия, установленные частью 10 статьи 19.2 Федерального закона "О лицензировании отдельных видов деятельности", нарушения:</w:t>
      </w:r>
    </w:p>
    <w:p w:rsidR="000B5766" w:rsidRDefault="000B5766">
      <w:pPr>
        <w:pStyle w:val="ConsPlusNormal"/>
        <w:jc w:val="both"/>
      </w:pPr>
      <w:r>
        <w:t>(в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лицензионных требований, предусмотренных подпунктом "а" пункта 5 настоящего Положения;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требований Правил обращения с ломом черных металлов и Правил обращения с ломом цветных металлов в части приема лома черных и цветных металлов: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без составления приемо-сдаточного акта;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без осуществления радиационного контроля;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без осуществления контроля на взрывобезопасность.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документы (копии документов), указанные в пункте 4 части 3 статьи 13 Федерального закона "О лицензировании отдельных видов деятельности", а также:</w:t>
      </w:r>
    </w:p>
    <w:p w:rsidR="000B5766" w:rsidRDefault="000B5766">
      <w:pPr>
        <w:pStyle w:val="ConsPlusNormal"/>
        <w:jc w:val="both"/>
      </w:pPr>
      <w:r>
        <w:t>(в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</w:t>
      </w:r>
      <w:proofErr w:type="gramEnd"/>
      <w:r>
        <w:t xml:space="preserve">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 xml:space="preserve">В срок, не превышающий 10 рабочих дней со дня приема заявления о предоставлении лицензии и прилагаемых к нему документов (копий документов), лицензирующий орган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0B5766" w:rsidRDefault="000B5766">
      <w:pPr>
        <w:pStyle w:val="ConsPlusNormal"/>
        <w:jc w:val="both"/>
      </w:pPr>
      <w:r>
        <w:t>(абзац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 отношении соискателя лицензии, лицензиата в случаях, предусмотренных пунктом 8 настоящего Положения, проводится оценка соответствия соискателя лицензии, лицензиата лицензионным требованиям в соответствии с Федеральным законом "О лицензировании отдельных видов деятельности".</w:t>
      </w:r>
    </w:p>
    <w:p w:rsidR="000B5766" w:rsidRDefault="000B5766">
      <w:pPr>
        <w:pStyle w:val="ConsPlusNormal"/>
        <w:jc w:val="both"/>
      </w:pPr>
      <w:r>
        <w:t>(абзац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Оценка соответствия соискателя лицензии, лицензиата лицензионным требованиям проводится в форме выездной оценки.</w:t>
      </w:r>
    </w:p>
    <w:p w:rsidR="000B5766" w:rsidRDefault="000B5766">
      <w:pPr>
        <w:pStyle w:val="ConsPlusNormal"/>
        <w:jc w:val="both"/>
      </w:pPr>
      <w:r>
        <w:t>(абзац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8. </w:t>
      </w:r>
      <w:proofErr w:type="gramStart"/>
      <w:r>
        <w:t>При намерении лицензиата осуществлять лицензируемую деятельность по новому адресу, а также выполнять не указанные в реестре лицензий работы, составляющие лицензируемый вид деятельности,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пункте 7 настоящего Положения, подтверждающие соответствие лицензиата лицензионным требованиям, установленным пунктом 5 настоящего Положения.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t>Внесение изменений в реестр лицензий в предусмотренных настоящим пунктом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0B5766" w:rsidRDefault="000B5766">
      <w:pPr>
        <w:pStyle w:val="ConsPlusNormal"/>
        <w:jc w:val="both"/>
      </w:pPr>
      <w:r>
        <w:t>(п. 8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внесении изменений в реестр лицензий, а также о ходе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26.02.2022 N 237)</w:t>
      </w:r>
    </w:p>
    <w:p w:rsidR="000B5766" w:rsidRDefault="000B5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766" w:rsidRDefault="000B57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5766" w:rsidRDefault="000B5766">
            <w:pPr>
              <w:pStyle w:val="ConsPlusNormal"/>
              <w:jc w:val="both"/>
            </w:pPr>
            <w:r>
              <w:rPr>
                <w:color w:val="392C69"/>
              </w:rPr>
              <w:t>Проверки в рамках государственного лицензионного контроля, запланированные позже 28.02.2022, подлежат проведению в рамках федерального государственного лицензионного контроля.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</w:tr>
    </w:tbl>
    <w:p w:rsidR="000B5766" w:rsidRDefault="000B5766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Федеральный государственный лицензионный контроль (надзор) за деятельностью по </w:t>
      </w:r>
      <w:r>
        <w:lastRenderedPageBreak/>
        <w:t>заготовке, хранению, переработке и реализации лома черных металлов, цветных металлов (далее - лицензионный контроль) осуществляется уполномоченными органами исполнительной власти субъектов Российской Федерации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законом "О государственном контроле (надзоре) и муниципальном контроле в Российской Федерации" и настоящим Положением.</w:t>
      </w:r>
      <w:proofErr w:type="gramEnd"/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Ведение реестра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(далее - информационная система) в порядке, установленном Правилами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  <w:proofErr w:type="gramEnd"/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12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Информация, относящаяся к осуществлению лицензируемой деятельности, предусмотренная пунктом 4 части 2 статьи 5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(далее - сеть "Интернет") и (или) на информационных стендах в помещениях лицензирующего органа в течение 10 дней со дня официального опубликования нормативных правовых актов, устанавливающих обязательные требования к лицензируемой деятельности.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На официальном сайте лицензирующего органа в сети "Интернет" размещается ссылка на реестр лицензий в информационной системе, ведение которого осуществляется лицензирующим органом в порядке, установленном Правилами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  <w:proofErr w:type="gramEnd"/>
    </w:p>
    <w:p w:rsidR="000B5766" w:rsidRDefault="000B5766">
      <w:pPr>
        <w:pStyle w:val="ConsPlusNormal"/>
        <w:jc w:val="both"/>
      </w:pPr>
      <w:r>
        <w:t>(п. 13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Представление соискателем лицензии заявления о предоставлении лицензии и документов, указанных в пункте 7 настоящего Положения, представление лицензиатом заявления о внесении изменений в реестр лицензий и документов, указанных в пункте 7 настоящего Положения, заявления о прекращении лицензируемого вида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</w:t>
      </w:r>
      <w:proofErr w:type="gramEnd"/>
      <w:r>
        <w:t xml:space="preserve"> </w:t>
      </w:r>
      <w:proofErr w:type="gramStart"/>
      <w:r>
        <w:t>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законом "О лицензировании отдельных видов деятельности".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подается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и прилагаемые к нему документы лицензиат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0B5766" w:rsidRDefault="000B5766">
      <w:pPr>
        <w:pStyle w:val="ConsPlusNormal"/>
        <w:jc w:val="both"/>
      </w:pPr>
      <w:r>
        <w:t>(п. 14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15. 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0B5766" w:rsidRDefault="000B5766">
      <w:pPr>
        <w:pStyle w:val="ConsPlusNormal"/>
        <w:jc w:val="both"/>
      </w:pPr>
      <w:r>
        <w:t>(п. 15 в ред. Постановления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 и Правилами обращения с ломом черных металлов, Правилами обращения с ломом</w:t>
      </w:r>
      <w:proofErr w:type="gramEnd"/>
      <w:r>
        <w:t xml:space="preserve"> цветных металлов.</w:t>
      </w:r>
    </w:p>
    <w:p w:rsidR="000B5766" w:rsidRDefault="000B576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переработке, реализации лома черных металлов, цветных металлов.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Учет объектов лицензионного контроля осуществляется лицензирующими органами в порядке, установленном Федеральным законом "О государственном контроле (надзоре) и муниципальном контроле в Российской Федерации" и настоящим Положением путем ведения реестров объектов лицензионного контроля с использованием информационной системы.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При сборе, обработке, анализе сведений об объектах лицензионного контроля для целей их учета лицензирующий орган использует информацию, предоставляемую ему в соответствии с нормативными правовыми актами либо получаемую в рамках межведомственного взаимодействия, а также общедоступную информацию.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Реестр объектов лицензионного контроля содержит следующую информацию: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полное наименование юридического лица либо фамилию, имя и отчество (при наличии) индивидуального предпринимателя;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место нахождения и место осуществления лицензируемого вида деятельности юридического лица либо место жительства и место осуществления лицензируемого вида деятельности индивидуального предпринимателя;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деятельности.</w:t>
      </w:r>
    </w:p>
    <w:p w:rsidR="000B5766" w:rsidRDefault="000B5766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18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19. Должностными лицами, уполномоченными на осуществление лицензионного контроля, </w:t>
      </w:r>
      <w:r>
        <w:lastRenderedPageBreak/>
        <w:t>являются руководитель лицензирующего органа, заместитель руководителя или иные должностные лица лицензирующих органов, на которых осуществление данного полномочия возложено приказом лицензирующего органа.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19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20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21. При осуществлении лицензионного контроля (надзора) применяется система оценки и управления рисками.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21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высокий риск;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средний риск;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низкий риск.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установленными пунктом 24 настоящего Положения.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календарном году. Сведения об объектах лицензионного контроля и присвоенной им категории риска размещаются на официальном сайте лицензирующего органа в сети "Интернет".</w:t>
      </w:r>
    </w:p>
    <w:p w:rsidR="000B5766" w:rsidRDefault="000B5766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23. Лицензиат вправе подать в лицензирующий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При поступлении сведений о соответствии объекта лицензионного контроля иной категории риска должностным лицом, указанным в пункте 18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23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6" w:name="P131"/>
      <w:bookmarkEnd w:id="6"/>
      <w:r>
        <w:t xml:space="preserve">24. </w:t>
      </w:r>
      <w:proofErr w:type="gramStart"/>
      <w:r>
        <w:t xml:space="preserve">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</w:t>
      </w:r>
      <w:r>
        <w:lastRenderedPageBreak/>
        <w:t>в виде административного приостановления деятельности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</w:t>
      </w:r>
      <w:proofErr w:type="gramEnd"/>
      <w:r>
        <w:t xml:space="preserve">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не были проведены плановые контрольные (надзорные) мероприятия либо оценка соответствия лицензионным требованиям при получении ими лицензии.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высокой и средней категории риска.</w:t>
      </w:r>
    </w:p>
    <w:p w:rsidR="000B5766" w:rsidRDefault="000B5766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25. Организация, проведение и оформление результатов контрольных (надзорных) мероприятий осуществляются в соответствии с требованиями Федерального закона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25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26. Основания для проведения контрольных (надзорных) мероприятий определены частью 1 статьи 57 Федерального закона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26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При проведении контрольных (надзорных) мероприятий и совершении контрольных (надзорных)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лицензиаты вправе представить в лицензирующий орган информацию о невозможности присутствия при проведении контрольного (надзорного) мероприятия, в </w:t>
      </w:r>
      <w:proofErr w:type="gramStart"/>
      <w:r>
        <w:t>связи</w:t>
      </w:r>
      <w:proofErr w:type="gramEnd"/>
      <w:r>
        <w:t xml:space="preserve">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Случаями, при наступлении которых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мероприятия, являются: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временная нетрудоспособность;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катастрофа природного или техногенного характера, эпидемия, введение чрезвычайного или военного положения;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административный арест;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0B5766" w:rsidRDefault="000B5766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для категории высокого риска проводится одно из следующих контрольных (надзорных) мероприятий: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выездная проверка - 1 раз в течение 2 лет;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инспекционный визит - 1 раз в течение 2 лет;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для категории среднего риска проводится одно из следующих контрольных (надзорных) мероприятий: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выездная проверка - 1 раз в течение 3 лет;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инспекционный визит - 1 раз в течение 3 лет.</w:t>
      </w:r>
    </w:p>
    <w:p w:rsidR="000B5766" w:rsidRDefault="000B5766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29. Для категории низкого риска плановые контрольные (надзорные) мероприятия не проводятся.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29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лицензирующими органами с органами прокуратуры.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30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31. В ходе выездной проверки могут совершаться следующие контрольные (надзорные) действия: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осмотр;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опрос;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0B5766" w:rsidRDefault="000B5766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32. В ходе инспекционного визита могут совершаться следующие контрольные (надзорные) действия: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осмотр;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опрос;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0B5766" w:rsidRDefault="000B5766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33. В ходе документарной проверки могут совершаться следующие контрольные (надзорные) действия: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истребование документов.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33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нарушений лицензионных требований могут использоваться фотосъемка, аудио- и видеозапись.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При осуществлении видеозаписи при проведении контрольных (надзорных) мероприятий указываются дата, время и место ее проведения, а также фиксируются выявленные нарушения.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нарушений лицензионных требований, прилагаются к акту контрольного (надзорного) мероприятия.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34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35. При осуществлении лицензионного контроля проводятся следующие виды профилактических мероприятий: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0B5766" w:rsidRDefault="000B5766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36. Информирование по вопросу лицензионного контроля осуществляется в порядке, установленном Федеральным законом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36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37. Обобщение правоприменительной практики оформляется в виде доклада лицензирующим органом ежегодно,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не позднее 1 </w:t>
      </w:r>
      <w:r>
        <w:lastRenderedPageBreak/>
        <w:t xml:space="preserve">марта года, следующего </w:t>
      </w:r>
      <w:proofErr w:type="gramStart"/>
      <w:r>
        <w:t>за</w:t>
      </w:r>
      <w:proofErr w:type="gramEnd"/>
      <w:r>
        <w:t xml:space="preserve"> отчетным. Доклад размещается на официальном сайте лицензирующего органа в сети "Интернет" в срок, не превышающий 15 календарных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0B5766" w:rsidRDefault="000B5766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переработке,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статьей 50 Федерального закона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38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39. Лицензиат должен быть уведомлен о проведении обязательного профилактического визита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0B5766" w:rsidRDefault="000B5766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40. Лицензиат вправе отказаться от проведения обязательного профилактического визита, уведомив об этом лицензирующий орган не </w:t>
      </w:r>
      <w:proofErr w:type="gramStart"/>
      <w:r>
        <w:t>позднее</w:t>
      </w:r>
      <w:proofErr w:type="gramEnd"/>
      <w:r>
        <w:t xml:space="preserve"> чем за 3 рабочих дня до дня его проведения.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40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bookmarkStart w:id="7" w:name="P201"/>
      <w:bookmarkEnd w:id="7"/>
      <w:r>
        <w:t xml:space="preserve">41. </w:t>
      </w:r>
      <w:proofErr w:type="gramStart"/>
      <w:r>
        <w:t>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</w:t>
      </w:r>
      <w:proofErr w:type="gramEnd"/>
      <w:r>
        <w:t xml:space="preserve"> меры по обеспечению соблюдения лицензионных требований.</w:t>
      </w:r>
    </w:p>
    <w:p w:rsidR="000B5766" w:rsidRDefault="000B5766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42. Решение о направлении предостережения принимает руководитель либо заместитель руководителя лицензирующего органа или иное уполномоченное приказом лицензирующего органа должностное лицо лицензирующего органа.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Утверждение и объявление предостережения осуществляется в течение 5 дней со дня получения уполномоченным должностным лицом лицензирующего органа сведений, указанных в пункте 41 настоящего Положения.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42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43. В течение 10 дней со дня получения предостережения лицензиат вправе подать в лицензирующий орган, направивший предостережение, возражение, в котором указываются: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а) наименование юридического лица либо фамилия, имя, отчество (при наличии) индивидуального предпринимателя, номер (номера) контактного телефона, адрес (адреса) электронной почты (при наличии) и почтовый адрес для направления ответа;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б) дата и номер предостережения;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0B5766" w:rsidRDefault="000B5766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44. Возражения могут направляться лицензиатом в лицензирующий орган: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в бумажном виде почтовым отправлением;</w:t>
      </w:r>
    </w:p>
    <w:p w:rsidR="000B5766" w:rsidRDefault="000B5766">
      <w:pPr>
        <w:pStyle w:val="ConsPlusNormal"/>
        <w:spacing w:before="220"/>
        <w:ind w:firstLine="540"/>
        <w:jc w:val="both"/>
      </w:pPr>
      <w:proofErr w:type="gramStart"/>
      <w:r>
        <w:t>б) на указанный в предостережении адрес электронной почты лицензирующего органа - в виде электронного документа, подписанного с использованием простой электронной подписи, ключ которой получен физическим лицом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</w:t>
      </w:r>
      <w:proofErr w:type="gramEnd"/>
      <w:r>
        <w:t xml:space="preserve"> муниципальных услуг".</w:t>
      </w:r>
    </w:p>
    <w:p w:rsidR="000B5766" w:rsidRDefault="000B5766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45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46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47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48. Консультирование, включая письменное консультирование, осуществляется по следующим вопросам: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периодичность и порядок проведения контрольных (надзорных) мероприятий;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гарантии и защита прав лицензиатов.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0B5766" w:rsidRDefault="000B5766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сети "Интернет" письменных разъяснений, подписанных уполномоченным должностным лицом лицензирующего органа.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49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50. Уполномоченные должностные лица лицензирующих органов осуществляют учет консультаций.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50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закона "О государственном контроле (надзоре) и муниципальном контроле в Российской Федерации".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51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52. Жалоба на решение лицензирующего органа исполнительной власти субъекта Российской Федерации, действия (бездействие) должностных лиц указанного органа рассматривается руководителем (заместителем руководителя) лицензирующего органа субъекта Российской Федерации.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52 введен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дату окончания отчетного периода.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t>Значение ключевого показателя (КП) определяется по следующей формуле:</w:t>
      </w:r>
    </w:p>
    <w:p w:rsidR="000B5766" w:rsidRDefault="000B5766">
      <w:pPr>
        <w:pStyle w:val="ConsPlusNormal"/>
        <w:jc w:val="both"/>
      </w:pPr>
    </w:p>
    <w:p w:rsidR="000B5766" w:rsidRDefault="000B5766">
      <w:pPr>
        <w:pStyle w:val="ConsPlusNormal"/>
        <w:jc w:val="center"/>
      </w:pPr>
      <w:r>
        <w:t>КП = (Б</w:t>
      </w:r>
      <w:proofErr w:type="gramStart"/>
      <w:r>
        <w:t>n</w:t>
      </w:r>
      <w:proofErr w:type="gramEnd"/>
      <w:r>
        <w:t xml:space="preserve"> - Вn) / Аn,</w:t>
      </w:r>
    </w:p>
    <w:p w:rsidR="000B5766" w:rsidRDefault="000B5766">
      <w:pPr>
        <w:pStyle w:val="ConsPlusNormal"/>
        <w:jc w:val="both"/>
      </w:pPr>
    </w:p>
    <w:p w:rsidR="000B5766" w:rsidRDefault="000B5766">
      <w:pPr>
        <w:pStyle w:val="ConsPlusNormal"/>
        <w:ind w:firstLine="540"/>
        <w:jc w:val="both"/>
      </w:pPr>
      <w:r>
        <w:t>где: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t>n</w:t>
      </w:r>
      <w:proofErr w:type="gramEnd"/>
      <w:r>
        <w:t xml:space="preserve"> - общее количество объектов лицензионного контроля, которым присвоена категория риска, на дату окончания отчетного периода;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t>n</w:t>
      </w:r>
      <w:proofErr w:type="gram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n</w:t>
      </w:r>
      <w:proofErr w:type="gram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высокой категории риска.</w:t>
      </w:r>
    </w:p>
    <w:p w:rsidR="000B5766" w:rsidRDefault="000B5766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Постановлением Правительства РФ от 26.02.2022 N 237)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54. Целевым (плановым) значением ключевого показателя лицензионного контроля признается его положительное значение.</w:t>
      </w:r>
    </w:p>
    <w:p w:rsidR="000B5766" w:rsidRDefault="000B5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54 введен Постановлением Правительства РФ от 26.02.2022 N 237)</w:t>
      </w: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Normal"/>
        <w:jc w:val="right"/>
        <w:outlineLvl w:val="0"/>
      </w:pPr>
      <w:r>
        <w:t>Утверждены</w:t>
      </w:r>
    </w:p>
    <w:p w:rsidR="000B5766" w:rsidRDefault="000B5766">
      <w:pPr>
        <w:pStyle w:val="ConsPlusNormal"/>
        <w:jc w:val="right"/>
      </w:pPr>
      <w:r>
        <w:t>постановлением Правительства</w:t>
      </w:r>
    </w:p>
    <w:p w:rsidR="000B5766" w:rsidRDefault="000B5766">
      <w:pPr>
        <w:pStyle w:val="ConsPlusNormal"/>
        <w:jc w:val="right"/>
      </w:pPr>
      <w:r>
        <w:t>Российской Федерации</w:t>
      </w:r>
    </w:p>
    <w:p w:rsidR="000B5766" w:rsidRDefault="000B5766">
      <w:pPr>
        <w:pStyle w:val="ConsPlusNormal"/>
        <w:jc w:val="right"/>
      </w:pPr>
      <w:r>
        <w:t>от 12 декабря 2012 г. N 1287</w:t>
      </w:r>
    </w:p>
    <w:p w:rsidR="000B5766" w:rsidRDefault="000B5766">
      <w:pPr>
        <w:pStyle w:val="ConsPlusNormal"/>
        <w:jc w:val="right"/>
      </w:pPr>
    </w:p>
    <w:p w:rsidR="000B5766" w:rsidRDefault="000B5766">
      <w:pPr>
        <w:pStyle w:val="ConsPlusTitle"/>
        <w:jc w:val="center"/>
      </w:pPr>
      <w:bookmarkStart w:id="8" w:name="P258"/>
      <w:bookmarkEnd w:id="8"/>
      <w:r>
        <w:t>ИЗМЕНЕНИЯ,</w:t>
      </w:r>
    </w:p>
    <w:p w:rsidR="000B5766" w:rsidRDefault="000B576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B5766" w:rsidRDefault="000B5766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0B5766" w:rsidRDefault="000B5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766" w:rsidRDefault="000B57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766" w:rsidRDefault="000B5766">
            <w:pPr>
              <w:spacing w:after="1" w:line="0" w:lineRule="atLeast"/>
            </w:pPr>
          </w:p>
        </w:tc>
      </w:tr>
    </w:tbl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ind w:firstLine="540"/>
        <w:jc w:val="both"/>
      </w:pPr>
      <w:r>
        <w:t>1. Правила обращения с ломом и отходами черных металлов и их отчуждения, утвержденные постановлением Правительства Российской Федерации от 11 мая 2001 г. N 369 (Собрание законодательства Российской Федерации, 2001, N 21, ст. 2083), дополнить пунктом 8(1) следующего содержания: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"8(1). Юридическое лицо и индивидуальный предприниматель, принимающие лом и отходы черных металлов, обязаны обеспечить: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</w:t>
      </w:r>
      <w:proofErr w:type="gramStart"/>
      <w:r>
        <w:t>.".</w:t>
      </w:r>
      <w:proofErr w:type="gramEnd"/>
    </w:p>
    <w:p w:rsidR="000B5766" w:rsidRDefault="000B5766">
      <w:pPr>
        <w:pStyle w:val="ConsPlusNormal"/>
        <w:spacing w:before="220"/>
        <w:ind w:firstLine="540"/>
        <w:jc w:val="both"/>
      </w:pPr>
      <w:r>
        <w:t>2. Правила обращения с ломом и отходами цветных металлов и их отчуждения, утвержденные постановлением Правительства Российской Федерации от 11 мая 2001 г. N 370 (Собрание законодательства Российской Федерации, 2001, N 21, ст. 2084), дополнить пунктом 9(1) следующего содержания: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металлов, обязаны обеспечить: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lastRenderedPageBreak/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0B5766" w:rsidRDefault="000B5766">
      <w:pPr>
        <w:pStyle w:val="ConsPlusNormal"/>
        <w:spacing w:before="220"/>
        <w:ind w:firstLine="540"/>
        <w:jc w:val="both"/>
      </w:pPr>
      <w:r>
        <w:t>абзац утратил силу с 1 января 2021 года. - Постановление Правительства РФ от 07.10.2020 N 1619.".</w:t>
      </w:r>
    </w:p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ind w:firstLine="540"/>
        <w:jc w:val="both"/>
      </w:pPr>
    </w:p>
    <w:p w:rsidR="000B5766" w:rsidRDefault="000B5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1C2" w:rsidRDefault="003E21C2">
      <w:bookmarkStart w:id="9" w:name="_GoBack"/>
      <w:bookmarkEnd w:id="9"/>
    </w:p>
    <w:sectPr w:rsidR="003E21C2" w:rsidSect="00D6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6"/>
    <w:rsid w:val="000B5766"/>
    <w:rsid w:val="003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2022-05-20T08:17:00Z</dcterms:created>
  <dcterms:modified xsi:type="dcterms:W3CDTF">2022-05-20T08:17:00Z</dcterms:modified>
</cp:coreProperties>
</file>