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1D" w:rsidRDefault="005F73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731D" w:rsidRDefault="005F73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73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31D" w:rsidRDefault="005F731D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31D" w:rsidRDefault="005F731D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5F731D" w:rsidRDefault="005F7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Title"/>
        <w:jc w:val="center"/>
      </w:pPr>
      <w:r>
        <w:t>ЛЕНИНГРАДСКАЯ ОБЛАСТЬ</w:t>
      </w:r>
    </w:p>
    <w:p w:rsidR="005F731D" w:rsidRDefault="005F731D">
      <w:pPr>
        <w:pStyle w:val="ConsPlusTitle"/>
        <w:jc w:val="center"/>
      </w:pPr>
    </w:p>
    <w:p w:rsidR="005F731D" w:rsidRDefault="005F731D">
      <w:pPr>
        <w:pStyle w:val="ConsPlusTitle"/>
        <w:jc w:val="center"/>
      </w:pPr>
      <w:r>
        <w:t>ОБЛАСТНОЙ ЗАКОН</w:t>
      </w:r>
    </w:p>
    <w:p w:rsidR="005F731D" w:rsidRDefault="005F731D">
      <w:pPr>
        <w:pStyle w:val="ConsPlusTitle"/>
        <w:jc w:val="center"/>
      </w:pPr>
    </w:p>
    <w:p w:rsidR="005F731D" w:rsidRDefault="005F731D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5F731D" w:rsidRDefault="005F731D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5F731D" w:rsidRDefault="005F731D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5F731D" w:rsidRDefault="005F731D">
      <w:pPr>
        <w:pStyle w:val="ConsPlusTitle"/>
        <w:jc w:val="center"/>
      </w:pPr>
      <w:r>
        <w:t>В ЛЕНИНГРАДСКОЙ ОБЛАСТИ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5F731D" w:rsidRDefault="005F731D">
      <w:pPr>
        <w:pStyle w:val="ConsPlusNormal"/>
        <w:jc w:val="center"/>
      </w:pPr>
      <w:proofErr w:type="gramStart"/>
      <w:r>
        <w:t>18 мая 2016 года)</w:t>
      </w:r>
      <w:proofErr w:type="gramEnd"/>
    </w:p>
    <w:p w:rsidR="005F731D" w:rsidRDefault="005F73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73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31D" w:rsidRDefault="005F731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31D" w:rsidRDefault="005F731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31D" w:rsidRDefault="005F73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31D" w:rsidRDefault="005F73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12.02.2021 </w:t>
            </w:r>
            <w:hyperlink r:id="rId6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731D" w:rsidRDefault="005F7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7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31D" w:rsidRDefault="005F731D"/>
        </w:tc>
      </w:tr>
    </w:tbl>
    <w:p w:rsidR="005F731D" w:rsidRDefault="005F731D">
      <w:pPr>
        <w:pStyle w:val="ConsPlusNormal"/>
        <w:jc w:val="both"/>
      </w:pPr>
    </w:p>
    <w:p w:rsidR="005F731D" w:rsidRDefault="005F731D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8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9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5F731D" w:rsidRDefault="005F731D">
      <w:pPr>
        <w:pStyle w:val="ConsPlusNormal"/>
        <w:jc w:val="both"/>
      </w:pPr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gramStart"/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 проектов муниципальных актов);</w:t>
      </w:r>
      <w:proofErr w:type="gramEnd"/>
    </w:p>
    <w:p w:rsidR="005F731D" w:rsidRDefault="005F731D">
      <w:pPr>
        <w:pStyle w:val="ConsPlusNormal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ind w:firstLine="540"/>
        <w:jc w:val="both"/>
      </w:pPr>
      <w:r>
        <w:t>1. Органы местного самоуправления проводят оценку регулирующего воздействия проектов муниципальных актов, за исключением:</w:t>
      </w:r>
    </w:p>
    <w:p w:rsidR="005F731D" w:rsidRDefault="005F731D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 xml:space="preserve">проектов муниципальных нормативных правовых актов представительных органов </w:t>
      </w:r>
      <w:r>
        <w:lastRenderedPageBreak/>
        <w:t>муниципальных образований, регулирующих бюджетные правоотношения;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F731D" w:rsidRDefault="005F731D">
      <w:pPr>
        <w:pStyle w:val="ConsPlusNormal"/>
        <w:jc w:val="both"/>
      </w:pPr>
      <w:r>
        <w:t xml:space="preserve">(абзац введен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12.02.2021 N 9-оз)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5F731D" w:rsidRDefault="005F731D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 xml:space="preserve">4. Порядок </w:t>
      </w:r>
      <w:proofErr w:type="gramStart"/>
      <w:r>
        <w:t>проведения оценки регулирующего воздействия проекта муниципального акта</w:t>
      </w:r>
      <w:proofErr w:type="gramEnd"/>
      <w:r>
        <w:t xml:space="preserve"> должен предусматривать, в том числе, следующие этапы: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(далее - официальный сайт);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оценке.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описание проблемы и цели предлагаемого правового регулирования;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сведения об установлении новых или изменении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 и связанных с ними дополнительных расходах;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сведения о субъектах предпринимательской и иной экономической деятельности, субъектах инвестиционной деятельности, интересы которых затронуты предлагаемым правовым регулированием;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lastRenderedPageBreak/>
        <w:t>сведения об установлении новых или изменении ранее предусмотренных муниципальными нормативными правовыми актами обязанностей для субъектов инвестиционной деятельности и связанных с ними дополнительных расходах;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5F731D" w:rsidRDefault="005F731D">
      <w:pPr>
        <w:pStyle w:val="ConsPlusNormal"/>
        <w:jc w:val="both"/>
      </w:pPr>
      <w:r>
        <w:t xml:space="preserve">(часть 5 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6. Заключение об оценке, прилагаемое к проекту муниципального нормативного правового акта, должно содержать выводы: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 xml:space="preserve">о соответствии </w:t>
      </w:r>
      <w:proofErr w:type="gramStart"/>
      <w:r>
        <w:t>проведения процедуры оценки регулирующего воздействия проекта муниципального акта</w:t>
      </w:r>
      <w:proofErr w:type="gramEnd"/>
      <w:r>
        <w:t xml:space="preserve">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об отсутствии либо о наличии в проекте муниципального нормативного правового акта положений, которые: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введению;</w:t>
      </w:r>
    </w:p>
    <w:p w:rsidR="005F731D" w:rsidRDefault="005F731D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субъектов предпринимательской и иной экономической деятельности, местных бюджетов муниципальных образований Ленинградской области.</w:t>
      </w:r>
    </w:p>
    <w:p w:rsidR="005F731D" w:rsidRDefault="005F731D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Title"/>
        <w:ind w:firstLine="540"/>
        <w:jc w:val="both"/>
        <w:outlineLvl w:val="1"/>
      </w:pPr>
      <w:r>
        <w:t>Статья 3. Экспертиза муниципальных актов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размещение плана проведения экспертизы муниципальных актов на официальном сайте;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лицами;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экспертизе.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lastRenderedPageBreak/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Title"/>
        <w:ind w:firstLine="540"/>
        <w:jc w:val="both"/>
        <w:outlineLvl w:val="1"/>
      </w:pPr>
      <w: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ind w:firstLine="540"/>
        <w:jc w:val="both"/>
      </w:pPr>
      <w:bookmarkStart w:id="1" w:name="P77"/>
      <w:bookmarkEnd w:id="1"/>
      <w:r>
        <w:t xml:space="preserve">1. </w:t>
      </w:r>
      <w:hyperlink w:anchor="P104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77" w:history="1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сосредоточенность не менее одной тысячи субъектов предпринимательской и иной экономической деятельности, субъектов инвестиционной деятельности на территории муниципального района (городского округа) Ленинградской области.</w:t>
      </w:r>
    </w:p>
    <w:p w:rsidR="005F731D" w:rsidRDefault="005F731D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142-оз)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77" w:history="1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  <w:proofErr w:type="gramEnd"/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jc w:val="right"/>
      </w:pPr>
      <w:r>
        <w:t>Губернатор</w:t>
      </w:r>
    </w:p>
    <w:p w:rsidR="005F731D" w:rsidRDefault="005F731D">
      <w:pPr>
        <w:pStyle w:val="ConsPlusNormal"/>
        <w:jc w:val="right"/>
      </w:pPr>
      <w:r>
        <w:t>Ленинградской области</w:t>
      </w:r>
    </w:p>
    <w:p w:rsidR="005F731D" w:rsidRDefault="005F731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F731D" w:rsidRDefault="005F731D">
      <w:pPr>
        <w:pStyle w:val="ConsPlusNormal"/>
      </w:pPr>
      <w:r>
        <w:t>Санкт-Петербург</w:t>
      </w:r>
    </w:p>
    <w:p w:rsidR="005F731D" w:rsidRDefault="005F731D">
      <w:pPr>
        <w:pStyle w:val="ConsPlusNormal"/>
        <w:spacing w:before="220"/>
      </w:pPr>
      <w:r>
        <w:t>6 июня 2016 года</w:t>
      </w:r>
    </w:p>
    <w:p w:rsidR="005F731D" w:rsidRDefault="005F731D">
      <w:pPr>
        <w:pStyle w:val="ConsPlusNormal"/>
        <w:spacing w:before="220"/>
      </w:pPr>
      <w:r>
        <w:t>N 44-оз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5F731D" w:rsidRDefault="005F731D">
      <w:pPr>
        <w:pStyle w:val="ConsPlusNormal"/>
        <w:jc w:val="right"/>
      </w:pPr>
      <w:r>
        <w:lastRenderedPageBreak/>
        <w:t>областным законом</w:t>
      </w:r>
    </w:p>
    <w:p w:rsidR="005F731D" w:rsidRDefault="005F731D">
      <w:pPr>
        <w:pStyle w:val="ConsPlusNormal"/>
        <w:jc w:val="right"/>
      </w:pPr>
      <w:r>
        <w:t>от 06.06.2016 N 44-оз</w:t>
      </w:r>
    </w:p>
    <w:p w:rsidR="005F731D" w:rsidRDefault="005F731D">
      <w:pPr>
        <w:pStyle w:val="ConsPlusNormal"/>
        <w:jc w:val="right"/>
      </w:pPr>
      <w:r>
        <w:t>(приложение)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Title"/>
        <w:jc w:val="center"/>
      </w:pPr>
      <w:bookmarkStart w:id="2" w:name="P104"/>
      <w:bookmarkEnd w:id="2"/>
      <w:r>
        <w:t>ПЕРЕЧЕНЬ</w:t>
      </w:r>
    </w:p>
    <w:p w:rsidR="005F731D" w:rsidRDefault="005F731D">
      <w:pPr>
        <w:pStyle w:val="ConsPlusTitle"/>
        <w:jc w:val="center"/>
      </w:pPr>
      <w:r>
        <w:t xml:space="preserve">МУНИЦИПАЛЬНЫХ РАЙОНОВ И ГОРОДСКОГО ОКРУГА </w:t>
      </w:r>
      <w:proofErr w:type="gramStart"/>
      <w:r>
        <w:t>ЛЕНИНГРАДСКОЙ</w:t>
      </w:r>
      <w:proofErr w:type="gramEnd"/>
    </w:p>
    <w:p w:rsidR="005F731D" w:rsidRDefault="005F731D">
      <w:pPr>
        <w:pStyle w:val="ConsPlusTitle"/>
        <w:jc w:val="center"/>
      </w:pPr>
      <w:r>
        <w:t xml:space="preserve">ОБЛАСТИ, В КОТОРЫХ ПРОВЕДЕНИЕ ОЦЕНКИ </w:t>
      </w:r>
      <w:proofErr w:type="gramStart"/>
      <w:r>
        <w:t>РЕГУЛИРУЮЩЕГО</w:t>
      </w:r>
      <w:proofErr w:type="gramEnd"/>
    </w:p>
    <w:p w:rsidR="005F731D" w:rsidRDefault="005F731D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5F731D" w:rsidRDefault="005F731D">
      <w:pPr>
        <w:pStyle w:val="ConsPlusTitle"/>
        <w:jc w:val="center"/>
      </w:pPr>
      <w:r>
        <w:t>МУНИЦИПАЛЬНЫХ АКТОВ ЯВЛЯЕТСЯ ОБЯЗАТЕЛЬНЫМ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ind w:firstLine="540"/>
        <w:jc w:val="both"/>
      </w:pPr>
      <w:proofErr w:type="spellStart"/>
      <w:r>
        <w:t>Бокситогорский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Волосовский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Волховский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Всеволожский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Выборгский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Гатчинский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Кингисеппский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Киришский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Кировский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Ломоносовский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Подпорожский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Сланцевский</w:t>
      </w:r>
      <w:proofErr w:type="spellEnd"/>
      <w:r>
        <w:t xml:space="preserve">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Сосновоборский</w:t>
      </w:r>
      <w:proofErr w:type="spellEnd"/>
      <w:r>
        <w:t xml:space="preserve"> городской округ</w:t>
      </w:r>
    </w:p>
    <w:p w:rsidR="005F731D" w:rsidRDefault="005F731D">
      <w:pPr>
        <w:pStyle w:val="ConsPlusNormal"/>
        <w:spacing w:before="220"/>
        <w:ind w:firstLine="540"/>
        <w:jc w:val="both"/>
      </w:pPr>
      <w:r>
        <w:t>Тихвинский муниципальный район</w:t>
      </w:r>
    </w:p>
    <w:p w:rsidR="005F731D" w:rsidRDefault="005F731D">
      <w:pPr>
        <w:pStyle w:val="ConsPlusNormal"/>
        <w:spacing w:before="220"/>
        <w:ind w:firstLine="540"/>
        <w:jc w:val="both"/>
      </w:pPr>
      <w:proofErr w:type="spellStart"/>
      <w:r>
        <w:t>Тосненский</w:t>
      </w:r>
      <w:proofErr w:type="spellEnd"/>
      <w:r>
        <w:t xml:space="preserve"> район</w:t>
      </w: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jc w:val="both"/>
      </w:pPr>
    </w:p>
    <w:p w:rsidR="005F731D" w:rsidRDefault="005F7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68E" w:rsidRDefault="00C62134"/>
    <w:sectPr w:rsidR="00FD068E" w:rsidSect="00A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1D"/>
    <w:rsid w:val="00126A23"/>
    <w:rsid w:val="003F628F"/>
    <w:rsid w:val="005F731D"/>
    <w:rsid w:val="006B4BC2"/>
    <w:rsid w:val="00740E0D"/>
    <w:rsid w:val="00822552"/>
    <w:rsid w:val="00C009E5"/>
    <w:rsid w:val="00C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33F94346629E5A4CAEBE9650C4EC7977CBC47E2CD29CDB8BA6CA939A60B868C16459E51811C9225BA5E97CB4A5E2BBF70DF0B16714F29UEe4L" TargetMode="External"/><Relationship Id="rId13" Type="http://schemas.openxmlformats.org/officeDocument/2006/relationships/hyperlink" Target="consultantplus://offline/ref=D6A33F94346629E5A4CAF4F8700C4EC7917FBB49EDCF29CDB8BA6CA939A60B868C16459E51801E9B25BA5E97CB4A5E2BBF70DF0B16714F29UEe4L" TargetMode="External"/><Relationship Id="rId18" Type="http://schemas.openxmlformats.org/officeDocument/2006/relationships/hyperlink" Target="consultantplus://offline/ref=D6A33F94346629E5A4CAF4F8700C4EC79178B545ECC029CDB8BA6CA939A60B868C16459E51801E9925BA5E97CB4A5E2BBF70DF0B16714F29UEe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33F94346629E5A4CAF4F8700C4EC79178B545ECC029CDB8BA6CA939A60B868C16459E51801E9B25BA5E97CB4A5E2BBF70DF0B16714F29UEe4L" TargetMode="External"/><Relationship Id="rId12" Type="http://schemas.openxmlformats.org/officeDocument/2006/relationships/hyperlink" Target="consultantplus://offline/ref=D6A33F94346629E5A4CAF4F8700C4EC79178B545ECC029CDB8BA6CA939A60B868C16459E51801E9A2EBA5E97CB4A5E2BBF70DF0B16714F29UEe4L" TargetMode="External"/><Relationship Id="rId17" Type="http://schemas.openxmlformats.org/officeDocument/2006/relationships/hyperlink" Target="consultantplus://offline/ref=D6A33F94346629E5A4CAF4F8700C4EC79178B545ECC029CDB8BA6CA939A60B868C16459E51801E992ABA5E97CB4A5E2BBF70DF0B16714F29UEe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A33F94346629E5A4CAF4F8700C4EC79178B545ECC029CDB8BA6CA939A60B868C16459E51801E992ABA5E97CB4A5E2BBF70DF0B16714F29UEe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33F94346629E5A4CAF4F8700C4EC7917FBB49EDCF29CDB8BA6CA939A60B868C16459E51801E9B25BA5E97CB4A5E2BBF70DF0B16714F29UEe4L" TargetMode="External"/><Relationship Id="rId11" Type="http://schemas.openxmlformats.org/officeDocument/2006/relationships/hyperlink" Target="consultantplus://offline/ref=D6A33F94346629E5A4CAF4F8700C4EC79178B545ECC029CDB8BA6CA939A60B868C16459E51801E9A2CBA5E97CB4A5E2BBF70DF0B16714F29UEe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A33F94346629E5A4CAF4F8700C4EC79178B545ECC029CDB8BA6CA939A60B868C16459E51801E9A2BBA5E97CB4A5E2BBF70DF0B16714F29UEe4L" TargetMode="External"/><Relationship Id="rId10" Type="http://schemas.openxmlformats.org/officeDocument/2006/relationships/hyperlink" Target="consultantplus://offline/ref=D6A33F94346629E5A4CAF4F8700C4EC79178B545ECC029CDB8BA6CA939A60B868C16459E51801E9A2DBA5E97CB4A5E2BBF70DF0B16714F29UEe4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33F94346629E5A4CAEBE9650C4EC7977CBC47E2CD29CDB8BA6CA939A60B868C16459E51811D9B2CBA5E97CB4A5E2BBF70DF0B16714F29UEe4L" TargetMode="External"/><Relationship Id="rId14" Type="http://schemas.openxmlformats.org/officeDocument/2006/relationships/hyperlink" Target="consultantplus://offline/ref=D6A33F94346629E5A4CAF4F8700C4EC79178B545ECC029CDB8BA6CA939A60B868C16459E51801E9A28BA5E97CB4A5E2BBF70DF0B16714F29UE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Ирина Сергеевна Кривопуст</cp:lastModifiedBy>
  <cp:revision>2</cp:revision>
  <dcterms:created xsi:type="dcterms:W3CDTF">2021-12-17T11:32:00Z</dcterms:created>
  <dcterms:modified xsi:type="dcterms:W3CDTF">2021-12-17T11:32:00Z</dcterms:modified>
</cp:coreProperties>
</file>