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52" w:rsidRDefault="00D50B5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50B52" w:rsidRDefault="00D50B52">
      <w:pPr>
        <w:pStyle w:val="ConsPlusNormal"/>
        <w:jc w:val="both"/>
        <w:outlineLvl w:val="0"/>
      </w:pPr>
    </w:p>
    <w:p w:rsidR="00D50B52" w:rsidRDefault="00D50B5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0B52" w:rsidRDefault="00D50B52">
      <w:pPr>
        <w:pStyle w:val="ConsPlusTitle"/>
        <w:jc w:val="center"/>
      </w:pPr>
    </w:p>
    <w:p w:rsidR="00D50B52" w:rsidRDefault="00D50B52">
      <w:pPr>
        <w:pStyle w:val="ConsPlusTitle"/>
        <w:jc w:val="center"/>
      </w:pPr>
      <w:r>
        <w:t>РАСПОРЯЖЕНИЕ</w:t>
      </w:r>
    </w:p>
    <w:p w:rsidR="00D50B52" w:rsidRDefault="00D50B52">
      <w:pPr>
        <w:pStyle w:val="ConsPlusTitle"/>
        <w:jc w:val="center"/>
      </w:pPr>
      <w:r>
        <w:t>от 5 сентября 2015 г. N 1738-р</w:t>
      </w:r>
    </w:p>
    <w:p w:rsidR="00D50B52" w:rsidRDefault="00D50B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0B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0B52" w:rsidRDefault="00D50B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B52" w:rsidRDefault="00D50B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17.09.2016 N 1969-р)</w:t>
            </w:r>
          </w:p>
        </w:tc>
      </w:tr>
    </w:tbl>
    <w:p w:rsidR="00D50B52" w:rsidRDefault="00D50B52">
      <w:pPr>
        <w:pStyle w:val="ConsPlusNormal"/>
        <w:jc w:val="center"/>
      </w:pPr>
    </w:p>
    <w:p w:rsidR="00D50B52" w:rsidRDefault="00D50B5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РФ от 17.09.2016 N 1969-р.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3. Рекомендовать: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7" w:history="1">
        <w:r>
          <w:rPr>
            <w:color w:val="0000FF"/>
          </w:rPr>
          <w:t>стандарта</w:t>
        </w:r>
      </w:hyperlink>
      <w:r>
        <w:t>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7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right"/>
      </w:pPr>
      <w:r>
        <w:t>Председатель Правительства</w:t>
      </w:r>
    </w:p>
    <w:p w:rsidR="00D50B52" w:rsidRDefault="00D50B52">
      <w:pPr>
        <w:pStyle w:val="ConsPlusNormal"/>
        <w:jc w:val="right"/>
      </w:pPr>
      <w:r>
        <w:t>Российской Федерации</w:t>
      </w:r>
    </w:p>
    <w:p w:rsidR="00D50B52" w:rsidRDefault="00D50B52">
      <w:pPr>
        <w:pStyle w:val="ConsPlusNormal"/>
        <w:jc w:val="right"/>
      </w:pPr>
      <w:r>
        <w:t>Д.МЕДВЕДЕВ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right"/>
        <w:outlineLvl w:val="0"/>
      </w:pPr>
      <w:r>
        <w:t>Утвержден</w:t>
      </w:r>
    </w:p>
    <w:p w:rsidR="00D50B52" w:rsidRDefault="00D50B52">
      <w:pPr>
        <w:pStyle w:val="ConsPlusNormal"/>
        <w:jc w:val="right"/>
      </w:pPr>
      <w:r>
        <w:t>распоряжением Правительства</w:t>
      </w:r>
    </w:p>
    <w:p w:rsidR="00D50B52" w:rsidRDefault="00D50B52">
      <w:pPr>
        <w:pStyle w:val="ConsPlusNormal"/>
        <w:jc w:val="right"/>
      </w:pPr>
      <w:r>
        <w:t>Российской Федерации</w:t>
      </w:r>
    </w:p>
    <w:p w:rsidR="00D50B52" w:rsidRDefault="00D50B52">
      <w:pPr>
        <w:pStyle w:val="ConsPlusNormal"/>
        <w:jc w:val="right"/>
      </w:pPr>
      <w:r>
        <w:t>от 5 сентября 2015 г. N 1738-р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Title"/>
        <w:jc w:val="center"/>
      </w:pPr>
      <w:bookmarkStart w:id="0" w:name="P27"/>
      <w:bookmarkEnd w:id="0"/>
      <w:r>
        <w:t>СТАНДАРТ</w:t>
      </w:r>
    </w:p>
    <w:p w:rsidR="00D50B52" w:rsidRDefault="00D50B52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D50B52" w:rsidRDefault="00D50B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0B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0B52" w:rsidRDefault="00D50B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B52" w:rsidRDefault="00D50B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17.09.2016 N 1969-р)</w:t>
            </w:r>
          </w:p>
        </w:tc>
      </w:tr>
    </w:tbl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center"/>
        <w:outlineLvl w:val="1"/>
      </w:pPr>
      <w:r>
        <w:t>I. Общие положения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9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2. Стандарт разработан в следующих целях: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lastRenderedPageBreak/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</w:t>
      </w:r>
      <w:proofErr w:type="gramEnd"/>
      <w:r>
        <w:t xml:space="preserve"> в целом;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  <w:proofErr w:type="gramEnd"/>
    </w:p>
    <w:p w:rsidR="00D50B52" w:rsidRDefault="00D50B52">
      <w:pPr>
        <w:pStyle w:val="ConsPlusNormal"/>
        <w:spacing w:before="220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 учетом положений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</w:t>
      </w:r>
      <w:r>
        <w:lastRenderedPageBreak/>
        <w:t>соглашения).</w:t>
      </w:r>
      <w:proofErr w:type="gramEnd"/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Для достижения целей стандарта и соблюдения принципов его внедрения, формирования перечня рынков товаров, работ и услуг для содействия развитию конкуренции в субъекте Российской Федерации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</w:t>
      </w:r>
      <w:proofErr w:type="gramEnd"/>
      <w:r>
        <w:t xml:space="preserve">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D50B52" w:rsidRDefault="00D50B52">
      <w:pPr>
        <w:pStyle w:val="ConsPlusNormal"/>
        <w:jc w:val="both"/>
      </w:pPr>
      <w:r>
        <w:t xml:space="preserve">(п. 6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Федерации.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center"/>
        <w:outlineLvl w:val="1"/>
      </w:pPr>
      <w:r>
        <w:t>II. Определение уполномоченного органа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9. Уполномоченный орган осуществляет следующие полномочия: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формирует проект перечня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lastRenderedPageBreak/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center"/>
        <w:outlineLvl w:val="1"/>
      </w:pPr>
      <w:r>
        <w:t>III. Рассмотрение вопросов содействия развитию конкуренции</w:t>
      </w:r>
    </w:p>
    <w:p w:rsidR="00D50B52" w:rsidRDefault="00D50B52">
      <w:pPr>
        <w:pStyle w:val="ConsPlusNormal"/>
        <w:jc w:val="center"/>
      </w:pPr>
      <w:r>
        <w:t>на заседаниях коллегиального органа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проект перечня с аргументированным обоснованием выбора каждого рынка;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D50B52" w:rsidRDefault="00D50B52">
      <w:pPr>
        <w:pStyle w:val="ConsPlusNormal"/>
        <w:spacing w:before="220"/>
        <w:ind w:firstLine="540"/>
        <w:jc w:val="both"/>
      </w:pPr>
      <w:bookmarkStart w:id="1" w:name="P76"/>
      <w:bookmarkEnd w:id="1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 и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з) представители объединений, действующих в интересах сферы рыбного хозяйства </w:t>
      </w:r>
      <w:r>
        <w:lastRenderedPageBreak/>
        <w:t xml:space="preserve">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6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center"/>
        <w:outlineLvl w:val="1"/>
      </w:pPr>
      <w:r>
        <w:t>IV. Утверждение перечня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ind w:firstLine="540"/>
        <w:jc w:val="both"/>
      </w:pPr>
      <w:r>
        <w:t>17. Уполномоченный орган разрабатывает проект перечня,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18. При формировании перечня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При формировании перечня приоритетных рынков рекомендуется в первую очередь включать в него рынки товаров, работ и услуг </w:t>
      </w:r>
      <w:proofErr w:type="spellStart"/>
      <w:r>
        <w:t>несырьевого</w:t>
      </w:r>
      <w:proofErr w:type="spellEnd"/>
      <w:r>
        <w:t xml:space="preserve"> сектора экономики с высокой степенью передела и добавленной стоимости конечной продукции, имеющей экспортный потенциал и </w:t>
      </w:r>
      <w:r>
        <w:lastRenderedPageBreak/>
        <w:t>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</w:t>
      </w:r>
      <w:proofErr w:type="gramEnd"/>
      <w:r>
        <w:t xml:space="preserve"> инновационных кластеров).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20. Особое внимание при формировании перечня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21. Перечень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23. Помимо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24. Формирование перечня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</w:t>
      </w:r>
      <w:proofErr w:type="gramStart"/>
      <w:r>
        <w:t>формировании</w:t>
      </w:r>
      <w:proofErr w:type="gramEnd"/>
      <w:r>
        <w:t xml:space="preserve">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lastRenderedPageBreak/>
        <w:t>25. Информация о разработке проекта перечня рынков и проект перечня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26. Проект перечня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center"/>
        <w:outlineLvl w:val="1"/>
      </w:pPr>
      <w:r>
        <w:t>V. Разработка "дорожной карты"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содействие развитию конкуренции для каждого из предусмотренных перечнем социально значимых рынков субъекта Российской Федерации;</w:t>
      </w:r>
    </w:p>
    <w:p w:rsidR="00D50B52" w:rsidRDefault="00D50B5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содействие развитию конкуренции для каждого из предусмотренных перечнем приоритетных рынков субъекта Российской Федерации.</w:t>
      </w:r>
    </w:p>
    <w:p w:rsidR="00D50B52" w:rsidRDefault="00D50B5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lastRenderedPageBreak/>
        <w:t xml:space="preserve">32. Системные мероприятия, предусмотренные "дорожной картой" с учетом </w:t>
      </w:r>
      <w:hyperlink w:anchor="P251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4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5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6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7" w:history="1">
        <w:r>
          <w:rPr>
            <w:color w:val="0000FF"/>
          </w:rPr>
          <w:t>Об общих принципах</w:t>
        </w:r>
      </w:hyperlink>
      <w:r>
        <w:t xml:space="preserve"> организации</w:t>
      </w:r>
      <w:proofErr w:type="gramEnd"/>
      <w:r>
        <w:t xml:space="preserve">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в)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</w:t>
      </w:r>
      <w:r>
        <w:lastRenderedPageBreak/>
        <w:t xml:space="preserve">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</w:t>
      </w:r>
      <w:proofErr w:type="gramEnd"/>
      <w:r>
        <w:t xml:space="preserve"> на официальном сайте уполномоченного органа в сети "Интернет";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);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</w:t>
      </w:r>
      <w:r>
        <w:lastRenderedPageBreak/>
        <w:t>ответственных исполнителей и соисполнителей, а также срока реализации таких мероприятий.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34.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самоуправления, учитывая возможное взаимодействие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D50B52" w:rsidRDefault="00D50B5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center"/>
        <w:outlineLvl w:val="1"/>
      </w:pPr>
      <w:r>
        <w:t>VI. Проведение мониторинга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D50B52" w:rsidRDefault="00D50B52">
      <w:pPr>
        <w:pStyle w:val="ConsPlusNormal"/>
        <w:spacing w:before="220"/>
        <w:ind w:firstLine="540"/>
        <w:jc w:val="both"/>
      </w:pPr>
      <w:bookmarkStart w:id="2" w:name="P168"/>
      <w:bookmarkEnd w:id="2"/>
      <w:r>
        <w:t>42. Мониторинг включает в себя: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 xml:space="preserve"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</w:t>
      </w:r>
      <w:r>
        <w:lastRenderedPageBreak/>
        <w:t>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D50B52" w:rsidRDefault="00D50B52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формирование перечня рынков, на которых присутствуют субъекты естественных монополий;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  <w:proofErr w:type="gramEnd"/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</w:t>
      </w:r>
      <w:proofErr w:type="gramEnd"/>
      <w:r>
        <w:t xml:space="preserve">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D50B52" w:rsidRDefault="00D50B52">
      <w:pPr>
        <w:pStyle w:val="ConsPlusNormal"/>
        <w:spacing w:before="220"/>
        <w:ind w:firstLine="540"/>
        <w:jc w:val="both"/>
      </w:pPr>
      <w:bookmarkStart w:id="3" w:name="P184"/>
      <w:bookmarkEnd w:id="3"/>
      <w:r>
        <w:lastRenderedPageBreak/>
        <w:t>43. При проведении мониторинга уполномоченный орган использует в том числе: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gramStart"/>
      <w:r>
        <w:t>бизнес-ассоциациями</w:t>
      </w:r>
      <w:proofErr w:type="gramEnd"/>
      <w:r>
        <w:t xml:space="preserve"> и организациями, представляющими интересы потребителей;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8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84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 xml:space="preserve">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</w:t>
      </w:r>
      <w:r>
        <w:lastRenderedPageBreak/>
        <w:t>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</w:t>
      </w:r>
      <w:proofErr w:type="gramEnd"/>
      <w:r>
        <w:t xml:space="preserve"> в показатели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(в рамках соглашения) органов местного самоуправления.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характеристику состояния конкуренции на рынках, включенных в перечень, а также анализ факторов, ограничивающих конкуренцию;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</w:t>
      </w:r>
      <w:proofErr w:type="gramEnd"/>
      <w:r>
        <w:t xml:space="preserve">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50. </w:t>
      </w:r>
      <w:proofErr w:type="gramStart"/>
      <w:r>
        <w:t xml:space="preserve">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</w:t>
      </w:r>
      <w:r>
        <w:lastRenderedPageBreak/>
        <w:t>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  <w:proofErr w:type="gramEnd"/>
    </w:p>
    <w:p w:rsidR="00D50B52" w:rsidRDefault="00D50B52">
      <w:pPr>
        <w:pStyle w:val="ConsPlusNormal"/>
        <w:spacing w:before="220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D50B52" w:rsidRDefault="00D50B52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ind w:firstLine="540"/>
        <w:jc w:val="both"/>
      </w:pPr>
      <w:r>
        <w:t xml:space="preserve">53. </w:t>
      </w:r>
      <w:proofErr w:type="gramStart"/>
      <w:r>
        <w:t xml:space="preserve">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9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</w:t>
      </w:r>
      <w:proofErr w:type="gramEnd"/>
      <w:r>
        <w:t>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D50B52" w:rsidRDefault="00D50B52">
      <w:pPr>
        <w:pStyle w:val="ConsPlusNormal"/>
        <w:spacing w:before="220"/>
        <w:ind w:firstLine="540"/>
        <w:jc w:val="both"/>
      </w:pPr>
      <w:bookmarkStart w:id="4" w:name="P220"/>
      <w:bookmarkEnd w:id="4"/>
      <w:r>
        <w:lastRenderedPageBreak/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</w:t>
      </w:r>
      <w:proofErr w:type="gramEnd"/>
      <w:r>
        <w:t xml:space="preserve">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</w:t>
      </w:r>
      <w:proofErr w:type="gramEnd"/>
      <w:r>
        <w:t xml:space="preserve"> и услуг субъектов естественных монополий и независимых экспертов;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56. </w:t>
      </w:r>
      <w:proofErr w:type="gramStart"/>
      <w:r>
        <w:t xml:space="preserve">Раскрытие информации, указанной в </w:t>
      </w:r>
      <w:hyperlink w:anchor="P220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  <w:proofErr w:type="gramEnd"/>
    </w:p>
    <w:p w:rsidR="00D50B52" w:rsidRDefault="00D50B52">
      <w:pPr>
        <w:pStyle w:val="ConsPlusNormal"/>
        <w:spacing w:before="220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t>кВ</w:t>
      </w:r>
      <w:proofErr w:type="spellEnd"/>
      <w: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</w:t>
      </w:r>
      <w:r>
        <w:lastRenderedPageBreak/>
        <w:t>строительства, реконструкции).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center"/>
        <w:outlineLvl w:val="1"/>
      </w:pPr>
      <w:r>
        <w:t>VIII. Повышение уровня информированности субъектов</w:t>
      </w:r>
    </w:p>
    <w:p w:rsidR="00D50B52" w:rsidRDefault="00D50B52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D50B52" w:rsidRDefault="00D50B52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D50B52" w:rsidRDefault="00D50B52">
      <w:pPr>
        <w:pStyle w:val="ConsPlusNormal"/>
        <w:jc w:val="center"/>
      </w:pPr>
      <w:r>
        <w:t>по содействию развитию конкуренции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ind w:firstLine="540"/>
        <w:jc w:val="both"/>
      </w:pPr>
      <w:r>
        <w:t xml:space="preserve">59. На официальном сайте уполномоченного органа в сети "Интернет" и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 xml:space="preserve">60.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</w:t>
      </w:r>
      <w:proofErr w:type="gramEnd"/>
      <w:r>
        <w:t xml:space="preserve"> специализированном </w:t>
      </w:r>
      <w:proofErr w:type="gramStart"/>
      <w:r>
        <w:t>интернет-портале</w:t>
      </w:r>
      <w:proofErr w:type="gramEnd"/>
      <w:r>
        <w:t>:</w:t>
      </w:r>
    </w:p>
    <w:p w:rsidR="00D50B52" w:rsidRDefault="00D50B52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D50B52" w:rsidRDefault="00D50B52">
      <w:pPr>
        <w:pStyle w:val="ConsPlusNormal"/>
        <w:spacing w:before="220"/>
        <w:ind w:firstLine="540"/>
        <w:jc w:val="both"/>
      </w:pPr>
      <w:proofErr w:type="gramStart"/>
      <w: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D50B52" w:rsidRDefault="00D50B52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right"/>
        <w:outlineLvl w:val="1"/>
      </w:pPr>
      <w:r>
        <w:t>Приложение</w:t>
      </w:r>
    </w:p>
    <w:p w:rsidR="00D50B52" w:rsidRDefault="00D50B52">
      <w:pPr>
        <w:pStyle w:val="ConsPlusNormal"/>
        <w:jc w:val="right"/>
      </w:pPr>
      <w:r>
        <w:t>к стандарту развития конкуренции</w:t>
      </w:r>
    </w:p>
    <w:p w:rsidR="00D50B52" w:rsidRDefault="00D50B52">
      <w:pPr>
        <w:pStyle w:val="ConsPlusNormal"/>
        <w:jc w:val="right"/>
      </w:pPr>
      <w:r>
        <w:t>в субъектах Российской Федерации</w:t>
      </w: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center"/>
      </w:pPr>
      <w:bookmarkStart w:id="5" w:name="P251"/>
      <w:bookmarkEnd w:id="5"/>
      <w:r>
        <w:t>ПЕРЕЧЕНЬ</w:t>
      </w:r>
    </w:p>
    <w:p w:rsidR="00D50B52" w:rsidRDefault="00D50B52">
      <w:pPr>
        <w:pStyle w:val="ConsPlusNormal"/>
        <w:jc w:val="center"/>
      </w:pPr>
      <w:r>
        <w:t>МЕРОПРИЯТИЙ ПО СОДЕЙСТВИЮ РАЗВИТИЮ КОНКУРЕНЦИИ</w:t>
      </w:r>
    </w:p>
    <w:p w:rsidR="00D50B52" w:rsidRDefault="00D50B52">
      <w:pPr>
        <w:pStyle w:val="ConsPlusNormal"/>
        <w:jc w:val="center"/>
      </w:pPr>
      <w:r>
        <w:t>И ПО РАЗВИТИЮ КОНКУРЕНТНОЙ СРЕДЫ СУБЪЕКТА</w:t>
      </w:r>
    </w:p>
    <w:p w:rsidR="00D50B52" w:rsidRDefault="00D50B52">
      <w:pPr>
        <w:pStyle w:val="ConsPlusNormal"/>
        <w:jc w:val="center"/>
      </w:pPr>
      <w:r>
        <w:t>РОССИЙСКОЙ ФЕДЕРАЦИИ</w:t>
      </w:r>
    </w:p>
    <w:p w:rsidR="00D50B52" w:rsidRDefault="00D50B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0B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0B52" w:rsidRDefault="00D50B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0B52" w:rsidRDefault="00D50B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17.09.2016 N 1969-р)</w:t>
            </w:r>
          </w:p>
        </w:tc>
      </w:tr>
    </w:tbl>
    <w:p w:rsidR="00D50B52" w:rsidRDefault="00D50B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699"/>
        <w:gridCol w:w="4963"/>
      </w:tblGrid>
      <w:tr w:rsidR="00D50B52" w:rsidTr="00D50B52">
        <w:trPr>
          <w:trHeight w:val="139"/>
        </w:trPr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B52" w:rsidRDefault="00D50B52">
            <w:pPr>
              <w:pStyle w:val="ConsPlusNormal"/>
            </w:pPr>
            <w:bookmarkStart w:id="6" w:name="_GoBack"/>
            <w:bookmarkEnd w:id="6"/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B52" w:rsidRDefault="00D50B52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B52" w:rsidRDefault="00D50B52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2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t>Рынок услуг дошкольного образования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1.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t>Рынок услуг детского отдыха и оздоровления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2.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proofErr w:type="gramStart"/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</w:t>
            </w:r>
            <w:proofErr w:type="gramEnd"/>
            <w:r>
              <w:t xml:space="preserve"> пребыванием, палаточный лагерь, стационарно-оздоровительный лагерь труда и отдыха):</w:t>
            </w:r>
          </w:p>
          <w:p w:rsidR="00D50B52" w:rsidRDefault="00D50B52">
            <w:pPr>
              <w:pStyle w:val="ConsPlusNormal"/>
            </w:pPr>
            <w:r>
              <w:t>в 2015 году - 10 процентов;</w:t>
            </w:r>
          </w:p>
          <w:p w:rsidR="00D50B52" w:rsidRDefault="00D50B52">
            <w:pPr>
              <w:pStyle w:val="ConsPlusNormal"/>
            </w:pPr>
            <w:r>
              <w:t>в 2016 году - 15 процентов;</w:t>
            </w:r>
          </w:p>
          <w:p w:rsidR="00D50B52" w:rsidRDefault="00D50B52">
            <w:pPr>
              <w:pStyle w:val="ConsPlusNormal"/>
            </w:pPr>
            <w:r>
              <w:t>в 2017 году - 20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t>Рынок услуг дополнительного образования детей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3.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 xml:space="preserve">развитие частных организаций, осуществляющих образовательную деятельность по дополнительным общеобразовательным </w:t>
            </w:r>
            <w:r>
              <w:lastRenderedPageBreak/>
              <w:t>программам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lastRenderedPageBreak/>
              <w:t xml:space="preserve"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</w:t>
            </w:r>
            <w:r>
              <w:lastRenderedPageBreak/>
              <w:t>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lastRenderedPageBreak/>
              <w:t>Рынок медицинских услуг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4.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D50B52" w:rsidRDefault="00D50B52">
            <w:pPr>
              <w:pStyle w:val="ConsPlusNormal"/>
            </w:pPr>
            <w:r>
              <w:t>в 2015 году - не менее 6 процентов;</w:t>
            </w:r>
          </w:p>
          <w:p w:rsidR="00D50B52" w:rsidRDefault="00D50B52">
            <w:pPr>
              <w:pStyle w:val="ConsPlusNormal"/>
            </w:pPr>
            <w:r>
              <w:t>в 2016 году - не менее 7 процентов;</w:t>
            </w:r>
          </w:p>
          <w:p w:rsidR="00D50B52" w:rsidRDefault="00D50B52">
            <w:pPr>
              <w:pStyle w:val="ConsPlusNormal"/>
            </w:pPr>
            <w:r>
              <w:t>в 2017 году - не менее 8 процентов;</w:t>
            </w:r>
          </w:p>
          <w:p w:rsidR="00D50B52" w:rsidRDefault="00D50B52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5.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t>Рынок услуг в сфере культуры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6.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D50B52" w:rsidRDefault="00D50B52">
            <w:pPr>
              <w:pStyle w:val="ConsPlusNormal"/>
            </w:pPr>
            <w:r>
              <w:t>в 2015 году - не менее 15 процентов;</w:t>
            </w:r>
          </w:p>
          <w:p w:rsidR="00D50B52" w:rsidRDefault="00D50B52">
            <w:pPr>
              <w:pStyle w:val="ConsPlusNormal"/>
              <w:jc w:val="both"/>
            </w:pPr>
            <w:r>
              <w:t>в 2016 году - не менее 20 процентов;</w:t>
            </w:r>
          </w:p>
          <w:p w:rsidR="00D50B52" w:rsidRDefault="00D50B52">
            <w:pPr>
              <w:pStyle w:val="ConsPlusNormal"/>
              <w:jc w:val="both"/>
            </w:pPr>
            <w:r>
              <w:t>в 2017 году - не менее 25 процентов;</w:t>
            </w:r>
          </w:p>
          <w:p w:rsidR="00D50B52" w:rsidRDefault="00D50B52">
            <w:pPr>
              <w:pStyle w:val="ConsPlusNormal"/>
              <w:jc w:val="both"/>
            </w:pPr>
            <w:r>
              <w:t>в 2018 году - не менее 30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t>Рынок услуг жилищно-коммунального хозяйства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7.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 xml:space="preserve">повышение качества оказания услуг на рынке управления </w:t>
            </w:r>
            <w:r>
              <w:lastRenderedPageBreak/>
              <w:t>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lastRenderedPageBreak/>
              <w:t xml:space="preserve">доля управляющих организаций, получивших лицензии на осуществление деятельности по </w:t>
            </w:r>
            <w:r>
              <w:lastRenderedPageBreak/>
              <w:t>управлению многоквартирными домами в 2015 году, - 100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в субъектах 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наличие у государственных жилищных инспекций в субъектах Российской Федерации к 1 ноября 2015 г.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proofErr w:type="gramStart"/>
            <w: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22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хозяйства", в 2016 году - 100 процентов</w:t>
            </w:r>
            <w:proofErr w:type="gramEnd"/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lastRenderedPageBreak/>
              <w:t>Розничная торговля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8.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proofErr w:type="gramStart"/>
            <w:r>
              <w:t>обеспечение 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среднего роста указанной доли оборота розничной торговли не менее чем на 5 процентов в год до достижения значения этого показателя в размере не менее 20 процентов к</w:t>
            </w:r>
            <w:proofErr w:type="gramEnd"/>
            <w:r>
              <w:t xml:space="preserve"> 2018 году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 xml:space="preserve">доля хозяйствующих субъектов в общем числе опрошенных, считающих, что </w:t>
            </w:r>
            <w:proofErr w:type="spellStart"/>
            <w:r>
              <w:t>антиконкурентных</w:t>
            </w:r>
            <w:proofErr w:type="spellEnd"/>
            <w:r>
              <w:t xml:space="preserve">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 xml:space="preserve">сокращение присутствия государства </w:t>
            </w:r>
            <w:proofErr w:type="gramStart"/>
            <w: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>
              <w:t xml:space="preserve"> наркотических веществ минимума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t>Рынок услуг перевозок пассажиров наземным транспортом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9.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 xml:space="preserve">развитие сектора </w:t>
            </w:r>
            <w:r>
              <w:lastRenderedPageBreak/>
              <w:t>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lastRenderedPageBreak/>
              <w:t xml:space="preserve">доля негосударственных (немуниципальных) </w:t>
            </w:r>
            <w:r>
              <w:lastRenderedPageBreak/>
              <w:t>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/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/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/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/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/>
        </w:tc>
        <w:tc>
          <w:tcPr>
            <w:tcW w:w="3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/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t>Рынок услуг связи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10.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3"/>
            </w:pPr>
            <w:r>
              <w:t>Рынок услуг социального обслуживания населения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11.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jc w:val="center"/>
              <w:outlineLvl w:val="2"/>
            </w:pPr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12.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 xml:space="preserve"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</w:t>
            </w:r>
            <w:r>
              <w:lastRenderedPageBreak/>
              <w:t>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proofErr w:type="gramStart"/>
            <w:r>
              <w:lastRenderedPageBreak/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</w:t>
            </w:r>
            <w:r>
              <w:lastRenderedPageBreak/>
              <w:t>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>
              <w:t xml:space="preserve"> </w:t>
            </w:r>
            <w:proofErr w:type="gramStart"/>
            <w:r>
              <w:t>объеме</w:t>
            </w:r>
            <w:proofErr w:type="gramEnd"/>
            <w:r>
              <w:t xml:space="preserve"> закупок, осуществляемых в соответствии с Федеральным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13.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соотношение количества приватизированных в 2013 - 2018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/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2013 - 2018 годах, и числа хозяйственных обществ с государственным участием в капитале,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14.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</w:p>
          <w:p w:rsidR="00D50B52" w:rsidRPr="00D50B52" w:rsidRDefault="00D50B52" w:rsidP="00D50B52">
            <w:pPr>
              <w:rPr>
                <w:lang w:eastAsia="ru-RU"/>
              </w:rPr>
            </w:pPr>
          </w:p>
          <w:p w:rsidR="00D50B52" w:rsidRPr="00D50B52" w:rsidRDefault="00D50B52" w:rsidP="00D50B52">
            <w:pPr>
              <w:rPr>
                <w:lang w:eastAsia="ru-RU"/>
              </w:rPr>
            </w:pPr>
          </w:p>
          <w:p w:rsidR="00D50B52" w:rsidRPr="00D50B52" w:rsidRDefault="00D50B52" w:rsidP="00D50B52">
            <w:pPr>
              <w:rPr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  <w:ind w:left="284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proofErr w:type="gramStart"/>
            <w:r>
              <w:t xml:space="preserve"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</w:t>
            </w:r>
            <w:r>
              <w:lastRenderedPageBreak/>
              <w:t>меморандума между органами исполнительной</w:t>
            </w:r>
            <w:proofErr w:type="gramEnd"/>
            <w:r>
              <w:t xml:space="preserve"> власти субъекта Российской Федерации и органами местного самоуправления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proofErr w:type="gramStart"/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  <w:proofErr w:type="gramEnd"/>
          </w:p>
          <w:p w:rsidR="00D50B52" w:rsidRDefault="00D50B52">
            <w:pPr>
              <w:pStyle w:val="ConsPlusNormal"/>
            </w:pPr>
            <w:r>
              <w:t>дошкольное образование;</w:t>
            </w:r>
          </w:p>
          <w:p w:rsidR="00D50B52" w:rsidRDefault="00D50B52">
            <w:pPr>
              <w:pStyle w:val="ConsPlusNormal"/>
            </w:pPr>
            <w:r>
              <w:t>детский отдых и оздоровление;</w:t>
            </w:r>
          </w:p>
          <w:p w:rsidR="00D50B52" w:rsidRDefault="00D50B52">
            <w:pPr>
              <w:pStyle w:val="ConsPlusNormal"/>
            </w:pPr>
            <w:r>
              <w:t>здравоохранение;</w:t>
            </w:r>
          </w:p>
          <w:p w:rsidR="00D50B52" w:rsidRDefault="00D50B52">
            <w:pPr>
              <w:pStyle w:val="ConsPlusNormal"/>
            </w:pPr>
            <w:r>
              <w:t>социальное обслуживание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16.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D50B52" w:rsidRDefault="00D50B52">
            <w:pPr>
              <w:pStyle w:val="ConsPlusNormal"/>
            </w:pPr>
            <w:r>
              <w:t>детский отдых и оздоровление;</w:t>
            </w:r>
          </w:p>
          <w:p w:rsidR="00D50B52" w:rsidRDefault="00D50B52">
            <w:pPr>
              <w:pStyle w:val="ConsPlusNormal"/>
            </w:pPr>
            <w:r>
              <w:t>спорт;</w:t>
            </w:r>
          </w:p>
          <w:p w:rsidR="00D50B52" w:rsidRDefault="00D50B52">
            <w:pPr>
              <w:pStyle w:val="ConsPlusNormal"/>
            </w:pPr>
            <w:r>
              <w:t>здравоохранение;</w:t>
            </w:r>
          </w:p>
          <w:p w:rsidR="00D50B52" w:rsidRDefault="00D50B52">
            <w:pPr>
              <w:pStyle w:val="ConsPlusNormal"/>
            </w:pPr>
            <w:r>
              <w:t>социальное обслуживание;</w:t>
            </w:r>
          </w:p>
          <w:p w:rsidR="00D50B52" w:rsidRDefault="00D50B52">
            <w:pPr>
              <w:pStyle w:val="ConsPlusNormal"/>
            </w:pPr>
            <w:r>
              <w:t>дошкольное образование;</w:t>
            </w:r>
          </w:p>
          <w:p w:rsidR="00D50B52" w:rsidRDefault="00D50B52">
            <w:pPr>
              <w:pStyle w:val="ConsPlusNormal"/>
            </w:pPr>
            <w:r>
              <w:t>культура</w:t>
            </w:r>
          </w:p>
        </w:tc>
      </w:tr>
      <w:tr w:rsidR="00D50B52" w:rsidTr="00D50B52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17.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0B52" w:rsidRDefault="00D50B52">
            <w:pPr>
              <w:pStyle w:val="ConsPlusNormal"/>
            </w:pPr>
            <w:proofErr w:type="gramStart"/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jc w:val="both"/>
      </w:pPr>
    </w:p>
    <w:p w:rsidR="00D50B52" w:rsidRDefault="00D50B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5033" w:rsidRDefault="00D50B52"/>
    <w:sectPr w:rsidR="00A65033" w:rsidSect="007C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52"/>
    <w:rsid w:val="00037442"/>
    <w:rsid w:val="0006102C"/>
    <w:rsid w:val="000A4506"/>
    <w:rsid w:val="0018659F"/>
    <w:rsid w:val="00336248"/>
    <w:rsid w:val="00514DE2"/>
    <w:rsid w:val="0068468F"/>
    <w:rsid w:val="007355E5"/>
    <w:rsid w:val="00940001"/>
    <w:rsid w:val="00A16106"/>
    <w:rsid w:val="00D50B52"/>
    <w:rsid w:val="00DF06EC"/>
    <w:rsid w:val="00F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716BB6D7486E770765B81D1F2073E4014740D1D46E9E20C51BBD6E9429E7496F2ADEE11DF18A99C85DAA7BB681FAF34F35AEDCFC5E54Bx574P" TargetMode="External"/><Relationship Id="rId13" Type="http://schemas.openxmlformats.org/officeDocument/2006/relationships/hyperlink" Target="consultantplus://offline/ref=454716BB6D7486E770765B81D1F2073E4014740D1D46E9E20C51BBD6E9429E7496F2ADEE11DF18A89D85DAA7BB681FAF34F35AEDCFC5E54Bx574P" TargetMode="External"/><Relationship Id="rId18" Type="http://schemas.openxmlformats.org/officeDocument/2006/relationships/hyperlink" Target="consultantplus://offline/ref=454716BB6D7486E770765B81D1F2073E4014740D1D46E9E20C51BBD6E9429E7496F2ADEE11DF18A89C85DAA7BB681FAF34F35AEDCFC5E54Bx574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4716BB6D7486E770765B81D1F2073E401C77041E4AE9E20C51BBD6E9429E7484F2F5E213DC06A99E908CF6FEx374P" TargetMode="External"/><Relationship Id="rId7" Type="http://schemas.openxmlformats.org/officeDocument/2006/relationships/hyperlink" Target="consultantplus://offline/ref=454716BB6D7486E770765B81D1F2073E4014740D1D46E9E20C51BBD6E9429E7496F2ADEE11DF18A99985DAA7BB681FAF34F35AEDCFC5E54Bx574P" TargetMode="External"/><Relationship Id="rId12" Type="http://schemas.openxmlformats.org/officeDocument/2006/relationships/hyperlink" Target="consultantplus://offline/ref=454716BB6D7486E770765B81D1F2073E4014740D1D46E9E20C51BBD6E9429E7496F2ADEE11DF18A89D85DAA7BB681FAF34F35AEDCFC5E54Bx574P" TargetMode="External"/><Relationship Id="rId17" Type="http://schemas.openxmlformats.org/officeDocument/2006/relationships/hyperlink" Target="consultantplus://offline/ref=454716BB6D7486E770765B81D1F2073E411575051948E9E20C51BBD6E9429E7484F2F5E213DC06A99E908CF6FEx374P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4716BB6D7486E770765B81D1F2073E411575051749E9E20C51BBD6E9429E7484F2F5E213DC06A99E908CF6FEx374P" TargetMode="External"/><Relationship Id="rId20" Type="http://schemas.openxmlformats.org/officeDocument/2006/relationships/hyperlink" Target="consultantplus://offline/ref=454716BB6D7486E770765B81D1F2073E4014740D1D46E9E20C51BBD6E9429E7496F2ADEE11DF18A89B85DAA7BB681FAF34F35AEDCFC5E54Bx574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716BB6D7486E770765B81D1F2073E4014740D1D46E9E20C51BBD6E9429E7496F2ADEE11DF18A99C85DAA7BB681FAF34F35AEDCFC5E54Bx574P" TargetMode="External"/><Relationship Id="rId11" Type="http://schemas.openxmlformats.org/officeDocument/2006/relationships/hyperlink" Target="consultantplus://offline/ref=454716BB6D7486E770765B81D1F2073E4014740D1D46E9E20C51BBD6E9429E7496F2ADEE11DF18A89F85DAA7BB681FAF34F35AEDCFC5E54Bx574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54716BB6D7486E770765B81D1F2073E411575051649E9E20C51BBD6E9429E7496F2ADEE11DF19AC9C85DAA7BB681FAF34F35AEDCFC5E54Bx574P" TargetMode="External"/><Relationship Id="rId23" Type="http://schemas.openxmlformats.org/officeDocument/2006/relationships/hyperlink" Target="consultantplus://offline/ref=454716BB6D7486E770765B81D1F2073E411572071E4CE9E20C51BBD6E9429E7484F2F5E213DC06A99E908CF6FEx374P" TargetMode="External"/><Relationship Id="rId10" Type="http://schemas.openxmlformats.org/officeDocument/2006/relationships/hyperlink" Target="consultantplus://offline/ref=454716BB6D7486E770765B81D1F2073E411479011A4AE9E20C51BBD6E9429E7484F2F5E213DC06A99E908CF6FEx374P" TargetMode="External"/><Relationship Id="rId19" Type="http://schemas.openxmlformats.org/officeDocument/2006/relationships/hyperlink" Target="consultantplus://offline/ref=454716BB6D7486E770765B81D1F2073E401474071949E9E20C51BBD6E9429E7496F2ADEE11DF18A89C85DAA7BB681FAF34F35AEDCFC5E54Bx574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716BB6D7486E770765B81D1F2073E431C78011B4DE9E20C51BBD6E9429E7496F2ADEE11DF1AA19985DAA7BB681FAF34F35AEDCFC5E54Bx574P" TargetMode="External"/><Relationship Id="rId14" Type="http://schemas.openxmlformats.org/officeDocument/2006/relationships/hyperlink" Target="consultantplus://offline/ref=454716BB6D7486E770765B81D1F2073E411575051649E9E20C51BBD6E9429E7496F2ADEC14DD13FDCECADBFBFD3E0CAD36F358ECD0xC7EP" TargetMode="External"/><Relationship Id="rId22" Type="http://schemas.openxmlformats.org/officeDocument/2006/relationships/hyperlink" Target="consultantplus://offline/ref=454716BB6D7486E770765B81D1F2073E41157200174DE9E20C51BBD6E9429E7496F2ADEE11DF1EAE9885DAA7BB681FAF34F35AEDCFC5E54Bx57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10082</Words>
  <Characters>57469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Орлова</dc:creator>
  <cp:lastModifiedBy>Виктория Александровна Орлова</cp:lastModifiedBy>
  <cp:revision>1</cp:revision>
  <dcterms:created xsi:type="dcterms:W3CDTF">2019-01-23T15:59:00Z</dcterms:created>
  <dcterms:modified xsi:type="dcterms:W3CDTF">2019-01-23T16:01:00Z</dcterms:modified>
</cp:coreProperties>
</file>