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B" w:rsidRPr="00067ADB" w:rsidRDefault="00067AD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7ADB" w:rsidRDefault="00067ADB">
      <w:pPr>
        <w:pStyle w:val="ConsPlusNormal"/>
        <w:outlineLvl w:val="0"/>
      </w:pPr>
    </w:p>
    <w:p w:rsidR="00067ADB" w:rsidRDefault="00067ADB">
      <w:pPr>
        <w:pStyle w:val="ConsPlusTitle"/>
        <w:jc w:val="center"/>
        <w:outlineLvl w:val="0"/>
      </w:pPr>
      <w:r>
        <w:t>ГУБЕРНАТОР ЛЕНИНГРАДСКОЙ ОБЛАСТИ</w:t>
      </w:r>
    </w:p>
    <w:p w:rsidR="00067ADB" w:rsidRDefault="00067ADB">
      <w:pPr>
        <w:pStyle w:val="ConsPlusTitle"/>
        <w:jc w:val="center"/>
      </w:pPr>
    </w:p>
    <w:p w:rsidR="00067ADB" w:rsidRDefault="00067ADB">
      <w:pPr>
        <w:pStyle w:val="ConsPlusTitle"/>
        <w:jc w:val="center"/>
      </w:pPr>
      <w:r>
        <w:t>ПОСТАНОВЛЕНИЕ</w:t>
      </w:r>
    </w:p>
    <w:p w:rsidR="00067ADB" w:rsidRDefault="00067ADB">
      <w:pPr>
        <w:pStyle w:val="ConsPlusTitle"/>
        <w:jc w:val="center"/>
      </w:pPr>
      <w:r>
        <w:t>от 11 февраля 2019 г. N 8-пг</w:t>
      </w:r>
    </w:p>
    <w:p w:rsidR="00067ADB" w:rsidRDefault="00067ADB">
      <w:pPr>
        <w:pStyle w:val="ConsPlusTitle"/>
        <w:jc w:val="center"/>
      </w:pPr>
    </w:p>
    <w:p w:rsidR="00067ADB" w:rsidRDefault="00067ADB">
      <w:pPr>
        <w:pStyle w:val="ConsPlusTitle"/>
        <w:jc w:val="center"/>
      </w:pPr>
      <w:r>
        <w:t>О ВНЕСЕНИИ ИЗМЕНЕНИЙ В ПОСТАНОВЛЕНИЕ ГУБЕРНАТОРА</w:t>
      </w:r>
    </w:p>
    <w:p w:rsidR="00067ADB" w:rsidRDefault="00067ADB">
      <w:pPr>
        <w:pStyle w:val="ConsPlusTitle"/>
        <w:jc w:val="center"/>
      </w:pPr>
      <w:r>
        <w:t>ЛЕНИНГРАДСКОЙ ОБЛАСТИ ОТ 12 МАРТА 2018 ГОДА N 10-ПГ</w:t>
      </w:r>
    </w:p>
    <w:p w:rsidR="00067ADB" w:rsidRDefault="00067ADB">
      <w:pPr>
        <w:pStyle w:val="ConsPlusTitle"/>
        <w:jc w:val="center"/>
      </w:pPr>
      <w:r>
        <w:t>"ОБ УТВЕРЖДЕНИИ ПЕРЕЧНЯ ПОКАЗАТЕЛЕЙ ОЦЕНКИ РЕЗУЛЬТАТИВНОСТИ</w:t>
      </w:r>
    </w:p>
    <w:p w:rsidR="00067ADB" w:rsidRDefault="00067ADB">
      <w:pPr>
        <w:pStyle w:val="ConsPlusTitle"/>
        <w:jc w:val="center"/>
      </w:pPr>
      <w:r>
        <w:t>ДЕЯТЕЛЬНОСТИ ГЛАВ АДМИНИСТРАЦИЙ МУНИЦИПАЛЬНЫХ РАЙОНОВ</w:t>
      </w:r>
    </w:p>
    <w:p w:rsidR="00067ADB" w:rsidRDefault="00067ADB">
      <w:pPr>
        <w:pStyle w:val="ConsPlusTitle"/>
        <w:jc w:val="center"/>
      </w:pPr>
      <w:r>
        <w:t>И ГОРОДСКОГО ОКРУГА ЛЕНИНГРАДСКОЙ ОБЛАСТИ "РЕЙТИНГ 47"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 марта 2018 года N 10-пг "Об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"Рейтинг 47" следующие изменения:</w:t>
      </w:r>
    </w:p>
    <w:p w:rsidR="00067ADB" w:rsidRDefault="00067ADB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 1</w:t>
        </w:r>
      </w:hyperlink>
      <w:r>
        <w:t xml:space="preserve"> (Положение о порядке проведения мониторинга результативности деятельности глав администраций муниципальных районов и городского округа Ленинградской области) в </w:t>
      </w:r>
      <w:hyperlink r:id="rId7" w:history="1">
        <w:r>
          <w:rPr>
            <w:color w:val="0000FF"/>
          </w:rPr>
          <w:t>абзаце первом пункта 7</w:t>
        </w:r>
      </w:hyperlink>
      <w:r>
        <w:t xml:space="preserve"> слова "не позднее 5-го" заменить словами "не позднее 15-го";</w:t>
      </w:r>
    </w:p>
    <w:p w:rsidR="00067ADB" w:rsidRDefault="00136B5C">
      <w:pPr>
        <w:pStyle w:val="ConsPlusNormal"/>
        <w:spacing w:before="220"/>
        <w:ind w:firstLine="540"/>
        <w:jc w:val="both"/>
      </w:pPr>
      <w:hyperlink r:id="rId8" w:history="1">
        <w:r w:rsidR="00067ADB">
          <w:rPr>
            <w:color w:val="0000FF"/>
          </w:rPr>
          <w:t>приложение 2</w:t>
        </w:r>
      </w:hyperlink>
      <w:r w:rsidR="00067ADB">
        <w:t xml:space="preserve"> (Перечень показателей оценки результативности деятельности глав администраций муниципальных районов и городского округа Ленинградской области "Рейтинг 47") изложить в редакции согласно </w:t>
      </w:r>
      <w:hyperlink w:anchor="P35" w:history="1">
        <w:r w:rsidR="00067ADB">
          <w:rPr>
            <w:color w:val="0000FF"/>
          </w:rPr>
          <w:t>приложению</w:t>
        </w:r>
      </w:hyperlink>
      <w:r w:rsidR="00067ADB">
        <w:t xml:space="preserve"> к настоящему постановлению.</w:t>
      </w:r>
    </w:p>
    <w:p w:rsidR="00067ADB" w:rsidRDefault="00067ADB">
      <w:pPr>
        <w:pStyle w:val="ConsPlusNormal"/>
        <w:spacing w:before="220"/>
        <w:ind w:firstLine="540"/>
        <w:jc w:val="both"/>
      </w:pPr>
      <w:r>
        <w:t>2. Контроль за исполнением постановления оставляю за собой.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jc w:val="right"/>
      </w:pPr>
      <w:r>
        <w:t>Губернатор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r>
        <w:t>А.Дрозденко</w:t>
      </w: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  <w:outlineLvl w:val="0"/>
      </w:pPr>
      <w:r>
        <w:t>УТВЕРЖДЕН</w:t>
      </w:r>
    </w:p>
    <w:p w:rsidR="00067ADB" w:rsidRDefault="00067ADB">
      <w:pPr>
        <w:pStyle w:val="ConsPlusNormal"/>
        <w:jc w:val="right"/>
      </w:pPr>
      <w:r>
        <w:t>постановлением Губернатора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r>
        <w:t>от 12.03.2018 N 10-пг</w:t>
      </w:r>
    </w:p>
    <w:p w:rsidR="00067ADB" w:rsidRDefault="00067ADB">
      <w:pPr>
        <w:pStyle w:val="ConsPlusNormal"/>
        <w:jc w:val="right"/>
      </w:pPr>
      <w:r>
        <w:t>(в редакции</w:t>
      </w:r>
    </w:p>
    <w:p w:rsidR="00067ADB" w:rsidRDefault="00067ADB">
      <w:pPr>
        <w:pStyle w:val="ConsPlusNormal"/>
        <w:jc w:val="right"/>
      </w:pPr>
      <w:r>
        <w:t>постановления Губернатора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r>
        <w:t>от 11.02.2019 N 8-пг)</w:t>
      </w:r>
    </w:p>
    <w:p w:rsidR="00067ADB" w:rsidRDefault="00067ADB">
      <w:pPr>
        <w:pStyle w:val="ConsPlusNormal"/>
        <w:jc w:val="right"/>
      </w:pPr>
      <w:r>
        <w:t>(приложение)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Title"/>
        <w:jc w:val="center"/>
      </w:pPr>
      <w:bookmarkStart w:id="1" w:name="P35"/>
      <w:bookmarkEnd w:id="1"/>
      <w:r>
        <w:t>ПЕРЕЧЕНЬ</w:t>
      </w:r>
    </w:p>
    <w:p w:rsidR="00067ADB" w:rsidRDefault="00067ADB">
      <w:pPr>
        <w:pStyle w:val="ConsPlusTitle"/>
        <w:jc w:val="center"/>
      </w:pPr>
      <w:r>
        <w:t>ПОКАЗАТЕЛЕЙ ОЦЕНКИ РЕЗУЛЬТАТИВНОСТИ ДЕЯТЕЛЬНОСТИ ГЛАВ</w:t>
      </w:r>
    </w:p>
    <w:p w:rsidR="00067ADB" w:rsidRDefault="00067ADB">
      <w:pPr>
        <w:pStyle w:val="ConsPlusTitle"/>
        <w:jc w:val="center"/>
      </w:pPr>
      <w:r>
        <w:t>АДМИНИСТРАЦИЙ МУНИЦИПАЛЬНЫХ РАЙОНОВ И ГОРОДСКОГО ОКРУГА</w:t>
      </w:r>
    </w:p>
    <w:p w:rsidR="00067ADB" w:rsidRDefault="00067ADB">
      <w:pPr>
        <w:pStyle w:val="ConsPlusTitle"/>
        <w:jc w:val="center"/>
      </w:pPr>
      <w:r>
        <w:t>ЛЕНИНГРАДСКОЙ ОБЛАСТИ "РЕЙТИНГ 47"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sectPr w:rsidR="00067ADB" w:rsidSect="00523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361"/>
        <w:gridCol w:w="2494"/>
        <w:gridCol w:w="2324"/>
        <w:gridCol w:w="5159"/>
      </w:tblGrid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  <w:jc w:val="center"/>
            </w:pPr>
            <w: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  <w:jc w:val="center"/>
            </w:pPr>
            <w:r>
              <w:t>6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1. Управление и финансы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просроченной кредиторской задолженности на 1-е число месяца, следующего за отчетным кварталом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Соответствие размещенной информации на сайте возглавляемого органа местного самоуправления требованиям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муниципальных услуг, предоставленных заявителям посредством многофункциональных центров, в общем числе обращений (за исключением </w:t>
            </w:r>
            <w:r>
              <w:lastRenderedPageBreak/>
              <w:t>услуг, предоставленных в электронном виде)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[60%-80%)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 xml:space="preserve">Комитет экономического развития и инвестиционной деятельности Ленинградской </w:t>
            </w:r>
            <w:r>
              <w:lastRenderedPageBreak/>
              <w:t>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lastRenderedPageBreak/>
              <w:t>S = Умфц / (Уобщ - Уэл) / К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S - значение показателя;</w:t>
            </w:r>
          </w:p>
          <w:p w:rsidR="00067ADB" w:rsidRDefault="00067ADB">
            <w:pPr>
              <w:pStyle w:val="ConsPlusNormal"/>
            </w:pPr>
            <w:r>
              <w:t>Умфц - количество муниципальных услуг, предоставленных заявителям посредством многофункциональных центров;</w:t>
            </w:r>
          </w:p>
          <w:p w:rsidR="00067ADB" w:rsidRDefault="00067ADB">
            <w:pPr>
              <w:pStyle w:val="ConsPlusNormal"/>
            </w:pPr>
            <w:r>
              <w:lastRenderedPageBreak/>
              <w:t>Уобщ - общее количество муниципальных услуг, предоставленных заявителям на территории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Уэл - количество муниципальных услуг, предоставленных заявителям</w:t>
            </w:r>
          </w:p>
          <w:p w:rsidR="00067ADB" w:rsidRDefault="00067ADB">
            <w:pPr>
              <w:pStyle w:val="ConsPlusNormal"/>
            </w:pPr>
            <w:r>
              <w:t>на территории муниципального района (городского округа) в электронном виде;</w:t>
            </w:r>
          </w:p>
          <w:p w:rsidR="00067ADB" w:rsidRDefault="00067ADB">
            <w:pPr>
              <w:pStyle w:val="ConsPlusNormal"/>
            </w:pPr>
            <w:r>
              <w:t>К - целевой коэффициент на отчетный год - устанавливается приказом Комитета экономического развития и инвестиционной деятельности Ленинградской области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&gt;=50%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[35%-50%)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[15%-35%)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[1%-15%)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Р = Нпольз / Нвзр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Р - значение показателя;</w:t>
            </w:r>
          </w:p>
          <w:p w:rsidR="00067ADB" w:rsidRDefault="00067ADB">
            <w:pPr>
              <w:pStyle w:val="ConsPlusNormal"/>
            </w:pPr>
            <w:r>
              <w:t>Нпольз - численность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области;</w:t>
            </w:r>
          </w:p>
          <w:p w:rsidR="00067ADB" w:rsidRDefault="00067ADB">
            <w:pPr>
              <w:pStyle w:val="ConsPlusNormal"/>
            </w:pPr>
            <w:r>
              <w:t>Нвзр - общая численность жителей муниципального района (городского округа) старше 14 лет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нарушений сроков ответа на межведомственные электронные запросы, поступающие посредством системы межведомственного электронного взаимодействия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Перечень видов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 установлен распоряжениями Правительства Российской Федерации от 29 июня 2012 года </w:t>
            </w:r>
            <w:hyperlink r:id="rId10" w:history="1">
              <w:r>
                <w:rPr>
                  <w:color w:val="0000FF"/>
                </w:rPr>
                <w:t>N 1123-р</w:t>
              </w:r>
            </w:hyperlink>
            <w:r>
              <w:t xml:space="preserve">, от 23 января 2015 года </w:t>
            </w:r>
            <w:hyperlink r:id="rId11" w:history="1">
              <w:r>
                <w:rPr>
                  <w:color w:val="0000FF"/>
                </w:rPr>
                <w:t>N 96-р</w:t>
              </w:r>
            </w:hyperlink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2. Управление муниципальными земельными ресурсами и муниципальным имуществом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поселений, имеющих утвержденные генеральные планы применительно ко всей территории поселения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[90%-100%)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[80%-90%)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[70%-80%)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К = Пп / По x 100% &lt;1&gt;,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показателя,</w:t>
            </w:r>
          </w:p>
          <w:p w:rsidR="00067ADB" w:rsidRDefault="00067ADB">
            <w:pPr>
              <w:pStyle w:val="ConsPlusNormal"/>
            </w:pPr>
            <w:r>
              <w:t>Пп - доля поселений на территории муниципального района, имеющих утвержденные генеральные планы (изменения в генеральные планы поселений), применительно ко всей территории поселения;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&lt;1&gt; Для городского округа Пп = 1 или 0; По = 1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муниципальных образований, имеющих правила землепользования и застройки применительно ко всей территории поселения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К = Пп / По x 100% &lt;2&gt;,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Пп - доля поселений на территории муниципального района, имеющих утвержденные правила землепользования и застройки, разработанные применительно ко всей территории поселения;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&lt;2&gt; Для городского округа Пп = 1 или 0; По = 1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населенных пунктов, сведения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[60%-80%)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Пп / По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Пп - количество населенных пунктов, сведения о границах которых включены в Единый государственный реестр недвижимости;</w:t>
            </w:r>
          </w:p>
          <w:p w:rsidR="00067ADB" w:rsidRDefault="00067ADB">
            <w:pPr>
              <w:pStyle w:val="ConsPlusNormal"/>
            </w:pPr>
            <w:r>
              <w:t>По - общее количество населенных пунктов в муниципальном районе (городском округе)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территориальных зон, сведения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[60%-80%)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Пп / По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Пп - количество территориальных зон, сведения о границах которых включены в Единый государственный реестр недвижимости;</w:t>
            </w:r>
          </w:p>
          <w:p w:rsidR="00067ADB" w:rsidRDefault="00067ADB">
            <w:pPr>
              <w:pStyle w:val="ConsPlusNormal"/>
            </w:pPr>
            <w:r>
              <w:t>По - общее количество территориальных зон в муниципальном районе (городском округе)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Наличие программ комплексного развития систем коммунальной, социальной и транспортной инфраструктур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&gt;=59%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[30%-59%)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[20%-30%)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[10%-20%)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К = Пп / По x 100% &lt;3&gt;,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Пп - количество поселений на территории муниципального района, имеющих утвержденные программы комплексного развития систем коммунальной, социальной и транспортной инфраструктур;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&lt;3&gt; Для городского округа Пп = 1 или 0; По = 1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вовлеченных в сельскохозяйственный оборот неиспользуемых сельскохозяйственных угодий от общей площади неиспользуемых сельскохозяйственных угодий муниципального района (городского округа), выявленных по результатам проведения муниципального земельного контроля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[20%-30%)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[10%-20%)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[0,1%-10%)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Дв = Sвовл / Sвыявл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Дв - значение показателя;</w:t>
            </w:r>
          </w:p>
          <w:p w:rsidR="00067ADB" w:rsidRDefault="00067ADB">
            <w:pPr>
              <w:pStyle w:val="ConsPlusNormal"/>
            </w:pPr>
            <w:r>
              <w:t>Sвовл - площадь вовлеченных в сельскохозяйственный оборот (в отчетном году) неиспользуемых сельскохозяйственных угодий, выявленных по результатам проведения муниципального земельного контроля;</w:t>
            </w:r>
          </w:p>
          <w:p w:rsidR="00067ADB" w:rsidRDefault="00067ADB">
            <w:pPr>
              <w:pStyle w:val="ConsPlusNormal"/>
            </w:pPr>
            <w:r>
              <w:t>Sвыявл - общая площадь неиспользуемых сельскохозяйственных угодий, выявленных по результатам проведения муниципального земельного контроля (на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освобожденных земельных площадей от засоренности борщевиком Сосновского от общей площади муниципального района (городского округа), засоренной борщевиком Сосновского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&gt;=10%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[6%-10%)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[2,6%-6%)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[0,1%-2,6%)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До = Sпров / Sзасор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До - значение показателя;</w:t>
            </w:r>
          </w:p>
          <w:p w:rsidR="00067ADB" w:rsidRDefault="00067ADB">
            <w:pPr>
              <w:pStyle w:val="ConsPlusNormal"/>
            </w:pPr>
            <w:r>
              <w:t>Sпров - площадь муниципального района (городского округа), на которой проводились работы по освобождению от засоренности борщевиком Сосновского в отчетном году;</w:t>
            </w:r>
          </w:p>
          <w:p w:rsidR="00067ADB" w:rsidRDefault="00067ADB">
            <w:pPr>
              <w:pStyle w:val="ConsPlusNormal"/>
            </w:pPr>
            <w:r>
              <w:t>Sзасор - общая площадь муниципального района (городского округа), засоренная борщевиком Сосновского (на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(городского 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&gt;=60%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[10%-20%)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 = Sналог / Sобщ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r>
              <w:t>Sналог - площадь всех земельных участков согласно сведениям Единого государственного реестра недвижимости, имеющих кадастровую стоимость и правообладателя;</w:t>
            </w:r>
          </w:p>
          <w:p w:rsidR="00067ADB" w:rsidRDefault="00067ADB">
            <w:pPr>
              <w:pStyle w:val="ConsPlusNormal"/>
            </w:pPr>
            <w:r>
              <w:t>Sобщ - общая площадь земель в границах муниципального района (городского округа) (в соответствии с данными государственной статистической отчетности по состоянию 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Наличие во всех муниципальных образованиях, расположенных на территории муниципального района (городского округа), утвержденных перечней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Показатель рассчитывается на основании информации, представленной в комитет по развитию малого, среднего бизнеса и потребительского рынка Ленинградской области в соответствии с требованиями </w:t>
            </w:r>
            <w:hyperlink r:id="rId12" w:history="1">
              <w:r>
                <w:rPr>
                  <w:color w:val="0000FF"/>
                </w:rPr>
                <w:t>пункта 4</w:t>
              </w:r>
            </w:hyperlink>
            <w:r>
              <w:t xml:space="preserve">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утвержденного приказом Минэкономразвития России от 20 апреля 2016 года N 264.</w:t>
            </w:r>
          </w:p>
          <w:p w:rsidR="00067ADB" w:rsidRDefault="00067ADB">
            <w:pPr>
              <w:pStyle w:val="ConsPlusNormal"/>
            </w:pPr>
            <w:r>
              <w:t>Для муниципальных районов оценка осуществляется на основании наличия утвержденных перечней имущества во всех муниципальных образованиях: муниципальный район, городские и сельские поселения. В случае отсутствия утвержденных перечней имущества в отдельных муниципальных образованиях проставляется целевое значение показателя "нет".</w:t>
            </w:r>
          </w:p>
          <w:p w:rsidR="00067ADB" w:rsidRDefault="00067ADB">
            <w:pPr>
              <w:pStyle w:val="ConsPlusNormal"/>
            </w:pPr>
            <w:r>
              <w:t>Для городского округа оценка осуществляется на основании наличия или отсутствия утвержденного перечня имущества городского округа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3. Экономика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При рейтинге:</w:t>
            </w:r>
          </w:p>
          <w:p w:rsidR="00067ADB" w:rsidRDefault="00067ADB">
            <w:pPr>
              <w:pStyle w:val="ConsPlusNormal"/>
              <w:jc w:val="center"/>
            </w:pPr>
            <w:r>
              <w:t>1-4 - 4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5-9 - 3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10-14 - 2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15-17 - 1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18 - 0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Оценивается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стратегии социально-экономического развития.</w:t>
            </w:r>
          </w:p>
          <w:p w:rsidR="00067ADB" w:rsidRDefault="00067ADB">
            <w:pPr>
              <w:pStyle w:val="ConsPlusNormal"/>
            </w:pPr>
            <w:r>
              <w:t>Средняя оценка качества стратегии (STR) рассчитывается как среднеарифметическое значение по критериям: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Ленинградской области, наличие ресурсного обеспечения и механизмов контроля и реализации.</w:t>
            </w:r>
          </w:p>
          <w:p w:rsidR="00067ADB" w:rsidRDefault="00067ADB">
            <w:pPr>
              <w:pStyle w:val="ConsPlusNormal"/>
            </w:pPr>
            <w:r>
              <w:t>Средняя оценка качества плана мероприятий (PLAN) рассчитывается как среднеарифметическое значение по критериям: полнота содержания (структура), наличие ресурсного обеспечения, соответствие направлениям стратегии социально-экономического развития.</w:t>
            </w:r>
          </w:p>
          <w:p w:rsidR="00067ADB" w:rsidRDefault="00067ADB">
            <w:pPr>
              <w:pStyle w:val="ConsPlusNormal"/>
            </w:pPr>
            <w:r>
              <w:t>Для расчета общей оценки качества документов стратегического планирования муниципального образования используются весовые коэффициенты: весовой коэффициент оценки качества стратегии в общей оценке (KSTR) - 1,25; весовой коэффициент оценки качества плана мероприятий в общей оценке (KPLAN) - 1,15. Общая оценка качества документов стратегического планирования муниципального образования (рейтинг) рассчитывается по формуле:</w:t>
            </w:r>
          </w:p>
          <w:p w:rsidR="00067ADB" w:rsidRPr="00067ADB" w:rsidRDefault="00067ADB">
            <w:pPr>
              <w:pStyle w:val="ConsPlusNormal"/>
              <w:rPr>
                <w:lang w:val="en-US"/>
              </w:rPr>
            </w:pPr>
            <w:r w:rsidRPr="00067ADB">
              <w:rPr>
                <w:lang w:val="en-US"/>
              </w:rPr>
              <w:t>Q = DOC x (STR x KSTR + PLAN x KPLAN),</w:t>
            </w:r>
          </w:p>
          <w:p w:rsidR="00067ADB" w:rsidRDefault="00067ADB">
            <w:pPr>
              <w:pStyle w:val="ConsPlusNormal"/>
            </w:pPr>
            <w:r>
              <w:t>где DOC - наличие документов стратегического планирования муниципального образования не старше 6 лет (DOC = 1 - есть документы, DOC = 0 - нет документов)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Эффективность работы по содействию развитию конкуренции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136B5C">
            <w:pPr>
              <w:pStyle w:val="ConsPlusNormal"/>
              <w:jc w:val="center"/>
            </w:pPr>
            <w:r>
              <w:rPr>
                <w:position w:val="-5"/>
              </w:rPr>
              <w:pict>
                <v:shape id="_x0000_i1025" style="width:13.5pt;height:16.5pt" coordsize="" o:spt="100" adj="0,,0" path="" filled="f" stroked="f">
                  <v:stroke joinstyle="miter"/>
                  <v:imagedata r:id="rId13" o:title="base_25_209388_32768"/>
                  <v:formulas/>
                  <v:path o:connecttype="segments"/>
                </v:shape>
              </w:pict>
            </w:r>
            <w:r w:rsidR="00067ADB">
              <w:t xml:space="preserve"> п. 1, п. 2, п. 3, п. 4, п. 5, п. 6, п. 7, п. 8 методики расчета - от 0 до 4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Мониторинг проводится ежегодно исходя из показателей: 1) наличие соглашения между Комитетом и администрацией муниципального образования Ленинградской области о внедрении Стандарта развития конкуренции в Ленинградской области - 0,25 балла;</w:t>
            </w:r>
          </w:p>
          <w:p w:rsidR="00067ADB" w:rsidRDefault="00067ADB">
            <w:pPr>
              <w:pStyle w:val="ConsPlusNormal"/>
            </w:pPr>
            <w:r>
              <w:t>2) наличие в органе местного самоуправления муниципального образования структурного подразделения, уполномоченного на реализацию мероприятий по содействию развитию конкуренции, - 0,25 балла;</w:t>
            </w:r>
          </w:p>
          <w:p w:rsidR="00067ADB" w:rsidRDefault="00067ADB">
            <w:pPr>
              <w:pStyle w:val="ConsPlusNormal"/>
            </w:pPr>
            <w:r>
              <w:t>3) наличие утвержденного перечня социально значимых и приоритетных рынков для содействия развитию конкуренции - 0,5 балла;</w:t>
            </w:r>
          </w:p>
          <w:p w:rsidR="00067ADB" w:rsidRDefault="00067ADB">
            <w:pPr>
              <w:pStyle w:val="ConsPlusNormal"/>
            </w:pPr>
            <w:r>
              <w:t>4) наличие утвержденного плана мероприятий ("дорожной карты") по содействию развитию конкуренции на приоритетных и социально значимых рынках муниципального образования с установленными фактическими значениями и целевыми показателями по каждому рынку - 0,5 балла;</w:t>
            </w:r>
          </w:p>
          <w:p w:rsidR="00067ADB" w:rsidRDefault="00067ADB">
            <w:pPr>
              <w:pStyle w:val="ConsPlusNormal"/>
            </w:pPr>
            <w:r>
              <w:t>5) наличие в утвержденном плане мероприятий ("дорожной карте") по содействию развитию конкуренции системных мероприятий по развитию конкурентной среды в муниципальном образовании Ленинградской области - 0,5 балла;</w:t>
            </w:r>
          </w:p>
          <w:p w:rsidR="00067ADB" w:rsidRDefault="00067ADB">
            <w:pPr>
              <w:pStyle w:val="ConsPlusNormal"/>
            </w:pPr>
            <w:r>
              <w:t>6) наличие на официальном сайте муниципального образования раздела, посвященного стандарту развития конкуренции в муниципальном образовании, и поддержание его в актуальном состоянии - 0,5 балла;</w:t>
            </w:r>
          </w:p>
          <w:p w:rsidR="00067ADB" w:rsidRDefault="00067ADB">
            <w:pPr>
              <w:pStyle w:val="ConsPlusNormal"/>
            </w:pPr>
            <w:r>
              <w:t>7) проведение мониторинга состояния и развития конкурентной среды на рынках товаров, работ и услуг муниципального образования - 0,5 балла.</w:t>
            </w:r>
          </w:p>
          <w:p w:rsidR="00067ADB" w:rsidRDefault="00067ADB">
            <w:pPr>
              <w:pStyle w:val="ConsPlusNormal"/>
            </w:pPr>
            <w:r>
              <w:t>Результаты мониторинга должны включать сформированный реестр хозяйствующих субъектов, доля участия муниципального образования в которых составляет 50 и более процентов;</w:t>
            </w:r>
          </w:p>
          <w:p w:rsidR="00067ADB" w:rsidRDefault="00067ADB">
            <w:pPr>
              <w:pStyle w:val="ConsPlusNormal"/>
            </w:pPr>
            <w:r>
              <w:t>8) 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год, - &gt;=50% - 1 балл, &lt;50% - 0 баллов.</w:t>
            </w:r>
          </w:p>
          <w:p w:rsidR="00067ADB" w:rsidRDefault="00067ADB">
            <w:pPr>
              <w:pStyle w:val="ConsPlusNormal"/>
            </w:pPr>
            <w:r>
              <w:t>Расчет значения показателя "Доля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год" осуществляется по формуле:</w:t>
            </w:r>
          </w:p>
          <w:p w:rsidR="00067ADB" w:rsidRDefault="00136B5C">
            <w:pPr>
              <w:pStyle w:val="ConsPlusNormal"/>
            </w:pPr>
            <w:r>
              <w:rPr>
                <w:position w:val="-50"/>
              </w:rPr>
              <w:pict>
                <v:shape id="_x0000_i1026" style="width:202.5pt;height:61.5pt" coordsize="" o:spt="100" adj="0,,0" path="" filled="f" stroked="f">
                  <v:stroke joinstyle="miter"/>
                  <v:imagedata r:id="rId14" o:title="base_25_209388_32769"/>
                  <v:formulas/>
                  <v:path o:connecttype="segments"/>
                </v:shape>
              </w:pict>
            </w:r>
          </w:p>
          <w:p w:rsidR="00067ADB" w:rsidRDefault="00067ADB">
            <w:pPr>
              <w:pStyle w:val="ConsPlusNormal"/>
            </w:pPr>
            <w:r>
              <w:t>Y - значение каждого достигнутого контрольного показателя;</w:t>
            </w:r>
          </w:p>
          <w:p w:rsidR="00067ADB" w:rsidRDefault="00067ADB">
            <w:pPr>
              <w:pStyle w:val="ConsPlusNormal"/>
            </w:pPr>
            <w:r>
              <w:t>П(кон.) - значение контрольного показателя в муниципальном образовании на конец отчетного периода (на конец отчетного года);</w:t>
            </w:r>
          </w:p>
          <w:p w:rsidR="00067ADB" w:rsidRDefault="00067ADB">
            <w:pPr>
              <w:pStyle w:val="ConsPlusNormal"/>
            </w:pPr>
            <w:r>
              <w:t>П(нач.) - значение контрольного показателя в муниципальном образовании на начало отчетного периода (на начало отчетного года);</w:t>
            </w:r>
          </w:p>
          <w:p w:rsidR="00067ADB" w:rsidRDefault="00067ADB">
            <w:pPr>
              <w:pStyle w:val="ConsPlusNormal"/>
            </w:pPr>
            <w:r>
              <w:t>П(цел.) - целевое значение контрольного показателя, установленного в плане мероприятий ("дорожной карте") по содействию развитию конкуренции в муниципальном образовании в отчетном периоде (в отчетном году);</w:t>
            </w:r>
          </w:p>
          <w:p w:rsidR="00067ADB" w:rsidRDefault="00067ADB">
            <w:pPr>
              <w:pStyle w:val="ConsPlusNormal"/>
            </w:pPr>
            <w:r>
              <w:t>n - количество контрольных показателей, установленных в плане мероприятий ("дорожной карте") по содействию развитию конкуренции в муниципальном образовании;</w:t>
            </w:r>
          </w:p>
          <w:p w:rsidR="00067ADB" w:rsidRDefault="00067ADB">
            <w:pPr>
              <w:pStyle w:val="ConsPlusNormal"/>
            </w:pPr>
            <w:r>
              <w:t>X - значение доли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(в процентах)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Организация и проведение заседаний советов директоров (руководителей) предприятий и организаций производственной сферы,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Наличие на сайтах муниципальных районов (городского округа) актуального раздела, посвященного описанию инвестиционного климата в муниципальном районе (городском округе)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136B5C">
            <w:pPr>
              <w:pStyle w:val="ConsPlusNormal"/>
              <w:jc w:val="center"/>
            </w:pPr>
            <w:r>
              <w:rPr>
                <w:position w:val="-5"/>
              </w:rPr>
              <w:pict>
                <v:shape id="_x0000_i1027" style="width:13.5pt;height:16.5pt" coordsize="" o:spt="100" adj="0,,0" path="" filled="f" stroked="f">
                  <v:stroke joinstyle="miter"/>
                  <v:imagedata r:id="rId15" o:title="base_25_209388_32770"/>
                  <v:formulas/>
                  <v:path o:connecttype="segments"/>
                </v:shape>
              </w:pict>
            </w:r>
            <w:r w:rsidR="00067ADB">
              <w:t xml:space="preserve"> п. 1, п. 2, п. 3, п. 4, п. 5 методики расчета - от 0 до 4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Мониторинг проводится ежеквартально на первое число месяца, следующего за отчетным кварталом, исходя из показателей:</w:t>
            </w:r>
          </w:p>
          <w:p w:rsidR="00067ADB" w:rsidRDefault="00067ADB">
            <w:pPr>
              <w:pStyle w:val="ConsPlusNormal"/>
            </w:pPr>
            <w:r>
              <w:t>1) наличие в разделе, посвященном описанию инвестиционного климата (далее - раздел), информации о контрольно-надзорной деятельности (список органов муниципального контроля, перечень нормативных правовых актов, регулирующих муниципальные виды контроля, механизмы дистанционного взаимодействия "горячая линия" для обращения представителей бизнес-сообщества в органы местного самоуправления) - 1 балл;</w:t>
            </w:r>
          </w:p>
          <w:p w:rsidR="00067ADB" w:rsidRDefault="00067ADB">
            <w:pPr>
              <w:pStyle w:val="ConsPlusNormal"/>
            </w:pPr>
            <w:r>
              <w:t>2) наличие активной ссылки на инвестиционный портал Ленинградской области и интегрированную информационную систему ИРИС - 0,5 балла;</w:t>
            </w:r>
          </w:p>
          <w:p w:rsidR="00067ADB" w:rsidRDefault="00067ADB">
            <w:pPr>
              <w:pStyle w:val="ConsPlusNormal"/>
            </w:pPr>
            <w:r>
              <w:t>3) наличие в разделе новостной ленты. Размещение материалов, посвященных улучшению инвестиционного климата муниципального образования, - 1 балл;</w:t>
            </w:r>
          </w:p>
          <w:p w:rsidR="00067ADB" w:rsidRDefault="00067ADB">
            <w:pPr>
              <w:pStyle w:val="ConsPlusNormal"/>
            </w:pPr>
            <w:r>
              <w:t>4) 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 - 1 балл;</w:t>
            </w:r>
          </w:p>
          <w:p w:rsidR="00067ADB" w:rsidRDefault="00067ADB">
            <w:pPr>
              <w:pStyle w:val="ConsPlusNormal"/>
            </w:pPr>
            <w:r>
              <w:t>5) ежегодный опрос представителей бизнеса о состоянии инвестиционного климата в муниципальном районе (городском округе) - 0,5 балла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планового показателя по оказанию мер поддержки (финансовая, имущественная, консультационная поддержка и обучение) субъектам малого и среднего предпринимательства в общем числе субъектов малого и среднего предпринимательства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 = Двосп / Добщ / Дпл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r>
              <w:t>Двосп - количество уникальных субъектов малого и среднего предпринимательства, воспользовавшихся мерами муниципальной поддержки (финансовая, имущественная, консультационная поддержка и обучение), предоставленными в муниципальном районе (городском округе);</w:t>
            </w:r>
          </w:p>
          <w:p w:rsidR="00067ADB" w:rsidRDefault="00067ADB">
            <w:pPr>
              <w:pStyle w:val="ConsPlusNormal"/>
            </w:pPr>
            <w:r>
              <w:t>Добщ - общее число субъектов малого и среднего предпринимательства в муниципальном районе (городском округе);</w:t>
            </w:r>
          </w:p>
          <w:p w:rsidR="00067ADB" w:rsidRDefault="00067ADB">
            <w:pPr>
              <w:pStyle w:val="ConsPlusNormal"/>
            </w:pPr>
            <w:r>
              <w:t>Дпл - плановое значение:</w:t>
            </w:r>
          </w:p>
          <w:p w:rsidR="00067ADB" w:rsidRDefault="00067ADB">
            <w:pPr>
              <w:pStyle w:val="ConsPlusNormal"/>
            </w:pPr>
            <w:r>
              <w:t>1 квартал - 0,0175, полугодие - 0,035,</w:t>
            </w:r>
          </w:p>
          <w:p w:rsidR="00067ADB" w:rsidRDefault="00067ADB">
            <w:pPr>
              <w:pStyle w:val="ConsPlusNormal"/>
            </w:pPr>
            <w:r>
              <w:t>9 месяцев - 0,0525, год - 0,09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муниципальных контрактов, заключенных у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плановым заданиям: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 = До / Дс / Дпл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r>
              <w:t>До - 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(при наличии заполненного поля "Статус поставщика" в АЦК Госзаказ Ленинградской области);</w:t>
            </w:r>
          </w:p>
          <w:p w:rsidR="00067ADB" w:rsidRDefault="00067ADB">
            <w:pPr>
              <w:pStyle w:val="ConsPlusNormal"/>
            </w:pPr>
            <w:r>
              <w:t xml:space="preserve">Дс - совокупный годовой объем закупок, рассчитанный за вычетом закупок, предусмотренных </w:t>
            </w:r>
            <w:hyperlink r:id="rId1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от 5 апреля 2013 года N 44-ФЗ;</w:t>
            </w:r>
          </w:p>
          <w:p w:rsidR="00067ADB" w:rsidRDefault="00067ADB">
            <w:pPr>
              <w:pStyle w:val="ConsPlusNormal"/>
            </w:pPr>
            <w:r>
              <w:t>Дпл - плановое значение:</w:t>
            </w:r>
          </w:p>
          <w:p w:rsidR="00067ADB" w:rsidRDefault="00067ADB">
            <w:pPr>
              <w:pStyle w:val="ConsPlusNormal"/>
            </w:pPr>
            <w:r>
              <w:t>1 квартал - 0,07, полугодие 0,15,</w:t>
            </w:r>
          </w:p>
          <w:p w:rsidR="00067ADB" w:rsidRDefault="00067ADB">
            <w:pPr>
              <w:pStyle w:val="ConsPlusNormal"/>
            </w:pPr>
            <w:r>
              <w:t>9 месяцев - 0,25, год - 0,3.</w:t>
            </w:r>
          </w:p>
          <w:p w:rsidR="00067ADB" w:rsidRDefault="00067ADB">
            <w:pPr>
              <w:pStyle w:val="ConsPlusNormal"/>
            </w:pPr>
            <w:r>
              <w:t>Расчет показателя осуществляется комитетом по развитию малого, среднего бизнеса и потребительского рынка Ленинградской области по данным АЦК Госзаказ Ленинградской области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плановых значений по фактической обеспеченности торговыми местами на ярмарках в муниципальном районе (городском округе)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Тмф / Чн / Дпл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Тмф - число фактически использованных торговых мест на ярмарках в муниципальном районе (городском округе) с учетом дней торговли;</w:t>
            </w:r>
          </w:p>
          <w:p w:rsidR="00067ADB" w:rsidRDefault="00067ADB">
            <w:pPr>
              <w:pStyle w:val="ConsPlusNormal"/>
            </w:pPr>
            <w:r>
              <w:t>Чн - численность населения муниципального района (городского округа) в тыс. человек;</w:t>
            </w:r>
          </w:p>
          <w:p w:rsidR="00067ADB" w:rsidRDefault="00067ADB">
            <w:pPr>
              <w:pStyle w:val="ConsPlusNormal"/>
            </w:pPr>
            <w:r>
              <w:t>Дпл - плановое значение:</w:t>
            </w:r>
          </w:p>
          <w:p w:rsidR="00067ADB" w:rsidRDefault="00067ADB">
            <w:pPr>
              <w:pStyle w:val="ConsPlusNormal"/>
            </w:pPr>
            <w:r>
              <w:t>1 квартал - 30 мест/тыс. человек,</w:t>
            </w:r>
          </w:p>
          <w:p w:rsidR="00067ADB" w:rsidRDefault="00067ADB">
            <w:pPr>
              <w:pStyle w:val="ConsPlusNormal"/>
            </w:pPr>
            <w:r>
              <w:t>полугодие - 60 мест/тыс. человек,</w:t>
            </w:r>
          </w:p>
          <w:p w:rsidR="00067ADB" w:rsidRDefault="00067ADB">
            <w:pPr>
              <w:pStyle w:val="ConsPlusNormal"/>
            </w:pPr>
            <w:r>
              <w:t>9 месяцев - 90 мест/тыс. человек,</w:t>
            </w:r>
          </w:p>
          <w:p w:rsidR="00067ADB" w:rsidRDefault="00067ADB">
            <w:pPr>
              <w:pStyle w:val="ConsPlusNormal"/>
            </w:pPr>
            <w:r>
              <w:t>год - 120 мест/тыс. человек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показателя "Количество субъектов малого и среднего предпринимательства (включая индивидуальных предпринимателей) в расчете на 1000 человек населения"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Ксмсп / (Чн / 1000) / Дпл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Ксмсп - количество субъектов малого и среднего предпринимательства, по данным единого реестра субъектов малого и среднего предпринимательства, по состоянию на 10 января текущего календарного года в муниципальном районе (городском округе) (источник - данные ФНС России);</w:t>
            </w:r>
          </w:p>
          <w:p w:rsidR="00067ADB" w:rsidRDefault="00067ADB">
            <w:pPr>
              <w:pStyle w:val="ConsPlusNormal"/>
            </w:pPr>
            <w:r>
              <w:t>Чн - численность постоянного населения в муниципальном районе (городском округе) на 1 января текущего календарного года (источник - данные Петростата);</w:t>
            </w:r>
          </w:p>
          <w:p w:rsidR="00067ADB" w:rsidRDefault="00067ADB">
            <w:pPr>
              <w:pStyle w:val="ConsPlusNormal"/>
            </w:pPr>
            <w:r>
              <w:t xml:space="preserve">Дпл - плановое значение показателя для муниципального района (городского округа), указанное в </w:t>
            </w:r>
            <w:hyperlink r:id="rId1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1 августа 2017 года N 387-р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Выполнение показателя "Численность занятых в сфере малого и среднего предпринимательства, включая индивидуальных предпринимателей"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(Ксч + Кип) / Дпл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Ксч - среднесписочная численность работников малого и среднего предпринимательства, по данным ФНС России, по состоянию на 1 января отчетного календарного года в муниципальном районе (городском округе) в тыс. человек;</w:t>
            </w:r>
          </w:p>
          <w:p w:rsidR="00067ADB" w:rsidRDefault="00067ADB">
            <w:pPr>
              <w:pStyle w:val="ConsPlusNormal"/>
            </w:pPr>
            <w:r>
              <w:t>Кип - число индивидуальных предпринимателей, по данным единого реестра субъектов малого и среднего предпринимательства, по состоянию на 10 января отчетного календарного года в муниципальном районе (городском округе) в тыс. человек;</w:t>
            </w:r>
          </w:p>
          <w:p w:rsidR="00067ADB" w:rsidRDefault="00067ADB">
            <w:pPr>
              <w:pStyle w:val="ConsPlusNormal"/>
            </w:pPr>
            <w:r>
              <w:t>Дпл - плановое значение показателя для муниципального района (городского округа), устанавливается приказом комитета по развитию малого, среднего бизнеса и потребительского рынка Ленинградской области (в тыс. человек)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4. Социальная сфера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инвалидов, переселенных или проживающих в приспособленных жилых помещениях с учетом потребностей инвалидов (в соответствии с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инвалидов"), от общего числа инвалидов, имеющих заключения по результатам обследования жилых помещений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[30%-50%)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Со / Св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Со - число инвалидов, переселенных или проживающих в приспособленных жилых помещениях с учетом потребностей инвалидов;</w:t>
            </w:r>
          </w:p>
          <w:p w:rsidR="00067ADB" w:rsidRDefault="00067ADB">
            <w:pPr>
              <w:pStyle w:val="ConsPlusNormal"/>
            </w:pPr>
            <w:r>
              <w:t xml:space="preserve">Св - общее число инвалидов, имеющих заключения по результатам обследований жилых помещений, проведенных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Обеспеченность медицинских и фармацевтических работников государственных медицинских организаций жилыми помещениями, выделенными муниципальным районом (городским округом)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О = К / Кф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О - значение показателя;</w:t>
            </w:r>
          </w:p>
          <w:p w:rsidR="00067ADB" w:rsidRDefault="00067ADB">
            <w:pPr>
              <w:pStyle w:val="ConsPlusNormal"/>
            </w:pPr>
            <w:r>
              <w:t>К - количество жилых помещений, вновь выделенных для медицинских организаций в отчетный период;</w:t>
            </w:r>
          </w:p>
          <w:p w:rsidR="00067ADB" w:rsidRDefault="00067ADB">
            <w:pPr>
              <w:pStyle w:val="ConsPlusNormal"/>
            </w:pPr>
            <w:r>
              <w:t>Кф - количество физических лиц врачей и средних медицинских работников в медицинских организациях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взрослого населения, прошедшего диспансеризацию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Плановое выполнение:</w:t>
            </w:r>
          </w:p>
          <w:p w:rsidR="00067ADB" w:rsidRDefault="00067ADB">
            <w:pPr>
              <w:pStyle w:val="ConsPlusNormal"/>
              <w:jc w:val="center"/>
            </w:pPr>
            <w:r>
              <w:t>1-й квартал - 18%-25%;</w:t>
            </w:r>
          </w:p>
          <w:p w:rsidR="00067ADB" w:rsidRDefault="00067ADB">
            <w:pPr>
              <w:pStyle w:val="ConsPlusNormal"/>
              <w:jc w:val="center"/>
            </w:pPr>
            <w:r>
              <w:t>полугодие - 43%-50%;</w:t>
            </w:r>
          </w:p>
          <w:p w:rsidR="00067ADB" w:rsidRDefault="00067ADB">
            <w:pPr>
              <w:pStyle w:val="ConsPlusNormal"/>
              <w:jc w:val="center"/>
            </w:pPr>
            <w:r>
              <w:t>9 месяцев - 68%-75%;</w:t>
            </w:r>
          </w:p>
          <w:p w:rsidR="00067ADB" w:rsidRDefault="00067ADB">
            <w:pPr>
              <w:pStyle w:val="ConsPlusNormal"/>
              <w:jc w:val="center"/>
            </w:pPr>
            <w:r>
              <w:t>год - 93%-100%.</w:t>
            </w:r>
          </w:p>
          <w:p w:rsidR="00067ADB" w:rsidRDefault="00067ADB">
            <w:pPr>
              <w:pStyle w:val="ConsPlusNormal"/>
              <w:jc w:val="center"/>
            </w:pPr>
            <w:r>
              <w:t>Исполнение к плановым заданиям:</w:t>
            </w:r>
          </w:p>
          <w:p w:rsidR="00067ADB" w:rsidRDefault="00067ADB">
            <w:pPr>
              <w:pStyle w:val="ConsPlusNormal"/>
              <w:jc w:val="center"/>
            </w:pPr>
            <w:r>
              <w:t>&gt; планового диапазона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&lt; планового диапазона - 0 баллов;</w:t>
            </w:r>
          </w:p>
          <w:p w:rsidR="00067ADB" w:rsidRDefault="00067ADB">
            <w:pPr>
              <w:pStyle w:val="ConsPlusNormal"/>
              <w:jc w:val="center"/>
            </w:pPr>
            <w:r>
              <w:t>в рамках планового диапазона присваивается 0,56 балла за каждый 1% выше нижней границы планового диапазона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 = Дф / Дп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r>
              <w:t>Дф - число лиц, прошедших диспансеризацию по числу выставленных счетов;</w:t>
            </w:r>
          </w:p>
          <w:p w:rsidR="00067ADB" w:rsidRDefault="00067ADB">
            <w:pPr>
              <w:pStyle w:val="ConsPlusNormal"/>
            </w:pPr>
            <w:r>
              <w:t>Дп - плановое число подлежащих диспансеризации (взрослое население)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Обеспеченность населения объектами молодежной политики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кв. м/тыс. чел.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&gt;=30 кв. м/тыс. чел.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 кв. м/тыс. чел. - 30 кв. м/тыс. чел.)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[10 кв. м/тыс. чел. - 20 кв. м/тыс. чел.)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 кв. м/тыс. чел. - 10 кв. м/тыс. чел.)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 кв. м/тыс. чел.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S / C,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S - сумма площадей объектов молодежной политики, в том числе ресурсных добровольческих центров;</w:t>
            </w:r>
          </w:p>
          <w:p w:rsidR="00067ADB" w:rsidRDefault="00067ADB">
            <w:pPr>
              <w:pStyle w:val="ConsPlusNormal"/>
            </w:pPr>
            <w:r>
              <w:t>C - численность населения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&gt;=39,5%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[34%-39,5%)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[29%-34%)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[24%-29%)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&lt;24%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Дз = Чз / Чн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Дз - значение показателя;</w:t>
            </w:r>
          </w:p>
          <w:p w:rsidR="00067ADB" w:rsidRDefault="00067ADB">
            <w:pPr>
              <w:pStyle w:val="ConsPlusNormal"/>
            </w:pPr>
            <w:r>
              <w:t>Чз - численность занимающихся физической культурой и спортом в возрасте от 3 до 79 лет, по данным федерального статистического наблюдения, по форме N 1-ФК;</w:t>
            </w:r>
          </w:p>
          <w:p w:rsidR="00067ADB" w:rsidRDefault="00067ADB">
            <w:pPr>
              <w:pStyle w:val="ConsPlusNormal"/>
            </w:pPr>
            <w:r>
              <w:t>Чн - численность населения муниципального района (городского округа) в возрасте от 3 до 79 лет, по данным Федеральной службы государственной статистики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участников культурно-досуговых формирований в общей численности населения муниципального района (городского округа)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[6%-8%)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[4%-6%)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[2%-4%)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Ду = Чу / Чн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Ду - значение показателя;</w:t>
            </w:r>
          </w:p>
          <w:p w:rsidR="00067ADB" w:rsidRDefault="00067ADB">
            <w:pPr>
              <w:pStyle w:val="ConsPlusNormal"/>
            </w:pPr>
            <w:r>
              <w:t>Чу - число участников культурно-досуговых формирований, по данным федерального статистического наблюдения, по форме N 7-НК федерального статистического наблюдения;</w:t>
            </w:r>
          </w:p>
          <w:p w:rsidR="00067ADB" w:rsidRDefault="00067ADB">
            <w:pPr>
              <w:pStyle w:val="ConsPlusNormal"/>
            </w:pPr>
            <w:r>
              <w:t>Чн - численность населения, по данным Федеральной службы государственной статистики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5. Безопасность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поселений, в которых созданы народные дружины, в общем числе городских и сельских поселений муниципального района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&gt;=75%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[50%-75%)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[25%-50%)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[10%-25%)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Р = А / В x 100% &lt;4&gt;,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Р - значение показателя;</w:t>
            </w:r>
          </w:p>
          <w:p w:rsidR="00067ADB" w:rsidRDefault="00067ADB">
            <w:pPr>
              <w:pStyle w:val="ConsPlusNormal"/>
            </w:pPr>
            <w:r>
              <w:t>А - количество городских и сельских поселений в муниципальном районе, в которых созданы добровольные общественные формирования правоохранительной направленности;</w:t>
            </w:r>
          </w:p>
          <w:p w:rsidR="00067ADB" w:rsidRDefault="00067ADB">
            <w:pPr>
              <w:pStyle w:val="ConsPlusNormal"/>
            </w:pPr>
            <w:r>
              <w:t>В - общее количество городских и сельских поселений в муниципальном районе.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&lt;4&gt; Для городского округа значение показателя не рассчитывается, по показателю присваивается 2 балла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 xml:space="preserve">Доля населенных пунктов муниципального района (городского округа), до которых время следования первых подразделений пожарных формирований не превышает 10 минут или 20 минут, от общего количества населенных пунктов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[60%-80%)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К = (N - (N</w:t>
            </w:r>
            <w:r>
              <w:rPr>
                <w:vertAlign w:val="subscript"/>
              </w:rPr>
              <w:t>1</w:t>
            </w:r>
            <w:r>
              <w:t xml:space="preserve"> + N</w:t>
            </w:r>
            <w:r>
              <w:rPr>
                <w:vertAlign w:val="subscript"/>
              </w:rPr>
              <w:t>2</w:t>
            </w:r>
            <w:r>
              <w:t>)) / N x 100% &lt;5&gt;,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N - общее число населенных пунктов, расположенных на территории муниципального района;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10 минут (для городских населенных пунктов);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20 минут (для сельских населенных пунктов).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&lt;5&gt; Для городского округа значение показателя не рассчитывается, по показателю присваивается 2 балла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Соответствие единой дежурно-диспетчерской службы муниципального образования требованиям, предъявляемым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N 7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Обеспеченность муниципального района (городского округа) нормативно-правовой базой в области гражданской обороны, предупреждения и ликвидации чрезвычайных ситуаций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[60%-80%)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[40%-60%)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[20%-40%)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(N</w:t>
            </w:r>
            <w:r>
              <w:rPr>
                <w:vertAlign w:val="subscript"/>
              </w:rPr>
              <w:t>1</w:t>
            </w:r>
            <w:r>
              <w:t xml:space="preserve"> / N x 100%) x М,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число принятых нормативных правовых актов в области гражданской обороны и предупреждения чрезвычайных ситуаций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N - общее число рекомендованных МЧС России для принятия нормативных правовых актов муниципального района (городского округа) в области гражданской обороны и предупреждения чрезвычайных ситуаций;</w:t>
            </w:r>
          </w:p>
          <w:p w:rsidR="00067ADB" w:rsidRDefault="00067ADB">
            <w:pPr>
              <w:pStyle w:val="ConsPlusNormal"/>
            </w:pPr>
            <w:r>
              <w:t>М - понижающий коэффициент соответствия нормативных правовых актов (далее - НПА) федеральному и региональному законодательству, рассчитанный исходя:</w:t>
            </w:r>
          </w:p>
          <w:p w:rsidR="00067ADB" w:rsidRDefault="00067ADB">
            <w:pPr>
              <w:pStyle w:val="ConsPlusNormal"/>
            </w:pPr>
            <w:r>
              <w:t>[1-2) НПА не соответствует законодательству - 0,9;</w:t>
            </w:r>
          </w:p>
          <w:p w:rsidR="00067ADB" w:rsidRDefault="00067ADB">
            <w:pPr>
              <w:pStyle w:val="ConsPlusNormal"/>
            </w:pPr>
            <w:r>
              <w:t>[2-4) - 0,8; [4-6) - 0,7; [6-8) - 0,6; [8-10) - 0,5; [10-12)-0,4; [12-14) - 0,3; [14-16] - 0,2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мест массового пребывания людей, на которые разработаны паспорта безопасности в соответствии с требованиями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272, от общего их количества, включенных в перечень мест массового пребывания людей, расположенных на территории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[90%-100%)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[80%-90%)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[70%-80%)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P = P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- количество мест массового пребывания людей, на которые разработаны паспорта безопасности в соответствии с требованиями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272;</w:t>
            </w:r>
          </w:p>
          <w:p w:rsidR="00067ADB" w:rsidRDefault="00067AD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- общее количество мест массового пребывания людей, расположенных на территории муниципального района (городского округа), включенных в перечень мест массового пребывания людей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6. Жилищно-коммунальное хозяйство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Своевременность и полнота внесения сведений органами местного самоуправления в государственную информационную систему жилищно-коммунального хозяйства и региональную государственную информационную систему жилищно-коммунального хозяйства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распространении, регулирует 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2014 года N 209-ФЗ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Внесение гражданами платы за жилое помещение и коммунальные услуги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[85%-90%)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[80%-85%)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[75%-80%)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&lt;75%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Сп / Сн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Сп - сумма поступивших платежей за жилое помещение и коммунальные услуги;</w:t>
            </w:r>
          </w:p>
          <w:p w:rsidR="00067ADB" w:rsidRDefault="00067ADB">
            <w:pPr>
              <w:pStyle w:val="ConsPlusNormal"/>
            </w:pPr>
            <w:r>
              <w:t>Сн - сумма начисленных платежей за жилое помещение и коммунальные услуги за отчетный период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Место администраций муниципальных районов (городского округа) в рейтинге администраций муниципальных районов (городского округа) Ленинградской области в области энергосбережения и повышения энергетической эффективности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1-3 место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4-8 место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9-12 место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13-15 место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16-18 место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 формируется согласно распоряжению комитета по топливно-энергетическому комплексу Ленинградской области от 5 апреля 2018 года N 21 "Об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эффективности"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представленных органами местного самоуправления, муниципальными учреждениями муниципального района (городского округа) отчетов в РГИС "Энергоэффективность" и ГИС "Энергоэффективность", от общего количества отчетов, подлежащих представлению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[90%-100%)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[80%-90%)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[70%-80%)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А = N</w:t>
            </w:r>
            <w:r>
              <w:rPr>
                <w:vertAlign w:val="subscript"/>
              </w:rPr>
              <w:t>1</w:t>
            </w:r>
            <w:r>
              <w:t xml:space="preserve"> / N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А - значение показателя;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отчетов, предоставленных органами местного самоуправления, муниципальными учреждениями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N - количество отчетов, которые необходимо предоставить органам местного самоуправления, муниципальным учреждениям муниципального района (городского округа) в РГИС "Энергоэффективность" и ГИС "Энергоэффективность" по итогам отчетного периода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признанных бесхозяйных электрических объектов муниципальной собственностью от общего количества бесхозяйных электрических объектов на территории муниципального района (городского округа)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067ADB" w:rsidRDefault="00067ADB">
            <w:pPr>
              <w:pStyle w:val="ConsPlusNormal"/>
              <w:jc w:val="center"/>
            </w:pPr>
            <w:r>
              <w:t>100% - 4 балла &lt;*&gt;;</w:t>
            </w:r>
          </w:p>
          <w:p w:rsidR="00067ADB" w:rsidRDefault="00067ADB">
            <w:pPr>
              <w:pStyle w:val="ConsPlusNormal"/>
              <w:jc w:val="center"/>
            </w:pPr>
            <w:r>
              <w:t>[75%-100%)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[50%-75%)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[25%-50%)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&lt;25%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  <w:vMerge w:val="restart"/>
          </w:tcPr>
          <w:p w:rsidR="00067ADB" w:rsidRDefault="00067ADB">
            <w:pPr>
              <w:pStyle w:val="ConsPlusNormal"/>
            </w:pPr>
            <w:r>
              <w:t>П = Nбомс / Nбо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П - значение показателя;</w:t>
            </w:r>
          </w:p>
          <w:p w:rsidR="00067ADB" w:rsidRDefault="00067ADB">
            <w:pPr>
              <w:pStyle w:val="ConsPlusNormal"/>
            </w:pPr>
            <w:r>
              <w:t>Nбомс - количество бесхозяйных электрических объектов, поставленных по заявлению органа местного самоуправления на учет органом, осуществляющим государственную регистрацию права на недвижимое имущество;</w:t>
            </w:r>
          </w:p>
          <w:p w:rsidR="00067ADB" w:rsidRDefault="00067ADB">
            <w:pPr>
              <w:pStyle w:val="ConsPlusNormal"/>
            </w:pPr>
            <w:r>
              <w:t>Nбо - количество бесхозяйных электрических объектов на территории муниципального района (городского округа)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tcBorders>
              <w:top w:val="nil"/>
            </w:tcBorders>
          </w:tcPr>
          <w:p w:rsidR="00067ADB" w:rsidRDefault="00067ADB">
            <w:pPr>
              <w:pStyle w:val="ConsPlusNormal"/>
              <w:jc w:val="center"/>
            </w:pPr>
            <w:r>
              <w:t>&lt;*&gt; При отсутствии бесхозяйных электрических объектов - 4 балла</w:t>
            </w:r>
          </w:p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vMerge/>
          </w:tcPr>
          <w:p w:rsidR="00067ADB" w:rsidRDefault="00067ADB"/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7. Комфортная городская среда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благоустроенных территорий муниципального района (городского округа) в рамках реализации приоритетного проекта "Формирование комфортной городской среды" от общего числа территорий, подлежащих благоустройству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&gt;=92%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[75%-92%)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[50%-75%)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[25%-50%)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&lt;25%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Сп</w:t>
            </w:r>
            <w:r>
              <w:rPr>
                <w:vertAlign w:val="subscript"/>
              </w:rPr>
              <w:t>1</w:t>
            </w:r>
            <w:r>
              <w:t xml:space="preserve"> / Сн x 100% x D</w:t>
            </w:r>
            <w:r>
              <w:rPr>
                <w:vertAlign w:val="subscript"/>
              </w:rPr>
              <w:t>1</w:t>
            </w:r>
            <w:r>
              <w:t xml:space="preserve"> + Сп</w:t>
            </w:r>
            <w:r>
              <w:rPr>
                <w:vertAlign w:val="subscript"/>
              </w:rPr>
              <w:t>2</w:t>
            </w:r>
            <w:r>
              <w:t xml:space="preserve"> / Сн x 100% x D</w:t>
            </w:r>
            <w:r>
              <w:rPr>
                <w:vertAlign w:val="subscript"/>
              </w:rPr>
              <w:t>2</w:t>
            </w:r>
            <w:r>
              <w:t xml:space="preserve"> + Сп</w:t>
            </w:r>
            <w:r>
              <w:rPr>
                <w:vertAlign w:val="subscript"/>
              </w:rPr>
              <w:t>3</w:t>
            </w:r>
            <w:r>
              <w:t xml:space="preserve"> / Сн x 100% x D</w:t>
            </w:r>
            <w:r>
              <w:rPr>
                <w:vertAlign w:val="subscript"/>
              </w:rPr>
              <w:t>3</w:t>
            </w:r>
            <w:r>
              <w:t xml:space="preserve"> + Сп</w:t>
            </w:r>
            <w:r>
              <w:rPr>
                <w:vertAlign w:val="subscript"/>
              </w:rPr>
              <w:t>4</w:t>
            </w:r>
            <w:r>
              <w:t xml:space="preserve"> / Сн x 100% x D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1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январе-сентябре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2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октябре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3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ноябре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4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декабре отчетного года;</w:t>
            </w:r>
          </w:p>
          <w:p w:rsidR="00067ADB" w:rsidRDefault="00067ADB">
            <w:pPr>
              <w:pStyle w:val="ConsPlusNormal"/>
            </w:pPr>
            <w:r>
              <w:t>Сн - общее количество территорий муниципального района (городского округа), подлежащих благоустройству в рамках реализации приоритетного проекта "Формирование комфортной городской среды" в отчетном году;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- коэффициент активности для января-сентября отчетного года = 1;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2</w:t>
            </w:r>
            <w:r>
              <w:t xml:space="preserve"> - коэффициент активности для октября отчетного года = 0,78;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 xml:space="preserve"> - коэффициент активности для ноября отчетного года = 0,67;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- коэффициент активности для декабря отчетного года = 0,5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фактически перечисленных денежных средств (заявок на оплату расходов, санкционированных Федеральным казначейством) в рамках реализации приоритетного проекта "Формирование комфортной городской среды", от суммы предельных объемов финансирования, доведенных муниципальным образованиям, входящим в состав муниципального района, городскому округу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&gt;=95%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[80%-95%)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[65%-80%)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[50%-65%)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E</w:t>
            </w:r>
            <w:r>
              <w:rPr>
                <w:vertAlign w:val="subscript"/>
              </w:rPr>
              <w:t>факт</w:t>
            </w:r>
            <w:r>
              <w:t xml:space="preserve"> / E</w:t>
            </w:r>
            <w:r>
              <w:rPr>
                <w:vertAlign w:val="subscript"/>
              </w:rPr>
              <w:t>план</w:t>
            </w:r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факт</w:t>
            </w:r>
            <w:r>
              <w:t xml:space="preserve"> - сумма фактически перечисленных в рамках реализации приоритетного проекта "Формирование комфортной городской среды" денежных средств (заявок городского округа, муниципальных образований, входящих в состав муниципального района, на оплату расходов, санкционированных Федеральным казначейством);</w:t>
            </w:r>
          </w:p>
          <w:p w:rsidR="00067ADB" w:rsidRDefault="00067ADB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план</w:t>
            </w:r>
            <w:r>
              <w:t xml:space="preserve"> - сумма предельных объемов финансирования, доведенных муниципальным образованиям, входящим в состав муниципального района, городскому округу в рамках реализации приоритетного проекта "Формирование комфортной городской среды"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&gt;=95%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[90%-95%)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[85%-90%)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[80%-85%)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&lt;80%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Сп / Сн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 xml:space="preserve">Сп - количество утвержденных правил благоустройства территорий поселений муниципального района, городского округа с учетом методических </w:t>
            </w:r>
            <w:hyperlink r:id="rId23" w:history="1">
              <w:r>
                <w:rPr>
                  <w:color w:val="0000FF"/>
                </w:rPr>
                <w:t>рекомендаций</w:t>
              </w:r>
            </w:hyperlink>
            <w:r>
              <w:t>, утвержденных приказом Министерства строительства и жилищно-коммунального хозяйства Российской Федерации от 13 апреля 2017 года N 711/пр;</w:t>
            </w:r>
          </w:p>
          <w:p w:rsidR="00067ADB" w:rsidRDefault="00067ADB">
            <w:pPr>
              <w:pStyle w:val="ConsPlusNormal"/>
            </w:pPr>
            <w:r>
              <w:t>Сн - общее количество утвержденных правил благоустройства территорий поселений муниципального района, городского округа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и(или) железнодорожного сообщения с административным центром муниципального района (городского округа)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&gt;0,1%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[0,1%-0,5%)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[0,5%-1%)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[1%-1,5%]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&lt;1,5%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Пн / По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Пн - численность населения муниципального района (городского округа), проживающего в населенных пунктах, не обеспеченных регулярным автобусным и(или) железнодорожным сообщением с административным центром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По - общая численность населения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округа), в общем количестве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[30%-50%)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Со / Св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Со - количество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Св - общее количество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(свалок), расположенных на территориях, за которые ответственны органы местного самоуправления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[30%-50%)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Кл / Ки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Кл - количество ликвидированных на территории муниципального образования несанкционированных мест размещения отходов производства и потребления, в том числе твердых коммунальных отходов (свалок);</w:t>
            </w:r>
          </w:p>
          <w:p w:rsidR="00067ADB" w:rsidRDefault="00067ADB">
            <w:pPr>
              <w:pStyle w:val="ConsPlusNormal"/>
            </w:pPr>
            <w:r>
              <w:t>Ки - количество имеющихся на территории муниципального образования несанкционированных мест размещения отходов производства и потребления, в том числе твердых коммунальных отходов (свалок), на начало отчетного периода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частных домовладений, заключивших договоры на сбор и вывоз твердых коммунальных отходов, от общего числа индивидуальных жилых домов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[70%-100%)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[50%-70%)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[30%-50%)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Nд / Nобщ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К - значение показателя;</w:t>
            </w:r>
          </w:p>
          <w:p w:rsidR="00067ADB" w:rsidRDefault="00067ADB">
            <w:pPr>
              <w:pStyle w:val="ConsPlusNormal"/>
            </w:pPr>
            <w:r>
              <w:t>Nд - количество частных домовладений, имеющих договор на сбор и вывоз твердых коммунальных отходов;</w:t>
            </w:r>
          </w:p>
          <w:p w:rsidR="00067ADB" w:rsidRDefault="00067ADB">
            <w:pPr>
              <w:pStyle w:val="ConsPlusNormal"/>
            </w:pPr>
            <w:r>
              <w:t>Nобщ - общее количество частных домовладений в муниципальном районе (городском округе)</w:t>
            </w:r>
          </w:p>
        </w:tc>
      </w:tr>
    </w:tbl>
    <w:p w:rsidR="00067ADB" w:rsidRDefault="00067ADB">
      <w:pPr>
        <w:sectPr w:rsidR="00067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ind w:firstLine="540"/>
        <w:jc w:val="both"/>
      </w:pPr>
      <w:r>
        <w:t>--------------------------------</w:t>
      </w:r>
    </w:p>
    <w:p w:rsidR="00067ADB" w:rsidRDefault="00067ADB">
      <w:pPr>
        <w:pStyle w:val="ConsPlusNormal"/>
        <w:spacing w:before="220"/>
        <w:ind w:firstLine="540"/>
        <w:jc w:val="both"/>
      </w:pPr>
      <w:bookmarkStart w:id="2" w:name="P698"/>
      <w:bookmarkEnd w:id="2"/>
      <w:r>
        <w:t>&lt;*&gt; Формирование данных по показателям - ежегодно.</w:t>
      </w:r>
    </w:p>
    <w:p w:rsidR="00067ADB" w:rsidRDefault="00067ADB">
      <w:pPr>
        <w:pStyle w:val="ConsPlusNormal"/>
      </w:pPr>
    </w:p>
    <w:p w:rsidR="00067ADB" w:rsidRDefault="00067ADB">
      <w:pPr>
        <w:pStyle w:val="ConsPlusNormal"/>
      </w:pPr>
    </w:p>
    <w:p w:rsidR="00067ADB" w:rsidRDefault="00067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136B5C"/>
    <w:sectPr w:rsidR="00FD068E" w:rsidSect="000225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B"/>
    <w:rsid w:val="00067ADB"/>
    <w:rsid w:val="00136B5C"/>
    <w:rsid w:val="00545365"/>
    <w:rsid w:val="006B4BC2"/>
    <w:rsid w:val="00740E0D"/>
    <w:rsid w:val="00822552"/>
    <w:rsid w:val="00C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7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7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1A96D61C26121C80809482F7C5B8840565B4396FB4415164864A340B4974A8C17142720DC73A2C985235BAC21919CCD780934A8450D54q3E6O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8851A96D61C26121C80816593A7C5B88435F5D4997FA4415164864A340B4974A9E174C2B20DF6DA1CB90750AEAq7E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1A96D61C26121C80816593A7C5B88435754479DF74415164864A340B4974A9E174C2B20DF6DA1CB90750AEAq7E4O" TargetMode="External"/><Relationship Id="rId7" Type="http://schemas.openxmlformats.org/officeDocument/2006/relationships/hyperlink" Target="consultantplus://offline/ref=8851A96D61C26121C80809482F7C5B8840565B4396FB4415164864A340B4974A8C17142720DC73A3CD85235BAC21919CCD780934A8450D54q3E6O" TargetMode="External"/><Relationship Id="rId12" Type="http://schemas.openxmlformats.org/officeDocument/2006/relationships/hyperlink" Target="consultantplus://offline/ref=8851A96D61C26121C80816593A7C5B88435F5E4299FA4415164864A340B4974A8C17142720DC73A3CA85235BAC21919CCD780934A8450D54q3E6O" TargetMode="External"/><Relationship Id="rId17" Type="http://schemas.openxmlformats.org/officeDocument/2006/relationships/hyperlink" Target="consultantplus://offline/ref=8851A96D61C26121C80809482F7C5B88405755499CFD4415164864A340B4974A8C17142720DC73A0CB85235BAC21919CCD780934A8450D54q3E6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1A96D61C26121C80816593A7C5B88425E59409FFD4415164864A340B4974A8C17142720DD7BA7C885235BAC21919CCD780934A8450D54q3E6O" TargetMode="External"/><Relationship Id="rId20" Type="http://schemas.openxmlformats.org/officeDocument/2006/relationships/hyperlink" Target="consultantplus://offline/ref=8851A96D61C26121C80816593A7C5B88435754479DF74415164864A340B4974A9E174C2B20DF6DA1CB90750AEAq7E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1A96D61C26121C80809482F7C5B8840565B4396FB4415164864A340B4974A8C17142720DC73A0C885235BAC21919CCD780934A8450D54q3E6O" TargetMode="External"/><Relationship Id="rId11" Type="http://schemas.openxmlformats.org/officeDocument/2006/relationships/hyperlink" Target="consultantplus://offline/ref=8851A96D61C26121C80816593A7C5B88425E5F409EF84415164864A340B4974A9E174C2B20DF6DA1CB90750AEAq7E4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851A96D61C26121C80809482F7C5B8840565B4396FB4415164864A340B4974A9E174C2B20DF6DA1CB90750AEAq7E4O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8851A96D61C26121C80816593A7C5B88435E594797F84415164864A340B4974A8C17142720DC73A1C185235BAC21919CCD780934A8450D54q3E6O" TargetMode="External"/><Relationship Id="rId10" Type="http://schemas.openxmlformats.org/officeDocument/2006/relationships/hyperlink" Target="consultantplus://offline/ref=8851A96D61C26121C80816593A7C5B88435654499AFF4415164864A340B4974A9E174C2B20DF6DA1CB90750AEAq7E4O" TargetMode="External"/><Relationship Id="rId19" Type="http://schemas.openxmlformats.org/officeDocument/2006/relationships/hyperlink" Target="consultantplus://offline/ref=8851A96D61C26121C80816593A7C5B88435F5D4997FA4415164864A340B4974A9E174C2B20DF6DA1CB90750AEAq7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1A96D61C26121C80816593A7C5B8843575A449EFA4415164864A340B4974A9E174C2B20DF6DA1CB90750AEAq7E4O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8851A96D61C26121C80816593A7C5B8843575B409FFB4415164864A340B4974A9E174C2B20DF6DA1CB90750AEAq7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dcterms:created xsi:type="dcterms:W3CDTF">2021-03-09T07:19:00Z</dcterms:created>
  <dcterms:modified xsi:type="dcterms:W3CDTF">2021-03-09T07:19:00Z</dcterms:modified>
</cp:coreProperties>
</file>