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margin" w:tblpXSpec="center" w:vertAnchor="margin" w:tblpY="465" w:leftFromText="180" w:topFromText="0" w:rightFromText="180" w:bottomFromText="0"/>
        <w:tblW w:w="13432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014"/>
        <w:gridCol w:w="2552"/>
        <w:gridCol w:w="1843"/>
        <w:gridCol w:w="1701"/>
        <w:gridCol w:w="1779"/>
        <w:gridCol w:w="1843"/>
        <w:gridCol w:w="850"/>
        <w:gridCol w:w="850"/>
      </w:tblGrid>
      <w:tr>
        <w:tblPrEx/>
        <w:trPr>
          <w:trHeight w:val="576"/>
        </w:trPr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432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b/>
                <w:bCs/>
                <w:color w:val="000000"/>
                <w:sz w:val="22"/>
                <w:szCs w:val="22"/>
                <w:lang w:eastAsia="en-US"/>
              </w:rPr>
              <w:framePr w:hSpace="180" w:wrap="around" w:vAnchor="margin" w:hAnchor="margin" w:xAlign="center" w:y="465"/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Информация за 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9 месяцев 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202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5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год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а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о рассмотрении поступивших в Комитет экономического развития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</w:r>
          </w:p>
          <w:p>
            <w:pPr>
              <w:pStyle w:val="616"/>
              <w:ind w:firstLine="0"/>
              <w:jc w:val="center"/>
              <w:widowControl/>
              <w:rPr>
                <w:b/>
                <w:bCs/>
                <w:color w:val="000000"/>
                <w:sz w:val="22"/>
                <w:szCs w:val="22"/>
                <w:lang w:eastAsia="en-US"/>
              </w:rPr>
              <w:framePr w:hSpace="180" w:wrap="around" w:vAnchor="margin" w:hAnchor="margin" w:xAlign="center" w:y="465"/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и инвестиционной деятельности Л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енинградской области обращений граждан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384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4566" w:type="dxa"/>
            <w:vAlign w:val="top"/>
            <w:vMerge w:val="restart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color w:val="000000"/>
                <w:sz w:val="20"/>
                <w:lang w:eastAsia="en-US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866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color w:val="000000"/>
                <w:sz w:val="20"/>
                <w:lang w:eastAsia="en-US"/>
              </w:rPr>
              <w:t xml:space="preserve">Поступило обращений</w:t>
            </w:r>
            <w:r>
              <w:rPr>
                <w:rFonts w:ascii="Calibri" w:hAnsi="Calibri" w:cs="Tahoma"/>
                <w:color w:val="000000"/>
                <w:sz w:val="20"/>
                <w:lang w:eastAsia="en-US"/>
              </w:rPr>
            </w:r>
          </w:p>
        </w:tc>
      </w:tr>
      <w:tr>
        <w:tblPrEx/>
        <w:trPr>
          <w:trHeight w:val="600"/>
        </w:trPr>
        <w:tc>
          <w:tcPr>
            <w:gridSpan w:val="2"/>
            <w:tcBorders>
              <w:left w:val="single" w:color="000000" w:sz="6" w:space="0"/>
              <w:right w:val="single" w:color="000000" w:sz="6" w:space="0"/>
            </w:tcBorders>
            <w:tcW w:w="4566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color w:val="000000"/>
                <w:sz w:val="20"/>
                <w:lang w:eastAsia="en-US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8016" w:type="dxa"/>
            <w:vAlign w:val="center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color w:val="000000"/>
                <w:sz w:val="20"/>
                <w:lang w:eastAsia="en-US"/>
              </w:rPr>
              <w:t xml:space="preserve">По тематикам</w:t>
            </w:r>
            <w:r>
              <w:rPr>
                <w:rFonts w:ascii="Calibri" w:hAnsi="Calibri" w:cs="Tahoma"/>
                <w:color w:val="000000"/>
                <w:sz w:val="20"/>
                <w:lang w:eastAsia="en-US"/>
              </w:rPr>
            </w:r>
          </w:p>
        </w:tc>
        <w:tc>
          <w:tcPr>
            <w:shd w:val="solid" w:color="ffffff" w:fill="auto"/>
            <w:tcBorders>
              <w:left w:val="single" w:color="000000" w:sz="6" w:space="0"/>
              <w:right w:val="single" w:color="000000" w:sz="6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color w:val="000000"/>
                <w:sz w:val="20"/>
                <w:lang w:eastAsia="en-US"/>
              </w:rPr>
            </w:r>
          </w:p>
        </w:tc>
      </w:tr>
      <w:tr>
        <w:tblPrEx/>
        <w:trPr>
          <w:trHeight w:val="907"/>
        </w:trPr>
        <w:tc>
          <w:tcPr>
            <w:gridSpan w:val="2"/>
            <w:tcBorders>
              <w:left w:val="single" w:color="000000" w:sz="6" w:space="0"/>
              <w:right w:val="single" w:color="000000" w:sz="6" w:space="0"/>
            </w:tcBorders>
            <w:tcW w:w="4566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color w:val="000000"/>
                <w:sz w:val="20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color w:val="000000"/>
                <w:sz w:val="20"/>
                <w:lang w:eastAsia="en-US"/>
              </w:rPr>
              <w:t xml:space="preserve">Оказание </w:t>
            </w:r>
            <w:r>
              <w:rPr>
                <w:rFonts w:ascii="Calibri" w:hAnsi="Calibri" w:cs="Tahoma"/>
                <w:color w:val="000000"/>
                <w:sz w:val="20"/>
                <w:lang w:eastAsia="en-US"/>
              </w:rPr>
              <w:t xml:space="preserve">муниципальных </w:t>
            </w:r>
            <w:r>
              <w:rPr>
                <w:rFonts w:ascii="Calibri" w:hAnsi="Calibri" w:cs="Tahoma"/>
                <w:color w:val="000000"/>
                <w:sz w:val="20"/>
                <w:lang w:eastAsia="en-US"/>
              </w:rPr>
              <w:t xml:space="preserve">услуг</w:t>
            </w:r>
            <w:r>
              <w:rPr>
                <w:rFonts w:ascii="Calibri" w:hAnsi="Calibri" w:cs="Tahoma"/>
                <w:color w:val="000000"/>
                <w:sz w:val="20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color w:val="000000"/>
                <w:sz w:val="20"/>
                <w:lang w:eastAsia="en-US"/>
              </w:rPr>
              <w:t xml:space="preserve">Контроль лицензируемых организаций</w:t>
            </w:r>
            <w:r>
              <w:rPr>
                <w:rFonts w:ascii="Calibri" w:hAnsi="Calibri" w:cs="Tahoma"/>
                <w:color w:val="000000"/>
                <w:sz w:val="20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79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color w:val="000000"/>
                <w:sz w:val="20"/>
                <w:lang w:eastAsia="en-US"/>
              </w:rPr>
              <w:t xml:space="preserve">Инвестиционная политика</w:t>
            </w:r>
            <w:r>
              <w:rPr>
                <w:rFonts w:ascii="Calibri" w:hAnsi="Calibri" w:cs="Tahoma"/>
                <w:color w:val="000000"/>
                <w:sz w:val="20"/>
                <w:lang w:eastAsia="en-US"/>
              </w:rPr>
              <w:t xml:space="preserve"> </w:t>
            </w:r>
            <w:r>
              <w:rPr>
                <w:rFonts w:ascii="Calibri" w:hAnsi="Calibri" w:cs="Tahoma"/>
                <w:color w:val="000000"/>
                <w:sz w:val="20"/>
                <w:lang w:eastAsia="en-US"/>
              </w:rPr>
              <w:t xml:space="preserve">(глиноземный завод)</w:t>
            </w:r>
            <w:r>
              <w:rPr>
                <w:rFonts w:ascii="Calibri" w:hAnsi="Calibri" w:cs="Tahoma"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color w:val="000000"/>
                <w:sz w:val="20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color w:val="000000"/>
                <w:sz w:val="20"/>
                <w:lang w:eastAsia="en-US"/>
              </w:rPr>
              <w:t xml:space="preserve"> Промышленность и Кадровое обеспечение экономики</w:t>
            </w:r>
            <w:r>
              <w:rPr>
                <w:rFonts w:ascii="Calibri" w:hAnsi="Calibri" w:cs="Tahoma"/>
                <w:color w:val="000000"/>
                <w:sz w:val="20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color w:val="000000"/>
                <w:sz w:val="20"/>
                <w:lang w:eastAsia="en-US"/>
              </w:rPr>
              <w:t xml:space="preserve">Другое</w:t>
            </w:r>
            <w:r>
              <w:rPr>
                <w:rFonts w:ascii="Calibri" w:hAnsi="Calibri" w:cs="Tahoma"/>
                <w:color w:val="000000"/>
                <w:sz w:val="20"/>
                <w:lang w:eastAsia="en-US"/>
              </w:rPr>
            </w:r>
          </w:p>
        </w:tc>
        <w:tc>
          <w:tcPr>
            <w:shd w:val="solid" w:color="ffffff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color w:val="000000"/>
                <w:sz w:val="20"/>
                <w:lang w:eastAsia="en-US"/>
              </w:rPr>
            </w:r>
          </w:p>
        </w:tc>
      </w:tr>
      <w:tr>
        <w:tblPrEx/>
        <w:trPr>
          <w:trHeight w:val="389"/>
        </w:trPr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66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color w:val="000000"/>
                <w:sz w:val="20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t xml:space="preserve">62</w:t>
            </w: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b/>
                <w:color w:val="000000"/>
                <w:sz w:val="20"/>
                <w:highlight w:val="yellow"/>
                <w:lang w:eastAsia="en-US"/>
              </w:rPr>
              <w:framePr w:hSpace="180" w:wrap="around" w:vAnchor="margin" w:hAnchor="margin" w:xAlign="center" w:y="465"/>
            </w:pPr>
            <w:r>
              <w:rPr>
                <w:rStyle w:val="626"/>
                <w:rFonts w:ascii="Calibri" w:hAnsi="Calibri" w:cs="Arial"/>
                <w:sz w:val="20"/>
                <w:shd w:val="clear" w:color="auto" w:fill="f6f9fb"/>
              </w:rPr>
              <w:t xml:space="preserve">114</w:t>
            </w:r>
            <w:r>
              <w:rPr>
                <w:rFonts w:ascii="Calibri" w:hAnsi="Calibri" w:cs="Tahoma"/>
                <w:b/>
                <w:color w:val="000000"/>
                <w:sz w:val="20"/>
                <w:highlight w:val="yellow"/>
                <w:lang w:eastAsia="en-US"/>
              </w:rPr>
            </w:r>
            <w:r>
              <w:rPr>
                <w:rFonts w:ascii="Calibri" w:hAnsi="Calibri" w:cs="Tahoma"/>
                <w:b/>
                <w:color w:val="000000"/>
                <w:sz w:val="20"/>
                <w:highlight w:val="yellow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79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b/>
                <w:color w:val="000000"/>
                <w:sz w:val="20"/>
                <w:highlight w:val="yellow"/>
                <w:lang w:eastAsia="en-US"/>
              </w:rPr>
              <w:framePr w:hSpace="180" w:wrap="around" w:vAnchor="margin" w:hAnchor="margin" w:xAlign="center" w:y="465"/>
            </w:pPr>
            <w:r>
              <w:rPr>
                <w:rStyle w:val="626"/>
                <w:rFonts w:ascii="Calibri" w:hAnsi="Calibri" w:cs="Arial"/>
                <w:sz w:val="20"/>
                <w:shd w:val="clear" w:color="auto" w:fill="f6f9fb"/>
              </w:rPr>
              <w:t xml:space="preserve">216</w:t>
            </w:r>
            <w:r>
              <w:rPr>
                <w:rFonts w:ascii="Calibri" w:hAnsi="Calibri" w:cs="Tahoma"/>
                <w:b/>
                <w:color w:val="000000"/>
                <w:sz w:val="20"/>
                <w:highlight w:val="yellow"/>
                <w:lang w:eastAsia="en-US"/>
              </w:rPr>
            </w:r>
            <w:r>
              <w:rPr>
                <w:rFonts w:ascii="Calibri" w:hAnsi="Calibri" w:cs="Tahoma"/>
                <w:b/>
                <w:color w:val="000000"/>
                <w:sz w:val="20"/>
                <w:highlight w:val="yellow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tabs>
                <w:tab w:val="left" w:pos="525" w:leader="none"/>
                <w:tab w:val="center" w:pos="601" w:leader="none"/>
              </w:tabs>
              <w:rPr>
                <w:rFonts w:ascii="Calibri" w:hAnsi="Calibri" w:cs="Tahoma"/>
                <w:b/>
                <w:color w:val="000000"/>
                <w:sz w:val="20"/>
                <w:highlight w:val="yellow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t xml:space="preserve">49</w:t>
            </w:r>
            <w:r>
              <w:rPr>
                <w:rFonts w:ascii="Calibri" w:hAnsi="Calibri" w:cs="Tahoma"/>
                <w:b/>
                <w:color w:val="000000"/>
                <w:sz w:val="20"/>
                <w:highlight w:val="yellow"/>
                <w:lang w:eastAsia="en-US"/>
              </w:rPr>
            </w:r>
            <w:r>
              <w:rPr>
                <w:rFonts w:ascii="Calibri" w:hAnsi="Calibri" w:cs="Tahoma"/>
                <w:b/>
                <w:color w:val="000000"/>
                <w:sz w:val="20"/>
                <w:highlight w:val="yellow"/>
                <w:lang w:eastAsia="en-US"/>
              </w:rPr>
            </w:r>
          </w:p>
        </w:tc>
        <w:tc>
          <w:tcPr>
            <w:shd w:val="solid" w:color="ffffff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b/>
                <w:color w:val="000000"/>
                <w:sz w:val="20"/>
                <w:highlight w:val="yellow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t xml:space="preserve">240</w:t>
            </w:r>
            <w:r>
              <w:rPr>
                <w:rFonts w:ascii="Calibri" w:hAnsi="Calibri" w:cs="Tahoma"/>
                <w:b/>
                <w:color w:val="000000"/>
                <w:sz w:val="20"/>
                <w:highlight w:val="yellow"/>
                <w:lang w:eastAsia="en-US"/>
              </w:rPr>
            </w:r>
            <w:r>
              <w:rPr>
                <w:rFonts w:ascii="Calibri" w:hAnsi="Calibri" w:cs="Tahoma"/>
                <w:b/>
                <w:color w:val="000000"/>
                <w:sz w:val="20"/>
                <w:highlight w:val="yellow"/>
                <w:lang w:eastAsia="en-US"/>
              </w:rPr>
            </w:r>
          </w:p>
        </w:tc>
        <w:tc>
          <w:tcPr>
            <w:shd w:val="solid" w:color="ffffff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t xml:space="preserve">681</w:t>
            </w: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</w:p>
        </w:tc>
      </w:tr>
      <w:tr>
        <w:tblPrEx/>
        <w:trPr>
          <w:trHeight w:val="223"/>
        </w:trPr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432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/>
                <w:b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/>
                <w:b/>
                <w:color w:val="000000"/>
                <w:sz w:val="20"/>
                <w:lang w:eastAsia="en-US"/>
              </w:rPr>
              <w:t xml:space="preserve">Результаты рассмотрения обращений</w:t>
            </w:r>
            <w:r>
              <w:rPr>
                <w:rFonts w:ascii="Calibri" w:hAnsi="Calibri"/>
                <w:b/>
                <w:color w:val="000000"/>
                <w:sz w:val="20"/>
                <w:lang w:eastAsia="en-US"/>
              </w:rPr>
            </w:r>
          </w:p>
        </w:tc>
      </w:tr>
      <w:tr>
        <w:tblPrEx/>
        <w:trPr>
          <w:trHeight w:val="382"/>
        </w:trPr>
        <w:tc>
          <w:tcPr>
            <w:gridSpan w:val="2"/>
            <w:shd w:val="solid" w:color="ffffff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66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left"/>
              <w:widowControl/>
              <w:rPr>
                <w:rFonts w:ascii="Calibri" w:hAnsi="Calibri" w:cs="Tahoma"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color w:val="000000"/>
                <w:sz w:val="20"/>
                <w:lang w:eastAsia="en-US"/>
              </w:rPr>
              <w:t xml:space="preserve">доложено Губернатору Ленинградской области</w:t>
            </w:r>
            <w:r>
              <w:rPr>
                <w:rFonts w:ascii="Calibri" w:hAnsi="Calibri" w:cs="Tahoma"/>
                <w:color w:val="000000"/>
                <w:sz w:val="20"/>
                <w:lang w:eastAsia="en-US"/>
              </w:rPr>
            </w:r>
          </w:p>
        </w:tc>
        <w:tc>
          <w:tcPr>
            <w:shd w:val="solid" w:color="ffffff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79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</w:p>
        </w:tc>
        <w:tc>
          <w:tcPr>
            <w:shd w:val="solid" w:color="ffffff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</w:p>
        </w:tc>
        <w:tc>
          <w:tcPr>
            <w:shd w:val="solid" w:color="ffffff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</w:p>
        </w:tc>
      </w:tr>
      <w:tr>
        <w:tblPrEx/>
        <w:trPr>
          <w:trHeight w:val="223"/>
        </w:trPr>
        <w:tc>
          <w:tcPr>
            <w:gridSpan w:val="2"/>
            <w:shd w:val="solid" w:color="ffffff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66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left"/>
              <w:widowControl/>
              <w:rPr>
                <w:rFonts w:ascii="Calibri" w:hAnsi="Calibri" w:cs="Tahoma"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color w:val="000000"/>
                <w:sz w:val="20"/>
                <w:lang w:eastAsia="en-US"/>
              </w:rPr>
              <w:t xml:space="preserve">взято на контроль</w:t>
            </w:r>
            <w:r>
              <w:rPr>
                <w:rFonts w:ascii="Calibri" w:hAnsi="Calibri" w:cs="Tahoma"/>
                <w:color w:val="000000"/>
                <w:sz w:val="20"/>
                <w:lang w:eastAsia="en-US"/>
              </w:rPr>
            </w:r>
          </w:p>
        </w:tc>
        <w:tc>
          <w:tcPr>
            <w:shd w:val="solid" w:color="ffffff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</w:p>
        </w:tc>
        <w:tc>
          <w:tcPr>
            <w:shd w:val="solid" w:color="ffffff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79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</w:p>
        </w:tc>
        <w:tc>
          <w:tcPr>
            <w:shd w:val="solid" w:color="ffffff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</w:p>
        </w:tc>
        <w:tc>
          <w:tcPr>
            <w:shd w:val="solid" w:color="ffffff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</w:p>
        </w:tc>
      </w:tr>
      <w:tr>
        <w:tblPrEx/>
        <w:trPr>
          <w:trHeight w:val="223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66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left"/>
              <w:widowControl/>
              <w:rPr>
                <w:rFonts w:ascii="Calibri" w:hAnsi="Calibri" w:cs="Tahoma"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color w:val="000000"/>
                <w:sz w:val="20"/>
                <w:lang w:eastAsia="en-US"/>
              </w:rPr>
              <w:t xml:space="preserve">рассмотрено с выездом на место </w:t>
            </w:r>
            <w:r>
              <w:rPr>
                <w:rFonts w:ascii="Calibri" w:hAnsi="Calibri" w:cs="Tahoma"/>
                <w:color w:val="000000"/>
                <w:sz w:val="20"/>
                <w:lang w:eastAsia="en-US"/>
              </w:rPr>
            </w:r>
          </w:p>
        </w:tc>
        <w:tc>
          <w:tcPr>
            <w:shd w:val="solid" w:color="ffffff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79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</w:p>
        </w:tc>
        <w:tc>
          <w:tcPr>
            <w:shd w:val="solid" w:color="ffffff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</w:p>
        </w:tc>
        <w:tc>
          <w:tcPr>
            <w:shd w:val="solid" w:color="ffffff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</w:p>
        </w:tc>
      </w:tr>
      <w:tr>
        <w:tblPrEx/>
        <w:trPr>
          <w:trHeight w:val="223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66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left"/>
              <w:widowControl/>
              <w:rPr>
                <w:rFonts w:ascii="Calibri" w:hAnsi="Calibri" w:cs="Tahoma"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color w:val="000000"/>
                <w:sz w:val="20"/>
                <w:lang w:eastAsia="en-US"/>
              </w:rPr>
              <w:t xml:space="preserve">рассмотрено коллегиально</w:t>
            </w:r>
            <w:r>
              <w:rPr>
                <w:rFonts w:ascii="Calibri" w:hAnsi="Calibri" w:cs="Tahoma"/>
                <w:color w:val="000000"/>
                <w:sz w:val="20"/>
                <w:lang w:eastAsia="en-US"/>
              </w:rPr>
            </w:r>
          </w:p>
        </w:tc>
        <w:tc>
          <w:tcPr>
            <w:shd w:val="solid" w:color="ffffff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79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</w:p>
        </w:tc>
        <w:tc>
          <w:tcPr>
            <w:shd w:val="solid" w:color="ffffff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</w:p>
        </w:tc>
        <w:tc>
          <w:tcPr>
            <w:shd w:val="solid" w:color="ffffff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</w:p>
        </w:tc>
      </w:tr>
      <w:tr>
        <w:tblPrEx/>
        <w:trPr>
          <w:trHeight w:val="214"/>
        </w:trPr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014" w:type="dxa"/>
            <w:vAlign w:val="top"/>
            <w:vMerge w:val="restart"/>
            <w:textDirection w:val="lrTb"/>
            <w:noWrap w:val="false"/>
          </w:tcPr>
          <w:p>
            <w:pPr>
              <w:pStyle w:val="616"/>
              <w:ind w:firstLine="0"/>
              <w:jc w:val="left"/>
              <w:widowControl/>
              <w:rPr>
                <w:rFonts w:ascii="Calibri" w:hAnsi="Calibri" w:cs="Tahoma"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color w:val="000000"/>
                <w:sz w:val="20"/>
                <w:lang w:eastAsia="en-US"/>
              </w:rPr>
              <w:t xml:space="preserve">Результативность по рассмотренным и направленным по компетенции обращениям за отчётный период</w:t>
            </w:r>
            <w:r>
              <w:rPr>
                <w:rFonts w:ascii="Calibri" w:hAnsi="Calibri" w:cs="Tahoma"/>
                <w:color w:val="000000"/>
                <w:sz w:val="20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left"/>
              <w:widowControl/>
              <w:rPr>
                <w:rFonts w:ascii="Calibri" w:hAnsi="Calibri" w:cs="Tahoma"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color w:val="000000"/>
                <w:sz w:val="20"/>
                <w:lang w:eastAsia="en-US"/>
              </w:rPr>
              <w:t xml:space="preserve">поддержано</w:t>
            </w:r>
            <w:r>
              <w:rPr>
                <w:rFonts w:ascii="Calibri" w:hAnsi="Calibri" w:cs="Tahoma"/>
                <w:color w:val="000000"/>
                <w:sz w:val="20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</w:p>
        </w:tc>
        <w:tc>
          <w:tcPr>
            <w:shd w:val="solid" w:color="ffffff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79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</w:p>
        </w:tc>
        <w:tc>
          <w:tcPr>
            <w:shd w:val="solid" w:color="ffffff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</w:p>
        </w:tc>
        <w:tc>
          <w:tcPr>
            <w:shd w:val="solid" w:color="ffffff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</w:p>
        </w:tc>
        <w:tc>
          <w:tcPr>
            <w:shd w:val="solid" w:color="ffffff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</w:p>
        </w:tc>
      </w:tr>
      <w:tr>
        <w:tblPrEx/>
        <w:trPr>
          <w:trHeight w:val="360"/>
        </w:trPr>
        <w:tc>
          <w:tcPr>
            <w:tcBorders>
              <w:left w:val="single" w:color="000000" w:sz="6" w:space="0"/>
              <w:right w:val="single" w:color="000000" w:sz="6" w:space="0"/>
            </w:tcBorders>
            <w:tcW w:w="2014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  <w:ind w:firstLine="0"/>
              <w:jc w:val="left"/>
              <w:widowControl/>
              <w:rPr>
                <w:rFonts w:ascii="Calibri" w:hAnsi="Calibri" w:cs="Tahoma"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color w:val="000000"/>
                <w:sz w:val="20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left"/>
              <w:widowControl/>
              <w:rPr>
                <w:rFonts w:ascii="Calibri" w:hAnsi="Calibri" w:cs="Tahoma"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bCs/>
                <w:color w:val="000000"/>
                <w:sz w:val="20"/>
                <w:lang w:eastAsia="en-US"/>
              </w:rPr>
              <w:t xml:space="preserve">в том числе меры приняты</w:t>
            </w:r>
            <w:r>
              <w:rPr>
                <w:rFonts w:ascii="Calibri" w:hAnsi="Calibri" w:cs="Tahoma"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color w:val="000000"/>
                <w:sz w:val="20"/>
                <w:lang w:eastAsia="en-US"/>
              </w:rPr>
            </w:r>
          </w:p>
        </w:tc>
        <w:tc>
          <w:tcPr>
            <w:shd w:val="solid" w:color="ffffff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</w:p>
        </w:tc>
        <w:tc>
          <w:tcPr>
            <w:shd w:val="solid" w:color="ffffff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</w:p>
        </w:tc>
        <w:tc>
          <w:tcPr>
            <w:shd w:val="solid" w:color="ffffff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79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</w:p>
        </w:tc>
        <w:tc>
          <w:tcPr>
            <w:shd w:val="solid" w:color="ffffff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</w:p>
        </w:tc>
        <w:tc>
          <w:tcPr>
            <w:shd w:val="solid" w:color="ffffff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</w:p>
        </w:tc>
        <w:tc>
          <w:tcPr>
            <w:shd w:val="solid" w:color="ffffff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</w:p>
        </w:tc>
      </w:tr>
      <w:tr>
        <w:tblPrEx/>
        <w:trPr>
          <w:trHeight w:val="214"/>
        </w:trPr>
        <w:tc>
          <w:tcPr>
            <w:tcBorders>
              <w:left w:val="single" w:color="000000" w:sz="6" w:space="0"/>
              <w:right w:val="single" w:color="000000" w:sz="6" w:space="0"/>
            </w:tcBorders>
            <w:tcW w:w="2014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  <w:ind w:firstLine="0"/>
              <w:jc w:val="left"/>
              <w:widowControl/>
              <w:rPr>
                <w:rFonts w:ascii="Calibri" w:hAnsi="Calibri" w:cs="Tahoma"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color w:val="000000"/>
                <w:sz w:val="20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left"/>
              <w:widowControl/>
              <w:rPr>
                <w:rFonts w:ascii="Calibri" w:hAnsi="Calibri" w:cs="Tahoma"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color w:val="000000"/>
                <w:sz w:val="20"/>
                <w:lang w:eastAsia="en-US"/>
              </w:rPr>
              <w:t xml:space="preserve">разъяснено</w:t>
            </w:r>
            <w:r>
              <w:rPr>
                <w:rFonts w:ascii="Calibri" w:hAnsi="Calibri" w:cs="Tahoma"/>
                <w:color w:val="000000"/>
                <w:sz w:val="20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t xml:space="preserve">51</w:t>
            </w: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t xml:space="preserve">79</w:t>
            </w: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79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t xml:space="preserve">1</w:t>
            </w: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t xml:space="preserve">58</w:t>
            </w: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t xml:space="preserve">59</w:t>
            </w: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</w:p>
        </w:tc>
        <w:tc>
          <w:tcPr>
            <w:shd w:val="solid" w:color="ffffff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t xml:space="preserve">179</w:t>
            </w: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</w:p>
        </w:tc>
        <w:tc>
          <w:tcPr>
            <w:shd w:val="solid" w:color="ffffff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t xml:space="preserve">526</w:t>
            </w: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</w:p>
        </w:tc>
      </w:tr>
      <w:tr>
        <w:tblPrEx/>
        <w:trPr>
          <w:trHeight w:val="223"/>
        </w:trPr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14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  <w:ind w:firstLine="0"/>
              <w:jc w:val="left"/>
              <w:widowControl/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color w:val="000000"/>
                <w:sz w:val="20"/>
                <w:lang w:eastAsia="en-US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left"/>
              <w:widowControl/>
              <w:rPr>
                <w:rFonts w:ascii="Calibri" w:hAnsi="Calibri" w:cs="Tahoma"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color w:val="000000"/>
                <w:sz w:val="20"/>
                <w:lang w:eastAsia="en-US"/>
              </w:rPr>
              <w:t xml:space="preserve">не поддержано</w:t>
            </w:r>
            <w:r>
              <w:rPr>
                <w:rFonts w:ascii="Calibri" w:hAnsi="Calibri" w:cs="Tahoma"/>
                <w:color w:val="000000"/>
                <w:sz w:val="20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</w:p>
        </w:tc>
        <w:tc>
          <w:tcPr>
            <w:shd w:val="solid" w:color="ffffff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79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</w:p>
        </w:tc>
        <w:tc>
          <w:tcPr>
            <w:shd w:val="solid" w:color="ffffff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</w:p>
        </w:tc>
        <w:tc>
          <w:tcPr>
            <w:shd w:val="solid" w:color="ffffff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</w:p>
        </w:tc>
        <w:tc>
          <w:tcPr>
            <w:shd w:val="solid" w:color="ffffff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</w:p>
        </w:tc>
      </w:tr>
      <w:tr>
        <w:tblPrEx/>
        <w:trPr>
          <w:trHeight w:val="382"/>
        </w:trPr>
        <w:tc>
          <w:tcPr>
            <w:gridSpan w:val="2"/>
            <w:shd w:val="solid" w:color="ffffff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66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left"/>
              <w:widowControl/>
              <w:rPr>
                <w:rFonts w:ascii="Calibri" w:hAnsi="Calibri" w:cs="Tahoma"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color w:val="000000"/>
                <w:sz w:val="20"/>
                <w:lang w:eastAsia="en-US"/>
              </w:rPr>
              <w:t xml:space="preserve">Кол-во обращений, рассмотренных совместно с органами местного самоуправления</w:t>
            </w:r>
            <w:r>
              <w:rPr>
                <w:rFonts w:ascii="Calibri" w:hAnsi="Calibri" w:cs="Tahoma"/>
                <w:color w:val="000000"/>
                <w:sz w:val="20"/>
                <w:lang w:eastAsia="en-US"/>
              </w:rPr>
            </w:r>
          </w:p>
        </w:tc>
        <w:tc>
          <w:tcPr>
            <w:shd w:val="solid" w:color="ffffff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79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</w:p>
        </w:tc>
        <w:tc>
          <w:tcPr>
            <w:shd w:val="solid" w:color="ffffff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</w:p>
        </w:tc>
        <w:tc>
          <w:tcPr>
            <w:shd w:val="solid" w:color="ffffff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</w:p>
        </w:tc>
      </w:tr>
      <w:tr>
        <w:tblPrEx/>
        <w:trPr>
          <w:trHeight w:val="382"/>
        </w:trPr>
        <w:tc>
          <w:tcPr>
            <w:gridSpan w:val="2"/>
            <w:shd w:val="solid" w:color="ffffff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66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left"/>
              <w:widowControl/>
              <w:rPr>
                <w:rFonts w:ascii="Calibri" w:hAnsi="Calibri" w:cs="Tahoma"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color w:val="000000"/>
                <w:sz w:val="20"/>
                <w:lang w:eastAsia="en-US"/>
              </w:rPr>
              <w:t xml:space="preserve">Кол-во жалоб, в которых подтвердились приведенные факты</w:t>
            </w:r>
            <w:r>
              <w:rPr>
                <w:rFonts w:ascii="Calibri" w:hAnsi="Calibri" w:cs="Tahoma"/>
                <w:color w:val="000000"/>
                <w:sz w:val="20"/>
                <w:lang w:eastAsia="en-US"/>
              </w:rPr>
            </w:r>
          </w:p>
        </w:tc>
        <w:tc>
          <w:tcPr>
            <w:shd w:val="solid" w:color="ffffff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79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</w:p>
        </w:tc>
        <w:tc>
          <w:tcPr>
            <w:shd w:val="solid" w:color="ffffff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</w:p>
        </w:tc>
        <w:tc>
          <w:tcPr>
            <w:shd w:val="solid" w:color="ffffff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</w:p>
        </w:tc>
      </w:tr>
      <w:tr>
        <w:tblPrEx/>
        <w:trPr>
          <w:trHeight w:val="382"/>
        </w:trPr>
        <w:tc>
          <w:tcPr>
            <w:gridSpan w:val="2"/>
            <w:shd w:val="solid" w:color="ffffff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66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left"/>
              <w:widowControl/>
              <w:rPr>
                <w:rFonts w:ascii="Calibri" w:hAnsi="Calibri" w:cs="Tahoma"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color w:val="000000"/>
                <w:sz w:val="20"/>
                <w:lang w:eastAsia="en-US"/>
              </w:rPr>
              <w:t xml:space="preserve">Кол-во жалоб, по результатам рассмотрения которых виновные в нарушении прав граждан наказаны</w:t>
            </w:r>
            <w:r>
              <w:rPr>
                <w:rFonts w:ascii="Calibri" w:hAnsi="Calibri" w:cs="Tahoma"/>
                <w:color w:val="000000"/>
                <w:sz w:val="20"/>
                <w:lang w:eastAsia="en-US"/>
              </w:rPr>
            </w:r>
          </w:p>
        </w:tc>
        <w:tc>
          <w:tcPr>
            <w:shd w:val="solid" w:color="ffffff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79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</w:p>
        </w:tc>
        <w:tc>
          <w:tcPr>
            <w:shd w:val="solid" w:color="ffffff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</w:p>
        </w:tc>
        <w:tc>
          <w:tcPr>
            <w:shd w:val="solid" w:color="ffffff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16"/>
              <w:ind w:firstLine="0"/>
              <w:jc w:val="center"/>
              <w:widowControl/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  <w:framePr w:hSpace="180" w:wrap="around" w:vAnchor="margin" w:hAnchor="margin" w:xAlign="center" w:y="465"/>
            </w:pP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  <w:r>
              <w:rPr>
                <w:rFonts w:ascii="Calibri" w:hAnsi="Calibri" w:cs="Tahoma"/>
                <w:b/>
                <w:color w:val="000000"/>
                <w:sz w:val="20"/>
                <w:lang w:eastAsia="en-US"/>
              </w:rPr>
            </w:r>
          </w:p>
        </w:tc>
      </w:tr>
    </w:tbl>
    <w:sectPr>
      <w:footnotePr/>
      <w:endnotePr/>
      <w:type w:val="nextPage"/>
      <w:pgSz w:w="16838" w:h="11906" w:orient="landscape"/>
      <w:pgMar w:top="1134" w:right="567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Cambria">
    <w:panose1 w:val="0204080305040603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6"/>
    <w:next w:val="61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6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6"/>
    <w:next w:val="6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6"/>
    <w:next w:val="61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6"/>
    <w:next w:val="61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6"/>
    <w:next w:val="61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6"/>
    <w:next w:val="61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6"/>
    <w:next w:val="61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6"/>
    <w:next w:val="61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6"/>
    <w:next w:val="61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6"/>
    <w:next w:val="61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6"/>
    <w:next w:val="616"/>
    <w:uiPriority w:val="99"/>
    <w:unhideWhenUsed/>
    <w:pPr>
      <w:spacing w:after="0" w:afterAutospacing="0"/>
    </w:pPr>
  </w:style>
  <w:style w:type="paragraph" w:styleId="616" w:default="1">
    <w:name w:val="Normal"/>
    <w:next w:val="616"/>
    <w:link w:val="616"/>
    <w:qFormat/>
    <w:pPr>
      <w:ind w:firstLine="709"/>
      <w:jc w:val="both"/>
      <w:widowControl w:val="off"/>
    </w:pPr>
    <w:rPr>
      <w:sz w:val="28"/>
      <w:lang w:val="ru-RU" w:eastAsia="ru-RU" w:bidi="ar-SA"/>
    </w:rPr>
  </w:style>
  <w:style w:type="paragraph" w:styleId="617">
    <w:name w:val="Заголовок 1"/>
    <w:basedOn w:val="616"/>
    <w:next w:val="616"/>
    <w:link w:val="624"/>
    <w:qFormat/>
    <w:pPr>
      <w:keepLines/>
      <w:keepNext/>
      <w:outlineLvl w:val="0"/>
    </w:pPr>
    <w:rPr>
      <w:rFonts w:eastAsia="Times New Roman" w:cs="Times New Roman"/>
      <w:b/>
      <w:bCs/>
      <w:szCs w:val="28"/>
    </w:rPr>
  </w:style>
  <w:style w:type="paragraph" w:styleId="618">
    <w:name w:val="Заголовок 2"/>
    <w:basedOn w:val="616"/>
    <w:next w:val="616"/>
    <w:link w:val="625"/>
    <w:unhideWhenUsed/>
    <w:qFormat/>
    <w:pPr>
      <w:ind w:firstLine="0"/>
      <w:jc w:val="center"/>
      <w:keepLines/>
      <w:keepNext/>
      <w:outlineLvl w:val="1"/>
    </w:pPr>
    <w:rPr>
      <w:rFonts w:eastAsia="Times New Roman" w:cs="Times New Roman"/>
      <w:bCs/>
      <w:szCs w:val="26"/>
      <w:u w:val="single"/>
    </w:rPr>
  </w:style>
  <w:style w:type="character" w:styleId="619">
    <w:name w:val="Основной шрифт абзаца"/>
    <w:next w:val="619"/>
    <w:link w:val="616"/>
    <w:uiPriority w:val="1"/>
    <w:semiHidden/>
    <w:unhideWhenUsed/>
  </w:style>
  <w:style w:type="table" w:styleId="620">
    <w:name w:val="Обычная таблица"/>
    <w:next w:val="620"/>
    <w:link w:val="616"/>
    <w:uiPriority w:val="99"/>
    <w:semiHidden/>
    <w:unhideWhenUsed/>
    <w:tblPr/>
  </w:style>
  <w:style w:type="numbering" w:styleId="621">
    <w:name w:val="Нет списка"/>
    <w:next w:val="621"/>
    <w:link w:val="616"/>
    <w:uiPriority w:val="99"/>
    <w:semiHidden/>
    <w:unhideWhenUsed/>
  </w:style>
  <w:style w:type="paragraph" w:styleId="622">
    <w:name w:val="Подзаголовок"/>
    <w:basedOn w:val="616"/>
    <w:next w:val="616"/>
    <w:link w:val="623"/>
    <w:qFormat/>
    <w:pPr>
      <w:jc w:val="center"/>
      <w:spacing w:after="60"/>
      <w:outlineLvl w:val="1"/>
    </w:pPr>
    <w:rPr>
      <w:rFonts w:ascii="Cambria" w:hAnsi="Cambria"/>
      <w:sz w:val="24"/>
      <w:szCs w:val="24"/>
      <w:lang w:eastAsia="en-US"/>
    </w:rPr>
  </w:style>
  <w:style w:type="character" w:styleId="623">
    <w:name w:val="Подзаголовок Знак"/>
    <w:next w:val="623"/>
    <w:link w:val="622"/>
    <w:rPr>
      <w:rFonts w:ascii="Cambria" w:hAnsi="Cambria"/>
      <w:sz w:val="24"/>
      <w:szCs w:val="24"/>
    </w:rPr>
  </w:style>
  <w:style w:type="character" w:styleId="624">
    <w:name w:val="Заголовок 1 Знак"/>
    <w:next w:val="624"/>
    <w:link w:val="617"/>
    <w:rPr>
      <w:rFonts w:eastAsia="Times New Roman" w:cs="Times New Roman"/>
      <w:b/>
      <w:bCs/>
      <w:sz w:val="28"/>
      <w:szCs w:val="28"/>
      <w:lang w:eastAsia="ru-RU"/>
    </w:rPr>
  </w:style>
  <w:style w:type="character" w:styleId="625">
    <w:name w:val="Заголовок 2 Знак"/>
    <w:next w:val="625"/>
    <w:link w:val="618"/>
    <w:rPr>
      <w:rFonts w:eastAsia="Times New Roman" w:cs="Times New Roman"/>
      <w:bCs/>
      <w:sz w:val="28"/>
      <w:szCs w:val="26"/>
      <w:u w:val="single"/>
      <w:lang w:eastAsia="ru-RU"/>
    </w:rPr>
  </w:style>
  <w:style w:type="character" w:styleId="626">
    <w:name w:val="search-export__count"/>
    <w:basedOn w:val="619"/>
    <w:next w:val="626"/>
    <w:link w:val="616"/>
  </w:style>
  <w:style w:type="character" w:styleId="1697" w:default="1">
    <w:name w:val="Default Paragraph Font"/>
    <w:uiPriority w:val="1"/>
    <w:semiHidden/>
    <w:unhideWhenUsed/>
  </w:style>
  <w:style w:type="numbering" w:styleId="1698" w:default="1">
    <w:name w:val="No List"/>
    <w:uiPriority w:val="99"/>
    <w:semiHidden/>
    <w:unhideWhenUsed/>
  </w:style>
  <w:style w:type="table" w:styleId="169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Александрович РУКОСУЕВ</dc:creator>
  <cp:lastModifiedBy>va_ovcharenko</cp:lastModifiedBy>
  <cp:revision>13</cp:revision>
  <dcterms:created xsi:type="dcterms:W3CDTF">2024-04-11T12:42:00Z</dcterms:created>
  <dcterms:modified xsi:type="dcterms:W3CDTF">2025-10-13T12:32:42Z</dcterms:modified>
  <cp:version>917504</cp:version>
</cp:coreProperties>
</file>