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F" w:rsidRPr="005E72EB" w:rsidRDefault="001834EF" w:rsidP="00183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EB">
        <w:rPr>
          <w:rFonts w:ascii="Times New Roman" w:hAnsi="Times New Roman" w:cs="Times New Roman"/>
          <w:b/>
          <w:sz w:val="24"/>
          <w:szCs w:val="24"/>
        </w:rPr>
        <w:t>Информация о выполнении показателей государственной программы Ленингра</w:t>
      </w:r>
      <w:r w:rsidRPr="005E72EB">
        <w:rPr>
          <w:rFonts w:ascii="Times New Roman" w:hAnsi="Times New Roman" w:cs="Times New Roman"/>
          <w:b/>
          <w:sz w:val="24"/>
          <w:szCs w:val="24"/>
        </w:rPr>
        <w:t>д</w:t>
      </w:r>
      <w:r w:rsidRPr="005E72EB">
        <w:rPr>
          <w:rFonts w:ascii="Times New Roman" w:hAnsi="Times New Roman" w:cs="Times New Roman"/>
          <w:b/>
          <w:sz w:val="24"/>
          <w:szCs w:val="24"/>
        </w:rPr>
        <w:t xml:space="preserve">ской области </w:t>
      </w:r>
      <w:r w:rsidR="00C938CF" w:rsidRPr="005E72EB">
        <w:rPr>
          <w:rFonts w:ascii="Times New Roman" w:hAnsi="Times New Roman" w:cs="Times New Roman"/>
          <w:b/>
          <w:sz w:val="24"/>
          <w:szCs w:val="24"/>
        </w:rPr>
        <w:t>«</w:t>
      </w:r>
      <w:r w:rsidRPr="005E72EB">
        <w:rPr>
          <w:rFonts w:ascii="Times New Roman" w:hAnsi="Times New Roman" w:cs="Times New Roman"/>
          <w:b/>
          <w:sz w:val="24"/>
          <w:szCs w:val="24"/>
        </w:rPr>
        <w:t>Стимулирование экономической активности Ленинградской области</w:t>
      </w:r>
      <w:r w:rsidR="00C938CF" w:rsidRPr="005E72EB">
        <w:rPr>
          <w:rFonts w:ascii="Times New Roman" w:hAnsi="Times New Roman" w:cs="Times New Roman"/>
          <w:b/>
          <w:sz w:val="24"/>
          <w:szCs w:val="24"/>
        </w:rPr>
        <w:t>»</w:t>
      </w:r>
      <w:r w:rsidRPr="005E72EB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A74685" w:rsidRPr="005E72EB">
        <w:rPr>
          <w:rFonts w:ascii="Times New Roman" w:hAnsi="Times New Roman" w:cs="Times New Roman"/>
          <w:b/>
          <w:sz w:val="24"/>
          <w:szCs w:val="24"/>
        </w:rPr>
        <w:t>2</w:t>
      </w:r>
      <w:r w:rsidR="00677001" w:rsidRPr="005E72EB">
        <w:rPr>
          <w:rFonts w:ascii="Times New Roman" w:hAnsi="Times New Roman" w:cs="Times New Roman"/>
          <w:b/>
          <w:sz w:val="24"/>
          <w:szCs w:val="24"/>
        </w:rPr>
        <w:t>3</w:t>
      </w:r>
      <w:r w:rsidRPr="005E72E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04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141"/>
        <w:gridCol w:w="1135"/>
        <w:gridCol w:w="1276"/>
        <w:gridCol w:w="1276"/>
      </w:tblGrid>
      <w:tr w:rsidR="00F03349" w:rsidRPr="005E72EB" w:rsidTr="005E72EB">
        <w:trPr>
          <w:trHeight w:val="84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(наименование)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Ед. измер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ров) государственной программы, подпрограммы государственной программы</w:t>
            </w:r>
          </w:p>
        </w:tc>
      </w:tr>
      <w:tr w:rsidR="00F03349" w:rsidRPr="005E72EB" w:rsidTr="005E72EB">
        <w:trPr>
          <w:trHeight w:val="403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9" w:rsidRPr="005E72EB" w:rsidRDefault="00F03349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001" w:rsidRPr="005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001"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03349" w:rsidRPr="005E72EB" w:rsidTr="005E72EB">
        <w:trPr>
          <w:trHeight w:val="62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Факт (Оценка)</w:t>
            </w:r>
            <w:hyperlink r:id="rId5" w:history="1">
              <w:r w:rsidRPr="005E72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F03349" w:rsidRPr="005E72EB" w:rsidTr="005E72EB">
        <w:trPr>
          <w:trHeight w:val="23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C72F3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2F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C72F3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2F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C72F3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2F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C72F3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2F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C72F3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2F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C72F3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2F3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«Стимулирование экономической активности Ленинградской 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Отношение объема инвестиций в основной капитал к валовому региональному проду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001"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001" w:rsidRPr="005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677001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001" w:rsidRPr="005E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001"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677001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677001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677001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экспорта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ской промышленной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ларов США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677001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77001" w:rsidRPr="005E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677001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1,7*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мозанятых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век (нара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677001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001" w:rsidRPr="005E72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677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7001" w:rsidRPr="005E7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5E7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7001" w:rsidRPr="005E7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инвестиционной привлекательности региона»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Срок регистрации права собственности на объекты недвижимого имущества и сделок с ним</w:t>
            </w:r>
          </w:p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677001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мельного участка на кадастровом плане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17416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567,3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685,6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Количество промышленных площадок, 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туализированная информация о которых размещена в ИРИС, включая свободные промышленные площадки на территории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индустриальных парков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Оценка Ленинградской области по Наци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нальному рейтингу состояния инвестиц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онного климата в субъектах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промышленности и инноваций в Ленинградской области"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Доля промышленности в валовом реги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нальном продукте</w:t>
            </w:r>
          </w:p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Доля продукции высокотехнологичных и наукоемких отраслей в валовом регионал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ном продукте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кру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ным и средним предприятиям по обрабат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вающим производствам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305,98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вышению производительности труда на предприятиях - участниках национального проекта по направлению "Бережливое пр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изводство" с помощью созданной реги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инфраструктуры обеспечения п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вышения производительности труда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Единиц (нараста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щим ит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выведенных на эк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порт при поддержке организаций инфр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структуры поддержки экспорта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Единиц (нараста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щим ит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 к 2018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Прирост объема экспортной выручки орг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 к 2019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товарных позиций в экспорте региона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Доля продукции средних и высоких пер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делов в общем объеме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неэне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гетического экспорта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27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A3E" w:rsidRPr="005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277A3E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62*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Количество компаний, выведенных на электронные торговые площадки при по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держке организаций инфраструктуры по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держки экспорта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A212FC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2FC" w:rsidRPr="005E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2FC" w:rsidRPr="005E72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Доля высокотехнологичных товаров в 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щем объеме экспорта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2FC" w:rsidRPr="005E7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2FC" w:rsidRPr="005E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2FC" w:rsidRPr="005E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(накопленным итогом) предприятиями, п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лучившими финансовую поддержку реги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фонда развития промышленности (РФРП) из средств субсидии на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докапит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лизацию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привлечением средств федерального бюджета), в том чи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Единиц (нараста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щим ит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2FC"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A212FC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A212FC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предприятиями, п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лучившими финансовую поддержку РФРП из средств субсидии на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привлечением средств фед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рального бюджета) по видам экономич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ской деятельности раздела "Обрабатыва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щие производства" Общероссийского кла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сификатора видов экономической деятел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(накопленным итогом), за исключ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нием видов деятельности, не относящихся к сфере ведения Министерства промышле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ности и торговли Российской Федерации, в том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Млрд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лей (нара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A212FC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349" w:rsidRPr="005E72E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212FC" w:rsidRPr="005E7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212FC" w:rsidRPr="005E72EB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A212FC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212FC" w:rsidRPr="005E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A2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212FC" w:rsidRPr="005E72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предприятий, получивших финансовую поддержку РФРП из средств субсидии на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докапитализацию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привлеч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нием средств федерального бюджета) по видам экономической деятельности раздела "Обрабатывающие производства" Общ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российского классификатора видов экон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мической деятельности (накопленным ит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гом), за исключением видов деятельности, не относящихся к сфере ведения Министе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ства промышленности и торговли Росси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ской Федерации, в том числе: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лей (нара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A212FC" w:rsidP="004C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4C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4C4607" w:rsidRPr="005E72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4C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4C4607" w:rsidRPr="005E72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4C4607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4C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4C4607" w:rsidRPr="005E7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Количество промышленных, инновацио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ных и территориальных кластеров, созда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или) осуществляющих деятельность на территории 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Единиц (нараста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щим ит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4C4607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4C4607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349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9C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производительности труда на средних и крупных предприятиях базовых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 к предыд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щему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607" w:rsidRPr="005E72E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5E72EB" w:rsidRDefault="00F03349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4,1*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Увеличение полной учетной стоимости 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новных фондов за отчетный год (поступл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ние) за счет создания новой стоимости (ввода в действие новых основных фондов,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модернизации, реконструкции) по видам экономической деятельности раздела "О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рабатывающие производства" Общеросси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ского классификатора видов экономической деятельности (накопленным итогом), за 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ключением видов деятельности, не относ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щихся к сфере ведения Министерства пр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мышленности и торговли Российской Ф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дерации (строка 07 графы 4 формы фед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статистического наблюдения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N 11 "Сведения о наличии и движении основных фондов (средств) и других нефинансовых активов"), в том числе: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Млрд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лей (нара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28-1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подготовке кадров для экономики Ленинградской обл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5E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Единиц (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нараст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72EB"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72EB" w:rsidRPr="005E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28-2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Реализовано инструментов "Регионального экспортного стандарта 2.0"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7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9C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C4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Оборот продукции (услуг), производимой малыми и средними предприятиями (в де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ствующих ценах)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C4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1 121,40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C4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C4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1030,0*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9C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Доля оборота продукции (услуг), произв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димой субъектами малого и среднего пре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принимательства, в общем обороте пре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приятий и организаций Ленинградской 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28,4*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9C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предпринимателей) в расчете на 1 тыс. человек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9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9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9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9C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ников (без внешних совместителей), зан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тых у субъектов малого и среднего пре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принимательства, в общей численности з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нятого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9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9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9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23,16*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9C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сировавших свой статус с учетом введения налогового режима для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Тыс. человек (нараста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9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9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19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9C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принимательства (без учета индивидуал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C3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C3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28,5*</w:t>
            </w:r>
          </w:p>
        </w:tc>
      </w:tr>
      <w:tr w:rsidR="009A630D" w:rsidRPr="005E72EB" w:rsidTr="005E7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9C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ектов круглогодичного размещения и м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бильных торговых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F03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C3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C3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5E72EB" w:rsidRDefault="009A630D" w:rsidP="00C3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3361</w:t>
            </w:r>
          </w:p>
        </w:tc>
      </w:tr>
    </w:tbl>
    <w:p w:rsidR="00FD6C65" w:rsidRPr="005E72EB" w:rsidRDefault="00FD6C65" w:rsidP="00FD6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2EB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FD6C65" w:rsidRPr="005E72EB" w:rsidRDefault="00FD6C65" w:rsidP="00FD6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EB">
        <w:rPr>
          <w:rFonts w:ascii="Times New Roman" w:hAnsi="Times New Roman" w:cs="Times New Roman"/>
          <w:sz w:val="24"/>
          <w:szCs w:val="24"/>
        </w:rPr>
        <w:t>* - Оценочное значение.</w:t>
      </w:r>
    </w:p>
    <w:p w:rsidR="00A279E3" w:rsidRPr="005E72EB" w:rsidRDefault="00A279E3" w:rsidP="00A2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14D" w:rsidRPr="005E72EB" w:rsidRDefault="0088414D" w:rsidP="00BF7570">
      <w:pPr>
        <w:jc w:val="both"/>
        <w:rPr>
          <w:rFonts w:ascii="Times New Roman" w:hAnsi="Times New Roman" w:cs="Times New Roman"/>
          <w:sz w:val="24"/>
          <w:szCs w:val="24"/>
        </w:rPr>
        <w:sectPr w:rsidR="0088414D" w:rsidRPr="005E72EB" w:rsidSect="0088414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63A30" w:rsidRPr="005E72EB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E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результатах реализации государственной программы Ленинградской области</w:t>
      </w:r>
    </w:p>
    <w:p w:rsidR="00663A30" w:rsidRPr="005E72EB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EB">
        <w:rPr>
          <w:rFonts w:ascii="Times New Roman" w:hAnsi="Times New Roman" w:cs="Times New Roman"/>
          <w:b/>
          <w:sz w:val="24"/>
          <w:szCs w:val="24"/>
        </w:rPr>
        <w:t xml:space="preserve"> «Стимулирование экономической активности Ленинградской области» в январе – декабре 20</w:t>
      </w:r>
      <w:r w:rsidR="00A73610" w:rsidRPr="005E72EB">
        <w:rPr>
          <w:rFonts w:ascii="Times New Roman" w:hAnsi="Times New Roman" w:cs="Times New Roman"/>
          <w:b/>
          <w:sz w:val="24"/>
          <w:szCs w:val="24"/>
        </w:rPr>
        <w:t>2</w:t>
      </w:r>
      <w:r w:rsidR="00ED56A6" w:rsidRPr="005E72EB">
        <w:rPr>
          <w:rFonts w:ascii="Times New Roman" w:hAnsi="Times New Roman" w:cs="Times New Roman"/>
          <w:b/>
          <w:sz w:val="24"/>
          <w:szCs w:val="24"/>
        </w:rPr>
        <w:t>3</w:t>
      </w:r>
      <w:r w:rsidRPr="005E72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2883" w:rsidRPr="005E72EB" w:rsidRDefault="007B2883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10114"/>
      </w:tblGrid>
      <w:tr w:rsidR="0092553C" w:rsidRPr="005E72EB" w:rsidTr="0092553C">
        <w:trPr>
          <w:tblHeader/>
        </w:trPr>
        <w:tc>
          <w:tcPr>
            <w:tcW w:w="1580" w:type="pct"/>
            <w:shd w:val="clear" w:color="auto" w:fill="auto"/>
          </w:tcPr>
          <w:p w:rsidR="0092553C" w:rsidRPr="005E72EB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shd w:val="clear" w:color="auto" w:fill="auto"/>
          </w:tcPr>
          <w:p w:rsidR="0092553C" w:rsidRPr="005E72EB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  <w:p w:rsidR="0092553C" w:rsidRPr="005E72EB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883" w:rsidRPr="005E72EB" w:rsidTr="007B2883">
        <w:tc>
          <w:tcPr>
            <w:tcW w:w="1580" w:type="pct"/>
            <w:shd w:val="clear" w:color="auto" w:fill="auto"/>
          </w:tcPr>
          <w:p w:rsidR="007B2883" w:rsidRPr="005E72EB" w:rsidRDefault="007967F6" w:rsidP="007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инвестиционной привлекательности региона</w:t>
            </w:r>
          </w:p>
        </w:tc>
        <w:tc>
          <w:tcPr>
            <w:tcW w:w="3420" w:type="pct"/>
            <w:shd w:val="clear" w:color="auto" w:fill="auto"/>
          </w:tcPr>
          <w:p w:rsidR="000C68A8" w:rsidRPr="005E72EB" w:rsidRDefault="000C68A8" w:rsidP="000C68A8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приоритетного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«Внедрение сервиса «Зеленый коридор» для инв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стора в 2023 году»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подсистема автоматизированного взаимодействия посредством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-бота, доработан «Личный кабинет инвестора» в части обеспечения возможности управления несколькими проектами с использованием одной учетной записи Пользователя (и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вестора), разработан механизм делегирования полномочий по управлению проектами, дораб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тана система «Личного кабинета инвестора» до статуса продукта, пригодного для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редистриб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069F3" w:rsidRPr="005E72EB" w:rsidRDefault="009069F3" w:rsidP="009069F3">
            <w:pPr>
              <w:pStyle w:val="Default"/>
              <w:ind w:firstLine="708"/>
              <w:jc w:val="both"/>
            </w:pPr>
            <w:r w:rsidRPr="005E72EB">
              <w:rPr>
                <w:b/>
                <w:iCs/>
              </w:rPr>
              <w:t xml:space="preserve">В рамках </w:t>
            </w:r>
            <w:r w:rsidRPr="005E72EB">
              <w:rPr>
                <w:b/>
                <w:i/>
                <w:iCs/>
                <w:u w:val="single"/>
              </w:rPr>
              <w:t>отраслевого проекта</w:t>
            </w:r>
            <w:r w:rsidRPr="005E72EB">
              <w:rPr>
                <w:i/>
                <w:iCs/>
                <w:u w:val="single"/>
              </w:rPr>
              <w:t xml:space="preserve"> «Регистрация права собственности и постановка на кадастровый учет земельных участков и объектов недвижимого имущества»</w:t>
            </w:r>
            <w:r w:rsidRPr="005E72EB">
              <w:rPr>
                <w:iCs/>
              </w:rPr>
              <w:t xml:space="preserve"> </w:t>
            </w:r>
            <w:r w:rsidRPr="005E72EB">
              <w:t>заключены с</w:t>
            </w:r>
            <w:r w:rsidRPr="005E72EB">
              <w:t>о</w:t>
            </w:r>
            <w:r w:rsidRPr="005E72EB">
              <w:t>глашения о предоставлении субсидий на проведение комплексных кадастровых работ с Всев</w:t>
            </w:r>
            <w:r w:rsidRPr="005E72EB">
              <w:t>о</w:t>
            </w:r>
            <w:r w:rsidRPr="005E72EB">
              <w:t xml:space="preserve">ложским, Гатчинским, </w:t>
            </w:r>
            <w:proofErr w:type="spellStart"/>
            <w:r w:rsidRPr="005E72EB">
              <w:t>Подпорожским</w:t>
            </w:r>
            <w:proofErr w:type="spellEnd"/>
            <w:r w:rsidRPr="005E72EB">
              <w:t xml:space="preserve"> районами и </w:t>
            </w:r>
            <w:proofErr w:type="spellStart"/>
            <w:r w:rsidRPr="005E72EB">
              <w:t>Сосновоборским</w:t>
            </w:r>
            <w:proofErr w:type="spellEnd"/>
            <w:r w:rsidRPr="005E72EB">
              <w:t xml:space="preserve"> городским округом. По итогам реализации мероприятия комплексные кадастровые работы проведены в отношении 9 кадастровых кварталов 806 объектов недвижимости.</w:t>
            </w:r>
          </w:p>
          <w:p w:rsidR="009069F3" w:rsidRPr="005E72EB" w:rsidRDefault="009069F3" w:rsidP="009069F3">
            <w:pPr>
              <w:pStyle w:val="Default"/>
              <w:ind w:firstLine="708"/>
              <w:jc w:val="both"/>
            </w:pPr>
            <w:r w:rsidRPr="005E72EB">
              <w:t xml:space="preserve"> В ЕГРН внесены сведения о 4 границах между субъектами Российской Федерации: гр</w:t>
            </w:r>
            <w:r w:rsidRPr="005E72EB">
              <w:t>а</w:t>
            </w:r>
            <w:r w:rsidRPr="005E72EB">
              <w:t>ницы между Ленинградской областью и Новгородской областью, Ленинградской областью и Псковской областью, Ленинградской областью и Республикой Карелия, Ленинградской обл</w:t>
            </w:r>
            <w:r w:rsidRPr="005E72EB">
              <w:t>а</w:t>
            </w:r>
            <w:r w:rsidRPr="005E72EB">
              <w:t>стью и Вологодской областью, о 205 муниципальных образованиях Ленинградской области, о 2908 границах населенных пунктов.</w:t>
            </w:r>
          </w:p>
          <w:p w:rsidR="009069F3" w:rsidRPr="005E72EB" w:rsidRDefault="009069F3" w:rsidP="009069F3">
            <w:pPr>
              <w:pStyle w:val="Default"/>
              <w:ind w:firstLine="708"/>
              <w:jc w:val="both"/>
            </w:pPr>
            <w:r w:rsidRPr="005E72EB">
              <w:t>По итогам реализации мероприятия выполнены работы по описанию местоположения границ 31 населенного пункта в трех муниципальных образованиях: Бокситогорском горо</w:t>
            </w:r>
            <w:r w:rsidRPr="005E72EB">
              <w:t>д</w:t>
            </w:r>
            <w:r w:rsidRPr="005E72EB">
              <w:t xml:space="preserve">ском, </w:t>
            </w:r>
            <w:proofErr w:type="spellStart"/>
            <w:r w:rsidRPr="005E72EB">
              <w:t>Самойловском</w:t>
            </w:r>
            <w:proofErr w:type="spellEnd"/>
            <w:r w:rsidRPr="005E72EB">
              <w:t xml:space="preserve"> сельском </w:t>
            </w:r>
            <w:proofErr w:type="gramStart"/>
            <w:r w:rsidRPr="005E72EB">
              <w:t>поселениях</w:t>
            </w:r>
            <w:proofErr w:type="gramEnd"/>
            <w:r w:rsidRPr="005E72EB">
              <w:t xml:space="preserve"> </w:t>
            </w:r>
            <w:proofErr w:type="spellStart"/>
            <w:r w:rsidRPr="005E72EB">
              <w:t>Бокситогорского</w:t>
            </w:r>
            <w:proofErr w:type="spellEnd"/>
            <w:r w:rsidRPr="005E72EB">
              <w:t xml:space="preserve"> муниципального района и Шли</w:t>
            </w:r>
            <w:r w:rsidRPr="005E72EB">
              <w:t>с</w:t>
            </w:r>
            <w:r w:rsidRPr="005E72EB">
              <w:t xml:space="preserve">сельбургском городском поселении Кировского муниципального района. </w:t>
            </w:r>
          </w:p>
          <w:p w:rsidR="009069F3" w:rsidRPr="005E72EB" w:rsidRDefault="009069F3" w:rsidP="009069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отраслевого проекта</w:t>
            </w:r>
            <w:r w:rsidRPr="005E72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«Формирование проектных команд в Ленинградской области»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консультационно-практические мероприятий по управлению проектами и формированию проектных команд с целью повышения эффективности достижения национал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ных целей и реализации проектов на территории Ленинградской области в сфере бережливого производства и туризма. В обучении приняли участие 60 человек в составе 6 проектных к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манд.</w:t>
            </w:r>
          </w:p>
          <w:p w:rsidR="00CE0B73" w:rsidRPr="005E72EB" w:rsidRDefault="00CE0B73" w:rsidP="00E938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рамках процессных мероприятий: 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Агентством экономического развития Ленинградской области принят на сопровожд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ние 121 инвестиционный проект с общим объемом инвестиций 429,57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. На инвестиц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онном портале опубликовано 158 новостей , осуществлены 15 информационных рассылок;</w:t>
            </w:r>
          </w:p>
          <w:p w:rsidR="00F53A5C" w:rsidRPr="005E72EB" w:rsidRDefault="00F53A5C" w:rsidP="00F53A5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- принято участие в 63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-выставочных и иных коммуникативных  мероприят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ях (Петербургский международный экономический форум, Встреча с Ассоциацией Европе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ского Бизнеса, Образовательный кампус НААИР «Школа для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привлеченцев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, XI П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тербургский международный юридический форум, Итоговая региональная сессия Форум «Сильные идеи для нового времени», Российский туристический Форум «Путешествуй!», ме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дународная промышленная выставка ИННОПРОМ 2023, Второй Саммит Экономический и г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манитарный форум Россия - Африка, VIII Восточный экономический форум, V Балтийский 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гиональный инвестиционный форум, Форум Регионов России «Развитие туристской инфр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структуры»,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II Петербургский международный газовый форум, Межрегиональный форум по реализации регионального инвестиционного стандарта на площадке АО «Нижегородская я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марка», ХХVI Международный форум «Российский промышленник», V Петербургский межд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народный туристский форум TRAVEL HUB);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в целях продвижения инвестиционного и инновационного потенциала Ленинградской области выпущен буклет «Навигатор инвестора» на русском (1000 экз.) и английском (200 экз.) языках;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разработана стратегия продвижения интернет-сайта «Инвестиционный портал Лени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градской области»;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размещены публикации в федеральном печатном СМИ «Деловой Петербург» «Инв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стиционный портрет региона Ленинградская область»;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подготовлено</w:t>
            </w:r>
            <w:r w:rsidRPr="005E7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132 проекта правил землепользования и застройки муниципальных обр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зований, проектов о внесении изменений в правила землепользования и застройки;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обеспечено ведение государственной информационной системы обеспечения град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строительной деятельности Ленинградской области, принято участие в исполнении плана м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роприятий по запуску и интеграции государственной информационной системы обеспечения градостроительной деятельности Ленинградской области с государственной информационной системой обеспечения градостроительной деятельности Российской Федерации;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- в системе Мониторинга контрольно-надзорной деятельности зарегистрировано 553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пользователя, загружен 4121 документ;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утвержден перечень объектов, в отношении которых планируется заключение конце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сионных соглашений в 2023 году;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проведено заседание Совета главных архитекторов субъектов РФ и муниципальных образований им. А.В. Кузьмина с участием 120 представителей субъектов РФ и  Республики Беларусь;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проведена конференция по вопросам повышения эффективности регионального и м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ниципального управления в целях улучшения инвестиционной привлекательности муниц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Ленинградской области, осуществлена организация методического и 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формационно-аналитического сопровождения процесса координации государственного и м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ниципального стратегического управления в Ленинградской области;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осуществлялось обеспечение органов исполнительной власти Ленинградской области статистической информацией; 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подготовлены информационно-аналитические материалы об итогах экономического развития Ленинградской области за 2022 год для размещения в информационно-телекоммуникационной сети Интернет, выполнена аналитическая работа «Пространственный анализ потенциала жилищного строительства на территории Ленинградской области в границах Санкт-Петербургской агломерации»; </w:t>
            </w:r>
          </w:p>
          <w:p w:rsidR="00F53A5C" w:rsidRPr="005E72EB" w:rsidRDefault="00F53A5C" w:rsidP="00F53A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проведены консультационные и практические мероприятия, направленные на форм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рование практических навыков и компетенций применения инструментов проектного управл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E93893" w:rsidRPr="005E72EB" w:rsidRDefault="00E93893" w:rsidP="001A60C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5E72EB" w:rsidTr="007B2883">
        <w:tc>
          <w:tcPr>
            <w:tcW w:w="1580" w:type="pct"/>
            <w:shd w:val="clear" w:color="auto" w:fill="auto"/>
          </w:tcPr>
          <w:p w:rsidR="007B2883" w:rsidRPr="005E72EB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промышленности и инноваций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4F7BBA" w:rsidRPr="005E72EB" w:rsidRDefault="004F7BBA" w:rsidP="004F7B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федерального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«Системные меры по повышению производительн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сти труда»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на 2023 год для Ленинградской области установлена квота 8 человек. Завершили обучение 8 руководителей. Всего завершили обучение 70 человек.</w:t>
            </w:r>
          </w:p>
          <w:p w:rsidR="004F7BBA" w:rsidRPr="005E72EB" w:rsidRDefault="004F7BBA" w:rsidP="004F7B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федерального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«Адресная поддержка повышения производительн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сти труда на предприятиях».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BBA" w:rsidRPr="005E72EB" w:rsidRDefault="004F7BBA" w:rsidP="004F7B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Всего в национальный проект «Производительность труда» вовлечено 85 предприятий Ленинградской области, в том числе 39 – с участием Федерального центра компетенций, 13 – самостоятельно и 33 – с участием Регионального центра компетенций. Завершены десять пр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ектов на предприятиях: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ООО «Лидер», ООО «УЛЬТРАМАР», ООО «СЛОТЕКС-МК», ООО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«ЛЕНТЕХСТРОМ-КОМПЛЕКТ» ООО «НОРД ПАЛП», ООО «НЭМО», ООО «ОРИМИ», ООО «ПЛАСТКОР», ООО «КМЗ».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ООО «АГРОБАЛТ ТРЕЙД».</w:t>
            </w:r>
          </w:p>
          <w:p w:rsidR="004F7BBA" w:rsidRPr="005E72EB" w:rsidRDefault="004F7BBA" w:rsidP="004F7B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инструментам повышения производительности труда под региональным управлением с начала реализации проекта прошли – 433 сотрудников предприятий. </w:t>
            </w:r>
          </w:p>
          <w:p w:rsidR="004F7BBA" w:rsidRPr="005E72EB" w:rsidRDefault="004F7BBA" w:rsidP="004F7B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федерального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«Промышленный экспорт»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субсидии на возмещение затрат на транспортировку, декларирование, почтовые отправления и упаковку продукции 7 предприятиям химической, лесной промышленности, производителям машин и оборудования, заготовителям дикорастущей продукции,  а также производителям комбикорма.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Предприятия экспортировали свои товары в страны СНГ, Канаду, Эстонию, Литву, Исландию, ОАЭ, Пакистан, Бангладеш.</w:t>
            </w:r>
            <w:proofErr w:type="gramEnd"/>
          </w:p>
          <w:p w:rsidR="004F7BBA" w:rsidRPr="005E72EB" w:rsidRDefault="004F7BBA" w:rsidP="004F7B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федерального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"Системные меры развития международной кооп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рации и экспорта"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еализованы все инструменты Регионального экспортного стандарта 2.0.</w:t>
            </w:r>
          </w:p>
          <w:p w:rsidR="004F7BBA" w:rsidRPr="005E72EB" w:rsidRDefault="004F7BBA" w:rsidP="004F7B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мероприятий, направленных на достижение цели федерального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«Поддержка региональных программ развития промышленности»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Фондом поддержки пре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и промышленности Ленинградской области,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пр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ведены 2 коммуникативных мероприятия и 18 консультаций по вопросам предоставления льготного заемного финансирования, получено одобрение от ФГАУ «Российский фонд техн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логического развития» по двум заявкам субъектов в сфере промышленности на получение з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емного финансирования, выдан заем ООО «ПО «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Сант</w:t>
            </w:r>
            <w:proofErr w:type="spellEnd"/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», субъектами в сфере промышленности направлены две заявки в ФГАУ «Российский фонд технологического развития» и получено одобрение в получении заемного финансирования.</w:t>
            </w:r>
          </w:p>
          <w:p w:rsidR="004F7BBA" w:rsidRPr="005E72EB" w:rsidRDefault="004F7BBA" w:rsidP="004F7B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приоритетного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«Подготовка кадров с компетенциями бережлив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 производства»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завершены проекты н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«Тепловое оборудование, АО «АР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Пэкэджинг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» и АО «СЕВ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Евродрайв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7BBA" w:rsidRPr="005E72EB" w:rsidRDefault="004F7BBA" w:rsidP="004F7B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Разработана и внедрена рабочая программа обучения инструментам бережливого прои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водства студентов учреждений среднего профессионального образования на базе Кировского и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техникумов. Рабочая программа освоена 502 студентами. </w:t>
            </w:r>
          </w:p>
          <w:p w:rsidR="004F7BBA" w:rsidRPr="005E72EB" w:rsidRDefault="004F7BBA" w:rsidP="004F7B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инструментам повышения производительности труда на тренингах «Фабрика процессов» 1051 студент и 2567 сотрудников предприятий. </w:t>
            </w:r>
          </w:p>
          <w:p w:rsidR="008158E0" w:rsidRPr="005E72EB" w:rsidRDefault="008158E0" w:rsidP="008158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приоритетного проекта</w:t>
            </w:r>
            <w:r w:rsidRPr="005E72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«Внедрение практик бережливого производства в организациях социальной сферы»</w:t>
            </w:r>
            <w:r w:rsidRPr="005E7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на базе Выборгской районной больницы и </w:t>
            </w:r>
            <w:r w:rsidRPr="005E7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Перинатального 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ЛОКБ запись пациента в районную поликлинику снизилась с 13 рабочих дней до 3. Оборачиваемость лекарственных средств снизилась с 55 дней до 4, а по расходным материалам с 98 до 9 дней. В ходе проекта под эгидой Года Команды знаний более 128 медиков Ленобласти прошли обучение основам бережливого производства на базе Фабрики процессов города К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ровска.</w:t>
            </w:r>
          </w:p>
          <w:p w:rsidR="008158E0" w:rsidRPr="005E72EB" w:rsidRDefault="008158E0" w:rsidP="008158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процессных мероприятий: </w:t>
            </w:r>
          </w:p>
          <w:p w:rsidR="008158E0" w:rsidRPr="005E72EB" w:rsidRDefault="008158E0" w:rsidP="008158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- Центром развития промышленности Ленинградской области проведены 138 консул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таций по вопросам промышленной кооперации, оказанию содействия в подборе заказчиков, п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ставщиков и партнеров; 74 консультации по вопросам создания и развития кластеров; центром кластерного развития осуществлялось курирование трех кластеров; проведено 26 </w:t>
            </w:r>
            <w:proofErr w:type="spellStart"/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-ярмарочных и коммуникативных мероприятий; разработана одна программа развития класт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ров; проведено 20 мероприятий по подготовке кадров для экономики Ленинградской области;</w:t>
            </w:r>
            <w:proofErr w:type="gramEnd"/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проведено 20 мероприятий и консультаций для субъектов хозяйственной деятельности по в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просам целевого обучения и участия в них; </w:t>
            </w:r>
          </w:p>
          <w:p w:rsidR="008158E0" w:rsidRPr="005E72EB" w:rsidRDefault="008158E0" w:rsidP="008158E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выплачена субсидия ООО «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Орими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Трейд»,  осуществляющему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трейдерскую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ность на территории Ленинградской области;</w:t>
            </w:r>
          </w:p>
          <w:p w:rsidR="008158E0" w:rsidRPr="005E72EB" w:rsidRDefault="008158E0" w:rsidP="008158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выплачены именные научные стипендии 18 ведущим и молодым ученым, 7 премий п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бедителям конкурсов;</w:t>
            </w:r>
          </w:p>
          <w:p w:rsidR="008158E0" w:rsidRPr="005E72EB" w:rsidRDefault="008158E0" w:rsidP="008158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проведен конкурс «Бизнес, развивающий регион», по результатам которого 14 пре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признаны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победителями в различных номинациях;</w:t>
            </w:r>
          </w:p>
          <w:p w:rsidR="008158E0" w:rsidRPr="005E72EB" w:rsidRDefault="008158E0" w:rsidP="008158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предоставлены субсид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Пельгорское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-М» и ООО "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НордПалп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", осуществивших экспорт продукции, не относящейся к категории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неэнергетических товаров (пр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дукция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торфопереработки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, торф);</w:t>
            </w:r>
          </w:p>
          <w:p w:rsidR="007B2883" w:rsidRPr="005E72EB" w:rsidRDefault="008158E0" w:rsidP="008158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- реализовано 14 инструментов «Регионального экспортного стандарта 2.0»;</w:t>
            </w:r>
          </w:p>
        </w:tc>
      </w:tr>
      <w:tr w:rsidR="006215AB" w:rsidRPr="005E72EB" w:rsidTr="007B2883">
        <w:tc>
          <w:tcPr>
            <w:tcW w:w="1580" w:type="pct"/>
            <w:shd w:val="clear" w:color="auto" w:fill="auto"/>
          </w:tcPr>
          <w:p w:rsidR="006215AB" w:rsidRPr="005E72EB" w:rsidRDefault="006215AB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малого, среднего предприним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тельства и потребительского рынка Л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 w:themeFill="background1"/>
              </w:rPr>
              <w:t>федерального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 xml:space="preserve"> «Создание благоприятных условий для осуществления деятельности </w:t>
            </w:r>
            <w:proofErr w:type="spellStart"/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самозанятыми</w:t>
            </w:r>
            <w:proofErr w:type="spellEnd"/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 xml:space="preserve"> гражданами»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количество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самозанятых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граждан, получивших информационно-консультационные услуги, в том числе по обучению и участию в выставках-ярмарках, оказанные Фондом поддержки предпринимательства и промышленности Ленингра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ской области,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микрокредитная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компания, составило 1065 человек.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 w:themeFill="background1"/>
              </w:rPr>
              <w:t>федерального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 xml:space="preserve"> «Создание условий для легкого старта и комфортн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о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го ведения бизнеса» и мероприятий, направленных на достижение цели федерального проекта: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- Фондом поддержки предпринимательства и промышленности Ленинградской области,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микрокредитная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компания оказаны услуги 5521 гражданину, желающему вести свой бизнес, начинающему и действующему предпринимателю (2615 физических лиц и 2906 субъектов м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лого и среднего предпринимательства (далее - МСП)): консультации, обучение, участие в м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роприятии Бизнес-завтрак с Губернатором Ленинградской области, спортивный форум для предпринимателей и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самозанятых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граждан, ежегодный Ленинградский форум «Мой бизнес» - Энергия возможностей», форум «Центр «Мой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бизнес», форум "Мой бизнес", посвященный Дню предпринимателя Ленинградской области, а также бизнес-миссии в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.Н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ижний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Новгород и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г.Красногорск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предоставлена финансовая поддержка в виде грантов 107 субъектам МСП, имеющим статус социального предприятия;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предоставлена финансовая поддержка в виде грантов 99 субъектам МСП, созданным физическими лицами в возрасте до 25 лет включительно;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- 136 субъектам малого предпринимательства выплачена субсидия для возмещения з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трат, связанных с деятельностью в сфере социального предпринимательства;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предоставлена поддержка 75 субъектам МСП на организацию предпринимательской деятельности;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предоставлена субсидия городу Пикалево на обеспечение текущей деятельности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би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нес-инкубатора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Количество субъектов малого предпринимательства  в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бизнес-инкубаторе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ставило 31 ед.;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осуществлялась реконструкция здания для организации производственного бизнес-инкубатора Муниципального фонда поддержки малого и среднего предпринимательства Га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чинского района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.Т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айцы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ул.Юного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Ленинца, д. 2, строительная готовность  - 98%.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 w:themeFill="background1"/>
              </w:rPr>
              <w:t>федерального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 xml:space="preserve"> «Акселерация субъектов малого и среднего предпр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и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нимательства» и мероприятий, направленных на достижение цели федерального проекта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центром «Мой бизнес» оказаны услуги 1167 субъектам МСП;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при поддержке Центра поддержки экспорта с 41 субъектом МСП-экспортером закл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ю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чено 103 контракта. Продукция экспортировалась в 21 страну мира, среди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которых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 </w:t>
            </w:r>
            <w:proofErr w:type="gramStart"/>
            <w:r w:rsidRPr="005E7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Азерба</w:t>
            </w:r>
            <w:r w:rsidRPr="005E7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5E7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джан, Алжир, Армению, Беларусь, Израиль, Индию, Иран, Казахстан, Камбоджу, КНР, Кы</w:t>
            </w:r>
            <w:r w:rsidRPr="005E7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E7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гызстан, ОАЭ, Польшу, США, Таджикистан, Таиланд, Турцию, Уганду, Узбекистан, ФРГ, Э</w:t>
            </w:r>
            <w:r w:rsidRPr="005E7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E7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тонию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Объем поддержанного «отгруженного» экспорта субъектов МСП составил 15,39 млн. 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долл. США;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объем финансовой поддержки, оказанной субъектам МСП при гарантийной поддержке региональной гарантийной организации, составил 3 167,5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млн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рублей; 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проводилось обучение представителей  субъектов МСП по 3 направлениям программы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бизнес-акселерации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111 субъектов МСП прошли итоговую защиту;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предоставлены гранты 3 субъектам МСП на возмещение затрат, связанных с реализ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цией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бизнес-проектов</w:t>
            </w:r>
            <w:proofErr w:type="gram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сфере искусства, телевизионного вещания, радиовещания, издания г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зет, журналов и периодических изданий, 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IT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-проектов;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- 81 субъекту МСП предоставлены субсидии на возмещение затрат, связанных с уплатой процентов по кредитным договорам;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- 103 субъектам МСП оказана поддержка на возмещение затрат, связанных с заключен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ем договоров финансовой аренды (лизинга);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оказана поддержка 97 субъектам МСП, осуществляющим модернизацию производства;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оказана поддержка 20 субъектам МСП, осуществляющим сертификацию продукции;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оказана поддержка 26 субъектам МСП, осуществляющим участие в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выставочно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-ярмарочных мероприятиях;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оказана поддержка 32 субъектам МСП, осуществляющим деятельность в моногородах;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оказана поддержка трем субъектам МСП - общественным объединениям инвалидов, осуществляющим модернизацию производства.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 w:themeFill="background1"/>
              </w:rPr>
              <w:t>мероприятий, направленных на достижение цели федерального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 xml:space="preserve"> «Развитие туристской инфраструктуры»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предоставлены субсидии 18 субъектам МСП, ос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ществляющим деятельность в сфере туризма, в том числе сельского туризма,  на создание средств размещения, в том числе гостевых комнат.</w:t>
            </w:r>
          </w:p>
          <w:p w:rsidR="004F24F0" w:rsidRPr="005E72EB" w:rsidRDefault="004F24F0" w:rsidP="004F24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В рамках </w:t>
            </w:r>
            <w:r w:rsidRPr="005E72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 w:themeFill="background1"/>
              </w:rPr>
              <w:t>мероприятий, направленных на достижение цели федерального проекта</w:t>
            </w:r>
            <w:r w:rsidRPr="005E72E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 xml:space="preserve"> «Содействие занятости»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предоставлены субсидии 29 организациям, осуществляющим де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я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тельность в сфере дошкольного образования.</w:t>
            </w:r>
          </w:p>
          <w:p w:rsidR="00CB35DD" w:rsidRPr="005E72EB" w:rsidRDefault="00CB35DD" w:rsidP="00CB35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процессных мероприятий: </w:t>
            </w:r>
          </w:p>
          <w:p w:rsidR="00CB35DD" w:rsidRPr="005E72EB" w:rsidRDefault="00CB35DD" w:rsidP="00CB35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предоставлены субсидии: 8 субъектам МСП на возмещение затрат, связанных с прио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ретением автомагазинов, прицепов для обслуживания сельских населенных пунктов и участия в ярмарочных мероприятиях; 26 субъектам МСП - на производство товаров народно-художественных промыслов и ремесел;                 7 субъектам МСП на  возмещение части з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трат, связанных с организацией и проведением ярмарок, фестивалей, районных праздников; </w:t>
            </w:r>
            <w:proofErr w:type="gramStart"/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оказана поддержка          11 организациям потребительской кооперации на развитие торговой деятельности в отдаленных и труднодоступных местностях; 26 организациям потребительской кооперации – на развитие магазинов шаговой доступности;</w:t>
            </w:r>
            <w:proofErr w:type="gramEnd"/>
          </w:p>
          <w:p w:rsidR="00CB35DD" w:rsidRPr="005E72EB" w:rsidRDefault="00CB35DD" w:rsidP="00CB35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Ленинградским областным центром поддержки предпринимательства рассмотрено 1157 заявок на получение субсидий, организовано 52 заседания комиссий по отбору соискат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лей на получение субсидий; проведено 1564 консультации; обеспечено участие в обследовании 76 торговых объектов;</w:t>
            </w:r>
          </w:p>
          <w:p w:rsidR="00CB35DD" w:rsidRPr="005E72EB" w:rsidRDefault="00CB35DD" w:rsidP="00CB35D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предоставлена субсидия на развитие 13 организациям инфраструктуры поддержки субъектов МСП, 14 организациям - на возмещение затрат, связанных с оказанием безвозмез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ных информационных, консультационных и образовательных услуг, проведено 48890 консул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72EB">
              <w:rPr>
                <w:rFonts w:ascii="Times New Roman" w:hAnsi="Times New Roman" w:cs="Times New Roman"/>
                <w:bCs/>
                <w:sz w:val="24"/>
                <w:szCs w:val="24"/>
              </w:rPr>
              <w:t>таций;</w:t>
            </w:r>
          </w:p>
          <w:p w:rsidR="006215AB" w:rsidRPr="005E72EB" w:rsidRDefault="00CB35DD" w:rsidP="00CB35D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деятельность «Фонда поддержки предпринимательства и промышленности Ленинградской области, </w:t>
            </w:r>
            <w:proofErr w:type="spellStart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5E72EB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компания».</w:t>
            </w:r>
          </w:p>
        </w:tc>
      </w:tr>
    </w:tbl>
    <w:p w:rsidR="007B2883" w:rsidRPr="005E72EB" w:rsidRDefault="007B2883" w:rsidP="007B2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A30" w:rsidRPr="005E72EB" w:rsidRDefault="00663A30" w:rsidP="00BF7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520" w:rsidRPr="005E72EB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3E" w:rsidRPr="005E72EB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4A" w:rsidRPr="005E72EB" w:rsidRDefault="003A4A4A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3E" w:rsidRPr="005E72EB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520" w:rsidRPr="005E72EB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12" w:rsidRPr="003A4A4A" w:rsidRDefault="00DA5012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4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финансировании и выполнении государственной программы Ленинградской области «Стимул</w:t>
      </w:r>
      <w:r w:rsidRPr="003A4A4A">
        <w:rPr>
          <w:rFonts w:ascii="Times New Roman" w:hAnsi="Times New Roman" w:cs="Times New Roman"/>
          <w:b/>
          <w:sz w:val="28"/>
          <w:szCs w:val="28"/>
        </w:rPr>
        <w:t>и</w:t>
      </w:r>
      <w:r w:rsidRPr="003A4A4A">
        <w:rPr>
          <w:rFonts w:ascii="Times New Roman" w:hAnsi="Times New Roman" w:cs="Times New Roman"/>
          <w:b/>
          <w:sz w:val="28"/>
          <w:szCs w:val="28"/>
        </w:rPr>
        <w:t>рование экономической активности Ленинградской области» за счет сре</w:t>
      </w:r>
      <w:proofErr w:type="gramStart"/>
      <w:r w:rsidRPr="003A4A4A">
        <w:rPr>
          <w:rFonts w:ascii="Times New Roman" w:hAnsi="Times New Roman" w:cs="Times New Roman"/>
          <w:b/>
          <w:sz w:val="28"/>
          <w:szCs w:val="28"/>
        </w:rPr>
        <w:t>дств вс</w:t>
      </w:r>
      <w:proofErr w:type="gramEnd"/>
      <w:r w:rsidRPr="003A4A4A">
        <w:rPr>
          <w:rFonts w:ascii="Times New Roman" w:hAnsi="Times New Roman" w:cs="Times New Roman"/>
          <w:b/>
          <w:sz w:val="28"/>
          <w:szCs w:val="28"/>
        </w:rPr>
        <w:t>ех источников финансирования в январе – декабре 20</w:t>
      </w:r>
      <w:r w:rsidR="00BA4D5E" w:rsidRPr="003A4A4A">
        <w:rPr>
          <w:rFonts w:ascii="Times New Roman" w:hAnsi="Times New Roman" w:cs="Times New Roman"/>
          <w:b/>
          <w:sz w:val="28"/>
          <w:szCs w:val="28"/>
        </w:rPr>
        <w:t>2</w:t>
      </w:r>
      <w:r w:rsidR="00ED56A6" w:rsidRPr="003A4A4A">
        <w:rPr>
          <w:rFonts w:ascii="Times New Roman" w:hAnsi="Times New Roman" w:cs="Times New Roman"/>
          <w:b/>
          <w:sz w:val="28"/>
          <w:szCs w:val="28"/>
        </w:rPr>
        <w:t>3</w:t>
      </w:r>
      <w:r w:rsidRPr="003A4A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112D" w:rsidRPr="005E72EB" w:rsidRDefault="0027112D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993"/>
        <w:gridCol w:w="993"/>
        <w:gridCol w:w="850"/>
        <w:gridCol w:w="1134"/>
        <w:gridCol w:w="1134"/>
        <w:gridCol w:w="992"/>
        <w:gridCol w:w="993"/>
        <w:gridCol w:w="851"/>
        <w:gridCol w:w="1134"/>
        <w:gridCol w:w="1133"/>
        <w:gridCol w:w="851"/>
        <w:gridCol w:w="992"/>
        <w:gridCol w:w="850"/>
        <w:gridCol w:w="992"/>
      </w:tblGrid>
      <w:tr w:rsidR="0027112D" w:rsidRPr="005E72EB" w:rsidTr="00043347">
        <w:trPr>
          <w:trHeight w:val="377"/>
          <w:tblHeader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 госуда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ственной программы (подпрогра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мы)</w:t>
            </w:r>
          </w:p>
        </w:tc>
        <w:tc>
          <w:tcPr>
            <w:tcW w:w="51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51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48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</w:t>
            </w:r>
          </w:p>
        </w:tc>
      </w:tr>
      <w:tr w:rsidR="001B4CB0" w:rsidRPr="005E72EB" w:rsidTr="00043347">
        <w:trPr>
          <w:trHeight w:val="315"/>
          <w:tblHeader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2D" w:rsidRPr="005E72EB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5E72EB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45107" w:rsidRPr="005E72EB" w:rsidTr="00043347">
        <w:trPr>
          <w:trHeight w:val="784"/>
          <w:tblHeader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5E72EB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5E72EB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</w:t>
            </w:r>
            <w:r w:rsidR="00045107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ральный</w:t>
            </w:r>
            <w:proofErr w:type="spellEnd"/>
            <w:proofErr w:type="gramEnd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006348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006348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006348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рочие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</w:t>
            </w:r>
            <w:r w:rsidR="00045107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раль</w:t>
            </w:r>
            <w:bookmarkStart w:id="0" w:name="_GoBack"/>
            <w:bookmarkEnd w:id="0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3715E6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3715E6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92553C" w:rsidP="00AE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рочие источники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</w:t>
            </w:r>
            <w:r w:rsidR="00045107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раль</w:t>
            </w:r>
            <w:proofErr w:type="spellEnd"/>
            <w:r w:rsidR="001B4CB0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1B4CB0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1B4CB0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3A4A4A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рочие источн</w:t>
            </w:r>
            <w:r w:rsidR="0027112D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27112D" w:rsidRPr="003A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</w:p>
        </w:tc>
      </w:tr>
      <w:tr w:rsidR="0039087C" w:rsidRPr="005E72EB" w:rsidTr="00043347">
        <w:tblPrEx>
          <w:tblCellMar>
            <w:left w:w="108" w:type="dxa"/>
            <w:right w:w="108" w:type="dxa"/>
          </w:tblCellMar>
        </w:tblPrEx>
        <w:trPr>
          <w:trHeight w:val="10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7C" w:rsidRPr="003A4A4A" w:rsidRDefault="0039087C" w:rsidP="00AE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4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Стимулир</w:t>
            </w:r>
            <w:r w:rsidRPr="003A4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3A4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вание эк</w:t>
            </w:r>
            <w:r w:rsidRPr="003A4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3A4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номической активности Ленингра</w:t>
            </w:r>
            <w:r w:rsidRPr="003A4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3A4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ской обл</w:t>
            </w:r>
            <w:r w:rsidRPr="003A4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3A4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6A2989" w:rsidP="006A29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="0039087C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711</w:t>
            </w:r>
            <w:r w:rsidR="0039087C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</w:t>
            </w:r>
            <w:r w:rsidR="0039087C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C137B2" w:rsidP="00C137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320 758</w:t>
            </w:r>
            <w:r w:rsidR="0039087C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3720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2 4</w:t>
            </w:r>
            <w:r w:rsidR="00372038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68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372038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275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="00372038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3720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372038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372038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45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</w:t>
            </w:r>
            <w:r w:rsidR="00372038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3A4A4A" w:rsidRDefault="00372038" w:rsidP="003720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5 </w:t>
            </w:r>
            <w:r w:rsidR="0039087C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06 00</w:t>
            </w:r>
            <w:r w:rsidR="0039087C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72038" w:rsidP="003720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6 430 664,7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72038" w:rsidP="00F26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320 758,0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3720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372038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463 278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="00372038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3720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372038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7 048,6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72038" w:rsidP="00F267E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3 629 580,0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225DC5" w:rsidP="007C328F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6 3</w:t>
            </w:r>
            <w:r w:rsidR="007C328F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5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7C328F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910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72038" w:rsidP="003720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309</w:t>
            </w:r>
            <w:r w:rsidR="0039087C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091</w:t>
            </w:r>
            <w:r w:rsidR="0039087C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3F74E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 </w:t>
            </w:r>
            <w:r w:rsidR="005956E5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</w:t>
            </w:r>
            <w:r w:rsidR="003F74ED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="005956E5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6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5</w:t>
            </w:r>
            <w:r w:rsidR="005956E5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52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5956E5" w:rsidP="005956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20</w:t>
            </w:r>
            <w:r w:rsidR="0039087C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86</w:t>
            </w:r>
            <w:r w:rsidR="0039087C"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5956E5" w:rsidP="00F267E0">
            <w:pPr>
              <w:ind w:left="-107" w:right="-109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3 629 580,0</w:t>
            </w:r>
          </w:p>
        </w:tc>
      </w:tr>
      <w:tr w:rsidR="0039087C" w:rsidRPr="005E72EB" w:rsidTr="00043347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7C" w:rsidRPr="003A4A4A" w:rsidRDefault="0039087C" w:rsidP="00AE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4A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39087C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087C" w:rsidRPr="005E72EB" w:rsidTr="00043347">
        <w:tblPrEx>
          <w:tblCellMar>
            <w:left w:w="108" w:type="dxa"/>
            <w:right w:w="108" w:type="dxa"/>
          </w:tblCellMar>
        </w:tblPrEx>
        <w:trPr>
          <w:trHeight w:val="1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7C" w:rsidRPr="003A4A4A" w:rsidRDefault="0039087C" w:rsidP="00AE01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 "Создание условий для инвестиц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онной пр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влекательн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 региона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EA0C49" w:rsidP="00EA0C4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BD6B69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171 043,3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BD6B69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3A4A4A" w:rsidRDefault="00BD6B69" w:rsidP="00BD6B6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EA0C49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3 797 087,2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EA0C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EA0C49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A0C49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EA0C49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EA0C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EA0C49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EA0C49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3A4A4A" w:rsidRDefault="00EA0C49" w:rsidP="00EA0C4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CE586A" w:rsidP="00CE586A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3F74ED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CE58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CE586A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E586A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</w:t>
            </w:r>
            <w:r w:rsidR="00CE586A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7C" w:rsidRPr="003A4A4A" w:rsidRDefault="0039087C" w:rsidP="00CE58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E586A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E586A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87C" w:rsidRPr="003A4A4A" w:rsidRDefault="00CE586A" w:rsidP="00CE586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  <w:r w:rsidR="0039087C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41C4" w:rsidRPr="005E72EB" w:rsidTr="000433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C4" w:rsidRPr="003A4A4A" w:rsidRDefault="003441C4" w:rsidP="00AE01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 "Развитие промышле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 и и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новаций в Ленингра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обл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89100D" w:rsidP="008910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  <w:r w:rsidR="003441C4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</w:t>
            </w:r>
            <w:r w:rsidR="003441C4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3441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3441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833 393,6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89100D" w:rsidP="0039087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37203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3720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833 393,6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89100D" w:rsidP="003F74ED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3F74ED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5 01</w:t>
            </w:r>
            <w:r w:rsidR="003F74ED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37203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89100D" w:rsidP="003F74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3F74ED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3441C4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</w:t>
            </w:r>
            <w:r w:rsidR="003441C4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1C4" w:rsidRPr="003A4A4A" w:rsidRDefault="003441C4" w:rsidP="002C0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70EA" w:rsidRPr="009A630D" w:rsidTr="00043347">
        <w:tblPrEx>
          <w:tblCellMar>
            <w:left w:w="108" w:type="dxa"/>
            <w:right w:w="108" w:type="dxa"/>
          </w:tblCellMar>
        </w:tblPrEx>
        <w:trPr>
          <w:trHeight w:val="16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EA" w:rsidRPr="003A4A4A" w:rsidRDefault="007D70EA" w:rsidP="00AE01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 "Развитие малого, среднего предприн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мательства и потребител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рынка Ленингра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обл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A4A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B9073E" w:rsidP="00B9073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1 781 663,7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D544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D544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1 463 838,6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D544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B9073E" w:rsidP="00B9073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1 781 754,6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37203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7D70E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1 463 343,8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7D70E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B9073E">
            <w:pPr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="00B9073E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9073E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</w:t>
            </w: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B9073E"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7D70E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290 662,5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7D70E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1 493 649,8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7D70E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4A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0EA" w:rsidRPr="003A4A4A" w:rsidRDefault="007D70EA" w:rsidP="0041631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6046C" w:rsidRPr="009A630D" w:rsidRDefault="00E6046C" w:rsidP="00E6046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54466" w:rsidRPr="009A630D" w:rsidRDefault="00D5446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D54466" w:rsidRPr="009A630D" w:rsidSect="00663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08"/>
    <w:rsid w:val="00006348"/>
    <w:rsid w:val="00006520"/>
    <w:rsid w:val="00016B40"/>
    <w:rsid w:val="0002136F"/>
    <w:rsid w:val="00037FD0"/>
    <w:rsid w:val="00043347"/>
    <w:rsid w:val="00045107"/>
    <w:rsid w:val="000569B4"/>
    <w:rsid w:val="00093519"/>
    <w:rsid w:val="00093DB2"/>
    <w:rsid w:val="000B5BEF"/>
    <w:rsid w:val="000C68A8"/>
    <w:rsid w:val="001413CB"/>
    <w:rsid w:val="00174169"/>
    <w:rsid w:val="001834EF"/>
    <w:rsid w:val="00183C46"/>
    <w:rsid w:val="00191A79"/>
    <w:rsid w:val="0019592D"/>
    <w:rsid w:val="001A3682"/>
    <w:rsid w:val="001A60CE"/>
    <w:rsid w:val="001B4CB0"/>
    <w:rsid w:val="001D110F"/>
    <w:rsid w:val="001E3BDD"/>
    <w:rsid w:val="001F6403"/>
    <w:rsid w:val="00206092"/>
    <w:rsid w:val="00211E63"/>
    <w:rsid w:val="00225DC5"/>
    <w:rsid w:val="00240CEF"/>
    <w:rsid w:val="00264023"/>
    <w:rsid w:val="0027112D"/>
    <w:rsid w:val="00277A3E"/>
    <w:rsid w:val="00292CC8"/>
    <w:rsid w:val="002C0312"/>
    <w:rsid w:val="002C6C2C"/>
    <w:rsid w:val="002E497D"/>
    <w:rsid w:val="002E7617"/>
    <w:rsid w:val="00316E60"/>
    <w:rsid w:val="00335809"/>
    <w:rsid w:val="00335B3E"/>
    <w:rsid w:val="00337935"/>
    <w:rsid w:val="003441C4"/>
    <w:rsid w:val="00365106"/>
    <w:rsid w:val="003715E6"/>
    <w:rsid w:val="00372038"/>
    <w:rsid w:val="00384D8E"/>
    <w:rsid w:val="00385A26"/>
    <w:rsid w:val="00387690"/>
    <w:rsid w:val="0039087C"/>
    <w:rsid w:val="003A0DCC"/>
    <w:rsid w:val="003A4A4A"/>
    <w:rsid w:val="003C47B6"/>
    <w:rsid w:val="003D2F4D"/>
    <w:rsid w:val="003E0CAF"/>
    <w:rsid w:val="003F74ED"/>
    <w:rsid w:val="00404D57"/>
    <w:rsid w:val="00410699"/>
    <w:rsid w:val="00416310"/>
    <w:rsid w:val="00432166"/>
    <w:rsid w:val="00434DC6"/>
    <w:rsid w:val="004520FC"/>
    <w:rsid w:val="004C4607"/>
    <w:rsid w:val="004D635A"/>
    <w:rsid w:val="004F24F0"/>
    <w:rsid w:val="004F5283"/>
    <w:rsid w:val="004F7BBA"/>
    <w:rsid w:val="005136A8"/>
    <w:rsid w:val="0053605A"/>
    <w:rsid w:val="00555819"/>
    <w:rsid w:val="00556B17"/>
    <w:rsid w:val="005700C7"/>
    <w:rsid w:val="005956E5"/>
    <w:rsid w:val="00596539"/>
    <w:rsid w:val="00596D4D"/>
    <w:rsid w:val="005C72F3"/>
    <w:rsid w:val="005E72EB"/>
    <w:rsid w:val="005F2B52"/>
    <w:rsid w:val="00613F95"/>
    <w:rsid w:val="006215AB"/>
    <w:rsid w:val="00625EC2"/>
    <w:rsid w:val="00663A30"/>
    <w:rsid w:val="00677001"/>
    <w:rsid w:val="006A2989"/>
    <w:rsid w:val="006A52C6"/>
    <w:rsid w:val="006C471C"/>
    <w:rsid w:val="006D2123"/>
    <w:rsid w:val="00703688"/>
    <w:rsid w:val="00746EAB"/>
    <w:rsid w:val="007908F4"/>
    <w:rsid w:val="007967F6"/>
    <w:rsid w:val="007B2883"/>
    <w:rsid w:val="007B7CB4"/>
    <w:rsid w:val="007C328F"/>
    <w:rsid w:val="007C59D6"/>
    <w:rsid w:val="007D1AB2"/>
    <w:rsid w:val="007D70EA"/>
    <w:rsid w:val="007E3C1E"/>
    <w:rsid w:val="008158E0"/>
    <w:rsid w:val="00832344"/>
    <w:rsid w:val="008670EB"/>
    <w:rsid w:val="0088414D"/>
    <w:rsid w:val="0088633F"/>
    <w:rsid w:val="0089100D"/>
    <w:rsid w:val="008E4670"/>
    <w:rsid w:val="008F3ED5"/>
    <w:rsid w:val="00904FC5"/>
    <w:rsid w:val="009069F3"/>
    <w:rsid w:val="0092553C"/>
    <w:rsid w:val="00925CF4"/>
    <w:rsid w:val="0093752C"/>
    <w:rsid w:val="00942BE2"/>
    <w:rsid w:val="00945447"/>
    <w:rsid w:val="00947BA9"/>
    <w:rsid w:val="00954BEA"/>
    <w:rsid w:val="009671F9"/>
    <w:rsid w:val="0097404D"/>
    <w:rsid w:val="00984603"/>
    <w:rsid w:val="00985779"/>
    <w:rsid w:val="009A630D"/>
    <w:rsid w:val="009B2E33"/>
    <w:rsid w:val="009B3EEE"/>
    <w:rsid w:val="009C496D"/>
    <w:rsid w:val="009C7327"/>
    <w:rsid w:val="009E15CB"/>
    <w:rsid w:val="00A05742"/>
    <w:rsid w:val="00A212FC"/>
    <w:rsid w:val="00A23E91"/>
    <w:rsid w:val="00A258C9"/>
    <w:rsid w:val="00A279E3"/>
    <w:rsid w:val="00A73610"/>
    <w:rsid w:val="00A74685"/>
    <w:rsid w:val="00A746E7"/>
    <w:rsid w:val="00A938EF"/>
    <w:rsid w:val="00AB1DC9"/>
    <w:rsid w:val="00AD1BB6"/>
    <w:rsid w:val="00AE01AB"/>
    <w:rsid w:val="00AF0B7D"/>
    <w:rsid w:val="00B12057"/>
    <w:rsid w:val="00B7119F"/>
    <w:rsid w:val="00B72C4A"/>
    <w:rsid w:val="00B74E5F"/>
    <w:rsid w:val="00B779C0"/>
    <w:rsid w:val="00B9073E"/>
    <w:rsid w:val="00B91E97"/>
    <w:rsid w:val="00B92AA7"/>
    <w:rsid w:val="00B93A74"/>
    <w:rsid w:val="00B944F0"/>
    <w:rsid w:val="00BA4D5E"/>
    <w:rsid w:val="00BB280F"/>
    <w:rsid w:val="00BB34B9"/>
    <w:rsid w:val="00BC5E6E"/>
    <w:rsid w:val="00BD6B69"/>
    <w:rsid w:val="00BE658A"/>
    <w:rsid w:val="00BF7570"/>
    <w:rsid w:val="00C01C15"/>
    <w:rsid w:val="00C137B2"/>
    <w:rsid w:val="00C20BFF"/>
    <w:rsid w:val="00C247BA"/>
    <w:rsid w:val="00C32719"/>
    <w:rsid w:val="00C35768"/>
    <w:rsid w:val="00C461EF"/>
    <w:rsid w:val="00C4716B"/>
    <w:rsid w:val="00C6160F"/>
    <w:rsid w:val="00C777A0"/>
    <w:rsid w:val="00C83700"/>
    <w:rsid w:val="00C91716"/>
    <w:rsid w:val="00C938CF"/>
    <w:rsid w:val="00C94CC0"/>
    <w:rsid w:val="00CA0AB6"/>
    <w:rsid w:val="00CB35DD"/>
    <w:rsid w:val="00CC36AF"/>
    <w:rsid w:val="00CE0B73"/>
    <w:rsid w:val="00CE586A"/>
    <w:rsid w:val="00D03AD0"/>
    <w:rsid w:val="00D04C04"/>
    <w:rsid w:val="00D206A3"/>
    <w:rsid w:val="00D231AF"/>
    <w:rsid w:val="00D26C91"/>
    <w:rsid w:val="00D3317A"/>
    <w:rsid w:val="00D37EBB"/>
    <w:rsid w:val="00D429F1"/>
    <w:rsid w:val="00D47BA7"/>
    <w:rsid w:val="00D506FD"/>
    <w:rsid w:val="00D54466"/>
    <w:rsid w:val="00D60180"/>
    <w:rsid w:val="00D607CE"/>
    <w:rsid w:val="00D66247"/>
    <w:rsid w:val="00D823CB"/>
    <w:rsid w:val="00DA5012"/>
    <w:rsid w:val="00DD3E93"/>
    <w:rsid w:val="00DE0C65"/>
    <w:rsid w:val="00E1689D"/>
    <w:rsid w:val="00E31208"/>
    <w:rsid w:val="00E6046C"/>
    <w:rsid w:val="00E85685"/>
    <w:rsid w:val="00E93893"/>
    <w:rsid w:val="00E94ECD"/>
    <w:rsid w:val="00EA0C49"/>
    <w:rsid w:val="00EB6EA0"/>
    <w:rsid w:val="00EC18F0"/>
    <w:rsid w:val="00ED56A6"/>
    <w:rsid w:val="00F03349"/>
    <w:rsid w:val="00F21B33"/>
    <w:rsid w:val="00F21DAD"/>
    <w:rsid w:val="00F23967"/>
    <w:rsid w:val="00F267E0"/>
    <w:rsid w:val="00F34A43"/>
    <w:rsid w:val="00F34CF5"/>
    <w:rsid w:val="00F3667B"/>
    <w:rsid w:val="00F447DB"/>
    <w:rsid w:val="00F51717"/>
    <w:rsid w:val="00F53A5C"/>
    <w:rsid w:val="00F775B3"/>
    <w:rsid w:val="00F82C0B"/>
    <w:rsid w:val="00FA4913"/>
    <w:rsid w:val="00FD6C65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5113766543C2B8FE9A82CF46AF9707823EDDD76AE2E7A30ECE16FEEC9535B84BD309602A9F3826a9N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4</cp:revision>
  <cp:lastPrinted>2024-04-16T11:19:00Z</cp:lastPrinted>
  <dcterms:created xsi:type="dcterms:W3CDTF">2024-04-24T06:06:00Z</dcterms:created>
  <dcterms:modified xsi:type="dcterms:W3CDTF">2024-04-24T06:10:00Z</dcterms:modified>
</cp:coreProperties>
</file>