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4C">
        <w:rPr>
          <w:rFonts w:ascii="Times New Roman" w:hAnsi="Times New Roman" w:cs="Times New Roman"/>
          <w:b/>
          <w:sz w:val="28"/>
          <w:szCs w:val="28"/>
        </w:rPr>
        <w:t>Информация о выполнении показ</w:t>
      </w:r>
      <w:bookmarkStart w:id="0" w:name="_GoBack"/>
      <w:bookmarkEnd w:id="0"/>
      <w:r w:rsidRPr="0038644C">
        <w:rPr>
          <w:rFonts w:ascii="Times New Roman" w:hAnsi="Times New Roman" w:cs="Times New Roman"/>
          <w:b/>
          <w:sz w:val="28"/>
          <w:szCs w:val="28"/>
        </w:rPr>
        <w:t xml:space="preserve">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04FC5">
        <w:rPr>
          <w:rFonts w:ascii="Times New Roman" w:hAnsi="Times New Roman" w:cs="Times New Roman"/>
          <w:b/>
          <w:sz w:val="28"/>
          <w:szCs w:val="28"/>
        </w:rPr>
        <w:t>8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559"/>
        <w:gridCol w:w="1843"/>
      </w:tblGrid>
      <w:tr w:rsidR="00C4716B" w:rsidRPr="005136A8" w:rsidTr="0088414D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C4716B" w:rsidRPr="005136A8" w:rsidTr="0088414D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5136A8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Факт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ическое (оценочное)</w:t>
            </w:r>
          </w:p>
        </w:tc>
      </w:tr>
    </w:tbl>
    <w:p w:rsidR="00C4716B" w:rsidRDefault="00C4716B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8414D" w:rsidRPr="0088414D" w:rsidRDefault="0088414D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414D" w:rsidRPr="00904FC5" w:rsidRDefault="0088414D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1560"/>
        <w:gridCol w:w="1842"/>
      </w:tblGrid>
      <w:tr w:rsidR="00904FC5" w:rsidRPr="00904FC5" w:rsidTr="00904FC5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04FC5" w:rsidRPr="00904FC5" w:rsidTr="00904FC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"Стимулирование экономической активности"</w:t>
            </w:r>
          </w:p>
        </w:tc>
      </w:tr>
      <w:tr w:rsidR="00904FC5" w:rsidRPr="00904FC5" w:rsidTr="00904F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 к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104,1</w:t>
            </w:r>
          </w:p>
        </w:tc>
      </w:tr>
      <w:tr w:rsidR="00904FC5" w:rsidRPr="00904FC5" w:rsidTr="00904FC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04FC5" w:rsidRPr="00904FC5" w:rsidTr="00904FC5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603,3</w:t>
            </w:r>
          </w:p>
        </w:tc>
      </w:tr>
      <w:tr w:rsidR="00904FC5" w:rsidRPr="00904FC5" w:rsidTr="00904FC5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FC5" w:rsidRPr="00904FC5" w:rsidTr="00904FC5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5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</w:tr>
      <w:tr w:rsidR="00904FC5" w:rsidRPr="00904FC5" w:rsidTr="00596D4D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"Обеспечение благоприятного инвестиционного климата в Ленинградской области"</w:t>
            </w:r>
          </w:p>
        </w:tc>
      </w:tr>
      <w:tr w:rsidR="00904FC5" w:rsidRPr="00904FC5" w:rsidTr="00904FC5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04FC5" w:rsidRPr="00904FC5" w:rsidTr="00904FC5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04FC5" w:rsidRPr="00904FC5" w:rsidTr="00904FC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получения разрешения на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C91716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04FC5" w:rsidRPr="00904FC5" w:rsidTr="00904FC5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391,1</w:t>
            </w:r>
          </w:p>
        </w:tc>
      </w:tr>
      <w:tr w:rsidR="00904FC5" w:rsidRPr="00904FC5" w:rsidTr="00904FC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904FC5" w:rsidRPr="00904FC5" w:rsidTr="00904FC5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904FC5" w:rsidRPr="00904FC5" w:rsidTr="00596D4D">
        <w:trPr>
          <w:trHeight w:val="9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созданных рабочих мест предприятиями - резидентами территорий опережающего социально-экономического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04FC5" w:rsidRPr="00904FC5" w:rsidTr="00904FC5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</w:tr>
      <w:tr w:rsidR="00904FC5" w:rsidRPr="00904FC5" w:rsidTr="00904FC5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04FC5" w:rsidRPr="00904FC5" w:rsidTr="00596D4D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FC5" w:rsidRPr="00904FC5" w:rsidRDefault="00596D4D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Подпрограмма </w:t>
            </w:r>
            <w:r w:rsidR="00904FC5"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"Развитие промышленности и инноваций в Ленинградской области"</w:t>
            </w:r>
          </w:p>
        </w:tc>
      </w:tr>
      <w:tr w:rsidR="00904FC5" w:rsidRPr="00904FC5" w:rsidTr="00904FC5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04FC5" w:rsidRPr="00904FC5" w:rsidTr="00904FC5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904FC5" w:rsidRPr="00904FC5" w:rsidTr="00904FC5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промышленности в валовом региональном продукте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37,2</w:t>
            </w:r>
          </w:p>
        </w:tc>
      </w:tr>
      <w:tr w:rsidR="00904FC5" w:rsidRPr="00904FC5" w:rsidTr="00904FC5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</w:tr>
      <w:tr w:rsidR="00904FC5" w:rsidRPr="00904FC5" w:rsidTr="00596D4D">
        <w:trPr>
          <w:trHeight w:val="7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70,6</w:t>
            </w:r>
          </w:p>
        </w:tc>
      </w:tr>
      <w:tr w:rsidR="00904FC5" w:rsidRPr="00904FC5" w:rsidTr="00596D4D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малого, среднего предпринимательства и потребительского рынка"</w:t>
            </w:r>
          </w:p>
        </w:tc>
      </w:tr>
      <w:tr w:rsidR="00904FC5" w:rsidRPr="00904FC5" w:rsidTr="00DE0C6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23,9</w:t>
            </w:r>
          </w:p>
        </w:tc>
      </w:tr>
      <w:tr w:rsidR="00904FC5" w:rsidRPr="00904FC5" w:rsidTr="00DE0C65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27,5</w:t>
            </w:r>
          </w:p>
        </w:tc>
      </w:tr>
      <w:tr w:rsidR="00904FC5" w:rsidRPr="00904FC5" w:rsidTr="00DE0C65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904FC5" w:rsidRPr="00904FC5" w:rsidTr="00DE0C65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</w:tr>
      <w:tr w:rsidR="00904FC5" w:rsidRPr="00904FC5" w:rsidTr="00DE0C65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38,2</w:t>
            </w:r>
          </w:p>
        </w:tc>
      </w:tr>
      <w:tr w:rsidR="00904FC5" w:rsidRPr="00904FC5" w:rsidTr="00DE0C65">
        <w:trPr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27,3</w:t>
            </w:r>
          </w:p>
        </w:tc>
      </w:tr>
      <w:tr w:rsidR="00904FC5" w:rsidRPr="00904FC5" w:rsidTr="00DE0C65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</w:tr>
      <w:tr w:rsidR="00904FC5" w:rsidRPr="00904FC5" w:rsidTr="00DE0C65">
        <w:trPr>
          <w:trHeight w:val="1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монопрофильных</w:t>
            </w:r>
            <w:proofErr w:type="spellEnd"/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7,3</w:t>
            </w:r>
          </w:p>
        </w:tc>
      </w:tr>
      <w:tr w:rsidR="00904FC5" w:rsidRPr="00904FC5" w:rsidTr="00DE0C6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оборота субъектов малого и среднего предпринимательства в общем обороте предприятий и организаций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25*</w:t>
            </w:r>
          </w:p>
        </w:tc>
      </w:tr>
      <w:tr w:rsidR="00904FC5" w:rsidRPr="00904FC5" w:rsidTr="00DE0C65">
        <w:trPr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</w:tr>
      <w:tr w:rsidR="00904FC5" w:rsidRPr="00904FC5" w:rsidTr="00DE0C65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100,7*</w:t>
            </w:r>
          </w:p>
        </w:tc>
      </w:tr>
      <w:tr w:rsidR="00904FC5" w:rsidRPr="00904FC5" w:rsidTr="00DE0C65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122,9*</w:t>
            </w:r>
          </w:p>
        </w:tc>
      </w:tr>
      <w:tr w:rsidR="00904FC5" w:rsidRPr="00904FC5" w:rsidTr="00DE0C65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единиц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н/д</w:t>
            </w:r>
          </w:p>
        </w:tc>
      </w:tr>
      <w:tr w:rsidR="00904FC5" w:rsidRPr="00904FC5" w:rsidTr="00DE0C65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04FC5" w:rsidRPr="00904FC5" w:rsidTr="00DE0C65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2856</w:t>
            </w:r>
          </w:p>
        </w:tc>
      </w:tr>
      <w:tr w:rsidR="00904FC5" w:rsidRPr="00904FC5" w:rsidTr="00DE0C65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4FC5" w:rsidRPr="00904FC5" w:rsidTr="00DE0C65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904FC5" w:rsidRPr="00904FC5" w:rsidTr="00F5171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</w:tr>
      <w:tr w:rsidR="00904FC5" w:rsidRPr="00904FC5" w:rsidTr="00F51717">
        <w:trPr>
          <w:trHeight w:val="8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прогнозных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</w:tr>
      <w:tr w:rsidR="00904FC5" w:rsidRPr="00904FC5" w:rsidTr="00DE0C65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проектов в портфеле приоритетных проектов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04FC5" w:rsidRPr="00904FC5" w:rsidTr="00DE0C65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пользователей, подключенных к информационной системе по проектному управлению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904FC5" w:rsidRPr="00904FC5" w:rsidTr="00F51717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</w:tr>
      <w:tr w:rsidR="00904FC5" w:rsidRPr="00904FC5" w:rsidTr="00F51717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904FC5" w:rsidRPr="00904FC5" w:rsidTr="00F51717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904FC5" w:rsidRPr="00904FC5" w:rsidTr="00F51717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FC5" w:rsidRPr="00904FC5" w:rsidRDefault="00904FC5" w:rsidP="0090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</w:tbl>
    <w:p w:rsidR="0088414D" w:rsidRDefault="0088414D" w:rsidP="00BF7570">
      <w:pPr>
        <w:jc w:val="both"/>
        <w:rPr>
          <w:rFonts w:ascii="Times New Roman" w:hAnsi="Times New Roman" w:cs="Times New Roman"/>
          <w:sz w:val="28"/>
          <w:szCs w:val="28"/>
        </w:rPr>
        <w:sectPr w:rsidR="0088414D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201</w:t>
      </w:r>
      <w:r w:rsidR="00B454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92553C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в 75 </w:t>
            </w:r>
            <w:proofErr w:type="spell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мероприятиях, в том числе Петербургский международный экономический форум, Красноярский экономический форум, форум "</w:t>
            </w:r>
            <w:proofErr w:type="spell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Международная промышленная выставка "ИННОПРОМ" в </w:t>
            </w:r>
            <w:proofErr w:type="spell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, V Российско-Норвежском бизнес фор</w:t>
            </w:r>
            <w:r w:rsidR="00F34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регионы".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сопровождение 49 инвестиционных проектов (всего на сопровождении находится 230 проектов), осуществлялась актуализация Инвестиционного портала Ленинградской области, посещаемость составила 61,5 тыс. человек. 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Изданы 8 видов печатных изданий, в том числе на английском и китайском языках, направленные на продвижение инвестиционного и инновационного потенциала Ленинградской области общим тиражом 9100 экземпляров, размещено 11 публикаций в федеральных средствах массовой информации и интернет-изданиях.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Проведена всероссийская научно-практическая конференция по вопросам оценки регулирующего воздействия с  участием 80 человек.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территория опережающего социально-экономического развития.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Сформирована комплексная программа развития моногородов.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Осуществлялась актуализация интегрированной региональной информационной системы «Инвестиционное развитие территории Ленинградской области».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Ленинградской области, границы которых внесены в Единый государственный реестр недвижимости,  составила 65,4%,  населенных пунктов – 48,5%.</w:t>
            </w:r>
          </w:p>
          <w:p w:rsidR="00CA0AB6" w:rsidRPr="00CA0AB6" w:rsidRDefault="00CA0AB6" w:rsidP="00CA0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6">
              <w:rPr>
                <w:rFonts w:ascii="Times New Roman" w:hAnsi="Times New Roman" w:cs="Times New Roman"/>
                <w:sz w:val="24"/>
                <w:szCs w:val="24"/>
              </w:rPr>
              <w:t>Утверждены и размещены в Федеральной государственной информационной системе территориального планирования 188 генеральных планов и программ комплексного развития систем коммунальной, транспортной и социальной инфраструктуры поселения, городского округа, 200 принятых правил землепользования и застройки.</w:t>
            </w:r>
            <w:proofErr w:type="gramEnd"/>
          </w:p>
          <w:p w:rsidR="00CA0AB6" w:rsidRPr="00CA0AB6" w:rsidRDefault="00CA0AB6" w:rsidP="00CA0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Всеми муниципальными образованиями Ленинградской области, уполномоченными на выдачу градостроительных планов земельных участков (55 муниципальных образований), </w:t>
            </w:r>
            <w:r w:rsidRPr="00CA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 административные регламенты предоставления  данных услуг, соответствующие требованиям Градостроительного кодекса РФ. </w:t>
            </w:r>
          </w:p>
          <w:p w:rsidR="00CA0AB6" w:rsidRPr="00CA0AB6" w:rsidRDefault="00CA0AB6" w:rsidP="00CA0A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6">
              <w:rPr>
                <w:rFonts w:ascii="Times New Roman" w:hAnsi="Times New Roman" w:cs="Times New Roman"/>
                <w:sz w:val="24"/>
                <w:szCs w:val="24"/>
              </w:rPr>
              <w:t xml:space="preserve">Принят административный регламент предоставления  услуги по выдаче разрешения на строительство. Срок выдачи разрешения на </w:t>
            </w:r>
            <w:r w:rsidR="00BB34B9">
              <w:rPr>
                <w:rFonts w:ascii="Times New Roman" w:hAnsi="Times New Roman" w:cs="Times New Roman"/>
                <w:sz w:val="24"/>
                <w:szCs w:val="24"/>
              </w:rPr>
              <w:t>строительство составляет 7 дней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19592D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2 организациям, осуществляющим 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(ООО «ОРИМИ ТРЭЙД», ООО 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 Шина»</w:t>
            </w:r>
            <w:r w:rsidR="00947BA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 и 4 организациям, осуществляющим инвестиционную деятельность (ЗАО «Интернешнл 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» АО «Усть-Луга Ойл», ООО «Невская трубопроводная компания»), субсидия ЗАО «Форд Мотор Компани» на возмещение затрат на перевозку работников.   </w:t>
            </w:r>
          </w:p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Продолжено развитие кластеров автомобильной промышленности, композитного кластера, кластера медицинской, фармацевтической промышленности и радиационных технологий.</w:t>
            </w:r>
          </w:p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мониторинг результатов финансово-хозяйственной деятельности предприятий производственных отраслей, анализ экспортной деятельности, мониторинг инновационного развития Ленинградской области, анализ рейтингов инновационного развития регионов России. Проведено заседание Совета по развитию экспорта и 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области. </w:t>
            </w:r>
          </w:p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Проведен ежегодный конкурс «Бизнес, развивающий регион» - награждены  лауреаты по 8 номинациям.</w:t>
            </w:r>
          </w:p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Сертификат на право использования логотипа «Сделано в Ленинградской области» выдан 3 организациям (ООО «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ЛСР</w:t>
            </w:r>
            <w:proofErr w:type="gram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теновые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Динекс</w:t>
            </w:r>
            <w:proofErr w:type="spellEnd"/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-Русь», ООО Мебельная Фабрика «АВС-Петербург).</w:t>
            </w:r>
          </w:p>
          <w:p w:rsidR="00BB34B9" w:rsidRPr="00BB34B9" w:rsidRDefault="00BB34B9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B9">
              <w:rPr>
                <w:rFonts w:ascii="Times New Roman" w:hAnsi="Times New Roman" w:cs="Times New Roman"/>
                <w:sz w:val="24"/>
                <w:szCs w:val="24"/>
              </w:rPr>
              <w:t>Именные научные стипендии Губернатора Ленинградской области выплачены 19 талантливым ученым и 5 победителям конкурсов на соискание премии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бернатора Ленинградской области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B" w:rsidRPr="00F33FB6" w:rsidTr="007B2883">
        <w:tc>
          <w:tcPr>
            <w:tcW w:w="1580" w:type="pct"/>
            <w:shd w:val="clear" w:color="auto" w:fill="auto"/>
          </w:tcPr>
          <w:p w:rsidR="006215AB" w:rsidRPr="0019592D" w:rsidRDefault="006215AB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18 субъектам малого и среднего предпринимательства (далее – МСП) на возмещение затрат, связанных с получением сертификатов соответствия, 12 субъектам МСП, осуществляющим деятельность в сфере туризма, 18 субъектам - на возмещение части затрат на участие в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мероприятиях, 3 субъектам – на </w:t>
            </w:r>
            <w:r w:rsidRPr="00E1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программ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1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– на модернизацию производства, 44 субъектам – на возмещение затрат, связанных с уплатой кредитов, 85 субъектам – на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затрат, связанных с заключением договоров лизинга, 9 субъектам, осуществляющим деятельность в сфере малоформатной торговли, 30 субъектам, осуществляющим деятельность в сфере социального предпринимательства, 21 субъекту, осуществляющему деятельность в области ремесел и художественных народных промыслов, 76 субъектам на поддержку проектов начальной (посевной) стадии. 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Гранты по итогам конкурса на лучшее ведение бизнеса предоставлены 21 субъекту предпринимательства по 7 номинациям, 24 субъектам предпринимательства - по 8 номинациям по итогам конкурса «</w:t>
            </w: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в сфере потребительского рынка». 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2 выставки-ярмарки художественных промыслов России «Ладья. Весенняя Фантазия» и «Ладья. Зимняя сказка» в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рыночных инструментов поддержки малого бизнеса предоставлена субсидия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Лодейнопольскому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фонду развития бизнеса "Содействие", фондом предоставлены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10 субъектам МСП. 32 организациям инфраструктуры поддержки малого и среднего предпринимательства предоставлены субсидии на развитие и компенсацию затрат на проведение консультационных и образовательных мероприятий – проведено 40969 консультаций.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Лодейнопольскому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Кингисеппскому</w:t>
            </w:r>
            <w:proofErr w:type="spellEnd"/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Подпорожскому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районам на возмещение затрат организаций потребительской кооперации, связанных с доставкой товаров в труднодоступную местность, 18 организациям потребительской кооперации - на развитие магазинов шаговой доступности.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 Моногородам Сланцы, Пикалево и Сясьстрой предоставлены субсидии на поддержку программ развития МСП, моногороду Пикалево – на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деятельности </w:t>
            </w: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8 некоммерческим организациям на реализацию программ обучения школьников основам предпринимательской деятельности.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развитие системы микрофинансирования, АО «Агентство поддержки малого и среднего предпринимательства, региональная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Ленинградской области» выданы 37 займов 33 субъектам МСП.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с 17 муниципальными районами и городским округом о </w:t>
            </w:r>
            <w:r w:rsidRPr="00E1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субсидии на организацию мониторинга деятельности субъектов  малого и среднего предпринимательства, осуществлялся ввод данных в информационную систему.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партнерских программ обучения проведено 40 образовательных тренингов  - 574 участника. Размещена 51 публикация в региональных печатных СМИ, 12 сюжетов на радио и телевидении,  152 публикации </w:t>
            </w: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spell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.  Проведено 451 образовательное мероприятие с участием 8468 человек, в том числе 6288 субъектов МСП. В целях привлечения субъектов МСП к закупкам крупных компаний проведены 4 встречи крупнейших заказчиков с субъектами МСП.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95 субъектов МСП по 3 направлениям программы </w:t>
            </w:r>
            <w:proofErr w:type="gramStart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9D" w:rsidRPr="00E1689D" w:rsidRDefault="00E1689D" w:rsidP="00E168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9D">
              <w:rPr>
                <w:rFonts w:ascii="Times New Roman" w:hAnsi="Times New Roman" w:cs="Times New Roman"/>
                <w:sz w:val="24"/>
                <w:szCs w:val="24"/>
              </w:rPr>
              <w:t>Создан Центр молодежного инновационного творчества, в деятельнос</w:t>
            </w:r>
            <w:r w:rsidR="00E85685">
              <w:rPr>
                <w:rFonts w:ascii="Times New Roman" w:hAnsi="Times New Roman" w:cs="Times New Roman"/>
                <w:sz w:val="24"/>
                <w:szCs w:val="24"/>
              </w:rPr>
              <w:t>ть центра вовлечено 500 человек</w:t>
            </w:r>
          </w:p>
          <w:p w:rsidR="006215AB" w:rsidRPr="00BB34B9" w:rsidRDefault="006215AB" w:rsidP="00BB3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C20BFF" w:rsidRPr="00C20BFF" w:rsidRDefault="00C20BFF" w:rsidP="00C20B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стратегия социально-экономического развития и план мероприятий по реализации стратегии </w:t>
            </w:r>
            <w:proofErr w:type="spellStart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 w:rsidRPr="00C20BFF">
              <w:rPr>
                <w:rFonts w:ascii="Times New Roman" w:hAnsi="Times New Roman" w:cs="Times New Roman"/>
                <w:sz w:val="24"/>
                <w:szCs w:val="24"/>
              </w:rPr>
              <w:t xml:space="preserve">  районов. Проведено прогнозное исследование половозрастной структуры населения и оценка текущей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рспективной потребности в объектах социальной инфраструктура 4 поселений, исследование конкурентных преимуществ муниципальных образований для актуализации Стратегии социально-экономического развития Ленинградской области</w:t>
            </w:r>
          </w:p>
          <w:p w:rsidR="00C20BFF" w:rsidRPr="00C20BFF" w:rsidRDefault="00C20BFF" w:rsidP="00C20B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Осуществлялось обеспечение органов исполнительной власти Ленинградской области статистической информацией. Разработан дизайн буклета о социально-экономическом развитии Ленинградской области.</w:t>
            </w:r>
          </w:p>
          <w:p w:rsidR="00C20BFF" w:rsidRPr="00C20BFF" w:rsidRDefault="00C20BFF" w:rsidP="00C20B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FF">
              <w:rPr>
                <w:rFonts w:ascii="Times New Roman" w:hAnsi="Times New Roman" w:cs="Times New Roman"/>
                <w:sz w:val="24"/>
                <w:szCs w:val="24"/>
              </w:rPr>
              <w:t>Проведена модернизация информационной системы управления проектами – разработан модуль мотивации, проведены доработки с учетом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работы с проектами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335B3E" w:rsidRPr="00335B3E" w:rsidRDefault="00335B3E" w:rsidP="00335B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152 мероприятия, направленных на развитие международного и межрегионального сотрудничества, продвижение имиджа Ленинградской области, в том числе визит делегации Ленинградской области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трасбург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(Французская Республика),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г.Хельсинки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(Финляндская Республика),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Беларусь), губернию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Нурланд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(Королевство Норвегия),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г.Росток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(Федеративная республика Германия), г. Кишинев (Республика Молдова),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(Азербайджанская Республика), фестиваль «Дни Японии» в </w:t>
            </w:r>
            <w:r w:rsidRPr="0033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Сиверском городском поселении Гатчинского района, Автопробег за мир – 2018. Балтийский маршрут, участие в заключительной конференции Российско-Германского года регионально-муниципальных партнерств 2017 – 2018 года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ерлине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провинцией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Чхунчхон-Намдо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Корея, участие в программе приграничного сотрудничества «Россия – Эстония», участие в работе Первого Российско-Узбекского форума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г.Ташкенте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, Девятого Российско-Азербайджанского межрегионального форума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B3E" w:rsidRPr="00335B3E" w:rsidRDefault="00335B3E" w:rsidP="00335B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гастроли театра «Комедианты» в </w:t>
            </w:r>
            <w:proofErr w:type="spell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>ерлине</w:t>
            </w:r>
            <w:proofErr w:type="spellEnd"/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заключительный этап </w:t>
            </w:r>
            <w:r w:rsidRPr="00335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хореографического искусства «Славянский кубок», </w:t>
            </w:r>
            <w:r w:rsidRPr="00335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молодежный форум имени Александра Невского с участием 80 соотечественников из 35 стран, молодежный образовательный форум «Ладога» с участием 35 соотечественников из 11 стран, </w:t>
            </w:r>
            <w:r w:rsidRPr="00335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Балтийский форум соотечественников с участием 140 человек. </w:t>
            </w:r>
          </w:p>
          <w:p w:rsidR="00335B3E" w:rsidRPr="00335B3E" w:rsidRDefault="00335B3E" w:rsidP="00335B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трем направлениям прошли 40 педагогов. Проведена конференция по вопросам обучения и воспитания для педагогов русских школ в Эстонии с участием 66 педагогов, видеоконференция для соотечественников – родителей учащихся с участием более 90 соотечественников из 13 стран. Участие в предметных сессиях для одаренных детей приняло 20 человек</w:t>
            </w:r>
          </w:p>
          <w:p w:rsidR="007B2883" w:rsidRPr="007B2883" w:rsidRDefault="007B2883" w:rsidP="001D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«Стимулирование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</w:t>
      </w:r>
      <w:r w:rsidR="00335B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709"/>
        <w:gridCol w:w="850"/>
      </w:tblGrid>
      <w:tr w:rsidR="0027112D" w:rsidRPr="00083D06" w:rsidTr="0092553C">
        <w:trPr>
          <w:trHeight w:val="377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 (подпрограммы)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92553C">
        <w:trPr>
          <w:trHeight w:val="315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B4CB0" w:rsidRPr="00083D06" w:rsidTr="0092553C">
        <w:trPr>
          <w:trHeight w:val="784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6C471C" w:rsidRPr="001B4CB0" w:rsidTr="00AD1BB6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71C" w:rsidRPr="00AD1BB6" w:rsidRDefault="006C471C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Стимулирование экономической активности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19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524146</w:t>
            </w:r>
            <w:r w:rsidR="00195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70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19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519854</w:t>
            </w:r>
            <w:r w:rsidR="00195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70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1C" w:rsidRPr="00AD1BB6" w:rsidRDefault="006C4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B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AD1B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5152151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AD1BB6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71C" w:rsidRPr="00AD1BB6" w:rsidRDefault="006C471C" w:rsidP="00A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</w:tr>
      <w:tr w:rsidR="001B4CB0" w:rsidRPr="00083D06" w:rsidTr="00240CEF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AD1BB6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AD1BB6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0C7" w:rsidRPr="00083D06" w:rsidTr="005700C7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0C7" w:rsidRPr="00AD1BB6" w:rsidRDefault="005700C7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1B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1B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0C7" w:rsidRPr="00AD1BB6" w:rsidRDefault="005700C7" w:rsidP="002562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0C7" w:rsidRPr="00AD1BB6" w:rsidRDefault="005700C7" w:rsidP="0025620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C7" w:rsidRPr="00AD1BB6" w:rsidRDefault="005700C7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C7" w:rsidRPr="00AD1BB6" w:rsidRDefault="005700C7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7B6" w:rsidRPr="00083D06" w:rsidTr="007D1AB2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7B6" w:rsidRPr="00AD1BB6" w:rsidRDefault="003C47B6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0DCC" w:rsidRPr="003A0DCC" w:rsidTr="003A0DCC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CC" w:rsidRPr="00AD1BB6" w:rsidRDefault="003A0DCC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малого, среднего </w:t>
            </w:r>
            <w:proofErr w:type="gramStart"/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предприниматель-</w:t>
            </w:r>
            <w:proofErr w:type="spellStart"/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proofErr w:type="gramEnd"/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F3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F3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F3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1B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9E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9E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9E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9E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19592D" w:rsidP="0025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3A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3A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3A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CC" w:rsidRPr="00AD1BB6" w:rsidRDefault="003A0DCC" w:rsidP="003A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</w:tr>
      <w:tr w:rsidR="00387690" w:rsidRPr="00083D06" w:rsidTr="00A05742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690" w:rsidRPr="00AD1BB6" w:rsidRDefault="00387690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A05742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A05742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A05742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690" w:rsidRPr="00AD1BB6" w:rsidRDefault="00387690" w:rsidP="00A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47B6" w:rsidRPr="00083D06" w:rsidTr="00240CEF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7B6" w:rsidRPr="00AD1BB6" w:rsidRDefault="003C47B6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A05742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A05742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1F640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1F640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5F2B52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5F2B52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7B6" w:rsidRPr="00AD1BB6" w:rsidRDefault="003C47B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A5012" w:rsidRDefault="00DA5012" w:rsidP="00DA5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12" w:rsidRPr="00BF7570" w:rsidRDefault="00DA5012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012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64F23"/>
    <w:rsid w:val="00093519"/>
    <w:rsid w:val="000B5BEF"/>
    <w:rsid w:val="001413CB"/>
    <w:rsid w:val="001834EF"/>
    <w:rsid w:val="00183C46"/>
    <w:rsid w:val="0019592D"/>
    <w:rsid w:val="001A3682"/>
    <w:rsid w:val="001B4CB0"/>
    <w:rsid w:val="001D110F"/>
    <w:rsid w:val="001F6403"/>
    <w:rsid w:val="00211E63"/>
    <w:rsid w:val="00240CEF"/>
    <w:rsid w:val="0027112D"/>
    <w:rsid w:val="00292CC8"/>
    <w:rsid w:val="002C6C2C"/>
    <w:rsid w:val="002E7617"/>
    <w:rsid w:val="00316E60"/>
    <w:rsid w:val="00335809"/>
    <w:rsid w:val="00335B3E"/>
    <w:rsid w:val="00337935"/>
    <w:rsid w:val="00365106"/>
    <w:rsid w:val="003715E6"/>
    <w:rsid w:val="00385A26"/>
    <w:rsid w:val="00387690"/>
    <w:rsid w:val="003A0DCC"/>
    <w:rsid w:val="003C47B6"/>
    <w:rsid w:val="003D2F4D"/>
    <w:rsid w:val="003E0CAF"/>
    <w:rsid w:val="00404D57"/>
    <w:rsid w:val="00410699"/>
    <w:rsid w:val="00432166"/>
    <w:rsid w:val="00434DC6"/>
    <w:rsid w:val="004520FC"/>
    <w:rsid w:val="004D635A"/>
    <w:rsid w:val="004F5283"/>
    <w:rsid w:val="005136A8"/>
    <w:rsid w:val="0053605A"/>
    <w:rsid w:val="00555819"/>
    <w:rsid w:val="00556B17"/>
    <w:rsid w:val="005700C7"/>
    <w:rsid w:val="00596D4D"/>
    <w:rsid w:val="005F2B52"/>
    <w:rsid w:val="00613F95"/>
    <w:rsid w:val="006215AB"/>
    <w:rsid w:val="00625EC2"/>
    <w:rsid w:val="00663A30"/>
    <w:rsid w:val="006A52C6"/>
    <w:rsid w:val="006C471C"/>
    <w:rsid w:val="006D2123"/>
    <w:rsid w:val="00703688"/>
    <w:rsid w:val="007B2883"/>
    <w:rsid w:val="007B7CB4"/>
    <w:rsid w:val="007D1AB2"/>
    <w:rsid w:val="00832344"/>
    <w:rsid w:val="0088414D"/>
    <w:rsid w:val="00904FC5"/>
    <w:rsid w:val="0092553C"/>
    <w:rsid w:val="00925CF4"/>
    <w:rsid w:val="0093752C"/>
    <w:rsid w:val="00947BA9"/>
    <w:rsid w:val="00954BEA"/>
    <w:rsid w:val="009B3EEE"/>
    <w:rsid w:val="009C496D"/>
    <w:rsid w:val="009E15CB"/>
    <w:rsid w:val="00A05742"/>
    <w:rsid w:val="00A746E7"/>
    <w:rsid w:val="00AB1DC9"/>
    <w:rsid w:val="00AD1BB6"/>
    <w:rsid w:val="00B45449"/>
    <w:rsid w:val="00B7119F"/>
    <w:rsid w:val="00B72C4A"/>
    <w:rsid w:val="00B74E5F"/>
    <w:rsid w:val="00B93A74"/>
    <w:rsid w:val="00BB34B9"/>
    <w:rsid w:val="00BC5E6E"/>
    <w:rsid w:val="00BF7570"/>
    <w:rsid w:val="00C20BFF"/>
    <w:rsid w:val="00C247BA"/>
    <w:rsid w:val="00C32719"/>
    <w:rsid w:val="00C4716B"/>
    <w:rsid w:val="00C6160F"/>
    <w:rsid w:val="00C777A0"/>
    <w:rsid w:val="00C83700"/>
    <w:rsid w:val="00C91716"/>
    <w:rsid w:val="00C938CF"/>
    <w:rsid w:val="00C94CC0"/>
    <w:rsid w:val="00CA0AB6"/>
    <w:rsid w:val="00D26C91"/>
    <w:rsid w:val="00D3317A"/>
    <w:rsid w:val="00D429F1"/>
    <w:rsid w:val="00D47BA7"/>
    <w:rsid w:val="00D607CE"/>
    <w:rsid w:val="00D823CB"/>
    <w:rsid w:val="00DA5012"/>
    <w:rsid w:val="00DE0C65"/>
    <w:rsid w:val="00E1689D"/>
    <w:rsid w:val="00E31208"/>
    <w:rsid w:val="00E85685"/>
    <w:rsid w:val="00EB6EA0"/>
    <w:rsid w:val="00F21B33"/>
    <w:rsid w:val="00F21DAD"/>
    <w:rsid w:val="00F34CF5"/>
    <w:rsid w:val="00F3667B"/>
    <w:rsid w:val="00F51717"/>
    <w:rsid w:val="00F775B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cp:lastPrinted>2019-03-11T12:28:00Z</cp:lastPrinted>
  <dcterms:created xsi:type="dcterms:W3CDTF">2020-04-02T14:14:00Z</dcterms:created>
  <dcterms:modified xsi:type="dcterms:W3CDTF">2020-04-02T14:14:00Z</dcterms:modified>
</cp:coreProperties>
</file>