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585"/>
        <w:gridCol w:w="430"/>
        <w:gridCol w:w="4155"/>
        <w:gridCol w:w="2149"/>
        <w:gridCol w:w="2149"/>
        <w:gridCol w:w="2135"/>
        <w:gridCol w:w="15"/>
      </w:tblGrid>
      <w:tr>
        <w:trPr>
          <w:trHeight w:hRule="exact" w:val="57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7"/>
          </w:tcPr>
          <w:p/>
        </w:tc>
      </w:tr>
      <w:tr>
        <w:trPr>
          <w:trHeight w:hRule="exact" w:val="645"/>
        </w:trPr>
        <w:tc>
          <w:tcPr>
            <w:tcW w:w="15618" w:type="dxa"/>
            <w:gridSpan w:val="7"/>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Разработка и реализация программы системной поддержки и повышения качества жизни граждан старшего поколения (Ленинградская область)</w:t>
            </w:r>
          </w:p>
        </w:tc>
      </w:tr>
      <w:tr>
        <w:trPr>
          <w:trHeight w:hRule="exact" w:val="716"/>
        </w:trPr>
        <w:tc>
          <w:tcPr>
            <w:tcW w:w="15618" w:type="dxa"/>
            <w:gridSpan w:val="7"/>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регионального проекта</w:t>
            </w:r>
          </w:p>
        </w:tc>
        <w:tc>
          <w:tcPr>
            <w:tcW w:w="11033" w:type="dxa"/>
            <w:gridSpan w:val="6"/>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реализация программы системной поддержки и повышения качества жизни граждан старшего поколения (Ленинградская область)</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Старшее поколение (Ленинградская область)</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2150"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Емельянов Н.П.</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по социальным вопросам</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Толмачева А.Е.</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Щеголева М.М.</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начальника отдела развития системы социального обслуживания</w:t>
            </w:r>
          </w:p>
        </w:tc>
      </w:tr>
      <w:tr>
        <w:trPr>
          <w:trHeight w:hRule="exact" w:val="716"/>
        </w:trPr>
        <w:tc>
          <w:tcPr>
            <w:tcW w:w="4585" w:type="dxa"/>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(комплексными программами) Российской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(далее - государственные</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программы)</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"Развитие здравоохранения в Ленинградской области"</w:t>
            </w:r>
          </w:p>
        </w:tc>
      </w:tr>
      <w:tr>
        <w:trPr>
          <w:trHeight w:hRule="exact" w:val="716"/>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Федеральные проекты, входящие в состав национальных проектов</w:t>
            </w:r>
          </w:p>
        </w:tc>
      </w:tr>
      <w:tr>
        <w:trPr>
          <w:trHeight w:hRule="exact" w:val="975"/>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"Социальная поддержка отдельных категорий граждан в Ленинградской области"</w:t>
            </w:r>
          </w:p>
        </w:tc>
      </w:tr>
      <w:tr>
        <w:trPr>
          <w:trHeight w:hRule="exact" w:val="573"/>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направленные на достижение целей проектов</w:t>
            </w:r>
          </w:p>
        </w:tc>
      </w:tr>
      <w:tr>
        <w:trPr>
          <w:trHeight w:hRule="exact" w:val="716"/>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"Развитие здравоохранения в Ленинградской области"</w:t>
            </w:r>
          </w:p>
        </w:tc>
      </w:tr>
      <w:tr>
        <w:trPr>
          <w:trHeight w:hRule="exact" w:val="975"/>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 "Первичная медико-санитарная помощь. Профилактика заболеваний и формирование здорового образа жизни"</w:t>
            </w: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287"/>
        <w:gridCol w:w="286"/>
        <w:gridCol w:w="143"/>
        <w:gridCol w:w="144"/>
        <w:gridCol w:w="143"/>
        <w:gridCol w:w="1289"/>
        <w:gridCol w:w="717"/>
        <w:gridCol w:w="716"/>
        <w:gridCol w:w="860"/>
        <w:gridCol w:w="143"/>
        <w:gridCol w:w="287"/>
        <w:gridCol w:w="430"/>
        <w:gridCol w:w="143"/>
        <w:gridCol w:w="286"/>
        <w:gridCol w:w="574"/>
        <w:gridCol w:w="286"/>
        <w:gridCol w:w="143"/>
        <w:gridCol w:w="574"/>
        <w:gridCol w:w="143"/>
        <w:gridCol w:w="286"/>
        <w:gridCol w:w="144"/>
        <w:gridCol w:w="143"/>
        <w:gridCol w:w="143"/>
        <w:gridCol w:w="144"/>
        <w:gridCol w:w="143"/>
        <w:gridCol w:w="143"/>
        <w:gridCol w:w="430"/>
        <w:gridCol w:w="143"/>
        <w:gridCol w:w="430"/>
        <w:gridCol w:w="143"/>
        <w:gridCol w:w="144"/>
        <w:gridCol w:w="143"/>
        <w:gridCol w:w="143"/>
        <w:gridCol w:w="143"/>
        <w:gridCol w:w="287"/>
        <w:gridCol w:w="143"/>
        <w:gridCol w:w="144"/>
        <w:gridCol w:w="143"/>
        <w:gridCol w:w="286"/>
        <w:gridCol w:w="144"/>
        <w:gridCol w:w="286"/>
        <w:gridCol w:w="144"/>
        <w:gridCol w:w="143"/>
        <w:gridCol w:w="430"/>
        <w:gridCol w:w="143"/>
        <w:gridCol w:w="143"/>
        <w:gridCol w:w="430"/>
        <w:gridCol w:w="287"/>
        <w:gridCol w:w="286"/>
        <w:gridCol w:w="143"/>
        <w:gridCol w:w="287"/>
        <w:gridCol w:w="143"/>
        <w:gridCol w:w="287"/>
        <w:gridCol w:w="860"/>
        <w:gridCol w:w="286"/>
        <w:gridCol w:w="287"/>
      </w:tblGrid>
      <w:tr>
        <w:trPr>
          <w:trHeight w:hRule="exact" w:val="430"/>
        </w:trPr>
        <w:tc>
          <w:tcPr>
            <w:tcW w:w="15618" w:type="dxa"/>
            <w:gridSpan w:val="5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73" w:type="dxa"/>
            <w:gridSpan w:val="2"/>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Показатели регионального проекта</w:t>
            </w: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287" w:type="dxa"/>
            <w:tcBorders>
              <w:left w:val="single" w:sz="5" w:space="0" w:color="000000"/>
            </w:tcBorders>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2,1000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14,4300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14,4500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282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2021</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57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качества и доступности медицинской помощи для лиц старше трудоспособного возраста</w:t>
            </w:r>
          </w:p>
        </w:tc>
        <w:tc>
          <w:tcPr>
            <w:tcW w:w="287" w:type="dxa"/>
            <w:tcBorders>
              <w:left w:val="single" w:sz="5" w:space="0" w:color="000000"/>
            </w:tcBorders>
          </w:tcPr>
          <w:p/>
        </w:tc>
      </w:tr>
      <w:tr>
        <w:trPr>
          <w:trHeight w:hRule="exact" w:val="123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госпитализации на геронтологические койки лиц старше 60 лет на 10 тыс. населения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Условная единица</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2017</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14,5000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18,2000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33,1000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55,1000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55,1000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29"/>
        </w:trPr>
        <w:tc>
          <w:tcPr>
            <w:tcW w:w="15618" w:type="dxa"/>
            <w:gridSpan w:val="5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86" w:type="dxa"/>
            <w:tcBorders>
              <w:top w:val="single" w:sz="5" w:space="0" w:color="000000"/>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соответствующего возраста</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7" w:type="dxa"/>
            <w:tcBorders>
              <w:left w:val="single" w:sz="5" w:space="0" w:color="000000"/>
            </w:tcBorders>
          </w:tcPr>
          <w:p/>
        </w:tc>
      </w:tr>
      <w:tr>
        <w:trPr>
          <w:trHeight w:hRule="exact" w:val="150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Охват граждан старше трудоспособного возраста профилактическими осмотрами, включая диспансеризацию</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17,1500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2017</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22,3000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13,7000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16,7000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27,9000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65,3000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70,0000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203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37,8000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2017</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48,8000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55,9000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69,1000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29"/>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 w:type="dxa"/>
            <w:tcBorders>
              <w:top w:val="single" w:sz="5" w:space="0" w:color="000000"/>
            </w:tcBorders>
          </w:tcPr>
          <w:p/>
        </w:tc>
        <w:tc>
          <w:tcPr>
            <w:tcW w:w="287" w:type="dxa"/>
          </w:tcPr>
          <w:p/>
        </w:tc>
      </w:tr>
      <w:tr>
        <w:trPr>
          <w:trHeight w:hRule="exact" w:val="574"/>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Помесячный план достижения показателей регионального проекта в 2024 году</w:t>
            </w:r>
          </w:p>
        </w:tc>
        <w:tc>
          <w:tcPr>
            <w:tcW w:w="287" w:type="dxa"/>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10"/>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3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10"/>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287" w:type="dxa"/>
            <w:tcBorders>
              <w:left w:val="single" w:sz="5" w:space="0" w:color="000000"/>
            </w:tcBorders>
          </w:tcPr>
          <w:p/>
        </w:tc>
      </w:tr>
      <w:tr>
        <w:trPr>
          <w:trHeight w:hRule="exact" w:val="176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14,4500</w:t>
            </w:r>
          </w:p>
        </w:tc>
        <w:tc>
          <w:tcPr>
            <w:tcW w:w="287" w:type="dxa"/>
            <w:tcBorders>
              <w:left w:val="single" w:sz="5" w:space="0" w:color="000000"/>
            </w:tcBorders>
          </w:tcPr>
          <w:p/>
        </w:tc>
      </w:tr>
      <w:tr>
        <w:trPr>
          <w:trHeight w:hRule="exact" w:val="1762"/>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40,0000</w:t>
            </w: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качества и доступности медицинской помощи для лиц старше трудоспособного возраста</w:t>
            </w:r>
          </w:p>
        </w:tc>
        <w:tc>
          <w:tcPr>
            <w:tcW w:w="287" w:type="dxa"/>
            <w:tcBorders>
              <w:left w:val="single" w:sz="5" w:space="0" w:color="000000"/>
            </w:tcBorders>
          </w:tcPr>
          <w:p/>
        </w:tc>
      </w:tr>
      <w:tr>
        <w:trPr>
          <w:trHeight w:hRule="exact" w:val="124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госпитализации на геронтологические койки лиц старше 60 лет на 10 тыс. населения соответствующего возраста</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Условная единица</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55,1000</w:t>
            </w:r>
          </w:p>
        </w:tc>
        <w:tc>
          <w:tcPr>
            <w:tcW w:w="287" w:type="dxa"/>
            <w:tcBorders>
              <w:left w:val="single" w:sz="5" w:space="0" w:color="000000"/>
            </w:tcBorders>
          </w:tcPr>
          <w:p/>
        </w:tc>
      </w:tr>
      <w:tr>
        <w:trPr>
          <w:trHeight w:hRule="exact" w:val="974"/>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Охват граждан старше трудоспособного возраста профилактическими осмотрами, включая диспансеризацию</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287" w:type="dxa"/>
            <w:tcBorders>
              <w:left w:val="single" w:sz="5" w:space="0" w:color="000000"/>
            </w:tcBorders>
          </w:tcPr>
          <w:p/>
        </w:tc>
      </w:tr>
      <w:tr>
        <w:trPr>
          <w:trHeight w:hRule="exact" w:val="124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287" w:type="dxa"/>
            <w:tcBorders>
              <w:left w:val="single" w:sz="5" w:space="0" w:color="000000"/>
            </w:tcBorders>
          </w:tcPr>
          <w:p/>
        </w:tc>
      </w:tr>
      <w:tr>
        <w:trPr>
          <w:trHeight w:hRule="exact" w:val="429"/>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 w:type="dxa"/>
            <w:tcBorders>
              <w:top w:val="single" w:sz="5" w:space="0" w:color="000000"/>
            </w:tcBorders>
          </w:tcPr>
          <w:p/>
        </w:tc>
        <w:tc>
          <w:tcPr>
            <w:tcW w:w="287" w:type="dxa"/>
          </w:tcPr>
          <w:p/>
        </w:tc>
      </w:tr>
      <w:tr>
        <w:trPr>
          <w:trHeight w:hRule="exact" w:val="574"/>
        </w:trPr>
        <w:tc>
          <w:tcPr>
            <w:tcW w:w="16191" w:type="dxa"/>
            <w:gridSpan w:val="56"/>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4. Результаты регионального проекта</w:t>
            </w:r>
          </w:p>
        </w:tc>
      </w:tr>
      <w:tr>
        <w:trPr>
          <w:trHeight w:hRule="exact" w:val="1002"/>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качества и доступности медицинской помощи для лиц старше трудоспособного возраста</w:t>
            </w: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Проведено обследование длительно иммобилизированных пациентов на дому . Нарастающий итог</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Человек</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2017</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3 953,0000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3 953,0000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3 953,0000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3 953,0000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3 953,0000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3 953,0000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​Ежегодно мультидисциплинарными мобильными бригадами, в состав которых включены медицинские работники (при выезде к пожилым гражданам врач-гериатр) и специалист районного филиала Ленинградского областного государственного казенного учреждения «Центр социальной защиты населения» осуществляются выездные надомные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c>
          <w:tcPr>
            <w:tcW w:w="287" w:type="dxa"/>
            <w:tcBorders>
              <w:left w:val="single" w:sz="5" w:space="0" w:color="000000"/>
            </w:tcBorders>
          </w:tcPr>
          <w:p/>
        </w:tc>
      </w:tr>
      <w:tr>
        <w:trPr>
          <w:trHeight w:hRule="exact" w:val="1877"/>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862"/>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246"/>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обследования длительно иммобилизированных пациентов.</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2017</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95,0000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95,0000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95,0000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95,0000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95,0000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95,0000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Органами исполнительной власти будут ежегодно проводиться конкурсные процедуры и закупка вакцины, ее поставка в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c>
          <w:tcPr>
            <w:tcW w:w="287" w:type="dxa"/>
            <w:tcBorders>
              <w:left w:val="single" w:sz="5" w:space="0" w:color="000000"/>
            </w:tcBorders>
          </w:tcPr>
          <w:p/>
        </w:tc>
      </w:tr>
      <w:tr>
        <w:trPr>
          <w:trHeight w:hRule="exact" w:val="1762"/>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74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80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медицинские организации, которые будут проводить вакцинацию граждан старше трудоспособного возраста из групп риска, проживающих в организациях социального обслуживания.</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805"/>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287" w:type="dxa"/>
            <w:tcBorders>
              <w:left w:val="single" w:sz="5" w:space="0" w:color="000000"/>
            </w:tcBorders>
          </w:tcPr>
          <w:p/>
        </w:tc>
      </w:tr>
      <w:tr>
        <w:trPr>
          <w:trHeight w:hRule="exact" w:val="1791"/>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Разработана система неформального (семейного/соседского) ухода в домашних условиях в рамках технологии "Заботливый сосед"</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Человек</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2019</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Обеспечение условий поддержки и развития неформального (семейного/соседского) ухода, предусматривающего информирование, обучение, компенсации 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c>
          <w:tcPr>
            <w:tcW w:w="287" w:type="dxa"/>
            <w:tcBorders>
              <w:left w:val="single" w:sz="5" w:space="0" w:color="000000"/>
            </w:tcBorders>
          </w:tcPr>
          <w:p/>
        </w:tc>
      </w:tr>
      <w:tr>
        <w:trPr>
          <w:trHeight w:hRule="exact" w:val="1777"/>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34"/>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механизмы стимулирования и поддержки людей, осуществляющих неформальный уход в домашних условиях</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794"/>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Граждане старше трудоспособного возраста и инвалиды получили услуги в рамках системы долговременного ухода</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Человек</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2023</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800,0000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систему долговременного ухода включены граждане пожилого возраста и инвалиды, которые не способны полностью или частично осуществлять самообслуживание, самостоятельно передвигаться, обеспечивать свои основные жизненные потребности (далее - граждане). Приоритетное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c>
          <w:tcPr>
            <w:tcW w:w="287" w:type="dxa"/>
            <w:tcBorders>
              <w:left w:val="single" w:sz="5" w:space="0" w:color="000000"/>
            </w:tcBorders>
          </w:tcPr>
          <w:p/>
        </w:tc>
      </w:tr>
      <w:tr>
        <w:trPr>
          <w:trHeight w:hRule="exact" w:val="279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право имеют инвалиды и участники Великой Отечественной войны. Гражданам в соответствии с уровнем нуждаемости в уходе предоставляются социальные услуги по уходу, направленные на поддержку их состояния здоровья, питания, личной гигиены, мобильности, социального функционирования (далее - услуги по уходу). Объем услуг по уходу варьируется от 14 до 28 часов в неделю и зависит от индивидуальной потребности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гражданина в таком уходе.</w:t>
            </w:r>
          </w:p>
          <w:p>
            <w:pPr>
              <w:rPr>
                <w:rFonts w:ascii="Times New Roman" w:hAnsi="Times New Roman" w:eastAsia="Times New Roman" w:cs="Times New Roman"/>
                <w:color w:val="000000"/>
                <w:sz w:val="24"/>
                <w:spacing w:val="-2"/>
              </w:rPr>
              <w:spacing w:line="230"/>
              <w:jc w:val="center"/>
            </w:pP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качества и доступности медицинской помощи для лиц старше трудоспособного возраста</w:t>
            </w: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Условная 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2017</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Организация на базе одного из гериатрических отделений Областного гериатрического центра</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(реорганизация) организации (структурного подразделения)</w:t>
            </w:r>
          </w:p>
          <w:p/>
        </w:tc>
        <w:tc>
          <w:tcPr>
            <w:tcW w:w="287" w:type="dxa"/>
            <w:tcBorders>
              <w:left w:val="single" w:sz="5" w:space="0" w:color="000000"/>
            </w:tcBorders>
          </w:tcPr>
          <w:p/>
        </w:tc>
      </w:tr>
      <w:tr>
        <w:trPr>
          <w:trHeight w:hRule="exact" w:val="1806"/>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791"/>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6"/>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Нарастающий итог</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3.2</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2019</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0,6000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0,7500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1,0200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1,5900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2,2800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2,2800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На базе </w:t>
            </w:r>
            <w:r>
              <w:rPr>
                <w:sz w:val="24"/>
                <w:szCs w:val="24"/>
                <w:rFonts w:ascii="Times New Roman" w:hAnsi="Times New Roman" w:eastAsia="Times New Roman" w:cs="Times New Roman"/>
                <w:spacing w:val="-2"/>
              </w:rPr>
              <w:t xml:space="preserve">обособленного структурного подразделения ФГБОУ ВО РНИМУ им. Н.И. Пирогова Минздрава России «Российский геронтологический научно-клинический центр» </w:t>
            </w:r>
            <w:r>
              <w:rPr>
                <w:sz w:val="24"/>
                <w:szCs w:val="24"/>
                <w:rFonts w:ascii="Times New Roman" w:hAnsi="Times New Roman" w:eastAsia="Times New Roman" w:cs="Times New Roman"/>
                <w:spacing w:val="-2"/>
              </w:rPr>
              <w:t xml:space="preserve">будет создан федеральный центр координации деятельности субъектов Российской Федерации по развитию организации оказания медицинской помощи по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c>
          <w:tcPr>
            <w:tcW w:w="287" w:type="dxa"/>
            <w:tcBorders>
              <w:left w:val="single" w:sz="5" w:space="0" w:color="000000"/>
            </w:tcBorders>
          </w:tcPr>
          <w:p/>
        </w:tc>
      </w:tr>
      <w:tr>
        <w:trPr>
          <w:trHeight w:hRule="exact" w:val="202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2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профилю «гериатрия»</w:t>
            </w:r>
            <w:r>
              <w:rPr>
                <w:sz w:val="24"/>
                <w:szCs w:val="24"/>
                <w:rFonts w:ascii="Times New Roman" w:hAnsi="Times New Roman" w:eastAsia="Times New Roman" w:cs="Times New Roman"/>
                <w:spacing w:val="-2"/>
              </w:rPr>
              <w:t xml:space="preserve">.</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 организационно-методической поддержкой федерального центра координации: в 2019 году 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возраста.Будет разработан Минздравом России и апробирован в 7 субъектах Российской Федерации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2020 году  - в 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2021 году -  в 70 субъектах Российской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Федерации будут созданы региональные гериатрические центры, в которых помощь получат не менее 140,0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2023 году - в 80 субъектах Российской Федерации будут созданы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региональные гериатрические центры, в которых помощь получат не менее 155,0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51"/>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06"/>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3.3</w:t>
            </w: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Разработан и внедрен в практику во всех субъектах Российской Федерации комплекс мер, направленный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Условная единица</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2017</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2020 году обособленным подразделением «гериатрический центр» разработан и направлен в </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профилактику падений и переломов</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Минздрав России комплекс мер, направленный на профилактику падений и переломов. После одобрения Минздравом России комплекс мер подписан и размещён на сайте Минздрава России, направлен в субъекты Российской Федерации.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Начиная с 2021 года Федеральным центром координации деятельности субъектов Российской Федерации по развитию организации оказания медицинской помощи по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профилю «гериатрия» производится отбор субъектов Российской Федерации, участвующих во внедрении комплекса мер. Орган исполнительной власти в сфере здравоохранения субъекта Российской Федерации, прошедшего отбор, утверждает нормативный правовой акт, регламентирующий внедрение комплекса мер в медицинские организации на территории субъекта Российской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Федерации. </w:t>
            </w:r>
          </w:p>
          <w:p>
            <w:pPr>
              <w:rPr>
                <w:rFonts w:ascii="Times New Roman" w:hAnsi="Times New Roman" w:eastAsia="Times New Roman" w:cs="Times New Roman"/>
                <w:color w:val="000000"/>
                <w:sz w:val="24"/>
                <w:spacing w:val="-2"/>
              </w:rPr>
              <w:spacing w:line="230"/>
              <w:jc w:val="center"/>
            </w:pP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15904" w:type="dxa"/>
            <w:gridSpan w:val="55"/>
            <w:tcBorders>
              <w:top w:val="single" w:sz="5" w:space="0" w:color="000000"/>
            </w:tcBorders>
          </w:tcPr>
          <w:p/>
        </w:tc>
        <w:tc>
          <w:tcPr>
            <w:tcW w:w="287" w:type="dxa"/>
          </w:tcPr>
          <w:p/>
        </w:tc>
      </w:tr>
      <w:tr>
        <w:trPr>
          <w:trHeight w:hRule="exact" w:val="2163"/>
        </w:trPr>
        <w:tc>
          <w:tcPr>
            <w:tcW w:w="16191" w:type="dxa"/>
            <w:gridSpan w:val="56"/>
          </w:tcPr>
          <w:p/>
        </w:tc>
      </w:tr>
      <w:tr>
        <w:trPr>
          <w:trHeight w:hRule="exact" w:val="2164"/>
        </w:trPr>
        <w:tc>
          <w:tcPr>
            <w:tcW w:w="16191" w:type="dxa"/>
            <w:gridSpan w:val="56"/>
          </w:tcPr>
          <w:p/>
        </w:tc>
      </w:tr>
      <w:tr>
        <w:trPr>
          <w:trHeight w:hRule="exact" w:val="143"/>
        </w:trPr>
        <w:tc>
          <w:tcPr>
            <w:tcW w:w="16191" w:type="dxa"/>
            <w:gridSpan w:val="56"/>
          </w:tcPr>
          <w:p/>
        </w:tc>
      </w:tr>
      <w:tr>
        <w:trPr>
          <w:trHeight w:hRule="exact" w:val="287"/>
        </w:trPr>
        <w:tc>
          <w:tcPr>
            <w:tcW w:w="16191" w:type="dxa"/>
            <w:gridSpan w:val="56"/>
          </w:tcPr>
          <w:p/>
        </w:tc>
      </w:tr>
      <w:tr>
        <w:trPr>
          <w:trHeight w:hRule="exact" w:val="430"/>
        </w:trPr>
        <w:tc>
          <w:tcPr>
            <w:tcW w:w="15904" w:type="dxa"/>
            <w:gridSpan w:val="5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287" w:type="dxa"/>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044" w:type="dxa"/>
            <w:gridSpan w:val="51"/>
            <w:vAlign w:val="center"/>
            <w:shd w:val="clear" w:color="auto" w:fill="auto"/>
          </w:tcPr>
          <w:p/>
        </w:tc>
        <w:tc>
          <w:tcPr>
            <w:tcW w:w="287" w:type="dxa"/>
          </w:tcPr>
          <w:p/>
        </w:tc>
      </w:tr>
      <w:tr>
        <w:trPr>
          <w:trHeight w:hRule="exact" w:val="430"/>
        </w:trPr>
        <w:tc>
          <w:tcPr>
            <w:tcW w:w="15904" w:type="dxa"/>
            <w:gridSpan w:val="55"/>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Финансовое обеспечение реализации регионального проекта</w:t>
            </w:r>
          </w:p>
          <w:p/>
        </w:tc>
        <w:tc>
          <w:tcPr>
            <w:tcW w:w="287" w:type="dxa"/>
          </w:tcPr>
          <w:p/>
        </w:tc>
      </w:tr>
      <w:tr>
        <w:trPr>
          <w:trHeight w:hRule="exact" w:val="143"/>
        </w:trPr>
        <w:tc>
          <w:tcPr>
            <w:tcW w:w="15904" w:type="dxa"/>
            <w:gridSpan w:val="55"/>
            <w:tcBorders>
              <w:bottom w:val="single" w:sz="5" w:space="0" w:color="000000"/>
            </w:tcBorders>
          </w:tcP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Лица старше трудоспособного возраста и инвалиды, нуждающиеся в социальном обслуживании, обеспечены системой долговременного ухода</w:t>
            </w: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97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Граждане старше трудоспособного возраста и инвалиды получили услуги в рамках системы долговременного ухода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111 434,40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111 434,40</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111 434,40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111 434,40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111 434,40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111 434,40</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29"/>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целях осуществления доставки лиц старше 65 лет, проживающих в сельской местности, в медицинские организации в 2019 году приобретен автотранспорт. </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-41 800,00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-41 800,00</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-41 800,00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-41 800,00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-41 800,00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-41 800,00</w:t>
            </w:r>
          </w:p>
        </w:tc>
        <w:tc>
          <w:tcPr>
            <w:tcW w:w="287" w:type="dxa"/>
            <w:tcBorders>
              <w:left w:val="single" w:sz="5" w:space="0" w:color="000000"/>
            </w:tcBorders>
          </w:tcP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16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субъектах Российской Федерации обучено в 2019 году - не менее 75 тысяч граждан предпенсионного возраста, 2020 - не менее 150 тысяч граждан предпенсионного возраста, 2021 - не </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-20 465,80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-11 347,32</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-31 813,12</w:t>
            </w: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292"/>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менее 225 тысяч граждан предпенсионного возраста, 2022 -  не менее 300 тысяч граждан предпенсионного возраста, 2023 –  не менее 375 тысяч граждан предпенсионного возраста, 2024 - не менее 450 тысяч граждан предпенсионного возраста.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-20 465,80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-11 347,32</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-31 813,12</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-20 465,80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-11 347,32</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-31 813,12</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30"/>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Повышение качества и доступности медицинской помощи для лиц старше трудоспособного возраста</w:t>
            </w: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1762"/>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5 033,20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468,60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123,40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459,70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382,60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425,10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6 892,60</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5 033,20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468,60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123,40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459,70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382,60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425,10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6 892,60</w:t>
            </w:r>
          </w:p>
        </w:tc>
        <w:tc>
          <w:tcPr>
            <w:tcW w:w="287" w:type="dxa"/>
            <w:tcBorders>
              <w:left w:val="single" w:sz="5" w:space="0" w:color="000000"/>
            </w:tcBorders>
          </w:tcP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5 033,20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468,60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123,40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459,70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382,60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425,10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6 892,60</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-57 232,60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-10 878,72</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123,40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459,70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111 817,00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425,10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44 713,88</w:t>
            </w:r>
          </w:p>
        </w:tc>
        <w:tc>
          <w:tcPr>
            <w:tcW w:w="287" w:type="dxa"/>
            <w:tcBorders>
              <w:left w:val="single" w:sz="5" w:space="0" w:color="000000"/>
            </w:tcBorders>
          </w:tcPr>
          <w:p/>
        </w:tc>
      </w:tr>
      <w:tr>
        <w:trPr>
          <w:trHeight w:hRule="exact" w:val="244"/>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73"/>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-57 232,60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-10 878,72</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123,40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459,70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111 817,00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425,10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44 713,88</w:t>
            </w:r>
          </w:p>
        </w:tc>
        <w:tc>
          <w:tcPr>
            <w:tcW w:w="287" w:type="dxa"/>
            <w:tcBorders>
              <w:left w:val="single" w:sz="5" w:space="0" w:color="000000"/>
            </w:tcBorders>
          </w:tcPr>
          <w:p/>
        </w:tc>
      </w:tr>
      <w:tr>
        <w:trPr>
          <w:trHeight w:hRule="exact" w:val="71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ТФОМС)</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573"/>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 ,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430"/>
        </w:trPr>
        <w:tc>
          <w:tcPr>
            <w:tcW w:w="15904" w:type="dxa"/>
            <w:gridSpan w:val="5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287" w:type="dxa"/>
          </w:tcPr>
          <w:p/>
        </w:tc>
      </w:tr>
      <w:tr>
        <w:trPr>
          <w:trHeight w:hRule="exact" w:val="573"/>
        </w:trPr>
        <w:tc>
          <w:tcPr>
            <w:tcW w:w="15618" w:type="dxa"/>
            <w:gridSpan w:val="54"/>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6. Помесячный план исполнения бюджета Ленинградская область в части бюджетных ассигнований, предусмотренных на финансовое обеспечение реализации регионального проекта в 2024 году</w:t>
            </w:r>
          </w:p>
          <w:p/>
        </w:tc>
        <w:tc>
          <w:tcPr>
            <w:tcW w:w="573" w:type="dxa"/>
            <w:gridSpan w:val="2"/>
          </w:tcPr>
          <w:p/>
        </w:tc>
      </w:tr>
      <w:tr>
        <w:trPr>
          <w:trHeight w:hRule="exact" w:val="143"/>
        </w:trPr>
        <w:tc>
          <w:tcPr>
            <w:tcW w:w="15904" w:type="dxa"/>
            <w:gridSpan w:val="55"/>
            <w:tcBorders>
              <w:bottom w:val="single" w:sz="5" w:space="0" w:color="000000"/>
            </w:tcBorders>
          </w:tcP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29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9456" w:type="dxa"/>
            <w:gridSpan w:val="4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 исполнения нарастающим итогом (тыс. рублей)</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 (тыс. рублей)</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287" w:type="dxa"/>
            <w:tcBorders>
              <w:left w:val="single" w:sz="5" w:space="0" w:color="000000"/>
            </w:tcBorders>
          </w:tcPr>
          <w:p/>
        </w:tc>
      </w:tr>
      <w:tr>
        <w:trPr>
          <w:trHeight w:hRule="exact" w:val="974"/>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29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Граждане старше трудоспособного возраста и инвалиды получили услуги в рамках системы долговременного ухода</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качества и доступности медицинской помощи для лиц старше трудоспособного возраста</w:t>
            </w:r>
          </w:p>
        </w:tc>
        <w:tc>
          <w:tcPr>
            <w:tcW w:w="287" w:type="dxa"/>
            <w:tcBorders>
              <w:left w:val="single" w:sz="5" w:space="0" w:color="000000"/>
            </w:tcBorders>
          </w:tcPr>
          <w:p/>
        </w:tc>
      </w:tr>
      <w:tr>
        <w:trPr>
          <w:trHeight w:hRule="exact" w:val="176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29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425,10</w:t>
            </w:r>
          </w:p>
        </w:tc>
        <w:tc>
          <w:tcPr>
            <w:tcW w:w="287" w:type="dxa"/>
            <w:tcBorders>
              <w:left w:val="single" w:sz="5" w:space="0" w:color="000000"/>
            </w:tcBorders>
          </w:tcPr>
          <w:p/>
        </w:tc>
      </w:tr>
      <w:tr>
        <w:trPr>
          <w:trHeight w:hRule="exact" w:val="444"/>
        </w:trPr>
        <w:tc>
          <w:tcPr>
            <w:tcW w:w="5015"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425,10</w:t>
            </w:r>
          </w:p>
        </w:tc>
        <w:tc>
          <w:tcPr>
            <w:tcW w:w="287" w:type="dxa"/>
            <w:tcBorders>
              <w:left w:val="single" w:sz="5" w:space="0" w:color="000000"/>
            </w:tcBorders>
          </w:tcPr>
          <w:p/>
        </w:tc>
      </w:tr>
    </w:tbl>
    <w:p>
      <w:pPr>
        <w:sectPr>
          <w:pgSz w:w="16848" w:h="11952"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860"/>
        <w:gridCol w:w="3582"/>
        <w:gridCol w:w="1146"/>
        <w:gridCol w:w="1146"/>
        <w:gridCol w:w="1003"/>
        <w:gridCol w:w="1003"/>
        <w:gridCol w:w="1719"/>
        <w:gridCol w:w="717"/>
        <w:gridCol w:w="2292"/>
        <w:gridCol w:w="1147"/>
        <w:gridCol w:w="1289"/>
        <w:gridCol w:w="272"/>
        <w:gridCol w:w="15"/>
      </w:tblGrid>
      <w:tr>
        <w:trPr>
          <w:trHeight w:hRule="exact" w:val="430"/>
        </w:trPr>
        <w:tc>
          <w:tcPr>
            <w:tcW w:w="15904" w:type="dxa"/>
            <w:gridSpan w:val="11"/>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Старшее поколение (Ленинградская область)</w:t>
            </w:r>
          </w:p>
        </w:tc>
        <w:tc>
          <w:tcPr>
            <w:tcW w:w="287" w:type="dxa"/>
            <w:gridSpan w:val="2"/>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331" w:type="dxa"/>
            <w:gridSpan w:val="1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30"/>
        </w:trPr>
        <w:tc>
          <w:tcPr>
            <w:tcW w:w="16191" w:type="dxa"/>
            <w:gridSpan w:val="1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реализации регионального проекта</w:t>
            </w: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"Разработана система неформального (семейного/соседского) ухода в домашних условиях в рамках технологии "Заботливый сосед""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Щеголева М.М.</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Обеспечение условий поддержки и развития неформального (семейного/соседского) ухода, предусматривающего информирование, обучение, компенсации и механизмы стимулирования и поддержки людей, осуществляющих неформальный уход в домашних условиях</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4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Услуга оказана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предоставления услуги", Человек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Обеспечен промежуточный мониторинг достижения результата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предоставления услуги", значение: 90.0000, Человек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Проведен промежуточный мониторинг достижения результата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предоставления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Щеголева М.М.</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Проведен мониторинг достижения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услуги", Человек</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 Процент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Заключены соглашения с организациями социального обслуживания, реализующие технологию социального обслуживания "Заботливый сосед"</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Разработаны ИППСУ</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100.0000, Человек</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Услуга оказана.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предоставления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Мониторинг комитета по социальной защите населения ЛО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социального обслуживания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предоставления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социальной защите населения Ленинградской области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социального обслуживания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предоставления услуги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12.04.2023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Мониторинг-отчет комитета по социальной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защите населения ЛО</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социального обслуживания </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предоставления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12.07.2023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Пикалова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социальной защите населения ЛО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социального обслуживания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предоставления услуги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12.10.2023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Иванов П.В.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социальной защите населения Ленинградской области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социального обслуживания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Щеголева М.М.</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Услуга оказана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Щеголева М.М.</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Услуга оказана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1.2</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"Граждане старше трудоспособного возраста и инвалиды получили услуги в рамках системы долговременного ухода"</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01.09.2023</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Толмачева А.Е.</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систему долговременного ухода включены граждане пожилого возраста и инвалиды, которые не способны полностью или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"Социальная защита Ленинградской области"</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частично осуществлять самообслуживание, самостоятельно передвигаться, обеспечивать свои основные жизненные потребности (далее - граждане). Приоритетное право имеют инвалиды и участники Великой Отечественной войны. Гражданам в соответствии с уровнем нуждаемости в уходе предоставляются социальные услуги по уходу, направленные на поддержку их состояния здоровья, питания, личной гигиены, мобильности, социального функционирования (далее - услуги по уходу). Объем услуг по уходу варьируется от 14 до 28 часов в неделю и зависит от индивидуальной потребности гражданина в таком уходе.</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4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Толмачева А.Е.</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реализующих пилотный проект, заключены соглашения о предоставлении субсидии из федерального бюджета"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Минтруд России представлены предварительные отчеты органов исполнительной власти субъектов Российской Федерации по реализации пилотного проекта в 2023 году"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Толмачева А.Е.</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(физического) лицу включено в реестр соглашений)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Щеголева М.М.</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АЦК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 выполнении соглашения о предоставлении субсидии юридическому (физическому) лица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Щеголева М.М.</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СОЦЗАЩИТА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качества и доступности медицинской помощи для лиц старше трудоспособного возраста</w:t>
            </w:r>
          </w:p>
        </w:tc>
      </w:tr>
      <w:tr>
        <w:trPr>
          <w:trHeight w:hRule="exact" w:val="2249"/>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"Проведено обследование длительно иммобилизированных пациентов на дому "</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​Ежегодно мультидисциплинарными мобильными бригадами, в состав которых включены медицинские работники (при выезде к пожилым гражданам врач-гериатр) и специалист районного филиала Ленинградского областного государственного казенного учреждения «Центр социальной защиты населения» осуществляются выездные надомные обследования длительно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225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иммобилизированных пациентов.</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Услуга оказана, проведено обследование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предоставления услуги", значение: 1550.0000, Человек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Представлена информация о значении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достижения результата", значение: 2800.0000, Человек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Представлена информация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мониторинг достижения результата", значение: 3953.0000, Человек</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информация</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статистики "ЛенМедСтат"</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 Документ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Сформирован Реестр</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 значение: 3953.0000, Человек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Реестр актуализирован</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медицинская статистика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Услуга оказана.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предоставления услуги"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Мониторинг комитета по здравоохранению ЛО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предоставления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здравоохранению Ленинградской области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предоставления услуги"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11.04.2023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организаций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предоставления услуги"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11.07.2023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здравоохранению ЛО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предоставления услуги"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11.10.2023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здравоохранению ЛО</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Услуга оказана.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Услуга оказана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2.2</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"Во всех субъектах Российской Федерации созданы региональные гериатрические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01.12.2019</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На базе </w:t>
            </w:r>
            <w:r>
              <w:rPr>
                <w:sz w:val="24"/>
                <w:szCs w:val="24"/>
                <w:rFonts w:ascii="Times New Roman" w:hAnsi="Times New Roman" w:eastAsia="Times New Roman" w:cs="Times New Roman"/>
                <w:spacing w:val="-2"/>
              </w:rPr>
              <w:t xml:space="preserve">обособленного структурного подразделения ФГБОУ ВО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Информационная система медстатистик</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центры и геронтологические отделения, в которых помощь к концу 2024 года получили не менее 160,0 тыс. граждан старше трудоспособного возраста"</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РНИМУ им. Н.И. Пирогова Минздрава России «Российский геронтологический научно-клинический центр» </w:t>
            </w:r>
            <w:r>
              <w:rPr>
                <w:sz w:val="24"/>
                <w:szCs w:val="24"/>
                <w:rFonts w:ascii="Times New Roman" w:hAnsi="Times New Roman" w:eastAsia="Times New Roman" w:cs="Times New Roman"/>
                <w:spacing w:val="-2"/>
              </w:rPr>
              <w:t xml:space="preserve">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«гериатрия»</w:t>
            </w:r>
            <w:r>
              <w:rPr>
                <w:sz w:val="24"/>
                <w:szCs w:val="24"/>
                <w:rFonts w:ascii="Times New Roman" w:hAnsi="Times New Roman" w:eastAsia="Times New Roman" w:cs="Times New Roman"/>
                <w:spacing w:val="-2"/>
              </w:rPr>
              <w:t xml:space="preserve">.</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 организационно-методической поддержкой федерального центра координации: в 2019 году 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возраста.Будет разработан Минздравом России и апробирован в 7 субъектах Российской Федерации комплекс мер, направленный на профилактику и раннее выявление когнитивных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"ЛенМедСтат"</w:t>
            </w:r>
          </w:p>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нарушений у лиц пожилого и старческого возраста, профилактику падений и переломов.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2020 году  - в 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2021 году -  в 70 субъектах Российской Федерации будут созданы региональные гериатрические центры, в которых помощь получат не менее 140,0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2023 году - в 80 субъектах Российской Федерации будут созданы региональные гериатрические центры, в которых помощь получат не менее 155,0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 Тысяча человек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30.08.2022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Обеспечен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мониторинг реализации о реализации федерального проекта сформирован (в части 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мониторинг</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статистики "ЛенМедСтат"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достижения результата", Тысяча человек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Представлена информация.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 значение: 1.0000, Документ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Представлена информация</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"ЛенМедСтатистика"</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 значение: 1.0000, Документ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Заключено соглашение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"ЛенМедСтатистика"</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Обеспечен мониторинг</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21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оказания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07.02.2023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Мониторинг-отчет комитета по здравоохранению ЛО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медицинских организаций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оказания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16.03.2023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Мониторинг-отчет комитета по здравоохранению ЛО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медицинских организаций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оказания услуги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16.05.2023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Мониторинг-отчет комитета по здравоохранению ЛО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медицинских организаций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оказания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15.08.2023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Мониторинг-отчет комитета по здравоохранению ЛО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медицинских организаций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оказания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12.09.2023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Мониторинг-отчет комитета по здравоохранению ЛО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организаций социального обслуживания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оказания услуги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21.11.2023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Обеспечен мониторинг</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 Тысяча человек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Услуга оказана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31.08.2024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Обеспечен мониторинг</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Обеспечен мониторинг</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2.3</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01.01.2020</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Организация на базе одного из гериатрических отделений Областного гериатрического центра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решение о создании (реорганизации) организации (структурного подразделения)"</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Рязанов П.Н.</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Решение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организация деятельности организации (структурного подразделения) (структура управления и кадры)"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Рязанов П.Н.</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организация деятельности организации (структурного подразделения) (имущество, финансы)"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Рязанов П.Н.</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"Получены лицензии, соответствующие видам деятельности организации (структурного подразделения)"</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Рязанов П.Н.</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деятельности ", значение: 1.0000, Единица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26.05.2022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Представлены сведения</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организация деятельности организации (структурного подразделения) (структура управления и кадры)", значение: 1.0000, Единица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Обеспечена организация деятельности</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деятельности", значение: 1.0000, Единица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11.07.2022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Представлена информация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деятельности", значение: 1.0000, Единица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Представлена информация</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экспертное обсуждение реализации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Представлена информация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и анализ прогноза достижения результата проекта", значение: 1.0000, Единица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Шумковская И.В.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 анализ , представлены сведению</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2.4</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Органами исполнительной власти будут ежегодно проводиться конкурсные процедуры и закупка вакцины, ее поставка в медицинские организации, которые будут проводить вакцинацию граждан старше трудоспособного возраста из групп риска, проживающих в организациях социального обслуживания.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285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6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Информация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Ведомственная информационная система</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Рязанов П.Н.</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31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Рязанов П.Н.</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Рязанов П.Н.</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Утверждены документы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Подготовлено МТ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Услуга оказана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Закупка включена в план</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 в реестр</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Приемка товара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Оплата товара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 значение: 0.0000, Процент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31.05.2022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В документе указаны сведения о включении закупки в план закупок.</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 Процент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31.05.2022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Представлены сведения о госконтракте.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 значение: 95.0000, Процент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Утверждены документы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 значение: 0.0000, Процент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Представлена копия акта о поставке вакцины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оплата поставленных товаров, выполненных работ, оказанных услуг по государственному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Информация об оплате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(муниципальному) контракту", значение: 0.0000, Процент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 Процент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Подготовлено МТ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Услуга оказана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 значение: 0.0000, Процент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08.02.2023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Представлены сведения о включении закупки в план закупок</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АЦК</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20.04.2023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здравоохранению ЛО</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комитета по здравоохранению ЛО</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оказания услуги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14.06.2023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здравоохранению ЛО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Отчеты медицинских организаций </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оказания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16.08.2023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здравоохранению ЛО</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комитета по здравоохранению ЛО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оказания услуги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комитета по здравоохранению ЛО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комитета по здравоохранению ЛО </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 Процент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22.11.2023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Услуга оказана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20.11.2024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Услуга оказана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 значение: 0.0000, Процент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Представлены сведения о включении закупки в план закупок</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 Процент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Представлены сведения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 значение: 0.0000, Процент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Представлен акт приемки вакцины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 Процент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Представлена информация</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Утверждены документы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2.4.33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Подготовлено МТ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2.5</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"Разработан и внедрен в практику во всех субъектах Российской Федерации комплекс мер, направленный на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01.01.2022</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2020 году обособленным подразделением «гериатрический центр» разработан и направлен в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профилактику падений и переломов"</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Минздрав России комплекс мер, направленный на профилактику падений и переломов. После одобрения Минздравом России комплекс мер подписан и размещён на сайте Минздрава России, направлен в субъекты Российской Федерации.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Начиная с 2021 года Федеральным центром координации деятельности субъектов Российской Федерации по развитию организации оказания медицинской помощи по профилю «гериатрия» производится отбор субъектов Российской Федерации, участвующих во внедрении комплекса мер. Орган исполнительной власти в сфере здравоохранения субъекта Российской Федерации, прошедшего отбор, утверждает нормативный правовой акт, регламентирующий внедрение комплекса мер в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медицинские организации на территории субъекта Российской Федерации. </w:t>
            </w:r>
          </w:p>
          <w:p>
            <w:pPr>
              <w:rPr>
                <w:rFonts w:ascii="Times New Roman" w:hAnsi="Times New Roman" w:eastAsia="Times New Roman" w:cs="Times New Roman"/>
                <w:color w:val="000000"/>
                <w:sz w:val="24"/>
                <w:spacing w:val="-2"/>
              </w:rPr>
              <w:spacing w:line="230"/>
              <w:jc w:val="center"/>
            </w:pP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документа ", значение: 1.0000, Документ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прошел экспертное обсуждение", значение: 1.0000, Документ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разработан", значение: 1.0000, Документ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01.08.2022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согласован с заинтересованными органами и организациями", значение: 1.0000, Документ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01.09.2022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Ровкина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утвержден (подписан)", значение: 1.0000, Документ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опубликован", значение: 1.0000, Документ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медицинской статистики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утвержден (подписан)"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документа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2.5.11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опубликован"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Вальденберг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562" w:right="288" w:bottom="512" w:left="288" w:header="562" w:footer="512"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2866"/>
        <w:gridCol w:w="2293"/>
        <w:gridCol w:w="14"/>
      </w:tblGrid>
      <w:tr>
        <w:trPr>
          <w:trHeight w:hRule="exact" w:val="287"/>
        </w:trPr>
        <w:tc>
          <w:tcPr>
            <w:tcW w:w="15618" w:type="dxa"/>
            <w:gridSpan w:val="7"/>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14" w:type="dxa"/>
          </w:tcPr>
          <w:p/>
        </w:tc>
      </w:tr>
      <w:tr>
        <w:trPr>
          <w:trHeight w:hRule="exact" w:val="143"/>
        </w:trPr>
        <w:tc>
          <w:tcPr>
            <w:tcW w:w="15618" w:type="dxa"/>
            <w:gridSpan w:val="7"/>
            <w:vMerge/>
            <w:shd w:val="clear" w:color="auto" w:fill="auto"/>
          </w:tcPr>
          <w:p/>
        </w:tc>
        <w:tc>
          <w:tcPr>
            <w:tcW w:w="14" w:type="dxa"/>
          </w:tcPr>
          <w:p/>
        </w:tc>
      </w:tr>
      <w:tr>
        <w:trPr>
          <w:trHeight w:hRule="exact" w:val="430"/>
        </w:trPr>
        <w:tc>
          <w:tcPr>
            <w:tcW w:w="15618" w:type="dxa"/>
            <w:gridSpan w:val="7"/>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Толмачева А.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Щеголева М.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начальника отдела развития системы социального обслуживания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Проведено обследование длительно иммобилизированных пациентов на дому </w:t>
            </w:r>
          </w:p>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Ровкина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организации медецинской помощи взрослому населению</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Вальденберг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Ровкина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организации медецинской помощи взрослому населению</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Пикалова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Максимов В.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по социальной защите населения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717"/>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Вальденберг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59"/>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региональные гериатрические центры и геронтологические отделения в 2019 году в 7 субъектах Российской Федерации, в 2020 году - в 68 </w:t>
            </w:r>
          </w:p>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Вальденберг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Вальденберг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Ровкина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организации медецинской помощи взрослому населению</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Рязанов П.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Вальденберг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Рязанов П.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Ровкина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организации медецинской помощи взрослому населению</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Вальденберг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29"/>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Разработана система неформального (семейного/соседского) ухода в домашних условиях в рамках технологии "Заботливый сосед"</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Щеголева М.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начальника отдела развития системы социального обслуживания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71"/>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Щеголева М.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начальника отдела развития системы социального обслуживания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Щеголева М.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начальника отдела развития системы социального обслуживания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Пикалова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Толмачева А.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Разработан и внедрен в практику во всех субъектах Российской Федерации комплекс мер, направленный на профилактику падений и переломов</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Вальденберг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Граждане старше трудоспособного возраста и инвалиды получили услуги в рамках системы долговременного ухода</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Толмачева А.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Толмачева А.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Щеголева М.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начальника отдела развития системы социального обслуживания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Times New Roman"/>
  <w:font w:name="Cambria"/>
  <w:font w:name="Calibri"/>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RP_Starshee_pokolenie_(Leningradskaya_oblast')</dc:title>
  <dc:subject>RP_Starshee_pokolenie_(Leningradskaya_oblast')</dc:subject>
  <dc:creator/>
  <cp:keywords/>
  <dc:description/>
  <cp:lastModifiedBy>Stimulsoft Reports 2019.3.4 from 5 August 2019</cp:lastModifiedBy>
  <cp:revision>1</cp:revision>
  <dcterms:created xsi:type="dcterms:W3CDTF">2024-01-15T16:55:16Z</dcterms:created>
  <dcterms:modified xsi:type="dcterms:W3CDTF">2024-01-15T16:55:16Z</dcterms:modified>
</cp:coreProperties>
</file>