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8A8" w:rsidRPr="00DD28A8" w:rsidRDefault="00DD28A8" w:rsidP="00DF6810">
      <w:pPr>
        <w:jc w:val="center"/>
        <w:rPr>
          <w:sz w:val="28"/>
          <w:szCs w:val="28"/>
        </w:rPr>
      </w:pPr>
      <w:bookmarkStart w:id="0" w:name="_GoBack"/>
      <w:bookmarkEnd w:id="0"/>
      <w:r w:rsidRPr="00DD28A8">
        <w:rPr>
          <w:sz w:val="28"/>
          <w:szCs w:val="28"/>
        </w:rPr>
        <w:t>ПРОГНОЗ</w:t>
      </w:r>
      <w:r w:rsidR="0085636C" w:rsidRPr="00DD28A8">
        <w:rPr>
          <w:sz w:val="28"/>
          <w:szCs w:val="28"/>
        </w:rPr>
        <w:t xml:space="preserve"> </w:t>
      </w:r>
    </w:p>
    <w:p w:rsidR="0085636C" w:rsidRPr="00DD28A8" w:rsidRDefault="0085636C" w:rsidP="00DF6810">
      <w:pPr>
        <w:jc w:val="center"/>
        <w:rPr>
          <w:sz w:val="28"/>
          <w:szCs w:val="28"/>
        </w:rPr>
      </w:pPr>
      <w:r w:rsidRPr="00DD28A8">
        <w:rPr>
          <w:sz w:val="28"/>
          <w:szCs w:val="28"/>
        </w:rPr>
        <w:t>социально-экономического развития Ленинградской области</w:t>
      </w:r>
    </w:p>
    <w:p w:rsidR="0085636C" w:rsidRDefault="0085636C" w:rsidP="00DF6810">
      <w:pPr>
        <w:jc w:val="center"/>
        <w:rPr>
          <w:sz w:val="28"/>
          <w:szCs w:val="28"/>
        </w:rPr>
      </w:pPr>
      <w:r w:rsidRPr="00DD28A8">
        <w:rPr>
          <w:sz w:val="28"/>
          <w:szCs w:val="28"/>
        </w:rPr>
        <w:t xml:space="preserve">на </w:t>
      </w:r>
      <w:r w:rsidR="00683F1C" w:rsidRPr="00DD28A8">
        <w:rPr>
          <w:sz w:val="28"/>
          <w:szCs w:val="28"/>
        </w:rPr>
        <w:t>2</w:t>
      </w:r>
      <w:r w:rsidRPr="00DD28A8">
        <w:rPr>
          <w:sz w:val="28"/>
          <w:szCs w:val="28"/>
        </w:rPr>
        <w:t>0</w:t>
      </w:r>
      <w:r w:rsidR="00683F1C" w:rsidRPr="00DD28A8">
        <w:rPr>
          <w:sz w:val="28"/>
          <w:szCs w:val="28"/>
        </w:rPr>
        <w:t>2</w:t>
      </w:r>
      <w:r w:rsidR="006E17FE">
        <w:rPr>
          <w:sz w:val="28"/>
          <w:szCs w:val="28"/>
        </w:rPr>
        <w:t>3</w:t>
      </w:r>
      <w:r w:rsidR="00D117AB" w:rsidRPr="00DD28A8">
        <w:rPr>
          <w:sz w:val="28"/>
          <w:szCs w:val="28"/>
        </w:rPr>
        <w:t xml:space="preserve"> </w:t>
      </w:r>
      <w:r w:rsidR="00DD28A8">
        <w:rPr>
          <w:sz w:val="28"/>
          <w:szCs w:val="28"/>
        </w:rPr>
        <w:t>–</w:t>
      </w:r>
      <w:r w:rsidR="00D117AB" w:rsidRPr="00DD28A8">
        <w:rPr>
          <w:sz w:val="28"/>
          <w:szCs w:val="28"/>
        </w:rPr>
        <w:t xml:space="preserve"> 202</w:t>
      </w:r>
      <w:r w:rsidR="006E17FE">
        <w:rPr>
          <w:sz w:val="28"/>
          <w:szCs w:val="28"/>
        </w:rPr>
        <w:t>5</w:t>
      </w:r>
      <w:r w:rsidRPr="00DD28A8">
        <w:rPr>
          <w:sz w:val="28"/>
          <w:szCs w:val="28"/>
        </w:rPr>
        <w:t xml:space="preserve"> год</w:t>
      </w:r>
      <w:r w:rsidR="00683F1C" w:rsidRPr="00DD28A8">
        <w:rPr>
          <w:sz w:val="28"/>
          <w:szCs w:val="28"/>
        </w:rPr>
        <w:t>ы</w:t>
      </w:r>
    </w:p>
    <w:p w:rsidR="00DF6810" w:rsidRPr="00DD28A8" w:rsidRDefault="00DF6810" w:rsidP="00DF6810">
      <w:pPr>
        <w:jc w:val="center"/>
        <w:rPr>
          <w:sz w:val="28"/>
          <w:szCs w:val="28"/>
        </w:rPr>
      </w:pPr>
    </w:p>
    <w:p w:rsidR="0085636C" w:rsidRPr="008822FC" w:rsidRDefault="002C3EF4" w:rsidP="00DF6810">
      <w:pPr>
        <w:ind w:firstLine="720"/>
        <w:jc w:val="both"/>
        <w:rPr>
          <w:sz w:val="28"/>
          <w:szCs w:val="28"/>
        </w:rPr>
      </w:pPr>
      <w:r w:rsidRPr="008822FC">
        <w:rPr>
          <w:sz w:val="28"/>
          <w:szCs w:val="28"/>
        </w:rPr>
        <w:t xml:space="preserve">1. </w:t>
      </w:r>
      <w:r w:rsidR="00D117AB" w:rsidRPr="008822FC">
        <w:rPr>
          <w:sz w:val="28"/>
          <w:szCs w:val="28"/>
        </w:rPr>
        <w:t>П</w:t>
      </w:r>
      <w:r w:rsidRPr="008822FC">
        <w:rPr>
          <w:sz w:val="28"/>
          <w:szCs w:val="28"/>
        </w:rPr>
        <w:t>оказатели прогноза социально-экономического развития Ленинградской области</w:t>
      </w:r>
      <w:r w:rsidR="00DD28A8">
        <w:rPr>
          <w:sz w:val="28"/>
          <w:szCs w:val="28"/>
        </w:rPr>
        <w:t xml:space="preserve"> </w:t>
      </w:r>
      <w:r w:rsidRPr="008822FC">
        <w:rPr>
          <w:sz w:val="28"/>
          <w:szCs w:val="28"/>
        </w:rPr>
        <w:t>на 20</w:t>
      </w:r>
      <w:r w:rsidR="00EB3177" w:rsidRPr="008822FC">
        <w:rPr>
          <w:sz w:val="28"/>
          <w:szCs w:val="28"/>
        </w:rPr>
        <w:t>2</w:t>
      </w:r>
      <w:r w:rsidR="00C63F32">
        <w:rPr>
          <w:sz w:val="28"/>
          <w:szCs w:val="28"/>
        </w:rPr>
        <w:t>3</w:t>
      </w:r>
      <w:r w:rsidR="00D117AB" w:rsidRPr="008822FC">
        <w:rPr>
          <w:sz w:val="28"/>
          <w:szCs w:val="28"/>
        </w:rPr>
        <w:t xml:space="preserve"> </w:t>
      </w:r>
      <w:r w:rsidR="00DD28A8">
        <w:rPr>
          <w:sz w:val="28"/>
          <w:szCs w:val="28"/>
        </w:rPr>
        <w:t>–</w:t>
      </w:r>
      <w:r w:rsidR="00D117AB" w:rsidRPr="008822FC">
        <w:rPr>
          <w:sz w:val="28"/>
          <w:szCs w:val="28"/>
        </w:rPr>
        <w:t xml:space="preserve"> 202</w:t>
      </w:r>
      <w:r w:rsidR="00C63F32">
        <w:rPr>
          <w:sz w:val="28"/>
          <w:szCs w:val="28"/>
        </w:rPr>
        <w:t>5</w:t>
      </w:r>
      <w:r w:rsidRPr="008822FC">
        <w:rPr>
          <w:sz w:val="28"/>
          <w:szCs w:val="28"/>
        </w:rPr>
        <w:t xml:space="preserve"> год</w:t>
      </w:r>
      <w:r w:rsidR="00EB3177" w:rsidRPr="008822FC">
        <w:rPr>
          <w:sz w:val="28"/>
          <w:szCs w:val="28"/>
        </w:rPr>
        <w:t>ы</w:t>
      </w:r>
    </w:p>
    <w:p w:rsidR="00315CB1" w:rsidRPr="008822FC" w:rsidRDefault="00315CB1" w:rsidP="00DF6810">
      <w:pPr>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75"/>
        <w:gridCol w:w="3793"/>
        <w:gridCol w:w="2410"/>
        <w:gridCol w:w="1868"/>
        <w:gridCol w:w="1225"/>
        <w:gridCol w:w="1354"/>
        <w:gridCol w:w="1132"/>
        <w:gridCol w:w="1144"/>
        <w:gridCol w:w="1276"/>
      </w:tblGrid>
      <w:tr w:rsidR="00F367FC" w:rsidRPr="00DD28A8" w:rsidTr="00AD6753">
        <w:trPr>
          <w:trHeight w:val="283"/>
          <w:tblHeader/>
          <w:jc w:val="center"/>
        </w:trPr>
        <w:tc>
          <w:tcPr>
            <w:tcW w:w="778" w:type="dxa"/>
            <w:vMerge w:val="restart"/>
            <w:shd w:val="clear" w:color="auto" w:fill="auto"/>
            <w:noWrap/>
          </w:tcPr>
          <w:p w:rsidR="00DD28A8" w:rsidRPr="00DD28A8" w:rsidRDefault="00343365" w:rsidP="00DD28A8">
            <w:pPr>
              <w:jc w:val="center"/>
            </w:pPr>
            <w:bookmarkStart w:id="1" w:name="RANGE!B1:M118"/>
            <w:bookmarkEnd w:id="1"/>
            <w:r w:rsidRPr="00DD28A8">
              <w:t>№</w:t>
            </w:r>
          </w:p>
          <w:p w:rsidR="00343365" w:rsidRPr="00DD28A8" w:rsidRDefault="00F57E21" w:rsidP="00DD28A8">
            <w:pPr>
              <w:jc w:val="center"/>
            </w:pPr>
            <w:proofErr w:type="gramStart"/>
            <w:r w:rsidRPr="00DD28A8">
              <w:t>п</w:t>
            </w:r>
            <w:proofErr w:type="gramEnd"/>
            <w:r w:rsidRPr="00DD28A8">
              <w:t>/п</w:t>
            </w:r>
          </w:p>
        </w:tc>
        <w:tc>
          <w:tcPr>
            <w:tcW w:w="3818" w:type="dxa"/>
            <w:vMerge w:val="restart"/>
            <w:shd w:val="clear" w:color="auto" w:fill="auto"/>
          </w:tcPr>
          <w:p w:rsidR="00343365" w:rsidRPr="00DD28A8" w:rsidRDefault="00343365" w:rsidP="00DD28A8">
            <w:pPr>
              <w:jc w:val="center"/>
            </w:pPr>
            <w:r w:rsidRPr="00DD28A8">
              <w:t>Показатели</w:t>
            </w:r>
          </w:p>
        </w:tc>
        <w:tc>
          <w:tcPr>
            <w:tcW w:w="2425" w:type="dxa"/>
            <w:vMerge w:val="restart"/>
            <w:shd w:val="clear" w:color="auto" w:fill="auto"/>
          </w:tcPr>
          <w:p w:rsidR="00343365" w:rsidRPr="00DD28A8" w:rsidRDefault="00343365" w:rsidP="00DD28A8">
            <w:pPr>
              <w:jc w:val="center"/>
            </w:pPr>
            <w:r w:rsidRPr="00DD28A8">
              <w:t>Единица измерения</w:t>
            </w:r>
          </w:p>
        </w:tc>
        <w:tc>
          <w:tcPr>
            <w:tcW w:w="1880" w:type="dxa"/>
            <w:vMerge w:val="restart"/>
            <w:shd w:val="clear" w:color="auto" w:fill="auto"/>
          </w:tcPr>
          <w:p w:rsidR="00343365" w:rsidRPr="00DD28A8" w:rsidRDefault="00343365" w:rsidP="00DD28A8">
            <w:pPr>
              <w:jc w:val="center"/>
            </w:pPr>
            <w:r w:rsidRPr="00DD28A8">
              <w:rPr>
                <w:bCs/>
              </w:rPr>
              <w:t>Вариант прогноза</w:t>
            </w:r>
          </w:p>
        </w:tc>
        <w:tc>
          <w:tcPr>
            <w:tcW w:w="1232" w:type="dxa"/>
            <w:shd w:val="clear" w:color="auto" w:fill="auto"/>
            <w:noWrap/>
          </w:tcPr>
          <w:p w:rsidR="00343365" w:rsidRPr="00DD28A8" w:rsidRDefault="00DD28A8" w:rsidP="00DD28A8">
            <w:pPr>
              <w:jc w:val="center"/>
            </w:pPr>
            <w:r w:rsidRPr="00DD28A8">
              <w:t>О</w:t>
            </w:r>
            <w:r w:rsidR="00343365" w:rsidRPr="00DD28A8">
              <w:t>тчет</w:t>
            </w:r>
          </w:p>
        </w:tc>
        <w:tc>
          <w:tcPr>
            <w:tcW w:w="1362" w:type="dxa"/>
            <w:shd w:val="clear" w:color="auto" w:fill="auto"/>
            <w:noWrap/>
          </w:tcPr>
          <w:p w:rsidR="00343365" w:rsidRPr="00DD28A8" w:rsidRDefault="00DD28A8" w:rsidP="00DD28A8">
            <w:pPr>
              <w:jc w:val="center"/>
            </w:pPr>
            <w:r w:rsidRPr="00DD28A8">
              <w:t>О</w:t>
            </w:r>
            <w:r w:rsidR="00343365" w:rsidRPr="00DD28A8">
              <w:t>ценка</w:t>
            </w:r>
          </w:p>
        </w:tc>
        <w:tc>
          <w:tcPr>
            <w:tcW w:w="3574" w:type="dxa"/>
            <w:gridSpan w:val="3"/>
            <w:shd w:val="clear" w:color="auto" w:fill="auto"/>
            <w:noWrap/>
          </w:tcPr>
          <w:p w:rsidR="00343365" w:rsidRPr="00DD28A8" w:rsidRDefault="00DD28A8" w:rsidP="00DD28A8">
            <w:pPr>
              <w:jc w:val="center"/>
            </w:pPr>
            <w:r w:rsidRPr="00DD28A8">
              <w:t>П</w:t>
            </w:r>
            <w:r w:rsidR="00343365" w:rsidRPr="00DD28A8">
              <w:t>рогноз</w:t>
            </w:r>
          </w:p>
        </w:tc>
      </w:tr>
      <w:tr w:rsidR="00F367FC" w:rsidRPr="00DD28A8" w:rsidTr="00AD6753">
        <w:trPr>
          <w:trHeight w:val="283"/>
          <w:tblHeader/>
          <w:jc w:val="center"/>
        </w:trPr>
        <w:tc>
          <w:tcPr>
            <w:tcW w:w="778" w:type="dxa"/>
            <w:vMerge/>
            <w:shd w:val="clear" w:color="auto" w:fill="auto"/>
            <w:noWrap/>
          </w:tcPr>
          <w:p w:rsidR="00343365" w:rsidRPr="00DD28A8" w:rsidRDefault="00343365" w:rsidP="00DD28A8">
            <w:pPr>
              <w:jc w:val="center"/>
            </w:pPr>
          </w:p>
        </w:tc>
        <w:tc>
          <w:tcPr>
            <w:tcW w:w="3818" w:type="dxa"/>
            <w:vMerge/>
            <w:shd w:val="clear" w:color="auto" w:fill="auto"/>
          </w:tcPr>
          <w:p w:rsidR="00343365" w:rsidRPr="00DD28A8" w:rsidRDefault="00343365" w:rsidP="00DD28A8">
            <w:pPr>
              <w:jc w:val="center"/>
            </w:pPr>
          </w:p>
        </w:tc>
        <w:tc>
          <w:tcPr>
            <w:tcW w:w="2425" w:type="dxa"/>
            <w:vMerge/>
            <w:shd w:val="clear" w:color="auto" w:fill="auto"/>
          </w:tcPr>
          <w:p w:rsidR="00343365" w:rsidRPr="00DD28A8" w:rsidRDefault="00343365" w:rsidP="00DD28A8">
            <w:pPr>
              <w:jc w:val="center"/>
            </w:pPr>
          </w:p>
        </w:tc>
        <w:tc>
          <w:tcPr>
            <w:tcW w:w="1880" w:type="dxa"/>
            <w:vMerge/>
            <w:shd w:val="clear" w:color="auto" w:fill="auto"/>
          </w:tcPr>
          <w:p w:rsidR="00343365" w:rsidRPr="00DD28A8" w:rsidRDefault="00343365" w:rsidP="00DD28A8">
            <w:pPr>
              <w:jc w:val="center"/>
            </w:pPr>
          </w:p>
        </w:tc>
        <w:tc>
          <w:tcPr>
            <w:tcW w:w="1232" w:type="dxa"/>
            <w:shd w:val="clear" w:color="auto" w:fill="auto"/>
            <w:noWrap/>
          </w:tcPr>
          <w:p w:rsidR="00343365" w:rsidRPr="00DD28A8" w:rsidRDefault="00343365" w:rsidP="004B235C">
            <w:pPr>
              <w:jc w:val="center"/>
            </w:pPr>
            <w:r w:rsidRPr="00DD28A8">
              <w:rPr>
                <w:bCs/>
              </w:rPr>
              <w:t>20</w:t>
            </w:r>
            <w:r w:rsidR="00C63F32">
              <w:rPr>
                <w:bCs/>
              </w:rPr>
              <w:t>21</w:t>
            </w:r>
            <w:r w:rsidR="0099487F" w:rsidRPr="00DD28A8">
              <w:rPr>
                <w:bCs/>
              </w:rPr>
              <w:t xml:space="preserve"> год</w:t>
            </w:r>
          </w:p>
        </w:tc>
        <w:tc>
          <w:tcPr>
            <w:tcW w:w="1362" w:type="dxa"/>
            <w:shd w:val="clear" w:color="auto" w:fill="auto"/>
            <w:noWrap/>
          </w:tcPr>
          <w:p w:rsidR="00343365" w:rsidRPr="00DD28A8" w:rsidRDefault="00343365" w:rsidP="00C63F32">
            <w:pPr>
              <w:jc w:val="center"/>
            </w:pPr>
            <w:r w:rsidRPr="00DD28A8">
              <w:rPr>
                <w:bCs/>
              </w:rPr>
              <w:t>202</w:t>
            </w:r>
            <w:r w:rsidR="00C63F32">
              <w:rPr>
                <w:bCs/>
              </w:rPr>
              <w:t>2</w:t>
            </w:r>
            <w:r w:rsidR="0099487F" w:rsidRPr="00DD28A8">
              <w:rPr>
                <w:bCs/>
              </w:rPr>
              <w:t xml:space="preserve"> год</w:t>
            </w:r>
          </w:p>
        </w:tc>
        <w:tc>
          <w:tcPr>
            <w:tcW w:w="1139" w:type="dxa"/>
            <w:shd w:val="clear" w:color="auto" w:fill="auto"/>
            <w:noWrap/>
          </w:tcPr>
          <w:p w:rsidR="00343365" w:rsidRPr="00DD28A8" w:rsidRDefault="00343365" w:rsidP="00C63F32">
            <w:pPr>
              <w:jc w:val="center"/>
            </w:pPr>
            <w:r w:rsidRPr="00DD28A8">
              <w:rPr>
                <w:bCs/>
              </w:rPr>
              <w:t>202</w:t>
            </w:r>
            <w:r w:rsidR="00C63F32">
              <w:rPr>
                <w:bCs/>
              </w:rPr>
              <w:t>3</w:t>
            </w:r>
            <w:r w:rsidR="0099487F" w:rsidRPr="00DD28A8">
              <w:rPr>
                <w:bCs/>
              </w:rPr>
              <w:t xml:space="preserve"> год</w:t>
            </w:r>
          </w:p>
        </w:tc>
        <w:tc>
          <w:tcPr>
            <w:tcW w:w="1151" w:type="dxa"/>
            <w:shd w:val="clear" w:color="auto" w:fill="auto"/>
            <w:noWrap/>
          </w:tcPr>
          <w:p w:rsidR="00343365" w:rsidRPr="00DD28A8" w:rsidRDefault="00343365" w:rsidP="00C63F32">
            <w:pPr>
              <w:jc w:val="center"/>
            </w:pPr>
            <w:r w:rsidRPr="00DD28A8">
              <w:rPr>
                <w:bCs/>
              </w:rPr>
              <w:t>202</w:t>
            </w:r>
            <w:r w:rsidR="00C63F32">
              <w:rPr>
                <w:bCs/>
              </w:rPr>
              <w:t>4</w:t>
            </w:r>
            <w:r w:rsidR="0099487F" w:rsidRPr="00DD28A8">
              <w:rPr>
                <w:bCs/>
              </w:rPr>
              <w:t xml:space="preserve"> год</w:t>
            </w:r>
          </w:p>
        </w:tc>
        <w:tc>
          <w:tcPr>
            <w:tcW w:w="1284" w:type="dxa"/>
            <w:shd w:val="clear" w:color="auto" w:fill="auto"/>
            <w:noWrap/>
          </w:tcPr>
          <w:p w:rsidR="00343365" w:rsidRPr="00DD28A8" w:rsidRDefault="00343365" w:rsidP="00C63F32">
            <w:pPr>
              <w:jc w:val="center"/>
            </w:pPr>
            <w:r w:rsidRPr="00DD28A8">
              <w:rPr>
                <w:bCs/>
              </w:rPr>
              <w:t>202</w:t>
            </w:r>
            <w:r w:rsidR="00C63F32">
              <w:rPr>
                <w:bCs/>
              </w:rPr>
              <w:t>5</w:t>
            </w:r>
            <w:r w:rsidR="0099487F" w:rsidRPr="00DD28A8">
              <w:rPr>
                <w:bCs/>
              </w:rPr>
              <w:t xml:space="preserve"> год</w:t>
            </w:r>
          </w:p>
        </w:tc>
      </w:tr>
    </w:tbl>
    <w:p w:rsidR="00DD28A8" w:rsidRDefault="00DD28A8" w:rsidP="00DD28A8">
      <w:pPr>
        <w:spacing w:line="20" w:lineRule="exac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71"/>
        <w:gridCol w:w="3780"/>
        <w:gridCol w:w="2401"/>
        <w:gridCol w:w="1862"/>
        <w:gridCol w:w="1221"/>
        <w:gridCol w:w="1349"/>
        <w:gridCol w:w="1180"/>
        <w:gridCol w:w="1141"/>
        <w:gridCol w:w="1272"/>
      </w:tblGrid>
      <w:tr w:rsidR="00DD28A8" w:rsidRPr="00DD28A8" w:rsidTr="002A07B4">
        <w:trPr>
          <w:trHeight w:val="52"/>
          <w:tblHeader/>
          <w:jc w:val="center"/>
        </w:trPr>
        <w:tc>
          <w:tcPr>
            <w:tcW w:w="771" w:type="dxa"/>
            <w:shd w:val="clear" w:color="auto" w:fill="auto"/>
            <w:noWrap/>
          </w:tcPr>
          <w:p w:rsidR="00DD28A8" w:rsidRPr="003304D4" w:rsidRDefault="00DD28A8" w:rsidP="00F8448A">
            <w:pPr>
              <w:jc w:val="center"/>
            </w:pPr>
            <w:r w:rsidRPr="003304D4">
              <w:t>1</w:t>
            </w:r>
          </w:p>
        </w:tc>
        <w:tc>
          <w:tcPr>
            <w:tcW w:w="3780" w:type="dxa"/>
            <w:shd w:val="clear" w:color="auto" w:fill="auto"/>
          </w:tcPr>
          <w:p w:rsidR="00DD28A8" w:rsidRPr="00DF6810" w:rsidRDefault="00DD28A8" w:rsidP="00DD28A8">
            <w:pPr>
              <w:jc w:val="center"/>
            </w:pPr>
            <w:r w:rsidRPr="00DF6810">
              <w:t>2</w:t>
            </w:r>
          </w:p>
        </w:tc>
        <w:tc>
          <w:tcPr>
            <w:tcW w:w="2401" w:type="dxa"/>
            <w:shd w:val="clear" w:color="auto" w:fill="auto"/>
          </w:tcPr>
          <w:p w:rsidR="00DD28A8" w:rsidRPr="00DF6810" w:rsidRDefault="00DD28A8" w:rsidP="00DD28A8">
            <w:pPr>
              <w:jc w:val="center"/>
            </w:pPr>
            <w:r w:rsidRPr="00DF6810">
              <w:t>3</w:t>
            </w:r>
          </w:p>
        </w:tc>
        <w:tc>
          <w:tcPr>
            <w:tcW w:w="1862" w:type="dxa"/>
            <w:shd w:val="clear" w:color="auto" w:fill="auto"/>
          </w:tcPr>
          <w:p w:rsidR="00DD28A8" w:rsidRPr="00DF6810" w:rsidRDefault="00DD28A8" w:rsidP="00DD28A8">
            <w:pPr>
              <w:jc w:val="center"/>
            </w:pPr>
            <w:r w:rsidRPr="00DF6810">
              <w:t>4</w:t>
            </w:r>
          </w:p>
        </w:tc>
        <w:tc>
          <w:tcPr>
            <w:tcW w:w="1221" w:type="dxa"/>
            <w:shd w:val="clear" w:color="auto" w:fill="auto"/>
            <w:noWrap/>
          </w:tcPr>
          <w:p w:rsidR="00DD28A8" w:rsidRPr="00DF6810" w:rsidRDefault="00DD28A8" w:rsidP="00DD28A8">
            <w:pPr>
              <w:jc w:val="center"/>
            </w:pPr>
            <w:r w:rsidRPr="00DF6810">
              <w:t>5</w:t>
            </w:r>
          </w:p>
        </w:tc>
        <w:tc>
          <w:tcPr>
            <w:tcW w:w="1349" w:type="dxa"/>
            <w:shd w:val="clear" w:color="auto" w:fill="auto"/>
            <w:noWrap/>
          </w:tcPr>
          <w:p w:rsidR="00DD28A8" w:rsidRPr="00DF6810" w:rsidRDefault="00DD28A8" w:rsidP="00DD28A8">
            <w:pPr>
              <w:jc w:val="center"/>
            </w:pPr>
            <w:r w:rsidRPr="00DF6810">
              <w:t>6</w:t>
            </w:r>
          </w:p>
        </w:tc>
        <w:tc>
          <w:tcPr>
            <w:tcW w:w="1180" w:type="dxa"/>
            <w:shd w:val="clear" w:color="auto" w:fill="auto"/>
            <w:noWrap/>
          </w:tcPr>
          <w:p w:rsidR="00DD28A8" w:rsidRPr="00DF6810" w:rsidRDefault="00DD28A8" w:rsidP="00DD28A8">
            <w:pPr>
              <w:jc w:val="center"/>
            </w:pPr>
            <w:r w:rsidRPr="00DF6810">
              <w:t>7</w:t>
            </w:r>
          </w:p>
        </w:tc>
        <w:tc>
          <w:tcPr>
            <w:tcW w:w="1141" w:type="dxa"/>
            <w:shd w:val="clear" w:color="auto" w:fill="auto"/>
            <w:noWrap/>
          </w:tcPr>
          <w:p w:rsidR="00DD28A8" w:rsidRPr="00DF6810" w:rsidRDefault="00DD28A8" w:rsidP="00DD28A8">
            <w:pPr>
              <w:jc w:val="center"/>
            </w:pPr>
            <w:r w:rsidRPr="00DF6810">
              <w:t>8</w:t>
            </w:r>
          </w:p>
        </w:tc>
        <w:tc>
          <w:tcPr>
            <w:tcW w:w="1272" w:type="dxa"/>
            <w:shd w:val="clear" w:color="auto" w:fill="auto"/>
            <w:noWrap/>
          </w:tcPr>
          <w:p w:rsidR="00DD28A8" w:rsidRPr="00DF6810" w:rsidRDefault="00DD28A8" w:rsidP="00DD28A8">
            <w:pPr>
              <w:jc w:val="center"/>
            </w:pPr>
            <w:r w:rsidRPr="00DF6810">
              <w:t>9</w:t>
            </w:r>
          </w:p>
        </w:tc>
      </w:tr>
      <w:tr w:rsidR="00BF2526" w:rsidRPr="00DD28A8" w:rsidTr="002A07B4">
        <w:trPr>
          <w:trHeight w:val="170"/>
          <w:jc w:val="center"/>
        </w:trPr>
        <w:tc>
          <w:tcPr>
            <w:tcW w:w="771" w:type="dxa"/>
            <w:vMerge w:val="restart"/>
            <w:shd w:val="clear" w:color="auto" w:fill="auto"/>
            <w:noWrap/>
          </w:tcPr>
          <w:p w:rsidR="00BF2526" w:rsidRPr="003304D4" w:rsidRDefault="00BF2526" w:rsidP="00222BE4">
            <w:pPr>
              <w:pStyle w:val="ab"/>
              <w:numPr>
                <w:ilvl w:val="0"/>
                <w:numId w:val="11"/>
              </w:numPr>
              <w:ind w:left="0" w:firstLine="284"/>
              <w:jc w:val="center"/>
            </w:pPr>
          </w:p>
        </w:tc>
        <w:tc>
          <w:tcPr>
            <w:tcW w:w="3780" w:type="dxa"/>
            <w:vMerge w:val="restart"/>
            <w:shd w:val="clear" w:color="auto" w:fill="auto"/>
            <w:hideMark/>
          </w:tcPr>
          <w:p w:rsidR="00BF2526" w:rsidRPr="00DF6810" w:rsidRDefault="00BF2526" w:rsidP="00DD28A8">
            <w:r w:rsidRPr="00DF6810">
              <w:t>Численность населения</w:t>
            </w:r>
            <w:r w:rsidR="00955FDE">
              <w:t xml:space="preserve"> </w:t>
            </w:r>
            <w:r w:rsidRPr="00DF6810">
              <w:t>(в среднегодовом исчислении)</w:t>
            </w:r>
          </w:p>
        </w:tc>
        <w:tc>
          <w:tcPr>
            <w:tcW w:w="2401" w:type="dxa"/>
            <w:vMerge w:val="restart"/>
            <w:shd w:val="clear" w:color="auto" w:fill="auto"/>
            <w:hideMark/>
          </w:tcPr>
          <w:p w:rsidR="00BF2526" w:rsidRPr="00DF6810" w:rsidRDefault="00BF2526" w:rsidP="00DD28A8">
            <w:pPr>
              <w:jc w:val="center"/>
            </w:pPr>
            <w:r>
              <w:t>т</w:t>
            </w:r>
            <w:r w:rsidRPr="00DF6810">
              <w:t>ыс. чел.</w:t>
            </w:r>
          </w:p>
        </w:tc>
        <w:tc>
          <w:tcPr>
            <w:tcW w:w="1862" w:type="dxa"/>
            <w:shd w:val="clear" w:color="auto" w:fill="auto"/>
            <w:hideMark/>
          </w:tcPr>
          <w:p w:rsidR="00BF2526" w:rsidRPr="00DF6810" w:rsidRDefault="00BF2526" w:rsidP="00DD28A8">
            <w:r w:rsidRPr="00DF6810">
              <w:t>консервативный</w:t>
            </w:r>
          </w:p>
        </w:tc>
        <w:tc>
          <w:tcPr>
            <w:tcW w:w="1221" w:type="dxa"/>
            <w:vMerge w:val="restart"/>
            <w:shd w:val="clear" w:color="auto" w:fill="auto"/>
            <w:noWrap/>
            <w:vAlign w:val="center"/>
          </w:tcPr>
          <w:p w:rsidR="00BF2526" w:rsidRPr="00C63F32" w:rsidRDefault="00BF2526" w:rsidP="009909C7">
            <w:pPr>
              <w:jc w:val="center"/>
            </w:pPr>
            <w:r w:rsidRPr="00C63F32">
              <w:t>1</w:t>
            </w:r>
            <w:r>
              <w:t> </w:t>
            </w:r>
            <w:r w:rsidRPr="00C63F32">
              <w:t>902,1</w:t>
            </w:r>
          </w:p>
        </w:tc>
        <w:tc>
          <w:tcPr>
            <w:tcW w:w="1349" w:type="dxa"/>
            <w:vMerge w:val="restart"/>
            <w:shd w:val="clear" w:color="auto" w:fill="auto"/>
            <w:noWrap/>
            <w:vAlign w:val="center"/>
          </w:tcPr>
          <w:p w:rsidR="00BF2526" w:rsidRPr="00C63F32" w:rsidRDefault="00BF2526" w:rsidP="009909C7">
            <w:pPr>
              <w:jc w:val="center"/>
            </w:pPr>
            <w:r w:rsidRPr="00C63F32">
              <w:t>2</w:t>
            </w:r>
            <w:r>
              <w:t> </w:t>
            </w:r>
            <w:r w:rsidRPr="00C63F32">
              <w:t>014,1</w:t>
            </w:r>
          </w:p>
        </w:tc>
        <w:tc>
          <w:tcPr>
            <w:tcW w:w="1180" w:type="dxa"/>
            <w:shd w:val="clear" w:color="auto" w:fill="auto"/>
            <w:noWrap/>
            <w:vAlign w:val="center"/>
          </w:tcPr>
          <w:p w:rsidR="00BF2526" w:rsidRPr="00BF2526" w:rsidRDefault="00BF2526">
            <w:pPr>
              <w:jc w:val="center"/>
            </w:pPr>
            <w:r w:rsidRPr="00BF2526">
              <w:t>2 023,5</w:t>
            </w:r>
          </w:p>
        </w:tc>
        <w:tc>
          <w:tcPr>
            <w:tcW w:w="1141" w:type="dxa"/>
            <w:shd w:val="clear" w:color="auto" w:fill="auto"/>
            <w:noWrap/>
            <w:vAlign w:val="center"/>
          </w:tcPr>
          <w:p w:rsidR="00BF2526" w:rsidRPr="00BF2526" w:rsidRDefault="00BF2526">
            <w:pPr>
              <w:jc w:val="center"/>
            </w:pPr>
            <w:r w:rsidRPr="00BF2526">
              <w:t>2 026,1</w:t>
            </w:r>
          </w:p>
        </w:tc>
        <w:tc>
          <w:tcPr>
            <w:tcW w:w="1272" w:type="dxa"/>
            <w:shd w:val="clear" w:color="auto" w:fill="auto"/>
            <w:noWrap/>
            <w:vAlign w:val="center"/>
          </w:tcPr>
          <w:p w:rsidR="00BF2526" w:rsidRPr="00BF2526" w:rsidRDefault="00BF2526">
            <w:pPr>
              <w:jc w:val="center"/>
            </w:pPr>
            <w:r w:rsidRPr="00BF2526">
              <w:t>2 028,7</w:t>
            </w:r>
          </w:p>
        </w:tc>
      </w:tr>
      <w:tr w:rsidR="00BF2526" w:rsidRPr="00DD28A8" w:rsidTr="002A07B4">
        <w:trPr>
          <w:trHeight w:val="52"/>
          <w:jc w:val="center"/>
        </w:trPr>
        <w:tc>
          <w:tcPr>
            <w:tcW w:w="771" w:type="dxa"/>
            <w:vMerge/>
            <w:shd w:val="clear" w:color="auto" w:fill="auto"/>
          </w:tcPr>
          <w:p w:rsidR="00BF2526" w:rsidRPr="003304D4" w:rsidRDefault="00BF2526" w:rsidP="00F8448A">
            <w:pPr>
              <w:jc w:val="center"/>
            </w:pPr>
          </w:p>
        </w:tc>
        <w:tc>
          <w:tcPr>
            <w:tcW w:w="3780" w:type="dxa"/>
            <w:vMerge/>
            <w:shd w:val="clear" w:color="auto" w:fill="auto"/>
            <w:hideMark/>
          </w:tcPr>
          <w:p w:rsidR="00BF2526" w:rsidRPr="00DF6810" w:rsidRDefault="00BF2526" w:rsidP="00DD28A8"/>
        </w:tc>
        <w:tc>
          <w:tcPr>
            <w:tcW w:w="2401" w:type="dxa"/>
            <w:vMerge/>
            <w:shd w:val="clear" w:color="auto" w:fill="auto"/>
            <w:hideMark/>
          </w:tcPr>
          <w:p w:rsidR="00BF2526" w:rsidRPr="00DF6810" w:rsidRDefault="00BF2526" w:rsidP="00DD28A8">
            <w:pPr>
              <w:jc w:val="center"/>
            </w:pPr>
          </w:p>
        </w:tc>
        <w:tc>
          <w:tcPr>
            <w:tcW w:w="1862" w:type="dxa"/>
            <w:shd w:val="clear" w:color="auto" w:fill="auto"/>
            <w:hideMark/>
          </w:tcPr>
          <w:p w:rsidR="00BF2526" w:rsidRPr="00DF6810" w:rsidRDefault="00BF2526" w:rsidP="00DD28A8">
            <w:r w:rsidRPr="00DF6810">
              <w:t>базовый</w:t>
            </w:r>
          </w:p>
        </w:tc>
        <w:tc>
          <w:tcPr>
            <w:tcW w:w="1221" w:type="dxa"/>
            <w:vMerge/>
            <w:shd w:val="clear" w:color="auto" w:fill="auto"/>
            <w:vAlign w:val="center"/>
          </w:tcPr>
          <w:p w:rsidR="00BF2526" w:rsidRPr="00DF6810" w:rsidRDefault="00BF2526" w:rsidP="00ED6E4F">
            <w:pPr>
              <w:jc w:val="center"/>
            </w:pPr>
          </w:p>
        </w:tc>
        <w:tc>
          <w:tcPr>
            <w:tcW w:w="1349" w:type="dxa"/>
            <w:vMerge/>
            <w:shd w:val="clear" w:color="auto" w:fill="auto"/>
            <w:vAlign w:val="center"/>
          </w:tcPr>
          <w:p w:rsidR="00BF2526" w:rsidRPr="00DF6810" w:rsidRDefault="00BF2526" w:rsidP="00ED6E4F">
            <w:pPr>
              <w:jc w:val="center"/>
            </w:pPr>
          </w:p>
        </w:tc>
        <w:tc>
          <w:tcPr>
            <w:tcW w:w="1180" w:type="dxa"/>
            <w:shd w:val="clear" w:color="auto" w:fill="auto"/>
            <w:noWrap/>
            <w:vAlign w:val="center"/>
          </w:tcPr>
          <w:p w:rsidR="00BF2526" w:rsidRPr="00BF2526" w:rsidRDefault="00BF2526">
            <w:pPr>
              <w:jc w:val="center"/>
            </w:pPr>
            <w:r w:rsidRPr="00BF2526">
              <w:t>2 027,2</w:t>
            </w:r>
          </w:p>
        </w:tc>
        <w:tc>
          <w:tcPr>
            <w:tcW w:w="1141" w:type="dxa"/>
            <w:shd w:val="clear" w:color="auto" w:fill="auto"/>
            <w:noWrap/>
            <w:vAlign w:val="center"/>
          </w:tcPr>
          <w:p w:rsidR="00BF2526" w:rsidRPr="00BF2526" w:rsidRDefault="00BF2526">
            <w:pPr>
              <w:jc w:val="center"/>
            </w:pPr>
            <w:r w:rsidRPr="00BF2526">
              <w:t>2 037,5</w:t>
            </w:r>
          </w:p>
        </w:tc>
        <w:tc>
          <w:tcPr>
            <w:tcW w:w="1272" w:type="dxa"/>
            <w:shd w:val="clear" w:color="auto" w:fill="auto"/>
            <w:noWrap/>
            <w:vAlign w:val="center"/>
          </w:tcPr>
          <w:p w:rsidR="00BF2526" w:rsidRPr="00BF2526" w:rsidRDefault="00BF2526">
            <w:pPr>
              <w:jc w:val="center"/>
            </w:pPr>
            <w:r w:rsidRPr="00BF2526">
              <w:t>2 048,2</w:t>
            </w:r>
          </w:p>
        </w:tc>
      </w:tr>
      <w:tr w:rsidR="00BF2526" w:rsidRPr="00DD28A8" w:rsidTr="002A07B4">
        <w:trPr>
          <w:trHeight w:val="78"/>
          <w:jc w:val="center"/>
        </w:trPr>
        <w:tc>
          <w:tcPr>
            <w:tcW w:w="771" w:type="dxa"/>
            <w:vMerge w:val="restart"/>
            <w:shd w:val="clear" w:color="auto" w:fill="auto"/>
            <w:noWrap/>
          </w:tcPr>
          <w:p w:rsidR="00BF2526" w:rsidRPr="003304D4" w:rsidRDefault="00BF2526" w:rsidP="00222BE4">
            <w:pPr>
              <w:pStyle w:val="ab"/>
              <w:numPr>
                <w:ilvl w:val="0"/>
                <w:numId w:val="11"/>
              </w:numPr>
              <w:ind w:left="0" w:firstLine="284"/>
              <w:jc w:val="center"/>
            </w:pPr>
          </w:p>
        </w:tc>
        <w:tc>
          <w:tcPr>
            <w:tcW w:w="3780" w:type="dxa"/>
            <w:vMerge w:val="restart"/>
            <w:shd w:val="clear" w:color="auto" w:fill="auto"/>
            <w:hideMark/>
          </w:tcPr>
          <w:p w:rsidR="00BF2526" w:rsidRPr="00DF6810" w:rsidRDefault="00BF2526" w:rsidP="00DD28A8">
            <w:r w:rsidRPr="00DF6810">
              <w:t>Ожидаемая продолжительность жизни при рождении</w:t>
            </w:r>
          </w:p>
        </w:tc>
        <w:tc>
          <w:tcPr>
            <w:tcW w:w="2401" w:type="dxa"/>
            <w:vMerge w:val="restart"/>
            <w:shd w:val="clear" w:color="auto" w:fill="auto"/>
            <w:hideMark/>
          </w:tcPr>
          <w:p w:rsidR="00BF2526" w:rsidRPr="00DF6810" w:rsidRDefault="00BF2526" w:rsidP="00DD28A8">
            <w:pPr>
              <w:jc w:val="center"/>
            </w:pPr>
            <w:r>
              <w:t>ч</w:t>
            </w:r>
            <w:r w:rsidRPr="00DF6810">
              <w:t>исло лет</w:t>
            </w:r>
          </w:p>
        </w:tc>
        <w:tc>
          <w:tcPr>
            <w:tcW w:w="1862" w:type="dxa"/>
            <w:shd w:val="clear" w:color="auto" w:fill="auto"/>
            <w:hideMark/>
          </w:tcPr>
          <w:p w:rsidR="00BF2526" w:rsidRPr="00DF6810" w:rsidRDefault="00BF2526" w:rsidP="00DD28A8">
            <w:r w:rsidRPr="00DF6810">
              <w:t>консервативный</w:t>
            </w:r>
          </w:p>
        </w:tc>
        <w:tc>
          <w:tcPr>
            <w:tcW w:w="1221" w:type="dxa"/>
            <w:vMerge w:val="restart"/>
            <w:shd w:val="clear" w:color="auto" w:fill="auto"/>
            <w:noWrap/>
            <w:vAlign w:val="center"/>
          </w:tcPr>
          <w:p w:rsidR="00BF2526" w:rsidRPr="00C63F32" w:rsidRDefault="00BF2526">
            <w:pPr>
              <w:jc w:val="center"/>
            </w:pPr>
            <w:r w:rsidRPr="00C63F32">
              <w:t>70,2</w:t>
            </w:r>
          </w:p>
        </w:tc>
        <w:tc>
          <w:tcPr>
            <w:tcW w:w="1349" w:type="dxa"/>
            <w:vMerge w:val="restart"/>
            <w:shd w:val="clear" w:color="auto" w:fill="auto"/>
            <w:noWrap/>
            <w:vAlign w:val="center"/>
          </w:tcPr>
          <w:p w:rsidR="00BF2526" w:rsidRPr="00C63F32" w:rsidRDefault="00BF2526">
            <w:pPr>
              <w:jc w:val="center"/>
            </w:pPr>
            <w:r w:rsidRPr="00C63F32">
              <w:t>70,5</w:t>
            </w:r>
          </w:p>
        </w:tc>
        <w:tc>
          <w:tcPr>
            <w:tcW w:w="1180" w:type="dxa"/>
            <w:shd w:val="clear" w:color="auto" w:fill="auto"/>
            <w:noWrap/>
            <w:vAlign w:val="center"/>
          </w:tcPr>
          <w:p w:rsidR="00BF2526" w:rsidRPr="00BF2526" w:rsidRDefault="00BF2526">
            <w:pPr>
              <w:jc w:val="center"/>
            </w:pPr>
            <w:r w:rsidRPr="00BF2526">
              <w:t>72,1</w:t>
            </w:r>
          </w:p>
        </w:tc>
        <w:tc>
          <w:tcPr>
            <w:tcW w:w="1141" w:type="dxa"/>
            <w:shd w:val="clear" w:color="auto" w:fill="auto"/>
            <w:noWrap/>
            <w:vAlign w:val="center"/>
          </w:tcPr>
          <w:p w:rsidR="00BF2526" w:rsidRPr="00BF2526" w:rsidRDefault="00BF2526">
            <w:pPr>
              <w:jc w:val="center"/>
            </w:pPr>
            <w:r w:rsidRPr="00BF2526">
              <w:t>72,3</w:t>
            </w:r>
          </w:p>
        </w:tc>
        <w:tc>
          <w:tcPr>
            <w:tcW w:w="1272" w:type="dxa"/>
            <w:shd w:val="clear" w:color="auto" w:fill="auto"/>
            <w:noWrap/>
            <w:vAlign w:val="center"/>
          </w:tcPr>
          <w:p w:rsidR="00BF2526" w:rsidRPr="00BF2526" w:rsidRDefault="00BF2526">
            <w:pPr>
              <w:jc w:val="center"/>
            </w:pPr>
            <w:r w:rsidRPr="00BF2526">
              <w:t>72,5</w:t>
            </w:r>
          </w:p>
        </w:tc>
      </w:tr>
      <w:tr w:rsidR="00BF2526" w:rsidRPr="00DD28A8" w:rsidTr="002A07B4">
        <w:trPr>
          <w:trHeight w:val="52"/>
          <w:jc w:val="center"/>
        </w:trPr>
        <w:tc>
          <w:tcPr>
            <w:tcW w:w="771" w:type="dxa"/>
            <w:vMerge/>
            <w:shd w:val="clear" w:color="auto" w:fill="auto"/>
          </w:tcPr>
          <w:p w:rsidR="00BF2526" w:rsidRPr="003304D4" w:rsidRDefault="00BF2526" w:rsidP="00222BE4">
            <w:pPr>
              <w:pStyle w:val="ab"/>
              <w:numPr>
                <w:ilvl w:val="0"/>
                <w:numId w:val="11"/>
              </w:numPr>
              <w:ind w:left="0" w:firstLine="284"/>
              <w:jc w:val="center"/>
            </w:pPr>
          </w:p>
        </w:tc>
        <w:tc>
          <w:tcPr>
            <w:tcW w:w="3780" w:type="dxa"/>
            <w:vMerge/>
            <w:shd w:val="clear" w:color="auto" w:fill="auto"/>
            <w:hideMark/>
          </w:tcPr>
          <w:p w:rsidR="00BF2526" w:rsidRPr="00DF6810" w:rsidRDefault="00BF2526" w:rsidP="00DD28A8"/>
        </w:tc>
        <w:tc>
          <w:tcPr>
            <w:tcW w:w="2401" w:type="dxa"/>
            <w:vMerge/>
            <w:shd w:val="clear" w:color="auto" w:fill="auto"/>
            <w:hideMark/>
          </w:tcPr>
          <w:p w:rsidR="00BF2526" w:rsidRPr="00DF6810" w:rsidRDefault="00BF2526" w:rsidP="00DD28A8">
            <w:pPr>
              <w:jc w:val="center"/>
            </w:pPr>
          </w:p>
        </w:tc>
        <w:tc>
          <w:tcPr>
            <w:tcW w:w="1862" w:type="dxa"/>
            <w:shd w:val="clear" w:color="auto" w:fill="auto"/>
            <w:hideMark/>
          </w:tcPr>
          <w:p w:rsidR="00BF2526" w:rsidRPr="00DF6810" w:rsidRDefault="00BF2526" w:rsidP="00DD28A8">
            <w:r w:rsidRPr="00DF6810">
              <w:t>базовый</w:t>
            </w:r>
          </w:p>
        </w:tc>
        <w:tc>
          <w:tcPr>
            <w:tcW w:w="1221" w:type="dxa"/>
            <w:vMerge/>
            <w:shd w:val="clear" w:color="auto" w:fill="auto"/>
            <w:vAlign w:val="center"/>
          </w:tcPr>
          <w:p w:rsidR="00BF2526" w:rsidRPr="00BB7AE6" w:rsidRDefault="00BF2526" w:rsidP="00ED6E4F">
            <w:pPr>
              <w:jc w:val="center"/>
            </w:pPr>
          </w:p>
        </w:tc>
        <w:tc>
          <w:tcPr>
            <w:tcW w:w="1349" w:type="dxa"/>
            <w:vMerge/>
            <w:shd w:val="clear" w:color="auto" w:fill="auto"/>
            <w:vAlign w:val="center"/>
          </w:tcPr>
          <w:p w:rsidR="00BF2526" w:rsidRPr="00BB7AE6" w:rsidRDefault="00BF2526" w:rsidP="00ED6E4F">
            <w:pPr>
              <w:jc w:val="center"/>
            </w:pPr>
          </w:p>
        </w:tc>
        <w:tc>
          <w:tcPr>
            <w:tcW w:w="1180" w:type="dxa"/>
            <w:shd w:val="clear" w:color="auto" w:fill="auto"/>
            <w:noWrap/>
            <w:vAlign w:val="center"/>
          </w:tcPr>
          <w:p w:rsidR="00BF2526" w:rsidRPr="00BF2526" w:rsidRDefault="00BF2526">
            <w:pPr>
              <w:jc w:val="center"/>
            </w:pPr>
            <w:r w:rsidRPr="00BF2526">
              <w:t>73,1</w:t>
            </w:r>
          </w:p>
        </w:tc>
        <w:tc>
          <w:tcPr>
            <w:tcW w:w="1141" w:type="dxa"/>
            <w:shd w:val="clear" w:color="auto" w:fill="auto"/>
            <w:noWrap/>
            <w:vAlign w:val="center"/>
          </w:tcPr>
          <w:p w:rsidR="00BF2526" w:rsidRPr="00BF2526" w:rsidRDefault="00BF2526">
            <w:pPr>
              <w:jc w:val="center"/>
            </w:pPr>
            <w:r w:rsidRPr="00BF2526">
              <w:t>73,6</w:t>
            </w:r>
          </w:p>
        </w:tc>
        <w:tc>
          <w:tcPr>
            <w:tcW w:w="1272" w:type="dxa"/>
            <w:shd w:val="clear" w:color="auto" w:fill="auto"/>
            <w:noWrap/>
            <w:vAlign w:val="center"/>
          </w:tcPr>
          <w:p w:rsidR="00BF2526" w:rsidRPr="00BF2526" w:rsidRDefault="00BF2526">
            <w:pPr>
              <w:jc w:val="center"/>
            </w:pPr>
            <w:r w:rsidRPr="00BF2526">
              <w:t>74,2</w:t>
            </w:r>
          </w:p>
        </w:tc>
      </w:tr>
      <w:tr w:rsidR="00BF2526" w:rsidRPr="00DD28A8" w:rsidTr="002A07B4">
        <w:trPr>
          <w:trHeight w:val="454"/>
          <w:jc w:val="center"/>
        </w:trPr>
        <w:tc>
          <w:tcPr>
            <w:tcW w:w="771" w:type="dxa"/>
            <w:vMerge w:val="restart"/>
            <w:shd w:val="clear" w:color="auto" w:fill="auto"/>
            <w:noWrap/>
          </w:tcPr>
          <w:p w:rsidR="00BF2526" w:rsidRPr="003304D4" w:rsidRDefault="00BF2526" w:rsidP="00222BE4">
            <w:pPr>
              <w:pStyle w:val="ab"/>
              <w:numPr>
                <w:ilvl w:val="0"/>
                <w:numId w:val="11"/>
              </w:numPr>
              <w:ind w:left="0" w:firstLine="284"/>
              <w:jc w:val="center"/>
            </w:pPr>
          </w:p>
        </w:tc>
        <w:tc>
          <w:tcPr>
            <w:tcW w:w="3780" w:type="dxa"/>
            <w:vMerge w:val="restart"/>
            <w:shd w:val="clear" w:color="auto" w:fill="auto"/>
            <w:hideMark/>
          </w:tcPr>
          <w:p w:rsidR="00BF2526" w:rsidRPr="00DF6810" w:rsidRDefault="00BF2526" w:rsidP="00DD28A8">
            <w:r w:rsidRPr="00DF6810">
              <w:t>Общий коэффициент рождаемости</w:t>
            </w:r>
          </w:p>
        </w:tc>
        <w:tc>
          <w:tcPr>
            <w:tcW w:w="2401" w:type="dxa"/>
            <w:vMerge w:val="restart"/>
            <w:shd w:val="clear" w:color="auto" w:fill="auto"/>
            <w:hideMark/>
          </w:tcPr>
          <w:p w:rsidR="00BF2526" w:rsidRPr="00DF6810" w:rsidRDefault="00BF2526" w:rsidP="00DF6810">
            <w:pPr>
              <w:ind w:left="-51" w:right="-51"/>
              <w:jc w:val="center"/>
            </w:pPr>
            <w:r>
              <w:t>ч</w:t>
            </w:r>
            <w:r w:rsidRPr="00DF6810">
              <w:t xml:space="preserve">исло </w:t>
            </w:r>
            <w:proofErr w:type="gramStart"/>
            <w:r w:rsidRPr="00DF6810">
              <w:t>родившихся</w:t>
            </w:r>
            <w:proofErr w:type="gramEnd"/>
            <w:r w:rsidRPr="00DF6810">
              <w:t xml:space="preserve"> </w:t>
            </w:r>
          </w:p>
          <w:p w:rsidR="00BF2526" w:rsidRPr="00DF6810" w:rsidRDefault="00BF2526" w:rsidP="00DF6810">
            <w:pPr>
              <w:ind w:left="-51" w:right="-51"/>
              <w:jc w:val="center"/>
            </w:pPr>
            <w:r w:rsidRPr="00DF6810">
              <w:t>на 1000 человек населения</w:t>
            </w:r>
          </w:p>
        </w:tc>
        <w:tc>
          <w:tcPr>
            <w:tcW w:w="1862" w:type="dxa"/>
            <w:shd w:val="clear" w:color="auto" w:fill="auto"/>
            <w:hideMark/>
          </w:tcPr>
          <w:p w:rsidR="00BF2526" w:rsidRPr="00DF6810" w:rsidRDefault="00BF2526" w:rsidP="00DD28A8">
            <w:r w:rsidRPr="00DF6810">
              <w:t>консервативный</w:t>
            </w:r>
          </w:p>
        </w:tc>
        <w:tc>
          <w:tcPr>
            <w:tcW w:w="1221" w:type="dxa"/>
            <w:vMerge w:val="restart"/>
            <w:shd w:val="clear" w:color="auto" w:fill="auto"/>
            <w:noWrap/>
            <w:vAlign w:val="center"/>
          </w:tcPr>
          <w:p w:rsidR="00BF2526" w:rsidRPr="00AB4835" w:rsidRDefault="00BF2526">
            <w:pPr>
              <w:jc w:val="center"/>
            </w:pPr>
            <w:r w:rsidRPr="00AB4835">
              <w:t>6,9</w:t>
            </w:r>
          </w:p>
        </w:tc>
        <w:tc>
          <w:tcPr>
            <w:tcW w:w="1349" w:type="dxa"/>
            <w:vMerge w:val="restart"/>
            <w:shd w:val="clear" w:color="auto" w:fill="auto"/>
            <w:noWrap/>
            <w:vAlign w:val="center"/>
          </w:tcPr>
          <w:p w:rsidR="00BF2526" w:rsidRPr="00AB4835" w:rsidRDefault="00BF2526">
            <w:pPr>
              <w:jc w:val="center"/>
            </w:pPr>
            <w:r w:rsidRPr="00AB4835">
              <w:t>6,2</w:t>
            </w:r>
          </w:p>
        </w:tc>
        <w:tc>
          <w:tcPr>
            <w:tcW w:w="1180" w:type="dxa"/>
            <w:shd w:val="clear" w:color="auto" w:fill="auto"/>
            <w:noWrap/>
            <w:vAlign w:val="center"/>
          </w:tcPr>
          <w:p w:rsidR="00BF2526" w:rsidRPr="00BF2526" w:rsidRDefault="00BF2526">
            <w:pPr>
              <w:jc w:val="center"/>
            </w:pPr>
            <w:r w:rsidRPr="00BF2526">
              <w:t>6,0</w:t>
            </w:r>
          </w:p>
        </w:tc>
        <w:tc>
          <w:tcPr>
            <w:tcW w:w="1141" w:type="dxa"/>
            <w:shd w:val="clear" w:color="auto" w:fill="auto"/>
            <w:noWrap/>
            <w:vAlign w:val="center"/>
          </w:tcPr>
          <w:p w:rsidR="00BF2526" w:rsidRPr="00BF2526" w:rsidRDefault="00BF2526">
            <w:pPr>
              <w:jc w:val="center"/>
            </w:pPr>
            <w:r w:rsidRPr="00BF2526">
              <w:t>5,9</w:t>
            </w:r>
          </w:p>
        </w:tc>
        <w:tc>
          <w:tcPr>
            <w:tcW w:w="1272" w:type="dxa"/>
            <w:shd w:val="clear" w:color="auto" w:fill="auto"/>
            <w:noWrap/>
            <w:vAlign w:val="center"/>
          </w:tcPr>
          <w:p w:rsidR="00BF2526" w:rsidRPr="00BF2526" w:rsidRDefault="00BF2526">
            <w:pPr>
              <w:jc w:val="center"/>
            </w:pPr>
            <w:r w:rsidRPr="00BF2526">
              <w:t>5,9</w:t>
            </w:r>
          </w:p>
        </w:tc>
      </w:tr>
      <w:tr w:rsidR="00BF2526" w:rsidRPr="00DD28A8" w:rsidTr="002A07B4">
        <w:trPr>
          <w:trHeight w:val="132"/>
          <w:jc w:val="center"/>
        </w:trPr>
        <w:tc>
          <w:tcPr>
            <w:tcW w:w="771" w:type="dxa"/>
            <w:vMerge/>
            <w:shd w:val="clear" w:color="auto" w:fill="auto"/>
          </w:tcPr>
          <w:p w:rsidR="00BF2526" w:rsidRPr="003304D4" w:rsidRDefault="00BF2526" w:rsidP="00222BE4">
            <w:pPr>
              <w:pStyle w:val="ab"/>
              <w:numPr>
                <w:ilvl w:val="0"/>
                <w:numId w:val="11"/>
              </w:numPr>
              <w:ind w:left="0" w:firstLine="284"/>
              <w:jc w:val="center"/>
            </w:pPr>
          </w:p>
        </w:tc>
        <w:tc>
          <w:tcPr>
            <w:tcW w:w="3780" w:type="dxa"/>
            <w:vMerge/>
            <w:shd w:val="clear" w:color="auto" w:fill="auto"/>
            <w:hideMark/>
          </w:tcPr>
          <w:p w:rsidR="00BF2526" w:rsidRPr="00DF6810" w:rsidRDefault="00BF2526" w:rsidP="00DD28A8">
            <w:pPr>
              <w:rPr>
                <w:color w:val="FF0000"/>
              </w:rPr>
            </w:pPr>
          </w:p>
        </w:tc>
        <w:tc>
          <w:tcPr>
            <w:tcW w:w="2401" w:type="dxa"/>
            <w:vMerge/>
            <w:shd w:val="clear" w:color="auto" w:fill="auto"/>
            <w:hideMark/>
          </w:tcPr>
          <w:p w:rsidR="00BF2526" w:rsidRPr="00DF6810" w:rsidRDefault="00BF2526" w:rsidP="00DF6810">
            <w:pPr>
              <w:ind w:left="-51" w:right="-51"/>
              <w:jc w:val="center"/>
              <w:rPr>
                <w:color w:val="FF0000"/>
              </w:rPr>
            </w:pPr>
          </w:p>
        </w:tc>
        <w:tc>
          <w:tcPr>
            <w:tcW w:w="1862" w:type="dxa"/>
            <w:shd w:val="clear" w:color="auto" w:fill="auto"/>
            <w:hideMark/>
          </w:tcPr>
          <w:p w:rsidR="00BF2526" w:rsidRPr="00DF6810" w:rsidRDefault="00BF2526" w:rsidP="00DD28A8">
            <w:r w:rsidRPr="00DF6810">
              <w:t>базовый</w:t>
            </w:r>
          </w:p>
        </w:tc>
        <w:tc>
          <w:tcPr>
            <w:tcW w:w="1221" w:type="dxa"/>
            <w:vMerge/>
            <w:shd w:val="clear" w:color="auto" w:fill="auto"/>
            <w:vAlign w:val="center"/>
          </w:tcPr>
          <w:p w:rsidR="00BF2526" w:rsidRPr="00DF6810" w:rsidRDefault="00BF2526" w:rsidP="00ED6E4F">
            <w:pPr>
              <w:jc w:val="center"/>
            </w:pPr>
          </w:p>
        </w:tc>
        <w:tc>
          <w:tcPr>
            <w:tcW w:w="1349" w:type="dxa"/>
            <w:vMerge/>
            <w:shd w:val="clear" w:color="auto" w:fill="auto"/>
            <w:vAlign w:val="center"/>
          </w:tcPr>
          <w:p w:rsidR="00BF2526" w:rsidRPr="00DF6810" w:rsidRDefault="00BF2526" w:rsidP="00ED6E4F">
            <w:pPr>
              <w:jc w:val="center"/>
            </w:pPr>
          </w:p>
        </w:tc>
        <w:tc>
          <w:tcPr>
            <w:tcW w:w="1180" w:type="dxa"/>
            <w:shd w:val="clear" w:color="auto" w:fill="auto"/>
            <w:noWrap/>
            <w:vAlign w:val="center"/>
          </w:tcPr>
          <w:p w:rsidR="00BF2526" w:rsidRPr="00BF2526" w:rsidRDefault="00BF2526">
            <w:pPr>
              <w:jc w:val="center"/>
            </w:pPr>
            <w:r w:rsidRPr="00BF2526">
              <w:t>6,7</w:t>
            </w:r>
          </w:p>
        </w:tc>
        <w:tc>
          <w:tcPr>
            <w:tcW w:w="1141" w:type="dxa"/>
            <w:shd w:val="clear" w:color="auto" w:fill="auto"/>
            <w:noWrap/>
            <w:vAlign w:val="center"/>
          </w:tcPr>
          <w:p w:rsidR="00BF2526" w:rsidRPr="00BF2526" w:rsidRDefault="00BF2526">
            <w:pPr>
              <w:jc w:val="center"/>
            </w:pPr>
            <w:r w:rsidRPr="00BF2526">
              <w:t>6,6</w:t>
            </w:r>
          </w:p>
        </w:tc>
        <w:tc>
          <w:tcPr>
            <w:tcW w:w="1272" w:type="dxa"/>
            <w:shd w:val="clear" w:color="auto" w:fill="auto"/>
            <w:noWrap/>
            <w:vAlign w:val="center"/>
          </w:tcPr>
          <w:p w:rsidR="00BF2526" w:rsidRPr="00BF2526" w:rsidRDefault="00BF2526">
            <w:pPr>
              <w:jc w:val="center"/>
            </w:pPr>
            <w:r w:rsidRPr="00BF2526">
              <w:t>6,6</w:t>
            </w:r>
          </w:p>
        </w:tc>
      </w:tr>
      <w:tr w:rsidR="00BF2526" w:rsidRPr="00DD28A8" w:rsidTr="002A07B4">
        <w:trPr>
          <w:trHeight w:val="397"/>
          <w:jc w:val="center"/>
        </w:trPr>
        <w:tc>
          <w:tcPr>
            <w:tcW w:w="771" w:type="dxa"/>
            <w:vMerge w:val="restart"/>
            <w:shd w:val="clear" w:color="auto" w:fill="auto"/>
            <w:noWrap/>
          </w:tcPr>
          <w:p w:rsidR="00BF2526" w:rsidRPr="003304D4" w:rsidRDefault="00BF2526" w:rsidP="00222BE4">
            <w:pPr>
              <w:pStyle w:val="ab"/>
              <w:numPr>
                <w:ilvl w:val="0"/>
                <w:numId w:val="11"/>
              </w:numPr>
              <w:ind w:left="0" w:firstLine="284"/>
              <w:jc w:val="center"/>
            </w:pPr>
          </w:p>
        </w:tc>
        <w:tc>
          <w:tcPr>
            <w:tcW w:w="3780" w:type="dxa"/>
            <w:vMerge w:val="restart"/>
            <w:shd w:val="clear" w:color="auto" w:fill="auto"/>
            <w:hideMark/>
          </w:tcPr>
          <w:p w:rsidR="00BF2526" w:rsidRPr="00DF6810" w:rsidRDefault="00BF2526" w:rsidP="00DD28A8">
            <w:r w:rsidRPr="00DF6810">
              <w:t>Общий коэффициент смертности</w:t>
            </w:r>
          </w:p>
        </w:tc>
        <w:tc>
          <w:tcPr>
            <w:tcW w:w="2401" w:type="dxa"/>
            <w:vMerge w:val="restart"/>
            <w:shd w:val="clear" w:color="auto" w:fill="auto"/>
            <w:hideMark/>
          </w:tcPr>
          <w:p w:rsidR="00BF2526" w:rsidRPr="00DF6810" w:rsidRDefault="00BF2526" w:rsidP="00DF6810">
            <w:pPr>
              <w:ind w:left="-51" w:right="-51"/>
              <w:jc w:val="center"/>
            </w:pPr>
            <w:r>
              <w:t>ч</w:t>
            </w:r>
            <w:r w:rsidRPr="00DF6810">
              <w:t xml:space="preserve">исло </w:t>
            </w:r>
            <w:proofErr w:type="gramStart"/>
            <w:r w:rsidRPr="00DF6810">
              <w:t>умерших</w:t>
            </w:r>
            <w:proofErr w:type="gramEnd"/>
            <w:r w:rsidRPr="00DF6810">
              <w:t xml:space="preserve"> </w:t>
            </w:r>
          </w:p>
          <w:p w:rsidR="00BF2526" w:rsidRPr="00DF6810" w:rsidRDefault="00BF2526" w:rsidP="00DF6810">
            <w:pPr>
              <w:ind w:left="-51" w:right="-51"/>
              <w:jc w:val="center"/>
            </w:pPr>
            <w:r w:rsidRPr="00DF6810">
              <w:t>на 1000 человек населения</w:t>
            </w:r>
          </w:p>
        </w:tc>
        <w:tc>
          <w:tcPr>
            <w:tcW w:w="1862" w:type="dxa"/>
            <w:shd w:val="clear" w:color="auto" w:fill="auto"/>
            <w:hideMark/>
          </w:tcPr>
          <w:p w:rsidR="00BF2526" w:rsidRPr="00DF6810" w:rsidRDefault="00BF2526" w:rsidP="00DD28A8">
            <w:r w:rsidRPr="00DF6810">
              <w:t>консервативный</w:t>
            </w:r>
          </w:p>
        </w:tc>
        <w:tc>
          <w:tcPr>
            <w:tcW w:w="1221" w:type="dxa"/>
            <w:vMerge w:val="restart"/>
            <w:shd w:val="clear" w:color="auto" w:fill="auto"/>
            <w:noWrap/>
            <w:vAlign w:val="center"/>
          </w:tcPr>
          <w:p w:rsidR="00BF2526" w:rsidRPr="00AB4835" w:rsidRDefault="00BF2526">
            <w:pPr>
              <w:jc w:val="center"/>
            </w:pPr>
            <w:r w:rsidRPr="00AB4835">
              <w:t>17,1</w:t>
            </w:r>
          </w:p>
        </w:tc>
        <w:tc>
          <w:tcPr>
            <w:tcW w:w="1349" w:type="dxa"/>
            <w:vMerge w:val="restart"/>
            <w:shd w:val="clear" w:color="auto" w:fill="auto"/>
            <w:noWrap/>
            <w:vAlign w:val="center"/>
          </w:tcPr>
          <w:p w:rsidR="00BF2526" w:rsidRPr="00AB4835" w:rsidRDefault="00BF2526">
            <w:pPr>
              <w:jc w:val="center"/>
            </w:pPr>
            <w:r w:rsidRPr="00AB4835">
              <w:t>14,8</w:t>
            </w:r>
          </w:p>
        </w:tc>
        <w:tc>
          <w:tcPr>
            <w:tcW w:w="1180" w:type="dxa"/>
            <w:shd w:val="clear" w:color="auto" w:fill="auto"/>
            <w:noWrap/>
            <w:vAlign w:val="center"/>
          </w:tcPr>
          <w:p w:rsidR="00BF2526" w:rsidRPr="00BF2526" w:rsidRDefault="00BF2526">
            <w:pPr>
              <w:jc w:val="center"/>
            </w:pPr>
            <w:r w:rsidRPr="00BF2526">
              <w:t>14,6</w:t>
            </w:r>
          </w:p>
        </w:tc>
        <w:tc>
          <w:tcPr>
            <w:tcW w:w="1141" w:type="dxa"/>
            <w:shd w:val="clear" w:color="auto" w:fill="auto"/>
            <w:noWrap/>
            <w:vAlign w:val="center"/>
          </w:tcPr>
          <w:p w:rsidR="00BF2526" w:rsidRPr="00BF2526" w:rsidRDefault="00BF2526">
            <w:pPr>
              <w:jc w:val="center"/>
            </w:pPr>
            <w:r w:rsidRPr="00BF2526">
              <w:t>14,4</w:t>
            </w:r>
          </w:p>
        </w:tc>
        <w:tc>
          <w:tcPr>
            <w:tcW w:w="1272" w:type="dxa"/>
            <w:shd w:val="clear" w:color="auto" w:fill="auto"/>
            <w:noWrap/>
            <w:vAlign w:val="center"/>
          </w:tcPr>
          <w:p w:rsidR="00BF2526" w:rsidRPr="00BF2526" w:rsidRDefault="00BF2526">
            <w:pPr>
              <w:jc w:val="center"/>
            </w:pPr>
            <w:r w:rsidRPr="00BF2526">
              <w:t>14,2</w:t>
            </w:r>
          </w:p>
        </w:tc>
      </w:tr>
      <w:tr w:rsidR="00BF2526" w:rsidRPr="00DD28A8" w:rsidTr="002A07B4">
        <w:trPr>
          <w:trHeight w:val="340"/>
          <w:jc w:val="center"/>
        </w:trPr>
        <w:tc>
          <w:tcPr>
            <w:tcW w:w="771" w:type="dxa"/>
            <w:vMerge/>
            <w:shd w:val="clear" w:color="auto" w:fill="auto"/>
          </w:tcPr>
          <w:p w:rsidR="00BF2526" w:rsidRPr="003304D4" w:rsidRDefault="00BF2526" w:rsidP="00222BE4">
            <w:pPr>
              <w:pStyle w:val="ab"/>
              <w:numPr>
                <w:ilvl w:val="0"/>
                <w:numId w:val="11"/>
              </w:numPr>
              <w:ind w:left="0" w:firstLine="284"/>
              <w:jc w:val="center"/>
            </w:pPr>
          </w:p>
        </w:tc>
        <w:tc>
          <w:tcPr>
            <w:tcW w:w="3780" w:type="dxa"/>
            <w:vMerge/>
            <w:shd w:val="clear" w:color="auto" w:fill="auto"/>
            <w:hideMark/>
          </w:tcPr>
          <w:p w:rsidR="00BF2526" w:rsidRPr="00DF6810" w:rsidRDefault="00BF2526" w:rsidP="00DD28A8"/>
        </w:tc>
        <w:tc>
          <w:tcPr>
            <w:tcW w:w="2401" w:type="dxa"/>
            <w:vMerge/>
            <w:shd w:val="clear" w:color="auto" w:fill="auto"/>
            <w:hideMark/>
          </w:tcPr>
          <w:p w:rsidR="00BF2526" w:rsidRPr="00DF6810" w:rsidRDefault="00BF2526" w:rsidP="00DF6810">
            <w:pPr>
              <w:ind w:left="-51" w:right="-51"/>
              <w:jc w:val="center"/>
            </w:pPr>
          </w:p>
        </w:tc>
        <w:tc>
          <w:tcPr>
            <w:tcW w:w="1862" w:type="dxa"/>
            <w:shd w:val="clear" w:color="auto" w:fill="auto"/>
            <w:hideMark/>
          </w:tcPr>
          <w:p w:rsidR="00BF2526" w:rsidRPr="00DF6810" w:rsidRDefault="00BF2526" w:rsidP="00DD28A8">
            <w:r w:rsidRPr="00DF6810">
              <w:t>базовый</w:t>
            </w:r>
          </w:p>
        </w:tc>
        <w:tc>
          <w:tcPr>
            <w:tcW w:w="1221" w:type="dxa"/>
            <w:vMerge/>
            <w:shd w:val="clear" w:color="auto" w:fill="auto"/>
            <w:vAlign w:val="center"/>
          </w:tcPr>
          <w:p w:rsidR="00BF2526" w:rsidRPr="00DF6810" w:rsidRDefault="00BF2526" w:rsidP="00ED6E4F">
            <w:pPr>
              <w:jc w:val="center"/>
            </w:pPr>
          </w:p>
        </w:tc>
        <w:tc>
          <w:tcPr>
            <w:tcW w:w="1349" w:type="dxa"/>
            <w:vMerge/>
            <w:shd w:val="clear" w:color="auto" w:fill="auto"/>
            <w:vAlign w:val="center"/>
          </w:tcPr>
          <w:p w:rsidR="00BF2526" w:rsidRPr="00DF6810" w:rsidRDefault="00BF2526" w:rsidP="00ED6E4F">
            <w:pPr>
              <w:jc w:val="center"/>
            </w:pPr>
          </w:p>
        </w:tc>
        <w:tc>
          <w:tcPr>
            <w:tcW w:w="1180" w:type="dxa"/>
            <w:shd w:val="clear" w:color="auto" w:fill="auto"/>
            <w:noWrap/>
            <w:vAlign w:val="center"/>
          </w:tcPr>
          <w:p w:rsidR="00BF2526" w:rsidRPr="00BF2526" w:rsidRDefault="00BF2526">
            <w:pPr>
              <w:jc w:val="center"/>
            </w:pPr>
            <w:r w:rsidRPr="00BF2526">
              <w:t>13,0</w:t>
            </w:r>
          </w:p>
        </w:tc>
        <w:tc>
          <w:tcPr>
            <w:tcW w:w="1141" w:type="dxa"/>
            <w:shd w:val="clear" w:color="auto" w:fill="auto"/>
            <w:noWrap/>
            <w:vAlign w:val="center"/>
          </w:tcPr>
          <w:p w:rsidR="00BF2526" w:rsidRPr="00BF2526" w:rsidRDefault="00BF2526">
            <w:pPr>
              <w:jc w:val="center"/>
            </w:pPr>
            <w:r w:rsidRPr="00BF2526">
              <w:t>12,8</w:t>
            </w:r>
          </w:p>
        </w:tc>
        <w:tc>
          <w:tcPr>
            <w:tcW w:w="1272" w:type="dxa"/>
            <w:shd w:val="clear" w:color="auto" w:fill="auto"/>
            <w:noWrap/>
            <w:vAlign w:val="center"/>
          </w:tcPr>
          <w:p w:rsidR="00BF2526" w:rsidRPr="00BF2526" w:rsidRDefault="00BF2526">
            <w:pPr>
              <w:jc w:val="center"/>
            </w:pPr>
            <w:r w:rsidRPr="00BF2526">
              <w:t>12,6</w:t>
            </w:r>
          </w:p>
        </w:tc>
      </w:tr>
      <w:tr w:rsidR="00BF2526" w:rsidRPr="00DD28A8" w:rsidTr="002A07B4">
        <w:trPr>
          <w:trHeight w:val="52"/>
          <w:jc w:val="center"/>
        </w:trPr>
        <w:tc>
          <w:tcPr>
            <w:tcW w:w="771" w:type="dxa"/>
            <w:vMerge w:val="restart"/>
            <w:shd w:val="clear" w:color="auto" w:fill="auto"/>
            <w:noWrap/>
          </w:tcPr>
          <w:p w:rsidR="00BF2526" w:rsidRPr="003304D4" w:rsidRDefault="00BF2526" w:rsidP="00222BE4">
            <w:pPr>
              <w:pStyle w:val="ab"/>
              <w:numPr>
                <w:ilvl w:val="0"/>
                <w:numId w:val="11"/>
              </w:numPr>
              <w:ind w:left="0" w:firstLine="284"/>
              <w:jc w:val="center"/>
            </w:pPr>
          </w:p>
        </w:tc>
        <w:tc>
          <w:tcPr>
            <w:tcW w:w="3780" w:type="dxa"/>
            <w:vMerge w:val="restart"/>
            <w:shd w:val="clear" w:color="auto" w:fill="auto"/>
            <w:hideMark/>
          </w:tcPr>
          <w:p w:rsidR="00BF2526" w:rsidRPr="00DF6810" w:rsidRDefault="00BF2526" w:rsidP="00DD28A8">
            <w:r w:rsidRPr="00DF6810">
              <w:t>Коэффициент естественного прироста населения</w:t>
            </w:r>
          </w:p>
        </w:tc>
        <w:tc>
          <w:tcPr>
            <w:tcW w:w="2401" w:type="dxa"/>
            <w:vMerge w:val="restart"/>
            <w:shd w:val="clear" w:color="auto" w:fill="auto"/>
            <w:hideMark/>
          </w:tcPr>
          <w:p w:rsidR="00BF2526" w:rsidRPr="00DF6810" w:rsidRDefault="00BF2526" w:rsidP="00DF6810">
            <w:pPr>
              <w:ind w:left="-51" w:right="-51"/>
              <w:jc w:val="center"/>
            </w:pPr>
            <w:r>
              <w:t>н</w:t>
            </w:r>
            <w:r w:rsidRPr="00DF6810">
              <w:t>а 1000 человек населения</w:t>
            </w:r>
          </w:p>
        </w:tc>
        <w:tc>
          <w:tcPr>
            <w:tcW w:w="1862" w:type="dxa"/>
            <w:shd w:val="clear" w:color="auto" w:fill="auto"/>
            <w:hideMark/>
          </w:tcPr>
          <w:p w:rsidR="00BF2526" w:rsidRPr="00DF6810" w:rsidRDefault="00BF2526" w:rsidP="00DD28A8">
            <w:r w:rsidRPr="00DF6810">
              <w:t>консервативный</w:t>
            </w:r>
          </w:p>
        </w:tc>
        <w:tc>
          <w:tcPr>
            <w:tcW w:w="1221" w:type="dxa"/>
            <w:vMerge w:val="restart"/>
            <w:shd w:val="clear" w:color="auto" w:fill="auto"/>
            <w:noWrap/>
            <w:vAlign w:val="center"/>
          </w:tcPr>
          <w:p w:rsidR="00BF2526" w:rsidRPr="00AB4835" w:rsidRDefault="00BF2526">
            <w:pPr>
              <w:jc w:val="center"/>
            </w:pPr>
            <w:r w:rsidRPr="00AB4835">
              <w:t>-10,2</w:t>
            </w:r>
          </w:p>
        </w:tc>
        <w:tc>
          <w:tcPr>
            <w:tcW w:w="1349" w:type="dxa"/>
            <w:vMerge w:val="restart"/>
            <w:shd w:val="clear" w:color="auto" w:fill="auto"/>
            <w:noWrap/>
            <w:vAlign w:val="center"/>
          </w:tcPr>
          <w:p w:rsidR="00BF2526" w:rsidRPr="00AB4835" w:rsidRDefault="00BF2526">
            <w:pPr>
              <w:jc w:val="center"/>
            </w:pPr>
            <w:r w:rsidRPr="00AB4835">
              <w:t>-8,6</w:t>
            </w:r>
          </w:p>
        </w:tc>
        <w:tc>
          <w:tcPr>
            <w:tcW w:w="1180" w:type="dxa"/>
            <w:shd w:val="clear" w:color="auto" w:fill="auto"/>
            <w:noWrap/>
            <w:vAlign w:val="center"/>
          </w:tcPr>
          <w:p w:rsidR="00BF2526" w:rsidRPr="00BF2526" w:rsidRDefault="00BF2526">
            <w:pPr>
              <w:jc w:val="center"/>
            </w:pPr>
            <w:r w:rsidRPr="00BF2526">
              <w:t>-8,6</w:t>
            </w:r>
          </w:p>
        </w:tc>
        <w:tc>
          <w:tcPr>
            <w:tcW w:w="1141" w:type="dxa"/>
            <w:shd w:val="clear" w:color="auto" w:fill="auto"/>
            <w:noWrap/>
            <w:vAlign w:val="center"/>
          </w:tcPr>
          <w:p w:rsidR="00BF2526" w:rsidRPr="00BF2526" w:rsidRDefault="00BF2526">
            <w:pPr>
              <w:jc w:val="center"/>
            </w:pPr>
            <w:r w:rsidRPr="00BF2526">
              <w:t>-8,5</w:t>
            </w:r>
          </w:p>
        </w:tc>
        <w:tc>
          <w:tcPr>
            <w:tcW w:w="1272" w:type="dxa"/>
            <w:shd w:val="clear" w:color="auto" w:fill="auto"/>
            <w:noWrap/>
            <w:vAlign w:val="center"/>
          </w:tcPr>
          <w:p w:rsidR="00BF2526" w:rsidRPr="00BF2526" w:rsidRDefault="00BF2526">
            <w:pPr>
              <w:jc w:val="center"/>
            </w:pPr>
            <w:r w:rsidRPr="00BF2526">
              <w:t>-8,3</w:t>
            </w:r>
          </w:p>
        </w:tc>
      </w:tr>
      <w:tr w:rsidR="00BF2526" w:rsidRPr="00DD28A8" w:rsidTr="002A07B4">
        <w:trPr>
          <w:trHeight w:val="283"/>
          <w:jc w:val="center"/>
        </w:trPr>
        <w:tc>
          <w:tcPr>
            <w:tcW w:w="771" w:type="dxa"/>
            <w:vMerge/>
            <w:shd w:val="clear" w:color="auto" w:fill="auto"/>
          </w:tcPr>
          <w:p w:rsidR="00BF2526" w:rsidRPr="003304D4" w:rsidRDefault="00BF2526" w:rsidP="00222BE4">
            <w:pPr>
              <w:pStyle w:val="ab"/>
              <w:numPr>
                <w:ilvl w:val="0"/>
                <w:numId w:val="11"/>
              </w:numPr>
              <w:ind w:left="0" w:firstLine="284"/>
              <w:jc w:val="center"/>
            </w:pPr>
          </w:p>
        </w:tc>
        <w:tc>
          <w:tcPr>
            <w:tcW w:w="3780" w:type="dxa"/>
            <w:vMerge/>
            <w:shd w:val="clear" w:color="auto" w:fill="auto"/>
            <w:hideMark/>
          </w:tcPr>
          <w:p w:rsidR="00BF2526" w:rsidRPr="00DF6810" w:rsidRDefault="00BF2526" w:rsidP="00DD28A8"/>
        </w:tc>
        <w:tc>
          <w:tcPr>
            <w:tcW w:w="2401" w:type="dxa"/>
            <w:vMerge/>
            <w:shd w:val="clear" w:color="auto" w:fill="auto"/>
            <w:hideMark/>
          </w:tcPr>
          <w:p w:rsidR="00BF2526" w:rsidRPr="00DF6810" w:rsidRDefault="00BF2526" w:rsidP="00DF6810">
            <w:pPr>
              <w:ind w:left="-51" w:right="-51"/>
              <w:jc w:val="center"/>
            </w:pPr>
          </w:p>
        </w:tc>
        <w:tc>
          <w:tcPr>
            <w:tcW w:w="1862" w:type="dxa"/>
            <w:shd w:val="clear" w:color="auto" w:fill="auto"/>
            <w:hideMark/>
          </w:tcPr>
          <w:p w:rsidR="00BF2526" w:rsidRPr="00DF6810" w:rsidRDefault="00BF2526" w:rsidP="00DD28A8">
            <w:r w:rsidRPr="00DF6810">
              <w:t>базовый</w:t>
            </w:r>
          </w:p>
        </w:tc>
        <w:tc>
          <w:tcPr>
            <w:tcW w:w="1221" w:type="dxa"/>
            <w:vMerge/>
            <w:shd w:val="clear" w:color="auto" w:fill="auto"/>
            <w:vAlign w:val="center"/>
          </w:tcPr>
          <w:p w:rsidR="00BF2526" w:rsidRPr="00DF6810" w:rsidRDefault="00BF2526" w:rsidP="00ED6E4F">
            <w:pPr>
              <w:jc w:val="center"/>
            </w:pPr>
          </w:p>
        </w:tc>
        <w:tc>
          <w:tcPr>
            <w:tcW w:w="1349" w:type="dxa"/>
            <w:vMerge/>
            <w:shd w:val="clear" w:color="auto" w:fill="auto"/>
            <w:vAlign w:val="center"/>
          </w:tcPr>
          <w:p w:rsidR="00BF2526" w:rsidRPr="00DF6810" w:rsidRDefault="00BF2526" w:rsidP="00ED6E4F">
            <w:pPr>
              <w:jc w:val="center"/>
            </w:pPr>
          </w:p>
        </w:tc>
        <w:tc>
          <w:tcPr>
            <w:tcW w:w="1180" w:type="dxa"/>
            <w:shd w:val="clear" w:color="auto" w:fill="auto"/>
            <w:noWrap/>
            <w:vAlign w:val="center"/>
          </w:tcPr>
          <w:p w:rsidR="00BF2526" w:rsidRPr="00BF2526" w:rsidRDefault="00BF2526">
            <w:pPr>
              <w:jc w:val="center"/>
            </w:pPr>
            <w:r w:rsidRPr="00BF2526">
              <w:t>-6,3</w:t>
            </w:r>
          </w:p>
        </w:tc>
        <w:tc>
          <w:tcPr>
            <w:tcW w:w="1141" w:type="dxa"/>
            <w:shd w:val="clear" w:color="auto" w:fill="auto"/>
            <w:noWrap/>
            <w:vAlign w:val="center"/>
          </w:tcPr>
          <w:p w:rsidR="00BF2526" w:rsidRPr="00BF2526" w:rsidRDefault="00BF2526">
            <w:pPr>
              <w:jc w:val="center"/>
            </w:pPr>
            <w:r w:rsidRPr="00BF2526">
              <w:t>-6,2</w:t>
            </w:r>
          </w:p>
        </w:tc>
        <w:tc>
          <w:tcPr>
            <w:tcW w:w="1272" w:type="dxa"/>
            <w:shd w:val="clear" w:color="auto" w:fill="auto"/>
            <w:noWrap/>
            <w:vAlign w:val="center"/>
          </w:tcPr>
          <w:p w:rsidR="00BF2526" w:rsidRPr="00BF2526" w:rsidRDefault="00BF2526">
            <w:pPr>
              <w:jc w:val="center"/>
            </w:pPr>
            <w:r w:rsidRPr="00BF2526">
              <w:t>-6,0</w:t>
            </w:r>
          </w:p>
        </w:tc>
      </w:tr>
      <w:tr w:rsidR="00BF2526" w:rsidRPr="00DD28A8" w:rsidTr="002A07B4">
        <w:trPr>
          <w:trHeight w:val="283"/>
          <w:jc w:val="center"/>
        </w:trPr>
        <w:tc>
          <w:tcPr>
            <w:tcW w:w="771" w:type="dxa"/>
            <w:vMerge w:val="restart"/>
            <w:shd w:val="clear" w:color="auto" w:fill="auto"/>
            <w:noWrap/>
          </w:tcPr>
          <w:p w:rsidR="00BF2526" w:rsidRPr="003304D4" w:rsidRDefault="00BF2526" w:rsidP="00222BE4">
            <w:pPr>
              <w:pStyle w:val="ab"/>
              <w:numPr>
                <w:ilvl w:val="0"/>
                <w:numId w:val="11"/>
              </w:numPr>
              <w:ind w:left="0" w:firstLine="284"/>
              <w:jc w:val="center"/>
            </w:pPr>
          </w:p>
        </w:tc>
        <w:tc>
          <w:tcPr>
            <w:tcW w:w="3780" w:type="dxa"/>
            <w:vMerge w:val="restart"/>
            <w:shd w:val="clear" w:color="auto" w:fill="auto"/>
            <w:hideMark/>
          </w:tcPr>
          <w:p w:rsidR="00BF2526" w:rsidRPr="00DF6810" w:rsidRDefault="00BF2526" w:rsidP="00DD28A8">
            <w:r w:rsidRPr="00DF6810">
              <w:t>Миграционный прирост (убыль)</w:t>
            </w:r>
          </w:p>
        </w:tc>
        <w:tc>
          <w:tcPr>
            <w:tcW w:w="2401" w:type="dxa"/>
            <w:vMerge w:val="restart"/>
            <w:shd w:val="clear" w:color="auto" w:fill="auto"/>
            <w:hideMark/>
          </w:tcPr>
          <w:p w:rsidR="00BF2526" w:rsidRPr="00DF6810" w:rsidRDefault="00BF2526" w:rsidP="00DF6810">
            <w:pPr>
              <w:ind w:left="-51" w:right="-51"/>
              <w:jc w:val="center"/>
            </w:pPr>
            <w:r>
              <w:t>т</w:t>
            </w:r>
            <w:r w:rsidRPr="00DF6810">
              <w:t>ыс. чел.</w:t>
            </w:r>
          </w:p>
        </w:tc>
        <w:tc>
          <w:tcPr>
            <w:tcW w:w="1862" w:type="dxa"/>
            <w:shd w:val="clear" w:color="auto" w:fill="auto"/>
            <w:hideMark/>
          </w:tcPr>
          <w:p w:rsidR="00BF2526" w:rsidRPr="00DF6810" w:rsidRDefault="00BF2526" w:rsidP="00DD28A8">
            <w:r w:rsidRPr="00DF6810">
              <w:t>консервативный</w:t>
            </w:r>
          </w:p>
        </w:tc>
        <w:tc>
          <w:tcPr>
            <w:tcW w:w="1221" w:type="dxa"/>
            <w:vMerge w:val="restart"/>
            <w:shd w:val="clear" w:color="auto" w:fill="auto"/>
            <w:noWrap/>
            <w:vAlign w:val="center"/>
          </w:tcPr>
          <w:p w:rsidR="00BF2526" w:rsidRPr="00AB4835" w:rsidRDefault="00BF2526">
            <w:pPr>
              <w:jc w:val="center"/>
            </w:pPr>
            <w:r w:rsidRPr="00AB4835">
              <w:t>38,0</w:t>
            </w:r>
          </w:p>
        </w:tc>
        <w:tc>
          <w:tcPr>
            <w:tcW w:w="1349" w:type="dxa"/>
            <w:vMerge w:val="restart"/>
            <w:shd w:val="clear" w:color="auto" w:fill="auto"/>
            <w:noWrap/>
            <w:vAlign w:val="center"/>
          </w:tcPr>
          <w:p w:rsidR="00BF2526" w:rsidRPr="00AB4835" w:rsidRDefault="00BF2526">
            <w:pPr>
              <w:jc w:val="center"/>
            </w:pPr>
            <w:r w:rsidRPr="00AB4835">
              <w:t>33,6</w:t>
            </w:r>
          </w:p>
        </w:tc>
        <w:tc>
          <w:tcPr>
            <w:tcW w:w="1180" w:type="dxa"/>
            <w:shd w:val="clear" w:color="auto" w:fill="auto"/>
            <w:noWrap/>
            <w:vAlign w:val="center"/>
          </w:tcPr>
          <w:p w:rsidR="00BF2526" w:rsidRPr="00BF2526" w:rsidRDefault="00BF2526">
            <w:pPr>
              <w:jc w:val="center"/>
            </w:pPr>
            <w:r w:rsidRPr="00BF2526">
              <w:t>19,9</w:t>
            </w:r>
          </w:p>
        </w:tc>
        <w:tc>
          <w:tcPr>
            <w:tcW w:w="1141" w:type="dxa"/>
            <w:shd w:val="clear" w:color="auto" w:fill="auto"/>
            <w:noWrap/>
            <w:vAlign w:val="center"/>
          </w:tcPr>
          <w:p w:rsidR="00BF2526" w:rsidRPr="00BF2526" w:rsidRDefault="00BF2526">
            <w:pPr>
              <w:jc w:val="center"/>
            </w:pPr>
            <w:r w:rsidRPr="00BF2526">
              <w:t>20,0</w:t>
            </w:r>
          </w:p>
        </w:tc>
        <w:tc>
          <w:tcPr>
            <w:tcW w:w="1272" w:type="dxa"/>
            <w:shd w:val="clear" w:color="auto" w:fill="auto"/>
            <w:noWrap/>
            <w:vAlign w:val="center"/>
          </w:tcPr>
          <w:p w:rsidR="00BF2526" w:rsidRPr="00BF2526" w:rsidRDefault="00BF2526">
            <w:pPr>
              <w:jc w:val="center"/>
            </w:pPr>
            <w:r w:rsidRPr="00BF2526">
              <w:t>19,5</w:t>
            </w:r>
          </w:p>
        </w:tc>
      </w:tr>
      <w:tr w:rsidR="00BF2526" w:rsidRPr="00DD28A8" w:rsidTr="002A07B4">
        <w:trPr>
          <w:trHeight w:val="283"/>
          <w:jc w:val="center"/>
        </w:trPr>
        <w:tc>
          <w:tcPr>
            <w:tcW w:w="771" w:type="dxa"/>
            <w:vMerge/>
            <w:shd w:val="clear" w:color="auto" w:fill="auto"/>
          </w:tcPr>
          <w:p w:rsidR="00BF2526" w:rsidRPr="003304D4" w:rsidRDefault="00BF2526" w:rsidP="00222BE4">
            <w:pPr>
              <w:pStyle w:val="ab"/>
              <w:numPr>
                <w:ilvl w:val="0"/>
                <w:numId w:val="11"/>
              </w:numPr>
              <w:ind w:left="0" w:firstLine="284"/>
              <w:jc w:val="center"/>
            </w:pPr>
          </w:p>
        </w:tc>
        <w:tc>
          <w:tcPr>
            <w:tcW w:w="3780" w:type="dxa"/>
            <w:vMerge/>
            <w:shd w:val="clear" w:color="auto" w:fill="auto"/>
            <w:hideMark/>
          </w:tcPr>
          <w:p w:rsidR="00BF2526" w:rsidRPr="00DF6810" w:rsidRDefault="00BF2526" w:rsidP="00DD28A8"/>
        </w:tc>
        <w:tc>
          <w:tcPr>
            <w:tcW w:w="2401" w:type="dxa"/>
            <w:vMerge/>
            <w:shd w:val="clear" w:color="auto" w:fill="auto"/>
            <w:hideMark/>
          </w:tcPr>
          <w:p w:rsidR="00BF2526" w:rsidRPr="00DF6810" w:rsidRDefault="00BF2526" w:rsidP="00DF6810">
            <w:pPr>
              <w:ind w:left="-51" w:right="-51"/>
              <w:jc w:val="center"/>
            </w:pPr>
          </w:p>
        </w:tc>
        <w:tc>
          <w:tcPr>
            <w:tcW w:w="1862" w:type="dxa"/>
            <w:shd w:val="clear" w:color="auto" w:fill="auto"/>
            <w:hideMark/>
          </w:tcPr>
          <w:p w:rsidR="00BF2526" w:rsidRPr="00DF6810" w:rsidRDefault="00BF2526" w:rsidP="00DD28A8">
            <w:r w:rsidRPr="00DF6810">
              <w:t>базовый</w:t>
            </w:r>
          </w:p>
        </w:tc>
        <w:tc>
          <w:tcPr>
            <w:tcW w:w="1221" w:type="dxa"/>
            <w:vMerge/>
            <w:shd w:val="clear" w:color="auto" w:fill="auto"/>
            <w:vAlign w:val="center"/>
          </w:tcPr>
          <w:p w:rsidR="00BF2526" w:rsidRPr="00DF6810" w:rsidRDefault="00BF2526" w:rsidP="00ED6E4F">
            <w:pPr>
              <w:jc w:val="center"/>
            </w:pPr>
          </w:p>
        </w:tc>
        <w:tc>
          <w:tcPr>
            <w:tcW w:w="1349" w:type="dxa"/>
            <w:vMerge/>
            <w:shd w:val="clear" w:color="auto" w:fill="auto"/>
            <w:vAlign w:val="center"/>
          </w:tcPr>
          <w:p w:rsidR="00BF2526" w:rsidRPr="00DF6810" w:rsidRDefault="00BF2526" w:rsidP="00ED6E4F">
            <w:pPr>
              <w:jc w:val="center"/>
            </w:pPr>
          </w:p>
        </w:tc>
        <w:tc>
          <w:tcPr>
            <w:tcW w:w="1180" w:type="dxa"/>
            <w:shd w:val="clear" w:color="auto" w:fill="auto"/>
            <w:noWrap/>
            <w:vAlign w:val="center"/>
          </w:tcPr>
          <w:p w:rsidR="00BF2526" w:rsidRPr="00BF2526" w:rsidRDefault="00BF2526">
            <w:pPr>
              <w:jc w:val="center"/>
            </w:pPr>
            <w:r w:rsidRPr="00BF2526">
              <w:t>22,9</w:t>
            </w:r>
          </w:p>
        </w:tc>
        <w:tc>
          <w:tcPr>
            <w:tcW w:w="1141" w:type="dxa"/>
            <w:shd w:val="clear" w:color="auto" w:fill="auto"/>
            <w:noWrap/>
            <w:vAlign w:val="center"/>
          </w:tcPr>
          <w:p w:rsidR="00BF2526" w:rsidRPr="00BF2526" w:rsidRDefault="00BF2526">
            <w:pPr>
              <w:jc w:val="center"/>
            </w:pPr>
            <w:r w:rsidRPr="00BF2526">
              <w:t>23,2</w:t>
            </w:r>
          </w:p>
        </w:tc>
        <w:tc>
          <w:tcPr>
            <w:tcW w:w="1272" w:type="dxa"/>
            <w:shd w:val="clear" w:color="auto" w:fill="auto"/>
            <w:noWrap/>
            <w:vAlign w:val="center"/>
          </w:tcPr>
          <w:p w:rsidR="00BF2526" w:rsidRPr="00BF2526" w:rsidRDefault="00BF2526">
            <w:pPr>
              <w:jc w:val="center"/>
            </w:pPr>
            <w:r w:rsidRPr="00BF2526">
              <w:t>23,4</w:t>
            </w:r>
          </w:p>
        </w:tc>
      </w:tr>
      <w:tr w:rsidR="00BF2526" w:rsidRPr="00DD28A8" w:rsidTr="002A07B4">
        <w:trPr>
          <w:trHeight w:val="340"/>
          <w:jc w:val="center"/>
        </w:trPr>
        <w:tc>
          <w:tcPr>
            <w:tcW w:w="771" w:type="dxa"/>
            <w:vMerge w:val="restart"/>
            <w:shd w:val="clear" w:color="auto" w:fill="auto"/>
            <w:noWrap/>
          </w:tcPr>
          <w:p w:rsidR="00BF2526" w:rsidRPr="003304D4" w:rsidRDefault="00BF2526" w:rsidP="00222BE4">
            <w:pPr>
              <w:pStyle w:val="ab"/>
              <w:numPr>
                <w:ilvl w:val="0"/>
                <w:numId w:val="11"/>
              </w:numPr>
              <w:ind w:left="0" w:firstLine="284"/>
              <w:jc w:val="center"/>
            </w:pPr>
          </w:p>
        </w:tc>
        <w:tc>
          <w:tcPr>
            <w:tcW w:w="3780" w:type="dxa"/>
            <w:vMerge w:val="restart"/>
            <w:shd w:val="clear" w:color="auto" w:fill="auto"/>
            <w:hideMark/>
          </w:tcPr>
          <w:p w:rsidR="00BF2526" w:rsidRPr="00DF6810" w:rsidRDefault="00BF2526" w:rsidP="00DD28A8">
            <w:r w:rsidRPr="00DF6810">
              <w:t>Валовой региональный продукт</w:t>
            </w:r>
          </w:p>
        </w:tc>
        <w:tc>
          <w:tcPr>
            <w:tcW w:w="2401" w:type="dxa"/>
            <w:vMerge w:val="restart"/>
            <w:shd w:val="clear" w:color="auto" w:fill="auto"/>
            <w:hideMark/>
          </w:tcPr>
          <w:p w:rsidR="00BF2526" w:rsidRPr="00DF6810" w:rsidRDefault="00BF2526" w:rsidP="00DF6810">
            <w:pPr>
              <w:ind w:left="-51" w:right="-51"/>
              <w:jc w:val="center"/>
            </w:pPr>
            <w:proofErr w:type="gramStart"/>
            <w:r>
              <w:t>м</w:t>
            </w:r>
            <w:r w:rsidRPr="00DF6810">
              <w:t>лрд</w:t>
            </w:r>
            <w:proofErr w:type="gramEnd"/>
            <w:r w:rsidRPr="00DF6810">
              <w:t xml:space="preserve"> руб.</w:t>
            </w:r>
          </w:p>
        </w:tc>
        <w:tc>
          <w:tcPr>
            <w:tcW w:w="1862" w:type="dxa"/>
            <w:shd w:val="clear" w:color="auto" w:fill="auto"/>
            <w:hideMark/>
          </w:tcPr>
          <w:p w:rsidR="00BF2526" w:rsidRPr="00DF6810" w:rsidRDefault="00BF2526" w:rsidP="00DD28A8">
            <w:r w:rsidRPr="00DF6810">
              <w:t>консервативный</w:t>
            </w:r>
          </w:p>
        </w:tc>
        <w:tc>
          <w:tcPr>
            <w:tcW w:w="1221" w:type="dxa"/>
            <w:vMerge w:val="restart"/>
            <w:shd w:val="clear" w:color="auto" w:fill="auto"/>
            <w:noWrap/>
            <w:vAlign w:val="center"/>
          </w:tcPr>
          <w:p w:rsidR="00BF2526" w:rsidRPr="00AB4835" w:rsidRDefault="00BF2526" w:rsidP="00AB4835">
            <w:pPr>
              <w:jc w:val="center"/>
            </w:pPr>
            <w:r w:rsidRPr="00AB4835">
              <w:t>1 366,2</w:t>
            </w:r>
          </w:p>
        </w:tc>
        <w:tc>
          <w:tcPr>
            <w:tcW w:w="1349" w:type="dxa"/>
            <w:vMerge w:val="restart"/>
            <w:shd w:val="clear" w:color="auto" w:fill="auto"/>
            <w:noWrap/>
            <w:vAlign w:val="center"/>
          </w:tcPr>
          <w:p w:rsidR="00BF2526" w:rsidRPr="00AB4835" w:rsidRDefault="00BF2526" w:rsidP="00AB4835">
            <w:pPr>
              <w:jc w:val="center"/>
            </w:pPr>
            <w:r w:rsidRPr="00AB4835">
              <w:t>1 464,0</w:t>
            </w:r>
          </w:p>
        </w:tc>
        <w:tc>
          <w:tcPr>
            <w:tcW w:w="1180" w:type="dxa"/>
            <w:shd w:val="clear" w:color="auto" w:fill="auto"/>
            <w:noWrap/>
            <w:vAlign w:val="center"/>
          </w:tcPr>
          <w:p w:rsidR="00BF2526" w:rsidRPr="00BF2526" w:rsidRDefault="00BF2526" w:rsidP="00BF2526">
            <w:pPr>
              <w:jc w:val="center"/>
            </w:pPr>
            <w:r w:rsidRPr="00BF2526">
              <w:t>1</w:t>
            </w:r>
            <w:r>
              <w:t> </w:t>
            </w:r>
            <w:r w:rsidRPr="00BF2526">
              <w:t>524</w:t>
            </w:r>
            <w:r>
              <w:t>,</w:t>
            </w:r>
            <w:r w:rsidRPr="00BF2526">
              <w:t>7</w:t>
            </w:r>
          </w:p>
        </w:tc>
        <w:tc>
          <w:tcPr>
            <w:tcW w:w="1141" w:type="dxa"/>
            <w:shd w:val="clear" w:color="auto" w:fill="auto"/>
            <w:noWrap/>
            <w:vAlign w:val="center"/>
          </w:tcPr>
          <w:p w:rsidR="00BF2526" w:rsidRPr="00BF2526" w:rsidRDefault="00BF2526" w:rsidP="00BF2526">
            <w:pPr>
              <w:jc w:val="center"/>
            </w:pPr>
            <w:r w:rsidRPr="00BF2526">
              <w:t>1</w:t>
            </w:r>
            <w:r>
              <w:t> </w:t>
            </w:r>
            <w:r w:rsidRPr="00BF2526">
              <w:t>609</w:t>
            </w:r>
            <w:r>
              <w:t>,</w:t>
            </w:r>
            <w:r w:rsidRPr="00BF2526">
              <w:t>5</w:t>
            </w:r>
          </w:p>
        </w:tc>
        <w:tc>
          <w:tcPr>
            <w:tcW w:w="1272" w:type="dxa"/>
            <w:shd w:val="clear" w:color="auto" w:fill="auto"/>
            <w:noWrap/>
            <w:vAlign w:val="center"/>
          </w:tcPr>
          <w:p w:rsidR="00BF2526" w:rsidRPr="00BF2526" w:rsidRDefault="00BF2526" w:rsidP="00BF2526">
            <w:pPr>
              <w:jc w:val="center"/>
            </w:pPr>
            <w:r w:rsidRPr="00BF2526">
              <w:t>1</w:t>
            </w:r>
            <w:r>
              <w:t> </w:t>
            </w:r>
            <w:r w:rsidRPr="00BF2526">
              <w:t>699</w:t>
            </w:r>
            <w:r>
              <w:t>,</w:t>
            </w:r>
            <w:r w:rsidRPr="00BF2526">
              <w:t>1</w:t>
            </w:r>
          </w:p>
        </w:tc>
      </w:tr>
      <w:tr w:rsidR="00BF2526" w:rsidRPr="00DD28A8" w:rsidTr="002A07B4">
        <w:trPr>
          <w:trHeight w:val="283"/>
          <w:jc w:val="center"/>
        </w:trPr>
        <w:tc>
          <w:tcPr>
            <w:tcW w:w="771" w:type="dxa"/>
            <w:vMerge/>
            <w:shd w:val="clear" w:color="auto" w:fill="auto"/>
          </w:tcPr>
          <w:p w:rsidR="00BF2526" w:rsidRPr="003304D4" w:rsidRDefault="00BF2526" w:rsidP="00F8448A">
            <w:pPr>
              <w:pStyle w:val="ab"/>
              <w:numPr>
                <w:ilvl w:val="0"/>
                <w:numId w:val="1"/>
              </w:numPr>
              <w:ind w:left="0" w:firstLine="0"/>
              <w:jc w:val="center"/>
            </w:pPr>
          </w:p>
        </w:tc>
        <w:tc>
          <w:tcPr>
            <w:tcW w:w="3780" w:type="dxa"/>
            <w:vMerge/>
            <w:shd w:val="clear" w:color="auto" w:fill="auto"/>
            <w:hideMark/>
          </w:tcPr>
          <w:p w:rsidR="00BF2526" w:rsidRPr="00DF6810" w:rsidRDefault="00BF2526" w:rsidP="00DD28A8"/>
        </w:tc>
        <w:tc>
          <w:tcPr>
            <w:tcW w:w="2401" w:type="dxa"/>
            <w:vMerge/>
            <w:shd w:val="clear" w:color="auto" w:fill="auto"/>
            <w:hideMark/>
          </w:tcPr>
          <w:p w:rsidR="00BF2526" w:rsidRPr="00DF6810" w:rsidRDefault="00BF2526" w:rsidP="00DF6810">
            <w:pPr>
              <w:ind w:left="-51" w:right="-51"/>
              <w:jc w:val="center"/>
            </w:pPr>
          </w:p>
        </w:tc>
        <w:tc>
          <w:tcPr>
            <w:tcW w:w="1862" w:type="dxa"/>
            <w:shd w:val="clear" w:color="auto" w:fill="auto"/>
            <w:hideMark/>
          </w:tcPr>
          <w:p w:rsidR="00BF2526" w:rsidRPr="00DF6810" w:rsidRDefault="00BF2526" w:rsidP="00DD28A8">
            <w:r w:rsidRPr="00DF6810">
              <w:t>базовый</w:t>
            </w:r>
          </w:p>
        </w:tc>
        <w:tc>
          <w:tcPr>
            <w:tcW w:w="1221" w:type="dxa"/>
            <w:vMerge/>
            <w:shd w:val="clear" w:color="auto" w:fill="auto"/>
            <w:vAlign w:val="center"/>
          </w:tcPr>
          <w:p w:rsidR="00BF2526" w:rsidRPr="00DF6810" w:rsidRDefault="00BF2526" w:rsidP="00ED6E4F">
            <w:pPr>
              <w:jc w:val="center"/>
            </w:pPr>
          </w:p>
        </w:tc>
        <w:tc>
          <w:tcPr>
            <w:tcW w:w="1349" w:type="dxa"/>
            <w:vMerge/>
            <w:shd w:val="clear" w:color="auto" w:fill="auto"/>
            <w:vAlign w:val="center"/>
          </w:tcPr>
          <w:p w:rsidR="00BF2526" w:rsidRPr="00DF6810" w:rsidRDefault="00BF2526" w:rsidP="00ED6E4F">
            <w:pPr>
              <w:jc w:val="center"/>
            </w:pPr>
          </w:p>
        </w:tc>
        <w:tc>
          <w:tcPr>
            <w:tcW w:w="1180" w:type="dxa"/>
            <w:shd w:val="clear" w:color="auto" w:fill="auto"/>
            <w:noWrap/>
            <w:vAlign w:val="center"/>
          </w:tcPr>
          <w:p w:rsidR="00BF2526" w:rsidRPr="00BF2526" w:rsidRDefault="00BF2526" w:rsidP="00BF2526">
            <w:pPr>
              <w:jc w:val="center"/>
            </w:pPr>
            <w:r w:rsidRPr="00BF2526">
              <w:t>1</w:t>
            </w:r>
            <w:r>
              <w:t> </w:t>
            </w:r>
            <w:r w:rsidRPr="00BF2526">
              <w:t>552</w:t>
            </w:r>
            <w:r>
              <w:t>,</w:t>
            </w:r>
            <w:r w:rsidRPr="00BF2526">
              <w:t>6</w:t>
            </w:r>
          </w:p>
        </w:tc>
        <w:tc>
          <w:tcPr>
            <w:tcW w:w="1141" w:type="dxa"/>
            <w:shd w:val="clear" w:color="auto" w:fill="auto"/>
            <w:noWrap/>
            <w:vAlign w:val="center"/>
          </w:tcPr>
          <w:p w:rsidR="00BF2526" w:rsidRPr="00BF2526" w:rsidRDefault="00BF2526" w:rsidP="00BF2526">
            <w:pPr>
              <w:jc w:val="center"/>
            </w:pPr>
            <w:r w:rsidRPr="00BF2526">
              <w:t>1</w:t>
            </w:r>
            <w:r>
              <w:t> </w:t>
            </w:r>
            <w:r w:rsidRPr="00BF2526">
              <w:t>659</w:t>
            </w:r>
            <w:r>
              <w:t>,</w:t>
            </w:r>
            <w:r w:rsidRPr="00BF2526">
              <w:t>9</w:t>
            </w:r>
          </w:p>
        </w:tc>
        <w:tc>
          <w:tcPr>
            <w:tcW w:w="1272" w:type="dxa"/>
            <w:shd w:val="clear" w:color="auto" w:fill="auto"/>
            <w:noWrap/>
            <w:vAlign w:val="center"/>
          </w:tcPr>
          <w:p w:rsidR="00BF2526" w:rsidRPr="00BF2526" w:rsidRDefault="00BF2526" w:rsidP="00BF2526">
            <w:pPr>
              <w:jc w:val="center"/>
            </w:pPr>
            <w:r w:rsidRPr="00BF2526">
              <w:t>1</w:t>
            </w:r>
            <w:r>
              <w:t> </w:t>
            </w:r>
            <w:r w:rsidRPr="00BF2526">
              <w:t>767</w:t>
            </w:r>
            <w:r>
              <w:t>,</w:t>
            </w:r>
            <w:r w:rsidRPr="00BF2526">
              <w:t>8</w:t>
            </w:r>
          </w:p>
        </w:tc>
      </w:tr>
      <w:tr w:rsidR="00BF2526" w:rsidRPr="00DD28A8" w:rsidTr="002A07B4">
        <w:trPr>
          <w:trHeight w:val="52"/>
          <w:jc w:val="center"/>
        </w:trPr>
        <w:tc>
          <w:tcPr>
            <w:tcW w:w="771" w:type="dxa"/>
            <w:vMerge w:val="restart"/>
            <w:shd w:val="clear" w:color="auto" w:fill="auto"/>
            <w:noWrap/>
          </w:tcPr>
          <w:p w:rsidR="00BF2526" w:rsidRPr="003304D4" w:rsidRDefault="00BF2526" w:rsidP="00222BE4">
            <w:pPr>
              <w:pStyle w:val="ab"/>
              <w:numPr>
                <w:ilvl w:val="0"/>
                <w:numId w:val="11"/>
              </w:numPr>
              <w:ind w:left="0" w:firstLine="284"/>
              <w:jc w:val="center"/>
            </w:pPr>
          </w:p>
        </w:tc>
        <w:tc>
          <w:tcPr>
            <w:tcW w:w="3780" w:type="dxa"/>
            <w:vMerge w:val="restart"/>
            <w:shd w:val="clear" w:color="auto" w:fill="auto"/>
            <w:hideMark/>
          </w:tcPr>
          <w:p w:rsidR="00BF2526" w:rsidRPr="00DD28A8" w:rsidRDefault="00BF2526" w:rsidP="00AB4835">
            <w:pPr>
              <w:rPr>
                <w:sz w:val="22"/>
                <w:szCs w:val="22"/>
              </w:rPr>
            </w:pPr>
            <w:r>
              <w:rPr>
                <w:sz w:val="22"/>
                <w:szCs w:val="22"/>
              </w:rPr>
              <w:t xml:space="preserve">Индекс физического </w:t>
            </w:r>
            <w:r w:rsidRPr="00DD28A8">
              <w:rPr>
                <w:sz w:val="22"/>
                <w:szCs w:val="22"/>
              </w:rPr>
              <w:t>объема валового регионального продукта</w:t>
            </w:r>
          </w:p>
        </w:tc>
        <w:tc>
          <w:tcPr>
            <w:tcW w:w="2401" w:type="dxa"/>
            <w:vMerge w:val="restart"/>
            <w:shd w:val="clear" w:color="auto" w:fill="auto"/>
            <w:hideMark/>
          </w:tcPr>
          <w:p w:rsidR="00BF2526" w:rsidRPr="00DD28A8" w:rsidRDefault="00EA1742" w:rsidP="00AB4835">
            <w:pPr>
              <w:ind w:left="-51" w:right="-51"/>
              <w:jc w:val="center"/>
              <w:rPr>
                <w:sz w:val="22"/>
                <w:szCs w:val="22"/>
              </w:rPr>
            </w:pPr>
            <w:r>
              <w:rPr>
                <w:sz w:val="22"/>
                <w:szCs w:val="22"/>
              </w:rPr>
              <w:t xml:space="preserve"> проц.</w:t>
            </w:r>
            <w:r w:rsidR="00BF2526" w:rsidRPr="00DD28A8">
              <w:rPr>
                <w:sz w:val="22"/>
                <w:szCs w:val="22"/>
              </w:rPr>
              <w:t xml:space="preserve"> к предыдущему году </w:t>
            </w:r>
          </w:p>
        </w:tc>
        <w:tc>
          <w:tcPr>
            <w:tcW w:w="1862" w:type="dxa"/>
            <w:shd w:val="clear" w:color="auto" w:fill="auto"/>
            <w:hideMark/>
          </w:tcPr>
          <w:p w:rsidR="00BF2526" w:rsidRPr="00DD28A8" w:rsidRDefault="00BF2526"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BF2526" w:rsidRPr="009909C7" w:rsidRDefault="00BF2526">
            <w:pPr>
              <w:jc w:val="center"/>
            </w:pPr>
            <w:r w:rsidRPr="009909C7">
              <w:t>103,1</w:t>
            </w:r>
          </w:p>
        </w:tc>
        <w:tc>
          <w:tcPr>
            <w:tcW w:w="1349" w:type="dxa"/>
            <w:vMerge w:val="restart"/>
            <w:shd w:val="clear" w:color="auto" w:fill="auto"/>
            <w:noWrap/>
            <w:vAlign w:val="center"/>
          </w:tcPr>
          <w:p w:rsidR="00BF2526" w:rsidRPr="009909C7" w:rsidRDefault="00BF2526">
            <w:pPr>
              <w:jc w:val="center"/>
            </w:pPr>
            <w:r w:rsidRPr="009909C7">
              <w:t>94,0</w:t>
            </w:r>
          </w:p>
        </w:tc>
        <w:tc>
          <w:tcPr>
            <w:tcW w:w="1180" w:type="dxa"/>
            <w:shd w:val="clear" w:color="auto" w:fill="auto"/>
            <w:noWrap/>
            <w:vAlign w:val="center"/>
          </w:tcPr>
          <w:p w:rsidR="00BF2526" w:rsidRPr="00BF2526" w:rsidRDefault="00BF2526">
            <w:pPr>
              <w:jc w:val="center"/>
            </w:pPr>
            <w:r w:rsidRPr="00BF2526">
              <w:t>99,0</w:t>
            </w:r>
          </w:p>
        </w:tc>
        <w:tc>
          <w:tcPr>
            <w:tcW w:w="1141" w:type="dxa"/>
            <w:shd w:val="clear" w:color="auto" w:fill="auto"/>
            <w:noWrap/>
            <w:vAlign w:val="center"/>
          </w:tcPr>
          <w:p w:rsidR="00BF2526" w:rsidRPr="00BF2526" w:rsidRDefault="00BF2526">
            <w:pPr>
              <w:jc w:val="center"/>
            </w:pPr>
            <w:r w:rsidRPr="00BF2526">
              <w:t>101,6</w:t>
            </w:r>
          </w:p>
        </w:tc>
        <w:tc>
          <w:tcPr>
            <w:tcW w:w="1272" w:type="dxa"/>
            <w:shd w:val="clear" w:color="auto" w:fill="auto"/>
            <w:noWrap/>
            <w:vAlign w:val="center"/>
          </w:tcPr>
          <w:p w:rsidR="00BF2526" w:rsidRPr="00BF2526" w:rsidRDefault="00BF2526">
            <w:pPr>
              <w:jc w:val="center"/>
            </w:pPr>
            <w:r w:rsidRPr="00BF2526">
              <w:t>102,0</w:t>
            </w:r>
          </w:p>
        </w:tc>
      </w:tr>
      <w:tr w:rsidR="00BF2526" w:rsidRPr="00DD28A8" w:rsidTr="002A07B4">
        <w:trPr>
          <w:trHeight w:val="169"/>
          <w:jc w:val="center"/>
        </w:trPr>
        <w:tc>
          <w:tcPr>
            <w:tcW w:w="771" w:type="dxa"/>
            <w:vMerge/>
            <w:shd w:val="clear" w:color="auto" w:fill="auto"/>
          </w:tcPr>
          <w:p w:rsidR="00BF2526" w:rsidRPr="003304D4" w:rsidRDefault="00BF2526" w:rsidP="00222BE4">
            <w:pPr>
              <w:pStyle w:val="ab"/>
              <w:numPr>
                <w:ilvl w:val="0"/>
                <w:numId w:val="11"/>
              </w:numPr>
              <w:ind w:left="0" w:firstLine="284"/>
              <w:jc w:val="center"/>
            </w:pPr>
          </w:p>
        </w:tc>
        <w:tc>
          <w:tcPr>
            <w:tcW w:w="3780" w:type="dxa"/>
            <w:vMerge/>
            <w:shd w:val="clear" w:color="auto" w:fill="auto"/>
            <w:hideMark/>
          </w:tcPr>
          <w:p w:rsidR="00BF2526" w:rsidRPr="00DD28A8" w:rsidRDefault="00BF2526" w:rsidP="00DD28A8">
            <w:pPr>
              <w:rPr>
                <w:sz w:val="22"/>
                <w:szCs w:val="22"/>
              </w:rPr>
            </w:pPr>
          </w:p>
        </w:tc>
        <w:tc>
          <w:tcPr>
            <w:tcW w:w="2401" w:type="dxa"/>
            <w:vMerge/>
            <w:shd w:val="clear" w:color="auto" w:fill="auto"/>
            <w:hideMark/>
          </w:tcPr>
          <w:p w:rsidR="00BF2526" w:rsidRPr="00DD28A8" w:rsidRDefault="00BF2526" w:rsidP="00DD28A8">
            <w:pPr>
              <w:jc w:val="center"/>
              <w:rPr>
                <w:sz w:val="22"/>
                <w:szCs w:val="22"/>
              </w:rPr>
            </w:pPr>
          </w:p>
        </w:tc>
        <w:tc>
          <w:tcPr>
            <w:tcW w:w="1862" w:type="dxa"/>
            <w:shd w:val="clear" w:color="auto" w:fill="auto"/>
            <w:hideMark/>
          </w:tcPr>
          <w:p w:rsidR="00BF2526" w:rsidRPr="00DD28A8" w:rsidRDefault="00BF2526" w:rsidP="00DD28A8">
            <w:pPr>
              <w:rPr>
                <w:sz w:val="22"/>
                <w:szCs w:val="22"/>
              </w:rPr>
            </w:pPr>
            <w:r w:rsidRPr="00DD28A8">
              <w:rPr>
                <w:sz w:val="22"/>
                <w:szCs w:val="22"/>
              </w:rPr>
              <w:t>базовый</w:t>
            </w:r>
          </w:p>
        </w:tc>
        <w:tc>
          <w:tcPr>
            <w:tcW w:w="1221" w:type="dxa"/>
            <w:vMerge/>
            <w:shd w:val="clear" w:color="auto" w:fill="auto"/>
            <w:vAlign w:val="center"/>
          </w:tcPr>
          <w:p w:rsidR="00BF2526" w:rsidRPr="00ED6E4F" w:rsidRDefault="00BF2526" w:rsidP="00ED6E4F">
            <w:pPr>
              <w:jc w:val="center"/>
            </w:pPr>
          </w:p>
        </w:tc>
        <w:tc>
          <w:tcPr>
            <w:tcW w:w="1349" w:type="dxa"/>
            <w:vMerge/>
            <w:shd w:val="clear" w:color="auto" w:fill="auto"/>
            <w:vAlign w:val="center"/>
          </w:tcPr>
          <w:p w:rsidR="00BF2526" w:rsidRPr="00ED6E4F" w:rsidRDefault="00BF2526" w:rsidP="00ED6E4F">
            <w:pPr>
              <w:jc w:val="center"/>
            </w:pPr>
          </w:p>
        </w:tc>
        <w:tc>
          <w:tcPr>
            <w:tcW w:w="1180" w:type="dxa"/>
            <w:shd w:val="clear" w:color="auto" w:fill="auto"/>
            <w:noWrap/>
            <w:vAlign w:val="center"/>
          </w:tcPr>
          <w:p w:rsidR="00BF2526" w:rsidRPr="00BF2526" w:rsidRDefault="00BF2526">
            <w:pPr>
              <w:jc w:val="center"/>
            </w:pPr>
            <w:r w:rsidRPr="00BF2526">
              <w:t>101,0</w:t>
            </w:r>
          </w:p>
        </w:tc>
        <w:tc>
          <w:tcPr>
            <w:tcW w:w="1141" w:type="dxa"/>
            <w:shd w:val="clear" w:color="auto" w:fill="auto"/>
            <w:noWrap/>
            <w:vAlign w:val="center"/>
          </w:tcPr>
          <w:p w:rsidR="00BF2526" w:rsidRPr="00BF2526" w:rsidRDefault="00BF2526">
            <w:pPr>
              <w:jc w:val="center"/>
            </w:pPr>
            <w:r w:rsidRPr="00BF2526">
              <w:t>103,0</w:t>
            </w:r>
          </w:p>
        </w:tc>
        <w:tc>
          <w:tcPr>
            <w:tcW w:w="1272" w:type="dxa"/>
            <w:shd w:val="clear" w:color="auto" w:fill="auto"/>
            <w:noWrap/>
            <w:vAlign w:val="center"/>
          </w:tcPr>
          <w:p w:rsidR="00BF2526" w:rsidRPr="00BF2526" w:rsidRDefault="00BF2526">
            <w:pPr>
              <w:jc w:val="center"/>
            </w:pPr>
            <w:r w:rsidRPr="00BF2526">
              <w:t>103,0</w:t>
            </w:r>
          </w:p>
        </w:tc>
      </w:tr>
      <w:tr w:rsidR="00BF2526" w:rsidRPr="00DD28A8" w:rsidTr="002A07B4">
        <w:trPr>
          <w:trHeight w:val="612"/>
          <w:jc w:val="center"/>
        </w:trPr>
        <w:tc>
          <w:tcPr>
            <w:tcW w:w="771" w:type="dxa"/>
            <w:vMerge w:val="restart"/>
            <w:shd w:val="clear" w:color="auto" w:fill="auto"/>
            <w:noWrap/>
          </w:tcPr>
          <w:p w:rsidR="00BF2526" w:rsidRPr="003304D4" w:rsidRDefault="00BF2526" w:rsidP="00222BE4">
            <w:pPr>
              <w:pStyle w:val="ab"/>
              <w:numPr>
                <w:ilvl w:val="0"/>
                <w:numId w:val="11"/>
              </w:numPr>
              <w:ind w:left="0" w:firstLine="284"/>
              <w:jc w:val="center"/>
            </w:pPr>
          </w:p>
        </w:tc>
        <w:tc>
          <w:tcPr>
            <w:tcW w:w="3780" w:type="dxa"/>
            <w:vMerge w:val="restart"/>
            <w:shd w:val="clear" w:color="auto" w:fill="auto"/>
            <w:hideMark/>
          </w:tcPr>
          <w:p w:rsidR="00BF2526" w:rsidRPr="00DD28A8" w:rsidRDefault="00BF2526" w:rsidP="006004B9">
            <w:pPr>
              <w:rPr>
                <w:sz w:val="22"/>
                <w:szCs w:val="22"/>
              </w:rPr>
            </w:pPr>
            <w:r w:rsidRPr="009909C7">
              <w:rPr>
                <w:sz w:val="22"/>
                <w:szCs w:val="22"/>
              </w:rPr>
              <w:t>Объем отгруженных товаров собственного производства, выполненных работ и услуг собственными силами</w:t>
            </w:r>
            <w:r>
              <w:rPr>
                <w:sz w:val="22"/>
                <w:szCs w:val="22"/>
              </w:rPr>
              <w:t xml:space="preserve"> по промышленным видам деятельности</w:t>
            </w:r>
          </w:p>
        </w:tc>
        <w:tc>
          <w:tcPr>
            <w:tcW w:w="2401" w:type="dxa"/>
            <w:vMerge w:val="restart"/>
            <w:shd w:val="clear" w:color="auto" w:fill="auto"/>
            <w:hideMark/>
          </w:tcPr>
          <w:p w:rsidR="00BF2526" w:rsidRPr="00DD28A8" w:rsidRDefault="00BF2526" w:rsidP="00DD28A8">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62" w:type="dxa"/>
            <w:shd w:val="clear" w:color="auto" w:fill="auto"/>
            <w:hideMark/>
          </w:tcPr>
          <w:p w:rsidR="00BF2526" w:rsidRPr="00DD28A8" w:rsidRDefault="00BF2526"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BF2526" w:rsidRPr="009909C7" w:rsidRDefault="00BF2526" w:rsidP="009909C7">
            <w:pPr>
              <w:jc w:val="center"/>
            </w:pPr>
            <w:r w:rsidRPr="009909C7">
              <w:t>1 698,8</w:t>
            </w:r>
          </w:p>
        </w:tc>
        <w:tc>
          <w:tcPr>
            <w:tcW w:w="1349" w:type="dxa"/>
            <w:vMerge w:val="restart"/>
            <w:shd w:val="clear" w:color="auto" w:fill="auto"/>
            <w:noWrap/>
            <w:vAlign w:val="center"/>
          </w:tcPr>
          <w:p w:rsidR="00BF2526" w:rsidRPr="009909C7" w:rsidRDefault="00BF2526" w:rsidP="009909C7">
            <w:pPr>
              <w:jc w:val="center"/>
            </w:pPr>
            <w:r w:rsidRPr="009909C7">
              <w:t>1 822,4</w:t>
            </w:r>
          </w:p>
        </w:tc>
        <w:tc>
          <w:tcPr>
            <w:tcW w:w="1180" w:type="dxa"/>
            <w:shd w:val="clear" w:color="auto" w:fill="auto"/>
            <w:noWrap/>
            <w:vAlign w:val="center"/>
          </w:tcPr>
          <w:p w:rsidR="00BF2526" w:rsidRPr="00BF2526" w:rsidRDefault="00BF2526" w:rsidP="008608AB">
            <w:pPr>
              <w:jc w:val="center"/>
            </w:pPr>
            <w:r w:rsidRPr="00BF2526">
              <w:t>1</w:t>
            </w:r>
            <w:r w:rsidR="008608AB">
              <w:t xml:space="preserve"> </w:t>
            </w:r>
            <w:r w:rsidRPr="00BF2526">
              <w:t>872</w:t>
            </w:r>
            <w:r w:rsidR="008608AB">
              <w:t>,</w:t>
            </w:r>
            <w:r w:rsidRPr="00BF2526">
              <w:t>6</w:t>
            </w:r>
          </w:p>
        </w:tc>
        <w:tc>
          <w:tcPr>
            <w:tcW w:w="1141" w:type="dxa"/>
            <w:shd w:val="clear" w:color="auto" w:fill="auto"/>
            <w:noWrap/>
            <w:vAlign w:val="center"/>
          </w:tcPr>
          <w:p w:rsidR="00BF2526" w:rsidRPr="00BF2526" w:rsidRDefault="00BF2526" w:rsidP="008608AB">
            <w:pPr>
              <w:jc w:val="center"/>
            </w:pPr>
            <w:r w:rsidRPr="00BF2526">
              <w:t>1</w:t>
            </w:r>
            <w:r w:rsidR="008608AB">
              <w:t xml:space="preserve"> </w:t>
            </w:r>
            <w:r w:rsidRPr="00BF2526">
              <w:t>98</w:t>
            </w:r>
            <w:r w:rsidR="008608AB">
              <w:t>8,0</w:t>
            </w:r>
          </w:p>
        </w:tc>
        <w:tc>
          <w:tcPr>
            <w:tcW w:w="1272" w:type="dxa"/>
            <w:shd w:val="clear" w:color="auto" w:fill="auto"/>
            <w:noWrap/>
            <w:vAlign w:val="center"/>
          </w:tcPr>
          <w:p w:rsidR="00BF2526" w:rsidRPr="00BF2526" w:rsidRDefault="00BF2526" w:rsidP="008608AB">
            <w:pPr>
              <w:jc w:val="center"/>
            </w:pPr>
            <w:r w:rsidRPr="00BF2526">
              <w:t>2</w:t>
            </w:r>
            <w:r w:rsidR="008608AB">
              <w:t xml:space="preserve"> </w:t>
            </w:r>
            <w:r w:rsidRPr="00BF2526">
              <w:t>126</w:t>
            </w:r>
            <w:r w:rsidR="008608AB">
              <w:t>,</w:t>
            </w:r>
            <w:r w:rsidRPr="00BF2526">
              <w:t>4</w:t>
            </w:r>
          </w:p>
        </w:tc>
      </w:tr>
      <w:tr w:rsidR="00BF2526" w:rsidRPr="00DD28A8" w:rsidTr="002A07B4">
        <w:trPr>
          <w:trHeight w:val="62"/>
          <w:jc w:val="center"/>
        </w:trPr>
        <w:tc>
          <w:tcPr>
            <w:tcW w:w="771" w:type="dxa"/>
            <w:vMerge/>
            <w:shd w:val="clear" w:color="auto" w:fill="auto"/>
          </w:tcPr>
          <w:p w:rsidR="00BF2526" w:rsidRPr="003304D4" w:rsidRDefault="00BF2526" w:rsidP="00222BE4">
            <w:pPr>
              <w:pStyle w:val="ab"/>
              <w:numPr>
                <w:ilvl w:val="0"/>
                <w:numId w:val="11"/>
              </w:numPr>
              <w:ind w:left="0" w:firstLine="284"/>
              <w:jc w:val="center"/>
            </w:pPr>
          </w:p>
        </w:tc>
        <w:tc>
          <w:tcPr>
            <w:tcW w:w="3780" w:type="dxa"/>
            <w:vMerge/>
            <w:shd w:val="clear" w:color="auto" w:fill="auto"/>
            <w:hideMark/>
          </w:tcPr>
          <w:p w:rsidR="00BF2526" w:rsidRPr="00DD28A8" w:rsidRDefault="00BF2526" w:rsidP="00DD28A8">
            <w:pPr>
              <w:rPr>
                <w:sz w:val="22"/>
                <w:szCs w:val="22"/>
              </w:rPr>
            </w:pPr>
          </w:p>
        </w:tc>
        <w:tc>
          <w:tcPr>
            <w:tcW w:w="2401" w:type="dxa"/>
            <w:vMerge/>
            <w:shd w:val="clear" w:color="auto" w:fill="auto"/>
            <w:hideMark/>
          </w:tcPr>
          <w:p w:rsidR="00BF2526" w:rsidRPr="00DD28A8" w:rsidRDefault="00BF2526" w:rsidP="00DD28A8">
            <w:pPr>
              <w:jc w:val="center"/>
              <w:rPr>
                <w:sz w:val="22"/>
                <w:szCs w:val="22"/>
              </w:rPr>
            </w:pPr>
          </w:p>
        </w:tc>
        <w:tc>
          <w:tcPr>
            <w:tcW w:w="1862" w:type="dxa"/>
            <w:shd w:val="clear" w:color="auto" w:fill="auto"/>
            <w:hideMark/>
          </w:tcPr>
          <w:p w:rsidR="00BF2526" w:rsidRPr="00DD28A8" w:rsidRDefault="00BF2526" w:rsidP="00DD28A8">
            <w:pPr>
              <w:rPr>
                <w:sz w:val="22"/>
                <w:szCs w:val="22"/>
              </w:rPr>
            </w:pPr>
            <w:r w:rsidRPr="00DD28A8">
              <w:rPr>
                <w:sz w:val="22"/>
                <w:szCs w:val="22"/>
              </w:rPr>
              <w:t>базовый</w:t>
            </w:r>
          </w:p>
        </w:tc>
        <w:tc>
          <w:tcPr>
            <w:tcW w:w="1221" w:type="dxa"/>
            <w:vMerge/>
            <w:shd w:val="clear" w:color="auto" w:fill="auto"/>
            <w:vAlign w:val="center"/>
          </w:tcPr>
          <w:p w:rsidR="00BF2526" w:rsidRPr="00ED6E4F" w:rsidRDefault="00BF2526" w:rsidP="00ED6E4F">
            <w:pPr>
              <w:jc w:val="center"/>
            </w:pPr>
          </w:p>
        </w:tc>
        <w:tc>
          <w:tcPr>
            <w:tcW w:w="1349" w:type="dxa"/>
            <w:vMerge/>
            <w:shd w:val="clear" w:color="auto" w:fill="auto"/>
            <w:vAlign w:val="center"/>
          </w:tcPr>
          <w:p w:rsidR="00BF2526" w:rsidRPr="00ED6E4F" w:rsidRDefault="00BF2526" w:rsidP="00ED6E4F">
            <w:pPr>
              <w:jc w:val="center"/>
            </w:pPr>
          </w:p>
        </w:tc>
        <w:tc>
          <w:tcPr>
            <w:tcW w:w="1180" w:type="dxa"/>
            <w:shd w:val="clear" w:color="auto" w:fill="auto"/>
            <w:noWrap/>
            <w:vAlign w:val="center"/>
          </w:tcPr>
          <w:p w:rsidR="00BF2526" w:rsidRPr="00BF2526" w:rsidRDefault="00BF2526" w:rsidP="008608AB">
            <w:pPr>
              <w:jc w:val="center"/>
            </w:pPr>
            <w:r w:rsidRPr="00BF2526">
              <w:t>1</w:t>
            </w:r>
            <w:r w:rsidR="008608AB">
              <w:t xml:space="preserve"> </w:t>
            </w:r>
            <w:r w:rsidRPr="00BF2526">
              <w:t>902</w:t>
            </w:r>
            <w:r w:rsidR="008608AB">
              <w:t>,</w:t>
            </w:r>
            <w:r w:rsidRPr="00BF2526">
              <w:t>2</w:t>
            </w:r>
          </w:p>
        </w:tc>
        <w:tc>
          <w:tcPr>
            <w:tcW w:w="1141" w:type="dxa"/>
            <w:shd w:val="clear" w:color="auto" w:fill="auto"/>
            <w:noWrap/>
            <w:vAlign w:val="center"/>
          </w:tcPr>
          <w:p w:rsidR="00BF2526" w:rsidRPr="00BF2526" w:rsidRDefault="00BF2526" w:rsidP="009B1A50">
            <w:pPr>
              <w:jc w:val="center"/>
            </w:pPr>
            <w:r w:rsidRPr="00BF2526">
              <w:t>2</w:t>
            </w:r>
            <w:r w:rsidR="008608AB">
              <w:t xml:space="preserve"> </w:t>
            </w:r>
            <w:r w:rsidRPr="00BF2526">
              <w:t>01</w:t>
            </w:r>
            <w:r w:rsidR="009B1A50">
              <w:t>5</w:t>
            </w:r>
            <w:r w:rsidR="008608AB">
              <w:t>,</w:t>
            </w:r>
            <w:r w:rsidR="00B122CD">
              <w:t>7</w:t>
            </w:r>
          </w:p>
        </w:tc>
        <w:tc>
          <w:tcPr>
            <w:tcW w:w="1272" w:type="dxa"/>
            <w:shd w:val="clear" w:color="auto" w:fill="auto"/>
            <w:noWrap/>
            <w:vAlign w:val="center"/>
          </w:tcPr>
          <w:p w:rsidR="00BF2526" w:rsidRPr="00BF2526" w:rsidRDefault="00BF2526" w:rsidP="008608AB">
            <w:pPr>
              <w:jc w:val="center"/>
            </w:pPr>
            <w:r w:rsidRPr="00BF2526">
              <w:t>2</w:t>
            </w:r>
            <w:r w:rsidR="008608AB">
              <w:t xml:space="preserve"> </w:t>
            </w:r>
            <w:r w:rsidRPr="00BF2526">
              <w:t>170</w:t>
            </w:r>
            <w:r w:rsidR="008608AB">
              <w:t>,</w:t>
            </w:r>
            <w:r w:rsidRPr="00BF2526">
              <w:t>9</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Default="00222BE4" w:rsidP="005331EE">
            <w:pPr>
              <w:rPr>
                <w:sz w:val="22"/>
                <w:szCs w:val="22"/>
              </w:rPr>
            </w:pPr>
            <w:r w:rsidRPr="00DD28A8">
              <w:rPr>
                <w:sz w:val="22"/>
                <w:szCs w:val="22"/>
              </w:rPr>
              <w:t xml:space="preserve">Добыча полезных ископаемых </w:t>
            </w:r>
          </w:p>
          <w:p w:rsidR="00222BE4" w:rsidRPr="00DD28A8" w:rsidRDefault="00222BE4" w:rsidP="005331EE">
            <w:pPr>
              <w:rPr>
                <w:sz w:val="22"/>
                <w:szCs w:val="22"/>
              </w:rPr>
            </w:pPr>
            <w:r w:rsidRPr="00DD28A8">
              <w:rPr>
                <w:sz w:val="22"/>
                <w:szCs w:val="22"/>
              </w:rPr>
              <w:t>(раздел В)</w:t>
            </w:r>
          </w:p>
        </w:tc>
        <w:tc>
          <w:tcPr>
            <w:tcW w:w="2401" w:type="dxa"/>
            <w:vMerge w:val="restart"/>
            <w:shd w:val="clear" w:color="auto" w:fill="auto"/>
          </w:tcPr>
          <w:p w:rsidR="00222BE4" w:rsidRPr="00DD28A8" w:rsidRDefault="00222BE4" w:rsidP="00B41C53">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62" w:type="dxa"/>
            <w:shd w:val="clear" w:color="auto" w:fill="auto"/>
          </w:tcPr>
          <w:p w:rsidR="00222BE4" w:rsidRPr="00DD28A8" w:rsidRDefault="00222BE4" w:rsidP="00B41C53">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9909C7" w:rsidRDefault="00222BE4">
            <w:pPr>
              <w:jc w:val="center"/>
            </w:pPr>
            <w:r>
              <w:t>13,9</w:t>
            </w:r>
          </w:p>
        </w:tc>
        <w:tc>
          <w:tcPr>
            <w:tcW w:w="1349" w:type="dxa"/>
            <w:vMerge w:val="restart"/>
            <w:shd w:val="clear" w:color="auto" w:fill="auto"/>
            <w:noWrap/>
            <w:vAlign w:val="center"/>
          </w:tcPr>
          <w:p w:rsidR="00222BE4" w:rsidRPr="009909C7" w:rsidRDefault="00222BE4">
            <w:pPr>
              <w:jc w:val="center"/>
            </w:pPr>
            <w:r>
              <w:t>15,3</w:t>
            </w:r>
          </w:p>
        </w:tc>
        <w:tc>
          <w:tcPr>
            <w:tcW w:w="1180" w:type="dxa"/>
            <w:shd w:val="clear" w:color="auto" w:fill="auto"/>
            <w:noWrap/>
            <w:vAlign w:val="center"/>
          </w:tcPr>
          <w:p w:rsidR="00222BE4" w:rsidRPr="00BF2526" w:rsidRDefault="00222BE4">
            <w:pPr>
              <w:jc w:val="center"/>
            </w:pPr>
            <w:r>
              <w:t>15,7</w:t>
            </w:r>
          </w:p>
        </w:tc>
        <w:tc>
          <w:tcPr>
            <w:tcW w:w="1141" w:type="dxa"/>
            <w:shd w:val="clear" w:color="auto" w:fill="auto"/>
            <w:noWrap/>
            <w:vAlign w:val="center"/>
          </w:tcPr>
          <w:p w:rsidR="00222BE4" w:rsidRPr="00BF2526" w:rsidRDefault="00222BE4">
            <w:pPr>
              <w:jc w:val="center"/>
            </w:pPr>
            <w:r>
              <w:t>16,2</w:t>
            </w:r>
          </w:p>
        </w:tc>
        <w:tc>
          <w:tcPr>
            <w:tcW w:w="1272" w:type="dxa"/>
            <w:shd w:val="clear" w:color="auto" w:fill="auto"/>
            <w:noWrap/>
            <w:vAlign w:val="center"/>
          </w:tcPr>
          <w:p w:rsidR="00222BE4" w:rsidRPr="00BF2526" w:rsidRDefault="00222BE4">
            <w:pPr>
              <w:jc w:val="center"/>
            </w:pPr>
            <w:r>
              <w:t>17,4</w:t>
            </w:r>
          </w:p>
        </w:tc>
      </w:tr>
      <w:tr w:rsidR="00222BE4" w:rsidRPr="00DD28A8" w:rsidTr="002A07B4">
        <w:trPr>
          <w:trHeight w:val="52"/>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5331EE">
            <w:pPr>
              <w:rPr>
                <w:sz w:val="22"/>
                <w:szCs w:val="22"/>
              </w:rPr>
            </w:pPr>
          </w:p>
        </w:tc>
        <w:tc>
          <w:tcPr>
            <w:tcW w:w="2401" w:type="dxa"/>
            <w:vMerge/>
            <w:shd w:val="clear" w:color="auto" w:fill="auto"/>
          </w:tcPr>
          <w:p w:rsidR="00222BE4" w:rsidRDefault="00222BE4" w:rsidP="009909C7">
            <w:pPr>
              <w:jc w:val="center"/>
              <w:rPr>
                <w:sz w:val="22"/>
                <w:szCs w:val="22"/>
              </w:rPr>
            </w:pPr>
          </w:p>
        </w:tc>
        <w:tc>
          <w:tcPr>
            <w:tcW w:w="1862" w:type="dxa"/>
            <w:shd w:val="clear" w:color="auto" w:fill="auto"/>
          </w:tcPr>
          <w:p w:rsidR="00222BE4" w:rsidRPr="00DD28A8" w:rsidRDefault="00222BE4" w:rsidP="00B41C53">
            <w:pPr>
              <w:rPr>
                <w:sz w:val="22"/>
                <w:szCs w:val="22"/>
              </w:rPr>
            </w:pPr>
            <w:r w:rsidRPr="00DD28A8">
              <w:rPr>
                <w:sz w:val="22"/>
                <w:szCs w:val="22"/>
              </w:rPr>
              <w:t>базовый</w:t>
            </w:r>
          </w:p>
        </w:tc>
        <w:tc>
          <w:tcPr>
            <w:tcW w:w="1221" w:type="dxa"/>
            <w:vMerge/>
            <w:shd w:val="clear" w:color="auto" w:fill="auto"/>
            <w:noWrap/>
            <w:vAlign w:val="center"/>
          </w:tcPr>
          <w:p w:rsidR="00222BE4" w:rsidRPr="009909C7" w:rsidRDefault="00222BE4">
            <w:pPr>
              <w:jc w:val="center"/>
            </w:pPr>
          </w:p>
        </w:tc>
        <w:tc>
          <w:tcPr>
            <w:tcW w:w="1349" w:type="dxa"/>
            <w:vMerge/>
            <w:shd w:val="clear" w:color="auto" w:fill="auto"/>
            <w:noWrap/>
            <w:vAlign w:val="center"/>
          </w:tcPr>
          <w:p w:rsidR="00222BE4" w:rsidRPr="009909C7" w:rsidRDefault="00222BE4">
            <w:pPr>
              <w:jc w:val="center"/>
            </w:pPr>
          </w:p>
        </w:tc>
        <w:tc>
          <w:tcPr>
            <w:tcW w:w="1180" w:type="dxa"/>
            <w:shd w:val="clear" w:color="auto" w:fill="auto"/>
            <w:noWrap/>
            <w:vAlign w:val="center"/>
          </w:tcPr>
          <w:p w:rsidR="00222BE4" w:rsidRPr="00BF2526" w:rsidRDefault="00222BE4">
            <w:pPr>
              <w:jc w:val="center"/>
            </w:pPr>
            <w:r>
              <w:t>15,9</w:t>
            </w:r>
          </w:p>
        </w:tc>
        <w:tc>
          <w:tcPr>
            <w:tcW w:w="1141" w:type="dxa"/>
            <w:shd w:val="clear" w:color="auto" w:fill="auto"/>
            <w:noWrap/>
            <w:vAlign w:val="center"/>
          </w:tcPr>
          <w:p w:rsidR="00222BE4" w:rsidRPr="00BF2526" w:rsidRDefault="009B1A50" w:rsidP="00222BE4">
            <w:pPr>
              <w:jc w:val="center"/>
            </w:pPr>
            <w:r>
              <w:t>15,7</w:t>
            </w:r>
          </w:p>
        </w:tc>
        <w:tc>
          <w:tcPr>
            <w:tcW w:w="1272" w:type="dxa"/>
            <w:shd w:val="clear" w:color="auto" w:fill="auto"/>
            <w:noWrap/>
            <w:vAlign w:val="center"/>
          </w:tcPr>
          <w:p w:rsidR="00222BE4" w:rsidRPr="00BF2526" w:rsidRDefault="00222BE4">
            <w:pPr>
              <w:jc w:val="center"/>
            </w:pPr>
            <w:r>
              <w:t>17,9</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5331EE">
            <w:pPr>
              <w:rPr>
                <w:sz w:val="22"/>
                <w:szCs w:val="22"/>
              </w:rPr>
            </w:pPr>
            <w:r w:rsidRPr="00DD28A8">
              <w:rPr>
                <w:sz w:val="22"/>
                <w:szCs w:val="22"/>
              </w:rPr>
              <w:t>Обрабатывающие производства (раздел С)</w:t>
            </w:r>
          </w:p>
        </w:tc>
        <w:tc>
          <w:tcPr>
            <w:tcW w:w="2401" w:type="dxa"/>
            <w:vMerge w:val="restart"/>
            <w:shd w:val="clear" w:color="auto" w:fill="auto"/>
          </w:tcPr>
          <w:p w:rsidR="00222BE4" w:rsidRPr="00DD28A8" w:rsidRDefault="00222BE4" w:rsidP="00B41C53">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62" w:type="dxa"/>
            <w:shd w:val="clear" w:color="auto" w:fill="auto"/>
          </w:tcPr>
          <w:p w:rsidR="00222BE4" w:rsidRPr="00DD28A8" w:rsidRDefault="00222BE4" w:rsidP="00B41C53">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9909C7" w:rsidRDefault="00222BE4">
            <w:pPr>
              <w:jc w:val="center"/>
            </w:pPr>
            <w:r>
              <w:t xml:space="preserve">1 </w:t>
            </w:r>
            <w:r w:rsidR="00B122CD">
              <w:t>460,9</w:t>
            </w:r>
          </w:p>
        </w:tc>
        <w:tc>
          <w:tcPr>
            <w:tcW w:w="1349" w:type="dxa"/>
            <w:vMerge w:val="restart"/>
            <w:shd w:val="clear" w:color="auto" w:fill="auto"/>
            <w:noWrap/>
            <w:vAlign w:val="center"/>
          </w:tcPr>
          <w:p w:rsidR="00222BE4" w:rsidRPr="009909C7" w:rsidRDefault="00222BE4">
            <w:pPr>
              <w:jc w:val="center"/>
            </w:pPr>
            <w:r>
              <w:t>1 593,0</w:t>
            </w:r>
          </w:p>
        </w:tc>
        <w:tc>
          <w:tcPr>
            <w:tcW w:w="1180" w:type="dxa"/>
            <w:shd w:val="clear" w:color="auto" w:fill="auto"/>
            <w:noWrap/>
            <w:vAlign w:val="center"/>
          </w:tcPr>
          <w:p w:rsidR="00222BE4" w:rsidRPr="00BF2526" w:rsidRDefault="00222BE4">
            <w:pPr>
              <w:jc w:val="center"/>
            </w:pPr>
            <w:r>
              <w:t>1 651,0</w:t>
            </w:r>
          </w:p>
        </w:tc>
        <w:tc>
          <w:tcPr>
            <w:tcW w:w="1141" w:type="dxa"/>
            <w:shd w:val="clear" w:color="auto" w:fill="auto"/>
            <w:noWrap/>
            <w:vAlign w:val="center"/>
          </w:tcPr>
          <w:p w:rsidR="00222BE4" w:rsidRPr="00BF2526" w:rsidRDefault="00222BE4">
            <w:pPr>
              <w:jc w:val="center"/>
            </w:pPr>
            <w:r>
              <w:t>1 7542,2</w:t>
            </w:r>
          </w:p>
        </w:tc>
        <w:tc>
          <w:tcPr>
            <w:tcW w:w="1272" w:type="dxa"/>
            <w:shd w:val="clear" w:color="auto" w:fill="auto"/>
            <w:noWrap/>
            <w:vAlign w:val="center"/>
          </w:tcPr>
          <w:p w:rsidR="00222BE4" w:rsidRPr="00BF2526" w:rsidRDefault="00222BE4">
            <w:pPr>
              <w:jc w:val="center"/>
            </w:pPr>
            <w:r>
              <w:t>1 878,3</w:t>
            </w:r>
          </w:p>
        </w:tc>
      </w:tr>
      <w:tr w:rsidR="00222BE4" w:rsidRPr="00DD28A8" w:rsidTr="002A07B4">
        <w:trPr>
          <w:trHeight w:val="52"/>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5331EE">
            <w:pPr>
              <w:rPr>
                <w:sz w:val="22"/>
                <w:szCs w:val="22"/>
              </w:rPr>
            </w:pPr>
          </w:p>
        </w:tc>
        <w:tc>
          <w:tcPr>
            <w:tcW w:w="2401" w:type="dxa"/>
            <w:vMerge/>
            <w:shd w:val="clear" w:color="auto" w:fill="auto"/>
          </w:tcPr>
          <w:p w:rsidR="00222BE4" w:rsidRDefault="00222BE4" w:rsidP="009909C7">
            <w:pPr>
              <w:jc w:val="center"/>
              <w:rPr>
                <w:sz w:val="22"/>
                <w:szCs w:val="22"/>
              </w:rPr>
            </w:pPr>
          </w:p>
        </w:tc>
        <w:tc>
          <w:tcPr>
            <w:tcW w:w="1862" w:type="dxa"/>
            <w:shd w:val="clear" w:color="auto" w:fill="auto"/>
          </w:tcPr>
          <w:p w:rsidR="00222BE4" w:rsidRPr="00DD28A8" w:rsidRDefault="00222BE4" w:rsidP="00B41C53">
            <w:pPr>
              <w:rPr>
                <w:sz w:val="22"/>
                <w:szCs w:val="22"/>
              </w:rPr>
            </w:pPr>
            <w:r w:rsidRPr="00DD28A8">
              <w:rPr>
                <w:sz w:val="22"/>
                <w:szCs w:val="22"/>
              </w:rPr>
              <w:t>базовый</w:t>
            </w:r>
          </w:p>
        </w:tc>
        <w:tc>
          <w:tcPr>
            <w:tcW w:w="1221" w:type="dxa"/>
            <w:vMerge/>
            <w:shd w:val="clear" w:color="auto" w:fill="auto"/>
            <w:noWrap/>
            <w:vAlign w:val="center"/>
          </w:tcPr>
          <w:p w:rsidR="00222BE4" w:rsidRPr="009909C7" w:rsidRDefault="00222BE4">
            <w:pPr>
              <w:jc w:val="center"/>
            </w:pPr>
          </w:p>
        </w:tc>
        <w:tc>
          <w:tcPr>
            <w:tcW w:w="1349" w:type="dxa"/>
            <w:vMerge/>
            <w:shd w:val="clear" w:color="auto" w:fill="auto"/>
            <w:noWrap/>
            <w:vAlign w:val="center"/>
          </w:tcPr>
          <w:p w:rsidR="00222BE4" w:rsidRPr="009909C7" w:rsidRDefault="00222BE4">
            <w:pPr>
              <w:jc w:val="center"/>
            </w:pPr>
          </w:p>
        </w:tc>
        <w:tc>
          <w:tcPr>
            <w:tcW w:w="1180" w:type="dxa"/>
            <w:shd w:val="clear" w:color="auto" w:fill="auto"/>
            <w:noWrap/>
            <w:vAlign w:val="center"/>
          </w:tcPr>
          <w:p w:rsidR="00222BE4" w:rsidRPr="00BF2526" w:rsidRDefault="00222BE4">
            <w:pPr>
              <w:jc w:val="center"/>
            </w:pPr>
            <w:r>
              <w:t>1 678,3</w:t>
            </w:r>
          </w:p>
        </w:tc>
        <w:tc>
          <w:tcPr>
            <w:tcW w:w="1141" w:type="dxa"/>
            <w:shd w:val="clear" w:color="auto" w:fill="auto"/>
            <w:noWrap/>
            <w:vAlign w:val="center"/>
          </w:tcPr>
          <w:p w:rsidR="00222BE4" w:rsidRPr="00BF2526" w:rsidRDefault="00222BE4">
            <w:pPr>
              <w:jc w:val="center"/>
            </w:pPr>
            <w:r>
              <w:t>1 761,0</w:t>
            </w:r>
          </w:p>
        </w:tc>
        <w:tc>
          <w:tcPr>
            <w:tcW w:w="1272" w:type="dxa"/>
            <w:shd w:val="clear" w:color="auto" w:fill="auto"/>
            <w:noWrap/>
            <w:vAlign w:val="center"/>
          </w:tcPr>
          <w:p w:rsidR="00222BE4" w:rsidRPr="00BF2526" w:rsidRDefault="00222BE4">
            <w:pPr>
              <w:jc w:val="center"/>
            </w:pPr>
            <w:r>
              <w:t>1 920,2</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5331EE">
            <w:pPr>
              <w:rPr>
                <w:sz w:val="22"/>
                <w:szCs w:val="22"/>
              </w:rPr>
            </w:pPr>
            <w:r w:rsidRPr="00DD28A8">
              <w:rPr>
                <w:sz w:val="22"/>
                <w:szCs w:val="22"/>
              </w:rPr>
              <w:t>Обеспечение электрической энергией, газом и паром; кондиционирование воздуха (раздел D)</w:t>
            </w:r>
          </w:p>
        </w:tc>
        <w:tc>
          <w:tcPr>
            <w:tcW w:w="2401" w:type="dxa"/>
            <w:vMerge w:val="restart"/>
            <w:shd w:val="clear" w:color="auto" w:fill="auto"/>
          </w:tcPr>
          <w:p w:rsidR="00222BE4" w:rsidRPr="00DD28A8" w:rsidRDefault="00222BE4" w:rsidP="00B41C53">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62" w:type="dxa"/>
            <w:shd w:val="clear" w:color="auto" w:fill="auto"/>
          </w:tcPr>
          <w:p w:rsidR="00222BE4" w:rsidRPr="00DD28A8" w:rsidRDefault="00222BE4" w:rsidP="00B41C53">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9909C7" w:rsidRDefault="00222BE4">
            <w:pPr>
              <w:jc w:val="center"/>
            </w:pPr>
            <w:r>
              <w:t>202,9</w:t>
            </w:r>
          </w:p>
        </w:tc>
        <w:tc>
          <w:tcPr>
            <w:tcW w:w="1349" w:type="dxa"/>
            <w:vMerge w:val="restart"/>
            <w:shd w:val="clear" w:color="auto" w:fill="auto"/>
            <w:noWrap/>
            <w:vAlign w:val="center"/>
          </w:tcPr>
          <w:p w:rsidR="00222BE4" w:rsidRPr="009909C7" w:rsidRDefault="00B122CD">
            <w:pPr>
              <w:jc w:val="center"/>
            </w:pPr>
            <w:r>
              <w:t>191,0</w:t>
            </w:r>
          </w:p>
        </w:tc>
        <w:tc>
          <w:tcPr>
            <w:tcW w:w="1180" w:type="dxa"/>
            <w:shd w:val="clear" w:color="auto" w:fill="auto"/>
            <w:noWrap/>
            <w:vAlign w:val="center"/>
          </w:tcPr>
          <w:p w:rsidR="00222BE4" w:rsidRPr="00BF2526" w:rsidRDefault="00222BE4">
            <w:pPr>
              <w:jc w:val="center"/>
            </w:pPr>
            <w:r>
              <w:t>181,5</w:t>
            </w:r>
          </w:p>
        </w:tc>
        <w:tc>
          <w:tcPr>
            <w:tcW w:w="1141" w:type="dxa"/>
            <w:shd w:val="clear" w:color="auto" w:fill="auto"/>
            <w:noWrap/>
            <w:vAlign w:val="center"/>
          </w:tcPr>
          <w:p w:rsidR="00222BE4" w:rsidRPr="00BF2526" w:rsidRDefault="00222BE4">
            <w:pPr>
              <w:jc w:val="center"/>
            </w:pPr>
            <w:r>
              <w:t>191,8</w:t>
            </w:r>
          </w:p>
        </w:tc>
        <w:tc>
          <w:tcPr>
            <w:tcW w:w="1272" w:type="dxa"/>
            <w:shd w:val="clear" w:color="auto" w:fill="auto"/>
            <w:noWrap/>
            <w:vAlign w:val="center"/>
          </w:tcPr>
          <w:p w:rsidR="00222BE4" w:rsidRPr="00BF2526" w:rsidRDefault="00222BE4">
            <w:pPr>
              <w:jc w:val="center"/>
            </w:pPr>
            <w:r>
              <w:t>203,4</w:t>
            </w:r>
          </w:p>
        </w:tc>
      </w:tr>
      <w:tr w:rsidR="00222BE4" w:rsidRPr="00DD28A8" w:rsidTr="002A07B4">
        <w:trPr>
          <w:trHeight w:val="52"/>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5331EE">
            <w:pPr>
              <w:rPr>
                <w:sz w:val="22"/>
                <w:szCs w:val="22"/>
              </w:rPr>
            </w:pPr>
          </w:p>
        </w:tc>
        <w:tc>
          <w:tcPr>
            <w:tcW w:w="2401" w:type="dxa"/>
            <w:vMerge/>
            <w:shd w:val="clear" w:color="auto" w:fill="auto"/>
          </w:tcPr>
          <w:p w:rsidR="00222BE4" w:rsidRDefault="00222BE4" w:rsidP="009909C7">
            <w:pPr>
              <w:jc w:val="center"/>
              <w:rPr>
                <w:sz w:val="22"/>
                <w:szCs w:val="22"/>
              </w:rPr>
            </w:pPr>
          </w:p>
        </w:tc>
        <w:tc>
          <w:tcPr>
            <w:tcW w:w="1862" w:type="dxa"/>
            <w:shd w:val="clear" w:color="auto" w:fill="auto"/>
          </w:tcPr>
          <w:p w:rsidR="00222BE4" w:rsidRPr="00DD28A8" w:rsidRDefault="00222BE4" w:rsidP="00B41C53">
            <w:pPr>
              <w:rPr>
                <w:sz w:val="22"/>
                <w:szCs w:val="22"/>
              </w:rPr>
            </w:pPr>
            <w:r w:rsidRPr="00DD28A8">
              <w:rPr>
                <w:sz w:val="22"/>
                <w:szCs w:val="22"/>
              </w:rPr>
              <w:t>базовый</w:t>
            </w:r>
          </w:p>
        </w:tc>
        <w:tc>
          <w:tcPr>
            <w:tcW w:w="1221" w:type="dxa"/>
            <w:vMerge/>
            <w:shd w:val="clear" w:color="auto" w:fill="auto"/>
            <w:noWrap/>
            <w:vAlign w:val="center"/>
          </w:tcPr>
          <w:p w:rsidR="00222BE4" w:rsidRPr="009909C7" w:rsidRDefault="00222BE4">
            <w:pPr>
              <w:jc w:val="center"/>
            </w:pPr>
          </w:p>
        </w:tc>
        <w:tc>
          <w:tcPr>
            <w:tcW w:w="1349" w:type="dxa"/>
            <w:vMerge/>
            <w:shd w:val="clear" w:color="auto" w:fill="auto"/>
            <w:noWrap/>
            <w:vAlign w:val="center"/>
          </w:tcPr>
          <w:p w:rsidR="00222BE4" w:rsidRPr="009909C7" w:rsidRDefault="00222BE4">
            <w:pPr>
              <w:jc w:val="center"/>
            </w:pPr>
          </w:p>
        </w:tc>
        <w:tc>
          <w:tcPr>
            <w:tcW w:w="1180" w:type="dxa"/>
            <w:shd w:val="clear" w:color="auto" w:fill="auto"/>
            <w:noWrap/>
            <w:vAlign w:val="center"/>
          </w:tcPr>
          <w:p w:rsidR="00222BE4" w:rsidRPr="00BF2526" w:rsidRDefault="00222BE4">
            <w:pPr>
              <w:jc w:val="center"/>
            </w:pPr>
            <w:r>
              <w:t>183,5</w:t>
            </w:r>
          </w:p>
        </w:tc>
        <w:tc>
          <w:tcPr>
            <w:tcW w:w="1141" w:type="dxa"/>
            <w:shd w:val="clear" w:color="auto" w:fill="auto"/>
            <w:noWrap/>
            <w:vAlign w:val="center"/>
          </w:tcPr>
          <w:p w:rsidR="00222BE4" w:rsidRPr="00BF2526" w:rsidRDefault="00222BE4">
            <w:pPr>
              <w:jc w:val="center"/>
            </w:pPr>
            <w:r>
              <w:t>215,9</w:t>
            </w:r>
          </w:p>
        </w:tc>
        <w:tc>
          <w:tcPr>
            <w:tcW w:w="1272" w:type="dxa"/>
            <w:shd w:val="clear" w:color="auto" w:fill="auto"/>
            <w:noWrap/>
            <w:vAlign w:val="center"/>
          </w:tcPr>
          <w:p w:rsidR="00222BE4" w:rsidRPr="00BF2526" w:rsidRDefault="00222BE4">
            <w:pPr>
              <w:jc w:val="center"/>
            </w:pPr>
            <w:r>
              <w:t>205,3</w:t>
            </w:r>
          </w:p>
        </w:tc>
      </w:tr>
      <w:tr w:rsidR="00B122CD" w:rsidRPr="00DD28A8" w:rsidTr="002A07B4">
        <w:trPr>
          <w:trHeight w:val="52"/>
          <w:jc w:val="center"/>
        </w:trPr>
        <w:tc>
          <w:tcPr>
            <w:tcW w:w="771" w:type="dxa"/>
            <w:vMerge w:val="restart"/>
            <w:shd w:val="clear" w:color="auto" w:fill="auto"/>
            <w:noWrap/>
          </w:tcPr>
          <w:p w:rsidR="00B122CD" w:rsidRPr="003304D4" w:rsidRDefault="00B122CD" w:rsidP="00222BE4">
            <w:pPr>
              <w:pStyle w:val="ab"/>
              <w:numPr>
                <w:ilvl w:val="0"/>
                <w:numId w:val="11"/>
              </w:numPr>
              <w:ind w:left="0" w:firstLine="284"/>
              <w:jc w:val="center"/>
            </w:pPr>
          </w:p>
        </w:tc>
        <w:tc>
          <w:tcPr>
            <w:tcW w:w="3780" w:type="dxa"/>
            <w:vMerge w:val="restart"/>
            <w:shd w:val="clear" w:color="auto" w:fill="auto"/>
          </w:tcPr>
          <w:p w:rsidR="00B122CD" w:rsidRPr="00DD28A8" w:rsidRDefault="00B122CD" w:rsidP="005331EE">
            <w:pPr>
              <w:rPr>
                <w:sz w:val="22"/>
                <w:szCs w:val="22"/>
              </w:rPr>
            </w:pPr>
            <w:r w:rsidRPr="00DD28A8">
              <w:rPr>
                <w:sz w:val="22"/>
                <w:szCs w:val="22"/>
              </w:rPr>
              <w:t>Водоснабжение; водоотведение, организация сбора и утилизации отходов, деятельность по ликвидации загрязнений (раздел Е)</w:t>
            </w:r>
          </w:p>
        </w:tc>
        <w:tc>
          <w:tcPr>
            <w:tcW w:w="2401" w:type="dxa"/>
            <w:vMerge w:val="restart"/>
            <w:shd w:val="clear" w:color="auto" w:fill="auto"/>
          </w:tcPr>
          <w:p w:rsidR="00B122CD" w:rsidRPr="00DD28A8" w:rsidRDefault="00B122CD" w:rsidP="00B41C53">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62" w:type="dxa"/>
            <w:shd w:val="clear" w:color="auto" w:fill="auto"/>
          </w:tcPr>
          <w:p w:rsidR="00B122CD" w:rsidRPr="00DD28A8" w:rsidRDefault="00B122CD" w:rsidP="00B41C53">
            <w:pPr>
              <w:rPr>
                <w:sz w:val="22"/>
                <w:szCs w:val="22"/>
              </w:rPr>
            </w:pPr>
            <w:r w:rsidRPr="00DD28A8">
              <w:rPr>
                <w:sz w:val="22"/>
                <w:szCs w:val="22"/>
              </w:rPr>
              <w:t>консервативный</w:t>
            </w:r>
          </w:p>
        </w:tc>
        <w:tc>
          <w:tcPr>
            <w:tcW w:w="1221" w:type="dxa"/>
            <w:vMerge w:val="restart"/>
            <w:shd w:val="clear" w:color="auto" w:fill="auto"/>
            <w:noWrap/>
            <w:vAlign w:val="center"/>
          </w:tcPr>
          <w:p w:rsidR="00B122CD" w:rsidRPr="009909C7" w:rsidRDefault="00B122CD">
            <w:pPr>
              <w:jc w:val="center"/>
            </w:pPr>
            <w:r>
              <w:t>21,1</w:t>
            </w:r>
          </w:p>
        </w:tc>
        <w:tc>
          <w:tcPr>
            <w:tcW w:w="1349" w:type="dxa"/>
            <w:vMerge w:val="restart"/>
            <w:shd w:val="clear" w:color="auto" w:fill="auto"/>
            <w:noWrap/>
            <w:vAlign w:val="center"/>
          </w:tcPr>
          <w:p w:rsidR="00B122CD" w:rsidRPr="009909C7" w:rsidRDefault="00B122CD">
            <w:pPr>
              <w:jc w:val="center"/>
            </w:pPr>
            <w:r>
              <w:t>23,1</w:t>
            </w:r>
          </w:p>
        </w:tc>
        <w:tc>
          <w:tcPr>
            <w:tcW w:w="1180" w:type="dxa"/>
            <w:shd w:val="clear" w:color="auto" w:fill="auto"/>
            <w:noWrap/>
            <w:vAlign w:val="center"/>
          </w:tcPr>
          <w:p w:rsidR="00B122CD" w:rsidRPr="00BF2526" w:rsidRDefault="00B122CD">
            <w:pPr>
              <w:jc w:val="center"/>
            </w:pPr>
            <w:r>
              <w:t>24,4</w:t>
            </w:r>
          </w:p>
        </w:tc>
        <w:tc>
          <w:tcPr>
            <w:tcW w:w="1141" w:type="dxa"/>
            <w:shd w:val="clear" w:color="auto" w:fill="auto"/>
            <w:noWrap/>
            <w:vAlign w:val="center"/>
          </w:tcPr>
          <w:p w:rsidR="00B122CD" w:rsidRPr="00BF2526" w:rsidRDefault="00B122CD">
            <w:pPr>
              <w:jc w:val="center"/>
            </w:pPr>
            <w:r>
              <w:t>25,8</w:t>
            </w:r>
          </w:p>
        </w:tc>
        <w:tc>
          <w:tcPr>
            <w:tcW w:w="1272" w:type="dxa"/>
            <w:shd w:val="clear" w:color="auto" w:fill="auto"/>
            <w:noWrap/>
            <w:vAlign w:val="center"/>
          </w:tcPr>
          <w:p w:rsidR="00B122CD" w:rsidRPr="00BF2526" w:rsidRDefault="00B122CD">
            <w:pPr>
              <w:jc w:val="center"/>
            </w:pPr>
            <w:r>
              <w:t>27,3</w:t>
            </w:r>
          </w:p>
        </w:tc>
      </w:tr>
      <w:tr w:rsidR="00B122CD" w:rsidRPr="00DD28A8" w:rsidTr="002A07B4">
        <w:trPr>
          <w:trHeight w:val="52"/>
          <w:jc w:val="center"/>
        </w:trPr>
        <w:tc>
          <w:tcPr>
            <w:tcW w:w="771" w:type="dxa"/>
            <w:vMerge/>
            <w:shd w:val="clear" w:color="auto" w:fill="auto"/>
            <w:noWrap/>
          </w:tcPr>
          <w:p w:rsidR="00B122CD" w:rsidRPr="003304D4" w:rsidRDefault="00B122CD" w:rsidP="00222BE4">
            <w:pPr>
              <w:pStyle w:val="ab"/>
              <w:numPr>
                <w:ilvl w:val="0"/>
                <w:numId w:val="11"/>
              </w:numPr>
              <w:ind w:left="0" w:firstLine="284"/>
              <w:jc w:val="center"/>
            </w:pPr>
          </w:p>
        </w:tc>
        <w:tc>
          <w:tcPr>
            <w:tcW w:w="3780" w:type="dxa"/>
            <w:vMerge/>
            <w:shd w:val="clear" w:color="auto" w:fill="auto"/>
          </w:tcPr>
          <w:p w:rsidR="00B122CD" w:rsidRPr="00DD28A8" w:rsidRDefault="00B122CD" w:rsidP="00B41C53">
            <w:pPr>
              <w:rPr>
                <w:sz w:val="22"/>
                <w:szCs w:val="22"/>
              </w:rPr>
            </w:pPr>
          </w:p>
        </w:tc>
        <w:tc>
          <w:tcPr>
            <w:tcW w:w="2401" w:type="dxa"/>
            <w:vMerge/>
            <w:shd w:val="clear" w:color="auto" w:fill="auto"/>
          </w:tcPr>
          <w:p w:rsidR="00B122CD" w:rsidRDefault="00B122CD" w:rsidP="009909C7">
            <w:pPr>
              <w:jc w:val="center"/>
              <w:rPr>
                <w:sz w:val="22"/>
                <w:szCs w:val="22"/>
              </w:rPr>
            </w:pPr>
          </w:p>
        </w:tc>
        <w:tc>
          <w:tcPr>
            <w:tcW w:w="1862" w:type="dxa"/>
            <w:shd w:val="clear" w:color="auto" w:fill="auto"/>
          </w:tcPr>
          <w:p w:rsidR="00B122CD" w:rsidRPr="00DD28A8" w:rsidRDefault="00B122CD" w:rsidP="00B41C53">
            <w:pPr>
              <w:rPr>
                <w:sz w:val="22"/>
                <w:szCs w:val="22"/>
              </w:rPr>
            </w:pPr>
            <w:r w:rsidRPr="00DD28A8">
              <w:rPr>
                <w:sz w:val="22"/>
                <w:szCs w:val="22"/>
              </w:rPr>
              <w:t>базовый</w:t>
            </w:r>
          </w:p>
        </w:tc>
        <w:tc>
          <w:tcPr>
            <w:tcW w:w="1221" w:type="dxa"/>
            <w:vMerge/>
            <w:shd w:val="clear" w:color="auto" w:fill="auto"/>
            <w:noWrap/>
            <w:vAlign w:val="center"/>
          </w:tcPr>
          <w:p w:rsidR="00B122CD" w:rsidRPr="009909C7" w:rsidRDefault="00B122CD">
            <w:pPr>
              <w:jc w:val="center"/>
            </w:pPr>
          </w:p>
        </w:tc>
        <w:tc>
          <w:tcPr>
            <w:tcW w:w="1349" w:type="dxa"/>
            <w:vMerge/>
            <w:shd w:val="clear" w:color="auto" w:fill="auto"/>
            <w:noWrap/>
            <w:vAlign w:val="center"/>
          </w:tcPr>
          <w:p w:rsidR="00B122CD" w:rsidRPr="009909C7" w:rsidRDefault="00B122CD">
            <w:pPr>
              <w:jc w:val="center"/>
            </w:pPr>
          </w:p>
        </w:tc>
        <w:tc>
          <w:tcPr>
            <w:tcW w:w="1180" w:type="dxa"/>
            <w:shd w:val="clear" w:color="auto" w:fill="auto"/>
            <w:noWrap/>
            <w:vAlign w:val="center"/>
          </w:tcPr>
          <w:p w:rsidR="00B122CD" w:rsidRPr="00BF2526" w:rsidRDefault="00B122CD">
            <w:pPr>
              <w:jc w:val="center"/>
            </w:pPr>
            <w:r>
              <w:t>24,5</w:t>
            </w:r>
          </w:p>
        </w:tc>
        <w:tc>
          <w:tcPr>
            <w:tcW w:w="1141" w:type="dxa"/>
            <w:shd w:val="clear" w:color="auto" w:fill="auto"/>
            <w:noWrap/>
            <w:vAlign w:val="center"/>
          </w:tcPr>
          <w:p w:rsidR="00B122CD" w:rsidRPr="00BF2526" w:rsidRDefault="00B122CD">
            <w:pPr>
              <w:jc w:val="center"/>
            </w:pPr>
            <w:r>
              <w:t>23,1</w:t>
            </w:r>
          </w:p>
        </w:tc>
        <w:tc>
          <w:tcPr>
            <w:tcW w:w="1272" w:type="dxa"/>
            <w:shd w:val="clear" w:color="auto" w:fill="auto"/>
            <w:noWrap/>
            <w:vAlign w:val="center"/>
          </w:tcPr>
          <w:p w:rsidR="00B122CD" w:rsidRPr="00BF2526" w:rsidRDefault="00B122CD">
            <w:pPr>
              <w:jc w:val="center"/>
            </w:pPr>
            <w:r>
              <w:t>27,5</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 xml:space="preserve">Индекс промышленного производства </w:t>
            </w:r>
          </w:p>
        </w:tc>
        <w:tc>
          <w:tcPr>
            <w:tcW w:w="2401" w:type="dxa"/>
            <w:vMerge w:val="restart"/>
            <w:shd w:val="clear" w:color="auto" w:fill="auto"/>
            <w:hideMark/>
          </w:tcPr>
          <w:p w:rsidR="00222BE4" w:rsidRPr="00DD28A8" w:rsidRDefault="00222BE4" w:rsidP="009909C7">
            <w:pPr>
              <w:jc w:val="center"/>
              <w:rPr>
                <w:sz w:val="22"/>
                <w:szCs w:val="22"/>
              </w:rPr>
            </w:pPr>
            <w:r>
              <w:rPr>
                <w:sz w:val="22"/>
                <w:szCs w:val="22"/>
              </w:rPr>
              <w:t xml:space="preserve"> проц. к предыдущему году</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9909C7" w:rsidRDefault="00222BE4">
            <w:pPr>
              <w:jc w:val="center"/>
            </w:pPr>
            <w:r w:rsidRPr="009909C7">
              <w:t>107,6</w:t>
            </w:r>
          </w:p>
        </w:tc>
        <w:tc>
          <w:tcPr>
            <w:tcW w:w="1349" w:type="dxa"/>
            <w:vMerge w:val="restart"/>
            <w:shd w:val="clear" w:color="auto" w:fill="auto"/>
            <w:noWrap/>
            <w:vAlign w:val="center"/>
          </w:tcPr>
          <w:p w:rsidR="00222BE4" w:rsidRPr="009909C7" w:rsidRDefault="00222BE4">
            <w:pPr>
              <w:jc w:val="center"/>
            </w:pPr>
            <w:r w:rsidRPr="009909C7">
              <w:t>92,5</w:t>
            </w:r>
          </w:p>
        </w:tc>
        <w:tc>
          <w:tcPr>
            <w:tcW w:w="1180" w:type="dxa"/>
            <w:shd w:val="clear" w:color="auto" w:fill="auto"/>
            <w:noWrap/>
            <w:vAlign w:val="center"/>
          </w:tcPr>
          <w:p w:rsidR="00222BE4" w:rsidRPr="00BF2526" w:rsidRDefault="00222BE4">
            <w:pPr>
              <w:jc w:val="center"/>
            </w:pPr>
            <w:r w:rsidRPr="00BF2526">
              <w:t>99,3</w:t>
            </w:r>
          </w:p>
        </w:tc>
        <w:tc>
          <w:tcPr>
            <w:tcW w:w="1141" w:type="dxa"/>
            <w:shd w:val="clear" w:color="auto" w:fill="auto"/>
            <w:noWrap/>
            <w:vAlign w:val="center"/>
          </w:tcPr>
          <w:p w:rsidR="00222BE4" w:rsidRPr="00BF2526" w:rsidRDefault="00222BE4">
            <w:pPr>
              <w:jc w:val="center"/>
            </w:pPr>
            <w:r w:rsidRPr="00BF2526">
              <w:t>103,7</w:t>
            </w:r>
          </w:p>
        </w:tc>
        <w:tc>
          <w:tcPr>
            <w:tcW w:w="1272" w:type="dxa"/>
            <w:shd w:val="clear" w:color="auto" w:fill="auto"/>
            <w:noWrap/>
            <w:vAlign w:val="center"/>
          </w:tcPr>
          <w:p w:rsidR="00222BE4" w:rsidRPr="00BF2526" w:rsidRDefault="00222BE4">
            <w:pPr>
              <w:jc w:val="center"/>
            </w:pPr>
            <w:r w:rsidRPr="00BF2526">
              <w:t>103,5</w:t>
            </w:r>
          </w:p>
        </w:tc>
      </w:tr>
      <w:tr w:rsidR="00222BE4" w:rsidRPr="00DD28A8" w:rsidTr="002A07B4">
        <w:trPr>
          <w:trHeight w:val="112"/>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BF2526" w:rsidRDefault="00222BE4">
            <w:pPr>
              <w:jc w:val="center"/>
            </w:pPr>
            <w:r w:rsidRPr="00BF2526">
              <w:t>102,4</w:t>
            </w:r>
          </w:p>
        </w:tc>
        <w:tc>
          <w:tcPr>
            <w:tcW w:w="1141" w:type="dxa"/>
            <w:shd w:val="clear" w:color="auto" w:fill="auto"/>
            <w:noWrap/>
            <w:vAlign w:val="center"/>
          </w:tcPr>
          <w:p w:rsidR="00222BE4" w:rsidRPr="00BF2526" w:rsidRDefault="00222BE4">
            <w:pPr>
              <w:jc w:val="center"/>
            </w:pPr>
            <w:r w:rsidRPr="00BF2526">
              <w:t>103,7</w:t>
            </w:r>
          </w:p>
        </w:tc>
        <w:tc>
          <w:tcPr>
            <w:tcW w:w="1272" w:type="dxa"/>
            <w:shd w:val="clear" w:color="auto" w:fill="auto"/>
            <w:noWrap/>
            <w:vAlign w:val="center"/>
          </w:tcPr>
          <w:p w:rsidR="00222BE4" w:rsidRPr="00BF2526" w:rsidRDefault="00222BE4">
            <w:pPr>
              <w:jc w:val="center"/>
            </w:pPr>
            <w:r w:rsidRPr="00BF2526">
              <w:t>104,1</w:t>
            </w:r>
          </w:p>
        </w:tc>
      </w:tr>
      <w:tr w:rsidR="00222BE4" w:rsidRPr="00DD28A8" w:rsidTr="002A07B4">
        <w:trPr>
          <w:trHeight w:val="130"/>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Default="00222BE4" w:rsidP="005331EE">
            <w:pPr>
              <w:ind w:left="113"/>
              <w:rPr>
                <w:sz w:val="22"/>
                <w:szCs w:val="22"/>
              </w:rPr>
            </w:pPr>
            <w:r w:rsidRPr="00DD28A8">
              <w:rPr>
                <w:sz w:val="22"/>
                <w:szCs w:val="22"/>
              </w:rPr>
              <w:t xml:space="preserve"> Добыча полезных ископаемых </w:t>
            </w:r>
          </w:p>
          <w:p w:rsidR="00222BE4" w:rsidRPr="00DD28A8" w:rsidRDefault="00222BE4" w:rsidP="005331EE">
            <w:pPr>
              <w:ind w:left="113"/>
              <w:rPr>
                <w:sz w:val="22"/>
                <w:szCs w:val="22"/>
              </w:rPr>
            </w:pPr>
            <w:r w:rsidRPr="00DD28A8">
              <w:rPr>
                <w:sz w:val="22"/>
                <w:szCs w:val="22"/>
              </w:rPr>
              <w:t>(раздел В)</w:t>
            </w:r>
          </w:p>
        </w:tc>
        <w:tc>
          <w:tcPr>
            <w:tcW w:w="2401" w:type="dxa"/>
            <w:vMerge w:val="restart"/>
            <w:shd w:val="clear" w:color="auto" w:fill="auto"/>
            <w:hideMark/>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98,9</w:t>
            </w:r>
          </w:p>
        </w:tc>
        <w:tc>
          <w:tcPr>
            <w:tcW w:w="1349" w:type="dxa"/>
            <w:vMerge w:val="restart"/>
            <w:shd w:val="clear" w:color="auto" w:fill="auto"/>
            <w:noWrap/>
            <w:vAlign w:val="center"/>
          </w:tcPr>
          <w:p w:rsidR="00222BE4" w:rsidRPr="008608AB" w:rsidRDefault="00222BE4">
            <w:pPr>
              <w:jc w:val="center"/>
            </w:pPr>
            <w:r w:rsidRPr="008608AB">
              <w:t>110</w:t>
            </w:r>
            <w:r>
              <w:t>,0</w:t>
            </w:r>
          </w:p>
        </w:tc>
        <w:tc>
          <w:tcPr>
            <w:tcW w:w="1180" w:type="dxa"/>
            <w:shd w:val="clear" w:color="auto" w:fill="auto"/>
            <w:noWrap/>
            <w:vAlign w:val="center"/>
          </w:tcPr>
          <w:p w:rsidR="00222BE4" w:rsidRPr="00BF2526" w:rsidRDefault="00222BE4">
            <w:pPr>
              <w:jc w:val="center"/>
            </w:pPr>
            <w:r w:rsidRPr="00BF2526">
              <w:t>101,8</w:t>
            </w:r>
          </w:p>
        </w:tc>
        <w:tc>
          <w:tcPr>
            <w:tcW w:w="1141" w:type="dxa"/>
            <w:shd w:val="clear" w:color="auto" w:fill="auto"/>
            <w:noWrap/>
            <w:vAlign w:val="center"/>
          </w:tcPr>
          <w:p w:rsidR="00222BE4" w:rsidRPr="00BF2526" w:rsidRDefault="00222BE4">
            <w:pPr>
              <w:jc w:val="center"/>
            </w:pPr>
            <w:r w:rsidRPr="00BF2526">
              <w:t>101,2</w:t>
            </w:r>
          </w:p>
        </w:tc>
        <w:tc>
          <w:tcPr>
            <w:tcW w:w="1272" w:type="dxa"/>
            <w:shd w:val="clear" w:color="auto" w:fill="auto"/>
            <w:noWrap/>
            <w:vAlign w:val="center"/>
          </w:tcPr>
          <w:p w:rsidR="00222BE4" w:rsidRPr="00BF2526" w:rsidRDefault="00222BE4">
            <w:pPr>
              <w:jc w:val="center"/>
            </w:pPr>
            <w:r w:rsidRPr="00BF2526">
              <w:t>104,9</w:t>
            </w:r>
          </w:p>
        </w:tc>
      </w:tr>
      <w:tr w:rsidR="00222BE4" w:rsidRPr="00DD28A8" w:rsidTr="002A07B4">
        <w:trPr>
          <w:trHeight w:val="52"/>
          <w:jc w:val="center"/>
        </w:trPr>
        <w:tc>
          <w:tcPr>
            <w:tcW w:w="771" w:type="dxa"/>
            <w:vMerge/>
            <w:shd w:val="clear" w:color="auto" w:fill="auto"/>
          </w:tcPr>
          <w:p w:rsidR="00222BE4" w:rsidRPr="003304D4" w:rsidRDefault="00222BE4" w:rsidP="00F8448A">
            <w:pPr>
              <w:pStyle w:val="ab"/>
              <w:numPr>
                <w:ilvl w:val="0"/>
                <w:numId w:val="10"/>
              </w:numPr>
              <w:ind w:left="0" w:firstLine="0"/>
              <w:jc w:val="center"/>
            </w:pPr>
          </w:p>
        </w:tc>
        <w:tc>
          <w:tcPr>
            <w:tcW w:w="3780" w:type="dxa"/>
            <w:vMerge/>
            <w:shd w:val="clear" w:color="auto" w:fill="auto"/>
            <w:hideMark/>
          </w:tcPr>
          <w:p w:rsidR="00222BE4" w:rsidRPr="00DD28A8" w:rsidRDefault="00222BE4" w:rsidP="005331EE">
            <w:pPr>
              <w:ind w:left="113"/>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BF2526" w:rsidRDefault="00222BE4">
            <w:pPr>
              <w:jc w:val="center"/>
            </w:pPr>
            <w:r w:rsidRPr="00BF2526">
              <w:t>102,5</w:t>
            </w:r>
          </w:p>
        </w:tc>
        <w:tc>
          <w:tcPr>
            <w:tcW w:w="1141" w:type="dxa"/>
            <w:shd w:val="clear" w:color="auto" w:fill="auto"/>
            <w:noWrap/>
            <w:vAlign w:val="center"/>
          </w:tcPr>
          <w:p w:rsidR="00222BE4" w:rsidRPr="00BF2526" w:rsidRDefault="00222BE4">
            <w:pPr>
              <w:jc w:val="center"/>
            </w:pPr>
            <w:r w:rsidRPr="00BF2526">
              <w:t>101,5</w:t>
            </w:r>
          </w:p>
        </w:tc>
        <w:tc>
          <w:tcPr>
            <w:tcW w:w="1272" w:type="dxa"/>
            <w:shd w:val="clear" w:color="auto" w:fill="auto"/>
            <w:noWrap/>
            <w:vAlign w:val="center"/>
          </w:tcPr>
          <w:p w:rsidR="00222BE4" w:rsidRPr="00BF2526" w:rsidRDefault="00222BE4">
            <w:pPr>
              <w:jc w:val="center"/>
            </w:pPr>
            <w:r w:rsidRPr="00BF2526">
              <w:t>105,2</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5331EE">
            <w:pPr>
              <w:ind w:left="113"/>
              <w:rPr>
                <w:sz w:val="22"/>
                <w:szCs w:val="22"/>
              </w:rPr>
            </w:pPr>
            <w:r w:rsidRPr="00DD28A8">
              <w:rPr>
                <w:sz w:val="22"/>
                <w:szCs w:val="22"/>
              </w:rPr>
              <w:t>Обрабатывающие производства (раздел С)</w:t>
            </w:r>
          </w:p>
        </w:tc>
        <w:tc>
          <w:tcPr>
            <w:tcW w:w="2401" w:type="dxa"/>
            <w:vMerge w:val="restart"/>
            <w:shd w:val="clear" w:color="auto" w:fill="auto"/>
            <w:hideMark/>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107,6</w:t>
            </w:r>
          </w:p>
        </w:tc>
        <w:tc>
          <w:tcPr>
            <w:tcW w:w="1349" w:type="dxa"/>
            <w:vMerge w:val="restart"/>
            <w:shd w:val="clear" w:color="auto" w:fill="auto"/>
            <w:noWrap/>
            <w:vAlign w:val="center"/>
          </w:tcPr>
          <w:p w:rsidR="00222BE4" w:rsidRPr="008608AB" w:rsidRDefault="00222BE4">
            <w:pPr>
              <w:jc w:val="center"/>
            </w:pPr>
            <w:r w:rsidRPr="008608AB">
              <w:t>92,2</w:t>
            </w:r>
          </w:p>
        </w:tc>
        <w:tc>
          <w:tcPr>
            <w:tcW w:w="1180" w:type="dxa"/>
            <w:shd w:val="clear" w:color="auto" w:fill="auto"/>
            <w:noWrap/>
            <w:vAlign w:val="center"/>
          </w:tcPr>
          <w:p w:rsidR="00222BE4" w:rsidRPr="00BF2526" w:rsidRDefault="00222BE4">
            <w:pPr>
              <w:jc w:val="center"/>
            </w:pPr>
            <w:r w:rsidRPr="00BF2526">
              <w:t>96,8</w:t>
            </w:r>
          </w:p>
        </w:tc>
        <w:tc>
          <w:tcPr>
            <w:tcW w:w="1141" w:type="dxa"/>
            <w:shd w:val="clear" w:color="auto" w:fill="auto"/>
            <w:noWrap/>
            <w:vAlign w:val="center"/>
          </w:tcPr>
          <w:p w:rsidR="00222BE4" w:rsidRPr="00BF2526" w:rsidRDefault="00222BE4">
            <w:pPr>
              <w:jc w:val="center"/>
            </w:pPr>
            <w:r w:rsidRPr="00BF2526">
              <w:t>102</w:t>
            </w:r>
            <w:r>
              <w:t>,0</w:t>
            </w:r>
          </w:p>
        </w:tc>
        <w:tc>
          <w:tcPr>
            <w:tcW w:w="1272" w:type="dxa"/>
            <w:shd w:val="clear" w:color="auto" w:fill="auto"/>
            <w:noWrap/>
            <w:vAlign w:val="center"/>
          </w:tcPr>
          <w:p w:rsidR="00222BE4" w:rsidRPr="00BF2526" w:rsidRDefault="00222BE4">
            <w:pPr>
              <w:jc w:val="center"/>
            </w:pPr>
            <w:r w:rsidRPr="00BF2526">
              <w:t>104,3</w:t>
            </w:r>
          </w:p>
        </w:tc>
      </w:tr>
      <w:tr w:rsidR="00222BE4" w:rsidRPr="00DD28A8" w:rsidTr="002A07B4">
        <w:trPr>
          <w:trHeight w:val="52"/>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F6810">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101,2</w:t>
            </w:r>
          </w:p>
        </w:tc>
        <w:tc>
          <w:tcPr>
            <w:tcW w:w="1141" w:type="dxa"/>
            <w:shd w:val="clear" w:color="auto" w:fill="auto"/>
            <w:noWrap/>
            <w:vAlign w:val="center"/>
          </w:tcPr>
          <w:p w:rsidR="00222BE4" w:rsidRPr="004553D2" w:rsidRDefault="00222BE4">
            <w:pPr>
              <w:jc w:val="center"/>
            </w:pPr>
            <w:r w:rsidRPr="004553D2">
              <w:t>104,8</w:t>
            </w:r>
          </w:p>
        </w:tc>
        <w:tc>
          <w:tcPr>
            <w:tcW w:w="1272" w:type="dxa"/>
            <w:shd w:val="clear" w:color="auto" w:fill="auto"/>
            <w:noWrap/>
            <w:vAlign w:val="center"/>
          </w:tcPr>
          <w:p w:rsidR="00222BE4" w:rsidRPr="004553D2" w:rsidRDefault="00222BE4">
            <w:pPr>
              <w:jc w:val="center"/>
            </w:pPr>
            <w:r w:rsidRPr="004553D2">
              <w:t>104,8</w:t>
            </w:r>
          </w:p>
        </w:tc>
      </w:tr>
      <w:tr w:rsidR="00222BE4" w:rsidRPr="00DD28A8" w:rsidTr="002A07B4">
        <w:trPr>
          <w:trHeight w:val="74"/>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DF6810">
            <w:pPr>
              <w:rPr>
                <w:sz w:val="22"/>
                <w:szCs w:val="22"/>
              </w:rPr>
            </w:pPr>
            <w:r>
              <w:rPr>
                <w:sz w:val="22"/>
                <w:szCs w:val="22"/>
              </w:rPr>
              <w:t>п</w:t>
            </w:r>
            <w:r w:rsidRPr="00DD28A8">
              <w:rPr>
                <w:sz w:val="22"/>
                <w:szCs w:val="22"/>
              </w:rPr>
              <w:t xml:space="preserve">роизводство пищевых продуктов </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105,9</w:t>
            </w:r>
          </w:p>
        </w:tc>
        <w:tc>
          <w:tcPr>
            <w:tcW w:w="1349" w:type="dxa"/>
            <w:vMerge w:val="restart"/>
            <w:shd w:val="clear" w:color="auto" w:fill="auto"/>
            <w:noWrap/>
            <w:vAlign w:val="center"/>
          </w:tcPr>
          <w:p w:rsidR="00222BE4" w:rsidRPr="008608AB" w:rsidRDefault="00222BE4">
            <w:pPr>
              <w:jc w:val="center"/>
            </w:pPr>
            <w:r w:rsidRPr="008608AB">
              <w:t>100</w:t>
            </w:r>
            <w:r>
              <w:t>,0</w:t>
            </w:r>
          </w:p>
        </w:tc>
        <w:tc>
          <w:tcPr>
            <w:tcW w:w="1180" w:type="dxa"/>
            <w:shd w:val="clear" w:color="auto" w:fill="auto"/>
            <w:noWrap/>
            <w:vAlign w:val="center"/>
          </w:tcPr>
          <w:p w:rsidR="00222BE4" w:rsidRPr="00BF2526" w:rsidRDefault="00222BE4" w:rsidP="00340D73">
            <w:pPr>
              <w:jc w:val="center"/>
            </w:pPr>
            <w:r w:rsidRPr="00BF2526">
              <w:t>100</w:t>
            </w:r>
            <w:r>
              <w:t>,0</w:t>
            </w:r>
          </w:p>
        </w:tc>
        <w:tc>
          <w:tcPr>
            <w:tcW w:w="1141" w:type="dxa"/>
            <w:shd w:val="clear" w:color="auto" w:fill="auto"/>
            <w:noWrap/>
            <w:vAlign w:val="center"/>
          </w:tcPr>
          <w:p w:rsidR="00222BE4" w:rsidRPr="00BF2526" w:rsidRDefault="00222BE4" w:rsidP="00340D73">
            <w:pPr>
              <w:jc w:val="center"/>
            </w:pPr>
            <w:r w:rsidRPr="00BF2526">
              <w:t>101,5</w:t>
            </w:r>
          </w:p>
        </w:tc>
        <w:tc>
          <w:tcPr>
            <w:tcW w:w="1272" w:type="dxa"/>
            <w:shd w:val="clear" w:color="auto" w:fill="auto"/>
            <w:noWrap/>
            <w:vAlign w:val="center"/>
          </w:tcPr>
          <w:p w:rsidR="00222BE4" w:rsidRPr="00BF2526" w:rsidRDefault="00222BE4" w:rsidP="00340D73">
            <w:pPr>
              <w:jc w:val="center"/>
            </w:pPr>
            <w:r w:rsidRPr="00BF2526">
              <w:t>105,3</w:t>
            </w:r>
          </w:p>
        </w:tc>
      </w:tr>
      <w:tr w:rsidR="00222BE4" w:rsidRPr="00DD28A8" w:rsidTr="002A07B4">
        <w:trPr>
          <w:trHeight w:val="92"/>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F6810">
            <w:pPr>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101</w:t>
            </w:r>
            <w:r>
              <w:t>,0</w:t>
            </w:r>
          </w:p>
        </w:tc>
        <w:tc>
          <w:tcPr>
            <w:tcW w:w="1141" w:type="dxa"/>
            <w:shd w:val="clear" w:color="auto" w:fill="auto"/>
            <w:noWrap/>
            <w:vAlign w:val="center"/>
          </w:tcPr>
          <w:p w:rsidR="00222BE4" w:rsidRPr="004553D2" w:rsidRDefault="00222BE4">
            <w:pPr>
              <w:jc w:val="center"/>
            </w:pPr>
            <w:r w:rsidRPr="004553D2">
              <w:t>101,5</w:t>
            </w:r>
          </w:p>
        </w:tc>
        <w:tc>
          <w:tcPr>
            <w:tcW w:w="1272" w:type="dxa"/>
            <w:shd w:val="clear" w:color="auto" w:fill="auto"/>
            <w:noWrap/>
            <w:vAlign w:val="center"/>
          </w:tcPr>
          <w:p w:rsidR="00222BE4" w:rsidRPr="004553D2" w:rsidRDefault="00222BE4">
            <w:pPr>
              <w:jc w:val="center"/>
            </w:pPr>
            <w:r w:rsidRPr="004553D2">
              <w:t>105,3</w:t>
            </w:r>
          </w:p>
        </w:tc>
      </w:tr>
      <w:tr w:rsidR="00222BE4" w:rsidRPr="00DD28A8" w:rsidTr="002A07B4">
        <w:trPr>
          <w:trHeight w:val="283"/>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DF6810">
            <w:pPr>
              <w:rPr>
                <w:sz w:val="22"/>
                <w:szCs w:val="22"/>
              </w:rPr>
            </w:pPr>
            <w:r>
              <w:rPr>
                <w:sz w:val="22"/>
                <w:szCs w:val="22"/>
              </w:rPr>
              <w:t>п</w:t>
            </w:r>
            <w:r w:rsidRPr="00DD28A8">
              <w:rPr>
                <w:sz w:val="22"/>
                <w:szCs w:val="22"/>
              </w:rPr>
              <w:t>роизводство напитков</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158,7</w:t>
            </w:r>
          </w:p>
        </w:tc>
        <w:tc>
          <w:tcPr>
            <w:tcW w:w="1349" w:type="dxa"/>
            <w:vMerge w:val="restart"/>
            <w:shd w:val="clear" w:color="auto" w:fill="auto"/>
            <w:noWrap/>
            <w:vAlign w:val="center"/>
          </w:tcPr>
          <w:p w:rsidR="00222BE4" w:rsidRPr="008608AB" w:rsidRDefault="00222BE4">
            <w:pPr>
              <w:jc w:val="center"/>
            </w:pPr>
            <w:r w:rsidRPr="008608AB">
              <w:t>150</w:t>
            </w:r>
            <w:r>
              <w:t>,0</w:t>
            </w:r>
          </w:p>
        </w:tc>
        <w:tc>
          <w:tcPr>
            <w:tcW w:w="1180" w:type="dxa"/>
            <w:shd w:val="clear" w:color="auto" w:fill="auto"/>
            <w:noWrap/>
            <w:vAlign w:val="center"/>
          </w:tcPr>
          <w:p w:rsidR="00222BE4" w:rsidRPr="00BF2526" w:rsidRDefault="00222BE4" w:rsidP="00340D73">
            <w:pPr>
              <w:jc w:val="center"/>
            </w:pPr>
            <w:r w:rsidRPr="00BF2526">
              <w:t>102,7</w:t>
            </w:r>
          </w:p>
        </w:tc>
        <w:tc>
          <w:tcPr>
            <w:tcW w:w="1141" w:type="dxa"/>
            <w:shd w:val="clear" w:color="auto" w:fill="auto"/>
            <w:noWrap/>
            <w:vAlign w:val="center"/>
          </w:tcPr>
          <w:p w:rsidR="00222BE4" w:rsidRPr="00BF2526" w:rsidRDefault="00222BE4" w:rsidP="00340D73">
            <w:pPr>
              <w:jc w:val="center"/>
            </w:pPr>
            <w:r w:rsidRPr="00BF2526">
              <w:t>102,8</w:t>
            </w:r>
          </w:p>
        </w:tc>
        <w:tc>
          <w:tcPr>
            <w:tcW w:w="1272" w:type="dxa"/>
            <w:shd w:val="clear" w:color="auto" w:fill="auto"/>
            <w:noWrap/>
            <w:vAlign w:val="center"/>
          </w:tcPr>
          <w:p w:rsidR="00222BE4" w:rsidRPr="00BF2526" w:rsidRDefault="00222BE4" w:rsidP="00340D73">
            <w:pPr>
              <w:jc w:val="center"/>
            </w:pPr>
            <w:r w:rsidRPr="00BF2526">
              <w:t>100,1</w:t>
            </w:r>
          </w:p>
        </w:tc>
      </w:tr>
      <w:tr w:rsidR="00222BE4" w:rsidRPr="00DD28A8" w:rsidTr="002A07B4">
        <w:trPr>
          <w:trHeight w:val="283"/>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F6810">
            <w:pPr>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103,6</w:t>
            </w:r>
          </w:p>
        </w:tc>
        <w:tc>
          <w:tcPr>
            <w:tcW w:w="1141" w:type="dxa"/>
            <w:shd w:val="clear" w:color="auto" w:fill="auto"/>
            <w:noWrap/>
            <w:vAlign w:val="center"/>
          </w:tcPr>
          <w:p w:rsidR="00222BE4" w:rsidRPr="004553D2" w:rsidRDefault="00222BE4">
            <w:pPr>
              <w:jc w:val="center"/>
            </w:pPr>
            <w:r w:rsidRPr="004553D2">
              <w:t>102,8</w:t>
            </w:r>
          </w:p>
        </w:tc>
        <w:tc>
          <w:tcPr>
            <w:tcW w:w="1272" w:type="dxa"/>
            <w:shd w:val="clear" w:color="auto" w:fill="auto"/>
            <w:noWrap/>
            <w:vAlign w:val="center"/>
          </w:tcPr>
          <w:p w:rsidR="00222BE4" w:rsidRPr="004553D2" w:rsidRDefault="00222BE4">
            <w:pPr>
              <w:jc w:val="center"/>
            </w:pPr>
            <w:r w:rsidRPr="004553D2">
              <w:t>100,3</w:t>
            </w:r>
          </w:p>
        </w:tc>
      </w:tr>
      <w:tr w:rsidR="00222BE4" w:rsidRPr="00DD28A8" w:rsidTr="002A07B4">
        <w:trPr>
          <w:trHeight w:val="283"/>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DF6810">
            <w:pPr>
              <w:rPr>
                <w:sz w:val="22"/>
                <w:szCs w:val="22"/>
              </w:rPr>
            </w:pPr>
            <w:r>
              <w:rPr>
                <w:sz w:val="22"/>
                <w:szCs w:val="22"/>
              </w:rPr>
              <w:t>п</w:t>
            </w:r>
            <w:r w:rsidRPr="00DD28A8">
              <w:rPr>
                <w:sz w:val="22"/>
                <w:szCs w:val="22"/>
              </w:rPr>
              <w:t>роизводство табачных изделий</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112,4</w:t>
            </w:r>
          </w:p>
        </w:tc>
        <w:tc>
          <w:tcPr>
            <w:tcW w:w="1349" w:type="dxa"/>
            <w:vMerge w:val="restart"/>
            <w:shd w:val="clear" w:color="auto" w:fill="auto"/>
            <w:noWrap/>
            <w:vAlign w:val="center"/>
          </w:tcPr>
          <w:p w:rsidR="00222BE4" w:rsidRPr="008608AB" w:rsidRDefault="00222BE4">
            <w:pPr>
              <w:jc w:val="center"/>
            </w:pPr>
            <w:r w:rsidRPr="008608AB">
              <w:t>94</w:t>
            </w:r>
            <w:r>
              <w:t>,0</w:t>
            </w:r>
          </w:p>
        </w:tc>
        <w:tc>
          <w:tcPr>
            <w:tcW w:w="1180" w:type="dxa"/>
            <w:shd w:val="clear" w:color="auto" w:fill="auto"/>
            <w:noWrap/>
            <w:vAlign w:val="center"/>
          </w:tcPr>
          <w:p w:rsidR="00222BE4" w:rsidRPr="00BF2526" w:rsidRDefault="00222BE4" w:rsidP="00340D73">
            <w:pPr>
              <w:jc w:val="center"/>
            </w:pPr>
            <w:r w:rsidRPr="00BF2526">
              <w:t>100,5</w:t>
            </w:r>
          </w:p>
        </w:tc>
        <w:tc>
          <w:tcPr>
            <w:tcW w:w="1141" w:type="dxa"/>
            <w:shd w:val="clear" w:color="auto" w:fill="auto"/>
            <w:noWrap/>
            <w:vAlign w:val="center"/>
          </w:tcPr>
          <w:p w:rsidR="00222BE4" w:rsidRPr="00BF2526" w:rsidRDefault="00222BE4" w:rsidP="00340D73">
            <w:pPr>
              <w:jc w:val="center"/>
            </w:pPr>
            <w:r w:rsidRPr="00BF2526">
              <w:t>101,5</w:t>
            </w:r>
          </w:p>
        </w:tc>
        <w:tc>
          <w:tcPr>
            <w:tcW w:w="1272" w:type="dxa"/>
            <w:shd w:val="clear" w:color="auto" w:fill="auto"/>
            <w:noWrap/>
            <w:vAlign w:val="center"/>
          </w:tcPr>
          <w:p w:rsidR="00222BE4" w:rsidRPr="00BF2526" w:rsidRDefault="00222BE4" w:rsidP="00340D73">
            <w:pPr>
              <w:jc w:val="center"/>
            </w:pPr>
            <w:r w:rsidRPr="00BF2526">
              <w:t>103,3</w:t>
            </w:r>
          </w:p>
        </w:tc>
      </w:tr>
      <w:tr w:rsidR="00222BE4" w:rsidRPr="00DD28A8" w:rsidTr="002A07B4">
        <w:trPr>
          <w:trHeight w:val="283"/>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F6810">
            <w:pPr>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101</w:t>
            </w:r>
            <w:r>
              <w:t>,0</w:t>
            </w:r>
          </w:p>
        </w:tc>
        <w:tc>
          <w:tcPr>
            <w:tcW w:w="1141" w:type="dxa"/>
            <w:shd w:val="clear" w:color="auto" w:fill="auto"/>
            <w:noWrap/>
            <w:vAlign w:val="center"/>
          </w:tcPr>
          <w:p w:rsidR="00222BE4" w:rsidRPr="004553D2" w:rsidRDefault="00222BE4">
            <w:pPr>
              <w:jc w:val="center"/>
            </w:pPr>
            <w:r w:rsidRPr="004553D2">
              <w:t>102</w:t>
            </w:r>
            <w:r>
              <w:t>,0</w:t>
            </w:r>
          </w:p>
        </w:tc>
        <w:tc>
          <w:tcPr>
            <w:tcW w:w="1272" w:type="dxa"/>
            <w:shd w:val="clear" w:color="auto" w:fill="auto"/>
            <w:noWrap/>
            <w:vAlign w:val="center"/>
          </w:tcPr>
          <w:p w:rsidR="00222BE4" w:rsidRPr="004553D2" w:rsidRDefault="00222BE4">
            <w:pPr>
              <w:jc w:val="center"/>
            </w:pPr>
            <w:r w:rsidRPr="004553D2">
              <w:t>103,4</w:t>
            </w:r>
          </w:p>
        </w:tc>
      </w:tr>
      <w:tr w:rsidR="00222BE4" w:rsidRPr="00DD28A8" w:rsidTr="002A07B4">
        <w:trPr>
          <w:trHeight w:val="283"/>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DF6810">
            <w:pPr>
              <w:rPr>
                <w:sz w:val="22"/>
                <w:szCs w:val="22"/>
              </w:rPr>
            </w:pPr>
            <w:r>
              <w:rPr>
                <w:sz w:val="22"/>
                <w:szCs w:val="22"/>
              </w:rPr>
              <w:t>п</w:t>
            </w:r>
            <w:r w:rsidRPr="00DD28A8">
              <w:rPr>
                <w:sz w:val="22"/>
                <w:szCs w:val="22"/>
              </w:rPr>
              <w:t>роизводство текстильных изделий</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128,6</w:t>
            </w:r>
          </w:p>
        </w:tc>
        <w:tc>
          <w:tcPr>
            <w:tcW w:w="1349" w:type="dxa"/>
            <w:vMerge w:val="restart"/>
            <w:shd w:val="clear" w:color="auto" w:fill="auto"/>
            <w:noWrap/>
            <w:vAlign w:val="center"/>
          </w:tcPr>
          <w:p w:rsidR="00222BE4" w:rsidRPr="008608AB" w:rsidRDefault="00222BE4">
            <w:pPr>
              <w:jc w:val="center"/>
            </w:pPr>
            <w:r w:rsidRPr="008608AB">
              <w:t>80</w:t>
            </w:r>
            <w:r>
              <w:t>,0</w:t>
            </w:r>
          </w:p>
        </w:tc>
        <w:tc>
          <w:tcPr>
            <w:tcW w:w="1180" w:type="dxa"/>
            <w:shd w:val="clear" w:color="auto" w:fill="auto"/>
            <w:noWrap/>
            <w:vAlign w:val="center"/>
          </w:tcPr>
          <w:p w:rsidR="00222BE4" w:rsidRPr="00BF2526" w:rsidRDefault="00222BE4" w:rsidP="00340D73">
            <w:pPr>
              <w:jc w:val="center"/>
            </w:pPr>
            <w:r w:rsidRPr="00BF2526">
              <w:t>103,1</w:t>
            </w:r>
          </w:p>
        </w:tc>
        <w:tc>
          <w:tcPr>
            <w:tcW w:w="1141" w:type="dxa"/>
            <w:shd w:val="clear" w:color="auto" w:fill="auto"/>
            <w:noWrap/>
            <w:vAlign w:val="center"/>
          </w:tcPr>
          <w:p w:rsidR="00222BE4" w:rsidRPr="00BF2526" w:rsidRDefault="00222BE4" w:rsidP="00340D73">
            <w:pPr>
              <w:jc w:val="center"/>
            </w:pPr>
            <w:r w:rsidRPr="00BF2526">
              <w:t>103,2</w:t>
            </w:r>
          </w:p>
        </w:tc>
        <w:tc>
          <w:tcPr>
            <w:tcW w:w="1272" w:type="dxa"/>
            <w:shd w:val="clear" w:color="auto" w:fill="auto"/>
            <w:noWrap/>
            <w:vAlign w:val="center"/>
          </w:tcPr>
          <w:p w:rsidR="00222BE4" w:rsidRPr="00BF2526" w:rsidRDefault="00222BE4" w:rsidP="00340D73">
            <w:pPr>
              <w:jc w:val="center"/>
            </w:pPr>
            <w:r w:rsidRPr="00BF2526">
              <w:t>103,5</w:t>
            </w:r>
          </w:p>
        </w:tc>
      </w:tr>
      <w:tr w:rsidR="00222BE4" w:rsidRPr="00DD28A8" w:rsidTr="002A07B4">
        <w:trPr>
          <w:trHeight w:val="290"/>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F6810">
            <w:pPr>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103,2</w:t>
            </w:r>
          </w:p>
        </w:tc>
        <w:tc>
          <w:tcPr>
            <w:tcW w:w="1141" w:type="dxa"/>
            <w:shd w:val="clear" w:color="auto" w:fill="auto"/>
            <w:noWrap/>
            <w:vAlign w:val="center"/>
          </w:tcPr>
          <w:p w:rsidR="00222BE4" w:rsidRPr="004553D2" w:rsidRDefault="00222BE4">
            <w:pPr>
              <w:jc w:val="center"/>
            </w:pPr>
            <w:r w:rsidRPr="004553D2">
              <w:t>103,3</w:t>
            </w:r>
          </w:p>
        </w:tc>
        <w:tc>
          <w:tcPr>
            <w:tcW w:w="1272" w:type="dxa"/>
            <w:shd w:val="clear" w:color="auto" w:fill="auto"/>
            <w:noWrap/>
            <w:vAlign w:val="center"/>
          </w:tcPr>
          <w:p w:rsidR="00222BE4" w:rsidRPr="004553D2" w:rsidRDefault="00222BE4">
            <w:pPr>
              <w:jc w:val="center"/>
            </w:pPr>
            <w:r w:rsidRPr="004553D2">
              <w:t>104,1</w:t>
            </w:r>
          </w:p>
        </w:tc>
      </w:tr>
      <w:tr w:rsidR="00222BE4" w:rsidRPr="00DD28A8" w:rsidTr="002A07B4">
        <w:trPr>
          <w:trHeight w:val="283"/>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DF6810">
            <w:pPr>
              <w:rPr>
                <w:sz w:val="22"/>
                <w:szCs w:val="22"/>
              </w:rPr>
            </w:pPr>
            <w:r>
              <w:rPr>
                <w:sz w:val="22"/>
                <w:szCs w:val="22"/>
              </w:rPr>
              <w:t>п</w:t>
            </w:r>
            <w:r w:rsidRPr="00DD28A8">
              <w:rPr>
                <w:sz w:val="22"/>
                <w:szCs w:val="22"/>
              </w:rPr>
              <w:t>роизводство одежды</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108,8</w:t>
            </w:r>
          </w:p>
        </w:tc>
        <w:tc>
          <w:tcPr>
            <w:tcW w:w="1349" w:type="dxa"/>
            <w:vMerge w:val="restart"/>
            <w:shd w:val="clear" w:color="auto" w:fill="auto"/>
            <w:noWrap/>
            <w:vAlign w:val="center"/>
          </w:tcPr>
          <w:p w:rsidR="00222BE4" w:rsidRPr="008608AB" w:rsidRDefault="00222BE4">
            <w:pPr>
              <w:jc w:val="center"/>
            </w:pPr>
            <w:r w:rsidRPr="008608AB">
              <w:t>150</w:t>
            </w:r>
            <w:r>
              <w:t>,0</w:t>
            </w:r>
          </w:p>
        </w:tc>
        <w:tc>
          <w:tcPr>
            <w:tcW w:w="1180" w:type="dxa"/>
            <w:shd w:val="clear" w:color="auto" w:fill="auto"/>
            <w:noWrap/>
            <w:vAlign w:val="center"/>
          </w:tcPr>
          <w:p w:rsidR="00222BE4" w:rsidRPr="00BF2526" w:rsidRDefault="00222BE4" w:rsidP="00340D73">
            <w:pPr>
              <w:jc w:val="center"/>
            </w:pPr>
            <w:r w:rsidRPr="00BF2526">
              <w:t>100,4</w:t>
            </w:r>
          </w:p>
        </w:tc>
        <w:tc>
          <w:tcPr>
            <w:tcW w:w="1141" w:type="dxa"/>
            <w:shd w:val="clear" w:color="auto" w:fill="auto"/>
            <w:noWrap/>
            <w:vAlign w:val="center"/>
          </w:tcPr>
          <w:p w:rsidR="00222BE4" w:rsidRPr="00BF2526" w:rsidRDefault="00222BE4" w:rsidP="00340D73">
            <w:pPr>
              <w:jc w:val="center"/>
            </w:pPr>
            <w:r w:rsidRPr="00BF2526">
              <w:t>101</w:t>
            </w:r>
            <w:r>
              <w:t>,0</w:t>
            </w:r>
          </w:p>
        </w:tc>
        <w:tc>
          <w:tcPr>
            <w:tcW w:w="1272" w:type="dxa"/>
            <w:shd w:val="clear" w:color="auto" w:fill="auto"/>
            <w:noWrap/>
            <w:vAlign w:val="center"/>
          </w:tcPr>
          <w:p w:rsidR="00222BE4" w:rsidRPr="00BF2526" w:rsidRDefault="00222BE4" w:rsidP="00340D73">
            <w:pPr>
              <w:jc w:val="center"/>
            </w:pPr>
            <w:r w:rsidRPr="00BF2526">
              <w:t>102,3</w:t>
            </w:r>
          </w:p>
        </w:tc>
      </w:tr>
      <w:tr w:rsidR="00222BE4" w:rsidRPr="00DD28A8" w:rsidTr="002A07B4">
        <w:trPr>
          <w:trHeight w:val="52"/>
          <w:jc w:val="center"/>
        </w:trPr>
        <w:tc>
          <w:tcPr>
            <w:tcW w:w="771" w:type="dxa"/>
            <w:vMerge/>
            <w:shd w:val="clear" w:color="auto" w:fill="auto"/>
            <w:noWrap/>
          </w:tcPr>
          <w:p w:rsidR="00222BE4" w:rsidRPr="003304D4" w:rsidRDefault="00222BE4" w:rsidP="00F8448A">
            <w:pPr>
              <w:pStyle w:val="ab"/>
              <w:numPr>
                <w:ilvl w:val="0"/>
                <w:numId w:val="10"/>
              </w:numPr>
              <w:ind w:left="0" w:firstLine="0"/>
              <w:jc w:val="center"/>
            </w:pPr>
          </w:p>
        </w:tc>
        <w:tc>
          <w:tcPr>
            <w:tcW w:w="3780" w:type="dxa"/>
            <w:vMerge/>
            <w:shd w:val="clear" w:color="auto" w:fill="auto"/>
          </w:tcPr>
          <w:p w:rsidR="00222BE4" w:rsidRPr="00DD28A8" w:rsidRDefault="00222BE4" w:rsidP="00DF6810">
            <w:pPr>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101</w:t>
            </w:r>
            <w:r>
              <w:t>,0</w:t>
            </w:r>
          </w:p>
        </w:tc>
        <w:tc>
          <w:tcPr>
            <w:tcW w:w="1141" w:type="dxa"/>
            <w:shd w:val="clear" w:color="auto" w:fill="auto"/>
            <w:noWrap/>
            <w:vAlign w:val="center"/>
          </w:tcPr>
          <w:p w:rsidR="00222BE4" w:rsidRPr="004553D2" w:rsidRDefault="00222BE4">
            <w:pPr>
              <w:jc w:val="center"/>
            </w:pPr>
            <w:r w:rsidRPr="004553D2">
              <w:t>101,2</w:t>
            </w:r>
          </w:p>
        </w:tc>
        <w:tc>
          <w:tcPr>
            <w:tcW w:w="1272" w:type="dxa"/>
            <w:shd w:val="clear" w:color="auto" w:fill="auto"/>
            <w:noWrap/>
            <w:vAlign w:val="center"/>
          </w:tcPr>
          <w:p w:rsidR="00222BE4" w:rsidRPr="004553D2" w:rsidRDefault="00222BE4">
            <w:pPr>
              <w:jc w:val="center"/>
            </w:pPr>
            <w:r w:rsidRPr="004553D2">
              <w:t>102,6</w:t>
            </w:r>
          </w:p>
        </w:tc>
      </w:tr>
      <w:tr w:rsidR="00222BE4" w:rsidRPr="00DD28A8" w:rsidTr="002A07B4">
        <w:trPr>
          <w:trHeight w:val="283"/>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C63F32">
            <w:pPr>
              <w:rPr>
                <w:sz w:val="22"/>
                <w:szCs w:val="22"/>
              </w:rPr>
            </w:pPr>
            <w:r>
              <w:rPr>
                <w:sz w:val="22"/>
                <w:szCs w:val="22"/>
              </w:rPr>
              <w:t>п</w:t>
            </w:r>
            <w:r w:rsidRPr="00DD28A8">
              <w:rPr>
                <w:sz w:val="22"/>
                <w:szCs w:val="22"/>
              </w:rPr>
              <w:t>роизводство кожи и изделий из кожи</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72,4</w:t>
            </w:r>
          </w:p>
        </w:tc>
        <w:tc>
          <w:tcPr>
            <w:tcW w:w="1349" w:type="dxa"/>
            <w:vMerge w:val="restart"/>
            <w:shd w:val="clear" w:color="auto" w:fill="auto"/>
            <w:noWrap/>
            <w:vAlign w:val="center"/>
          </w:tcPr>
          <w:p w:rsidR="00222BE4" w:rsidRPr="008608AB" w:rsidRDefault="00222BE4">
            <w:pPr>
              <w:jc w:val="center"/>
            </w:pPr>
            <w:r w:rsidRPr="008608AB">
              <w:t>200</w:t>
            </w:r>
            <w:r>
              <w:t>,0</w:t>
            </w:r>
          </w:p>
        </w:tc>
        <w:tc>
          <w:tcPr>
            <w:tcW w:w="1180" w:type="dxa"/>
            <w:shd w:val="clear" w:color="auto" w:fill="auto"/>
            <w:noWrap/>
            <w:vAlign w:val="center"/>
          </w:tcPr>
          <w:p w:rsidR="00222BE4" w:rsidRPr="00BF2526" w:rsidRDefault="00222BE4" w:rsidP="00340D73">
            <w:pPr>
              <w:jc w:val="center"/>
            </w:pPr>
            <w:r w:rsidRPr="00BF2526">
              <w:t>85</w:t>
            </w:r>
            <w:r>
              <w:t>,0</w:t>
            </w:r>
          </w:p>
        </w:tc>
        <w:tc>
          <w:tcPr>
            <w:tcW w:w="1141" w:type="dxa"/>
            <w:shd w:val="clear" w:color="auto" w:fill="auto"/>
            <w:noWrap/>
            <w:vAlign w:val="center"/>
          </w:tcPr>
          <w:p w:rsidR="00222BE4" w:rsidRPr="00BF2526" w:rsidRDefault="00222BE4" w:rsidP="00340D73">
            <w:pPr>
              <w:jc w:val="center"/>
            </w:pPr>
            <w:r w:rsidRPr="00BF2526">
              <w:t>85,2</w:t>
            </w:r>
          </w:p>
        </w:tc>
        <w:tc>
          <w:tcPr>
            <w:tcW w:w="1272" w:type="dxa"/>
            <w:shd w:val="clear" w:color="auto" w:fill="auto"/>
            <w:noWrap/>
            <w:vAlign w:val="center"/>
          </w:tcPr>
          <w:p w:rsidR="00222BE4" w:rsidRPr="00BF2526" w:rsidRDefault="00222BE4" w:rsidP="00340D73">
            <w:pPr>
              <w:jc w:val="center"/>
            </w:pPr>
            <w:r w:rsidRPr="00BF2526">
              <w:t>80</w:t>
            </w:r>
            <w:r>
              <w:t>,0</w:t>
            </w:r>
          </w:p>
        </w:tc>
      </w:tr>
      <w:tr w:rsidR="00222BE4" w:rsidRPr="00DD28A8" w:rsidTr="002A07B4">
        <w:trPr>
          <w:trHeight w:val="52"/>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F6810">
            <w:pPr>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91</w:t>
            </w:r>
            <w:r>
              <w:t>,0</w:t>
            </w:r>
          </w:p>
        </w:tc>
        <w:tc>
          <w:tcPr>
            <w:tcW w:w="1141" w:type="dxa"/>
            <w:shd w:val="clear" w:color="auto" w:fill="auto"/>
            <w:noWrap/>
            <w:vAlign w:val="center"/>
          </w:tcPr>
          <w:p w:rsidR="00222BE4" w:rsidRPr="004553D2" w:rsidRDefault="00222BE4">
            <w:pPr>
              <w:jc w:val="center"/>
            </w:pPr>
            <w:r w:rsidRPr="004553D2">
              <w:t>91,2</w:t>
            </w:r>
          </w:p>
        </w:tc>
        <w:tc>
          <w:tcPr>
            <w:tcW w:w="1272" w:type="dxa"/>
            <w:shd w:val="clear" w:color="auto" w:fill="auto"/>
            <w:noWrap/>
            <w:vAlign w:val="center"/>
          </w:tcPr>
          <w:p w:rsidR="00222BE4" w:rsidRPr="004553D2" w:rsidRDefault="00222BE4">
            <w:pPr>
              <w:jc w:val="center"/>
            </w:pPr>
            <w:r w:rsidRPr="004553D2">
              <w:t>80,1</w:t>
            </w:r>
          </w:p>
        </w:tc>
      </w:tr>
      <w:tr w:rsidR="00222BE4" w:rsidRPr="00DD28A8" w:rsidTr="002A07B4">
        <w:trPr>
          <w:trHeight w:val="1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Default="00222BE4" w:rsidP="00DF6810">
            <w:pPr>
              <w:rPr>
                <w:sz w:val="22"/>
                <w:szCs w:val="22"/>
              </w:rPr>
            </w:pPr>
            <w:r>
              <w:rPr>
                <w:sz w:val="22"/>
                <w:szCs w:val="22"/>
              </w:rPr>
              <w:t>о</w:t>
            </w:r>
            <w:r w:rsidRPr="00DD28A8">
              <w:rPr>
                <w:sz w:val="22"/>
                <w:szCs w:val="22"/>
              </w:rPr>
              <w:t xml:space="preserve">бработка древесины и производство изделий из дерева и пробки, кроме мебели, производство изделий </w:t>
            </w:r>
          </w:p>
          <w:p w:rsidR="00222BE4" w:rsidRPr="00DD28A8" w:rsidRDefault="00222BE4" w:rsidP="00DF6810">
            <w:pPr>
              <w:rPr>
                <w:sz w:val="22"/>
                <w:szCs w:val="22"/>
              </w:rPr>
            </w:pPr>
            <w:r w:rsidRPr="00DD28A8">
              <w:rPr>
                <w:sz w:val="22"/>
                <w:szCs w:val="22"/>
              </w:rPr>
              <w:t>из соломки и материалов для плетения</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139,9</w:t>
            </w:r>
          </w:p>
        </w:tc>
        <w:tc>
          <w:tcPr>
            <w:tcW w:w="1349" w:type="dxa"/>
            <w:vMerge w:val="restart"/>
            <w:shd w:val="clear" w:color="auto" w:fill="auto"/>
            <w:noWrap/>
            <w:vAlign w:val="center"/>
          </w:tcPr>
          <w:p w:rsidR="00222BE4" w:rsidRPr="008608AB" w:rsidRDefault="00222BE4">
            <w:pPr>
              <w:jc w:val="center"/>
            </w:pPr>
            <w:r w:rsidRPr="008608AB">
              <w:t>90</w:t>
            </w:r>
            <w:r>
              <w:t>,0</w:t>
            </w:r>
          </w:p>
        </w:tc>
        <w:tc>
          <w:tcPr>
            <w:tcW w:w="1180" w:type="dxa"/>
            <w:shd w:val="clear" w:color="auto" w:fill="auto"/>
            <w:noWrap/>
            <w:vAlign w:val="center"/>
          </w:tcPr>
          <w:p w:rsidR="00222BE4" w:rsidRPr="00BF2526" w:rsidRDefault="00222BE4" w:rsidP="00340D73">
            <w:pPr>
              <w:jc w:val="center"/>
            </w:pPr>
            <w:r w:rsidRPr="00BF2526">
              <w:t>101,5</w:t>
            </w:r>
          </w:p>
        </w:tc>
        <w:tc>
          <w:tcPr>
            <w:tcW w:w="1141" w:type="dxa"/>
            <w:shd w:val="clear" w:color="auto" w:fill="auto"/>
            <w:noWrap/>
            <w:vAlign w:val="center"/>
          </w:tcPr>
          <w:p w:rsidR="00222BE4" w:rsidRPr="00BF2526" w:rsidRDefault="00222BE4" w:rsidP="00340D73">
            <w:pPr>
              <w:jc w:val="center"/>
            </w:pPr>
            <w:r w:rsidRPr="00BF2526">
              <w:t>102,1</w:t>
            </w:r>
          </w:p>
        </w:tc>
        <w:tc>
          <w:tcPr>
            <w:tcW w:w="1272" w:type="dxa"/>
            <w:shd w:val="clear" w:color="auto" w:fill="auto"/>
            <w:noWrap/>
            <w:vAlign w:val="center"/>
          </w:tcPr>
          <w:p w:rsidR="00222BE4" w:rsidRPr="00BF2526" w:rsidRDefault="00222BE4" w:rsidP="00340D73">
            <w:pPr>
              <w:jc w:val="center"/>
            </w:pPr>
            <w:r w:rsidRPr="00BF2526">
              <w:t>102</w:t>
            </w:r>
            <w:r>
              <w:t>,0</w:t>
            </w:r>
          </w:p>
        </w:tc>
      </w:tr>
      <w:tr w:rsidR="00222BE4" w:rsidRPr="00DD28A8" w:rsidTr="002A07B4">
        <w:trPr>
          <w:trHeight w:val="283"/>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F6810">
            <w:pPr>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104,6</w:t>
            </w:r>
          </w:p>
        </w:tc>
        <w:tc>
          <w:tcPr>
            <w:tcW w:w="1141" w:type="dxa"/>
            <w:shd w:val="clear" w:color="auto" w:fill="auto"/>
            <w:noWrap/>
            <w:vAlign w:val="center"/>
          </w:tcPr>
          <w:p w:rsidR="00222BE4" w:rsidRPr="004553D2" w:rsidRDefault="00222BE4">
            <w:pPr>
              <w:jc w:val="center"/>
            </w:pPr>
            <w:r w:rsidRPr="004553D2">
              <w:t>104,2</w:t>
            </w:r>
          </w:p>
        </w:tc>
        <w:tc>
          <w:tcPr>
            <w:tcW w:w="1272" w:type="dxa"/>
            <w:shd w:val="clear" w:color="auto" w:fill="auto"/>
            <w:noWrap/>
            <w:vAlign w:val="center"/>
          </w:tcPr>
          <w:p w:rsidR="00222BE4" w:rsidRPr="004553D2" w:rsidRDefault="00222BE4">
            <w:pPr>
              <w:jc w:val="center"/>
            </w:pPr>
            <w:r w:rsidRPr="004553D2">
              <w:t>104</w:t>
            </w:r>
            <w:r>
              <w:t>,0</w:t>
            </w:r>
          </w:p>
        </w:tc>
      </w:tr>
      <w:tr w:rsidR="00222BE4" w:rsidRPr="00DD28A8" w:rsidTr="002A07B4">
        <w:trPr>
          <w:trHeight w:val="283"/>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DF6810">
            <w:pPr>
              <w:rPr>
                <w:sz w:val="22"/>
                <w:szCs w:val="22"/>
              </w:rPr>
            </w:pPr>
            <w:r>
              <w:rPr>
                <w:sz w:val="22"/>
                <w:szCs w:val="22"/>
              </w:rPr>
              <w:t>п</w:t>
            </w:r>
            <w:r w:rsidRPr="00DD28A8">
              <w:rPr>
                <w:sz w:val="22"/>
                <w:szCs w:val="22"/>
              </w:rPr>
              <w:t>роизводство бумаги и бумажных изделий</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110,8</w:t>
            </w:r>
          </w:p>
        </w:tc>
        <w:tc>
          <w:tcPr>
            <w:tcW w:w="1349" w:type="dxa"/>
            <w:vMerge w:val="restart"/>
            <w:shd w:val="clear" w:color="auto" w:fill="auto"/>
            <w:noWrap/>
            <w:vAlign w:val="center"/>
          </w:tcPr>
          <w:p w:rsidR="00222BE4" w:rsidRPr="008608AB" w:rsidRDefault="00222BE4">
            <w:pPr>
              <w:jc w:val="center"/>
            </w:pPr>
            <w:r w:rsidRPr="008608AB">
              <w:t>94</w:t>
            </w:r>
            <w:r>
              <w:t>,0</w:t>
            </w:r>
          </w:p>
        </w:tc>
        <w:tc>
          <w:tcPr>
            <w:tcW w:w="1180" w:type="dxa"/>
            <w:shd w:val="clear" w:color="auto" w:fill="auto"/>
            <w:noWrap/>
            <w:vAlign w:val="center"/>
          </w:tcPr>
          <w:p w:rsidR="00222BE4" w:rsidRPr="00BF2526" w:rsidRDefault="00222BE4" w:rsidP="00340D73">
            <w:pPr>
              <w:jc w:val="center"/>
            </w:pPr>
            <w:r w:rsidRPr="00BF2526">
              <w:t>99,9</w:t>
            </w:r>
          </w:p>
        </w:tc>
        <w:tc>
          <w:tcPr>
            <w:tcW w:w="1141" w:type="dxa"/>
            <w:shd w:val="clear" w:color="auto" w:fill="auto"/>
            <w:noWrap/>
            <w:vAlign w:val="center"/>
          </w:tcPr>
          <w:p w:rsidR="00222BE4" w:rsidRPr="00BF2526" w:rsidRDefault="00222BE4" w:rsidP="00340D73">
            <w:pPr>
              <w:jc w:val="center"/>
            </w:pPr>
            <w:r w:rsidRPr="00BF2526">
              <w:t>102,4</w:t>
            </w:r>
          </w:p>
        </w:tc>
        <w:tc>
          <w:tcPr>
            <w:tcW w:w="1272" w:type="dxa"/>
            <w:shd w:val="clear" w:color="auto" w:fill="auto"/>
            <w:noWrap/>
            <w:vAlign w:val="center"/>
          </w:tcPr>
          <w:p w:rsidR="00222BE4" w:rsidRPr="00BF2526" w:rsidRDefault="00222BE4" w:rsidP="00340D73">
            <w:pPr>
              <w:jc w:val="center"/>
            </w:pPr>
            <w:r w:rsidRPr="00BF2526">
              <w:t>103,2</w:t>
            </w:r>
          </w:p>
        </w:tc>
      </w:tr>
      <w:tr w:rsidR="00222BE4" w:rsidRPr="00DD28A8" w:rsidTr="002A07B4">
        <w:trPr>
          <w:trHeight w:val="52"/>
          <w:jc w:val="center"/>
        </w:trPr>
        <w:tc>
          <w:tcPr>
            <w:tcW w:w="771" w:type="dxa"/>
            <w:vMerge/>
            <w:tcBorders>
              <w:bottom w:val="single" w:sz="4" w:space="0" w:color="auto"/>
            </w:tcBorders>
            <w:shd w:val="clear" w:color="auto" w:fill="auto"/>
            <w:noWrap/>
          </w:tcPr>
          <w:p w:rsidR="00222BE4" w:rsidRPr="003304D4" w:rsidRDefault="00222BE4" w:rsidP="00222BE4">
            <w:pPr>
              <w:pStyle w:val="ab"/>
              <w:numPr>
                <w:ilvl w:val="0"/>
                <w:numId w:val="11"/>
              </w:numPr>
              <w:ind w:left="0" w:firstLine="284"/>
              <w:jc w:val="center"/>
            </w:pPr>
          </w:p>
        </w:tc>
        <w:tc>
          <w:tcPr>
            <w:tcW w:w="3780" w:type="dxa"/>
            <w:vMerge/>
            <w:tcBorders>
              <w:bottom w:val="single" w:sz="4" w:space="0" w:color="auto"/>
            </w:tcBorders>
            <w:shd w:val="clear" w:color="auto" w:fill="auto"/>
          </w:tcPr>
          <w:p w:rsidR="00222BE4" w:rsidRPr="00DD28A8" w:rsidRDefault="00222BE4" w:rsidP="00DF6810">
            <w:pPr>
              <w:rPr>
                <w:sz w:val="22"/>
                <w:szCs w:val="22"/>
              </w:rPr>
            </w:pPr>
          </w:p>
        </w:tc>
        <w:tc>
          <w:tcPr>
            <w:tcW w:w="2401" w:type="dxa"/>
            <w:vMerge/>
            <w:tcBorders>
              <w:bottom w:val="single" w:sz="4" w:space="0" w:color="auto"/>
            </w:tcBorders>
            <w:shd w:val="clear" w:color="auto" w:fill="auto"/>
          </w:tcPr>
          <w:p w:rsidR="00222BE4" w:rsidRPr="00DD28A8" w:rsidRDefault="00222BE4" w:rsidP="00DD28A8">
            <w:pPr>
              <w:jc w:val="center"/>
              <w:rPr>
                <w:sz w:val="22"/>
                <w:szCs w:val="22"/>
              </w:rPr>
            </w:pPr>
          </w:p>
        </w:tc>
        <w:tc>
          <w:tcPr>
            <w:tcW w:w="1862" w:type="dxa"/>
            <w:tcBorders>
              <w:bottom w:val="single" w:sz="4" w:space="0" w:color="auto"/>
            </w:tcBorders>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tcBorders>
              <w:bottom w:val="single" w:sz="4" w:space="0" w:color="auto"/>
            </w:tcBorders>
            <w:shd w:val="clear" w:color="auto" w:fill="auto"/>
            <w:noWrap/>
            <w:vAlign w:val="center"/>
          </w:tcPr>
          <w:p w:rsidR="00222BE4" w:rsidRPr="00ED6E4F" w:rsidRDefault="00222BE4" w:rsidP="00ED6E4F">
            <w:pPr>
              <w:jc w:val="center"/>
            </w:pPr>
          </w:p>
        </w:tc>
        <w:tc>
          <w:tcPr>
            <w:tcW w:w="1349" w:type="dxa"/>
            <w:vMerge/>
            <w:tcBorders>
              <w:bottom w:val="single" w:sz="4" w:space="0" w:color="auto"/>
            </w:tcBorders>
            <w:shd w:val="clear" w:color="auto" w:fill="auto"/>
            <w:noWrap/>
            <w:vAlign w:val="center"/>
          </w:tcPr>
          <w:p w:rsidR="00222BE4" w:rsidRPr="00ED6E4F" w:rsidRDefault="00222BE4" w:rsidP="00ED6E4F">
            <w:pPr>
              <w:jc w:val="center"/>
            </w:pPr>
          </w:p>
        </w:tc>
        <w:tc>
          <w:tcPr>
            <w:tcW w:w="1180" w:type="dxa"/>
            <w:tcBorders>
              <w:bottom w:val="single" w:sz="4" w:space="0" w:color="auto"/>
            </w:tcBorders>
            <w:shd w:val="clear" w:color="auto" w:fill="auto"/>
            <w:noWrap/>
            <w:vAlign w:val="center"/>
          </w:tcPr>
          <w:p w:rsidR="00222BE4" w:rsidRPr="004553D2" w:rsidRDefault="00222BE4">
            <w:pPr>
              <w:jc w:val="center"/>
            </w:pPr>
            <w:r w:rsidRPr="004553D2">
              <w:t>101,2</w:t>
            </w:r>
          </w:p>
        </w:tc>
        <w:tc>
          <w:tcPr>
            <w:tcW w:w="1141" w:type="dxa"/>
            <w:tcBorders>
              <w:bottom w:val="single" w:sz="4" w:space="0" w:color="auto"/>
            </w:tcBorders>
            <w:shd w:val="clear" w:color="auto" w:fill="auto"/>
            <w:noWrap/>
            <w:vAlign w:val="center"/>
          </w:tcPr>
          <w:p w:rsidR="00222BE4" w:rsidRPr="004553D2" w:rsidRDefault="00222BE4">
            <w:pPr>
              <w:jc w:val="center"/>
            </w:pPr>
            <w:r w:rsidRPr="004553D2">
              <w:t>103</w:t>
            </w:r>
            <w:r>
              <w:t>,0</w:t>
            </w:r>
          </w:p>
        </w:tc>
        <w:tc>
          <w:tcPr>
            <w:tcW w:w="1272" w:type="dxa"/>
            <w:tcBorders>
              <w:bottom w:val="single" w:sz="4" w:space="0" w:color="auto"/>
            </w:tcBorders>
            <w:shd w:val="clear" w:color="auto" w:fill="auto"/>
            <w:noWrap/>
            <w:vAlign w:val="center"/>
          </w:tcPr>
          <w:p w:rsidR="00222BE4" w:rsidRPr="004553D2" w:rsidRDefault="00222BE4">
            <w:pPr>
              <w:jc w:val="center"/>
            </w:pPr>
            <w:r w:rsidRPr="004553D2">
              <w:t>104,2</w:t>
            </w:r>
          </w:p>
        </w:tc>
      </w:tr>
      <w:tr w:rsidR="00222BE4" w:rsidRPr="00DD28A8" w:rsidTr="002A07B4">
        <w:trPr>
          <w:trHeight w:val="283"/>
          <w:jc w:val="center"/>
        </w:trPr>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tcBorders>
              <w:top w:val="single" w:sz="4" w:space="0" w:color="auto"/>
              <w:left w:val="single" w:sz="4" w:space="0" w:color="auto"/>
              <w:bottom w:val="single" w:sz="4" w:space="0" w:color="auto"/>
              <w:right w:val="single" w:sz="4" w:space="0" w:color="auto"/>
            </w:tcBorders>
            <w:shd w:val="clear" w:color="auto" w:fill="auto"/>
          </w:tcPr>
          <w:p w:rsidR="00222BE4" w:rsidRDefault="00222BE4" w:rsidP="00DF6810">
            <w:pPr>
              <w:rPr>
                <w:sz w:val="22"/>
                <w:szCs w:val="22"/>
              </w:rPr>
            </w:pPr>
            <w:r>
              <w:rPr>
                <w:sz w:val="22"/>
                <w:szCs w:val="22"/>
              </w:rPr>
              <w:t>д</w:t>
            </w:r>
            <w:r w:rsidRPr="00DD28A8">
              <w:rPr>
                <w:sz w:val="22"/>
                <w:szCs w:val="22"/>
              </w:rPr>
              <w:t xml:space="preserve">еятельность полиграфическая </w:t>
            </w:r>
          </w:p>
          <w:p w:rsidR="00222BE4" w:rsidRPr="00DD28A8" w:rsidRDefault="00222BE4" w:rsidP="00DF6810">
            <w:pPr>
              <w:rPr>
                <w:sz w:val="22"/>
                <w:szCs w:val="22"/>
              </w:rPr>
            </w:pPr>
            <w:r w:rsidRPr="00DD28A8">
              <w:rPr>
                <w:sz w:val="22"/>
                <w:szCs w:val="22"/>
              </w:rPr>
              <w:t>и копирование носителей информации</w:t>
            </w:r>
          </w:p>
        </w:tc>
        <w:tc>
          <w:tcPr>
            <w:tcW w:w="2401" w:type="dxa"/>
            <w:vMerge w:val="restart"/>
            <w:tcBorders>
              <w:top w:val="single" w:sz="4" w:space="0" w:color="auto"/>
              <w:left w:val="single" w:sz="4" w:space="0" w:color="auto"/>
              <w:bottom w:val="single" w:sz="4" w:space="0" w:color="auto"/>
              <w:right w:val="single" w:sz="4" w:space="0" w:color="auto"/>
            </w:tcBorders>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8608AB" w:rsidRDefault="00222BE4">
            <w:pPr>
              <w:jc w:val="center"/>
            </w:pPr>
            <w:r w:rsidRPr="008608AB">
              <w:t>150,6</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8608AB" w:rsidRDefault="00222BE4">
            <w:pPr>
              <w:jc w:val="center"/>
            </w:pPr>
            <w:r w:rsidRPr="008608AB">
              <w:t>120</w:t>
            </w:r>
            <w: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BF2526" w:rsidRDefault="00222BE4" w:rsidP="00340D73">
            <w:pPr>
              <w:jc w:val="center"/>
            </w:pPr>
            <w:r w:rsidRPr="00BF2526">
              <w:t>100,3</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BF2526" w:rsidRDefault="00222BE4" w:rsidP="00340D73">
            <w:pPr>
              <w:jc w:val="center"/>
            </w:pPr>
            <w:r w:rsidRPr="00BF2526">
              <w:t>100,5</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BF2526" w:rsidRDefault="00222BE4" w:rsidP="00340D73">
            <w:pPr>
              <w:jc w:val="center"/>
            </w:pPr>
            <w:r w:rsidRPr="00BF2526">
              <w:t>101,6</w:t>
            </w:r>
          </w:p>
        </w:tc>
      </w:tr>
      <w:tr w:rsidR="00222BE4" w:rsidRPr="00DD28A8" w:rsidTr="002A07B4">
        <w:trPr>
          <w:trHeight w:val="108"/>
          <w:jc w:val="center"/>
        </w:trPr>
        <w:tc>
          <w:tcPr>
            <w:tcW w:w="771" w:type="dxa"/>
            <w:vMerge/>
            <w:tcBorders>
              <w:top w:val="single" w:sz="4" w:space="0" w:color="auto"/>
              <w:left w:val="single" w:sz="4" w:space="0" w:color="auto"/>
              <w:bottom w:val="single" w:sz="4" w:space="0" w:color="auto"/>
              <w:right w:val="single" w:sz="4" w:space="0" w:color="auto"/>
            </w:tcBorders>
            <w:shd w:val="clear" w:color="auto" w:fill="auto"/>
            <w:noWrap/>
          </w:tcPr>
          <w:p w:rsidR="00222BE4" w:rsidRPr="003304D4" w:rsidRDefault="00222BE4" w:rsidP="00222BE4">
            <w:pPr>
              <w:pStyle w:val="ab"/>
              <w:numPr>
                <w:ilvl w:val="0"/>
                <w:numId w:val="11"/>
              </w:numPr>
              <w:ind w:left="0" w:firstLine="284"/>
              <w:jc w:val="center"/>
            </w:pPr>
          </w:p>
        </w:tc>
        <w:tc>
          <w:tcPr>
            <w:tcW w:w="3780" w:type="dxa"/>
            <w:vMerge/>
            <w:tcBorders>
              <w:top w:val="single" w:sz="4" w:space="0" w:color="auto"/>
              <w:left w:val="single" w:sz="4" w:space="0" w:color="auto"/>
              <w:bottom w:val="single" w:sz="4" w:space="0" w:color="auto"/>
              <w:right w:val="single" w:sz="4" w:space="0" w:color="auto"/>
            </w:tcBorders>
            <w:shd w:val="clear" w:color="auto" w:fill="auto"/>
          </w:tcPr>
          <w:p w:rsidR="00222BE4" w:rsidRPr="00DD28A8" w:rsidRDefault="00222BE4" w:rsidP="00DF6810">
            <w:pPr>
              <w:rPr>
                <w:sz w:val="22"/>
                <w:szCs w:val="22"/>
              </w:rPr>
            </w:pPr>
          </w:p>
        </w:tc>
        <w:tc>
          <w:tcPr>
            <w:tcW w:w="2401" w:type="dxa"/>
            <w:vMerge/>
            <w:tcBorders>
              <w:top w:val="single" w:sz="4" w:space="0" w:color="auto"/>
              <w:left w:val="single" w:sz="4" w:space="0" w:color="auto"/>
              <w:bottom w:val="single" w:sz="4" w:space="0" w:color="auto"/>
              <w:right w:val="single" w:sz="4" w:space="0" w:color="auto"/>
            </w:tcBorders>
            <w:shd w:val="clear" w:color="auto" w:fill="auto"/>
          </w:tcPr>
          <w:p w:rsidR="00222BE4" w:rsidRPr="00DD28A8" w:rsidRDefault="00222BE4" w:rsidP="00DD28A8">
            <w:pPr>
              <w:jc w:val="center"/>
              <w:rPr>
                <w:sz w:val="22"/>
                <w:szCs w:val="22"/>
              </w:rPr>
            </w:pP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ED6E4F" w:rsidRDefault="00222BE4" w:rsidP="00ED6E4F">
            <w:pPr>
              <w:jc w:val="center"/>
            </w:pPr>
          </w:p>
        </w:tc>
        <w:tc>
          <w:tcPr>
            <w:tcW w:w="13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ED6E4F" w:rsidRDefault="00222BE4" w:rsidP="00ED6E4F">
            <w:pPr>
              <w:jc w:val="cente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pPr>
              <w:jc w:val="center"/>
            </w:pPr>
            <w:r w:rsidRPr="004553D2">
              <w:t>100,5</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pPr>
              <w:jc w:val="center"/>
            </w:pPr>
            <w:r w:rsidRPr="004553D2">
              <w:t>100,7</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pPr>
              <w:jc w:val="center"/>
            </w:pPr>
            <w:r w:rsidRPr="004553D2">
              <w:t>101,8</w:t>
            </w:r>
          </w:p>
        </w:tc>
      </w:tr>
      <w:tr w:rsidR="00222BE4" w:rsidRPr="00DD28A8" w:rsidTr="002A07B4">
        <w:trPr>
          <w:trHeight w:val="140"/>
          <w:jc w:val="center"/>
        </w:trPr>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tcBorders>
              <w:top w:val="single" w:sz="4" w:space="0" w:color="auto"/>
              <w:left w:val="single" w:sz="4" w:space="0" w:color="auto"/>
              <w:bottom w:val="single" w:sz="4" w:space="0" w:color="auto"/>
              <w:right w:val="single" w:sz="4" w:space="0" w:color="auto"/>
            </w:tcBorders>
            <w:shd w:val="clear" w:color="auto" w:fill="auto"/>
          </w:tcPr>
          <w:p w:rsidR="00222BE4" w:rsidRPr="00DD28A8" w:rsidRDefault="00222BE4" w:rsidP="00DF6810">
            <w:pPr>
              <w:rPr>
                <w:sz w:val="22"/>
                <w:szCs w:val="22"/>
              </w:rPr>
            </w:pPr>
            <w:r>
              <w:rPr>
                <w:sz w:val="22"/>
                <w:szCs w:val="22"/>
              </w:rPr>
              <w:t xml:space="preserve">производство </w:t>
            </w:r>
            <w:r w:rsidRPr="00DD28A8">
              <w:rPr>
                <w:sz w:val="22"/>
                <w:szCs w:val="22"/>
              </w:rPr>
              <w:t>кокса и нефтепродуктов</w:t>
            </w:r>
          </w:p>
          <w:p w:rsidR="00222BE4" w:rsidRPr="00DD28A8" w:rsidRDefault="00222BE4" w:rsidP="00DF6810">
            <w:pPr>
              <w:rPr>
                <w:sz w:val="22"/>
                <w:szCs w:val="22"/>
              </w:rPr>
            </w:pPr>
          </w:p>
        </w:tc>
        <w:tc>
          <w:tcPr>
            <w:tcW w:w="2401" w:type="dxa"/>
            <w:vMerge w:val="restart"/>
            <w:tcBorders>
              <w:top w:val="single" w:sz="4" w:space="0" w:color="auto"/>
              <w:left w:val="single" w:sz="4" w:space="0" w:color="auto"/>
              <w:bottom w:val="single" w:sz="4" w:space="0" w:color="auto"/>
              <w:right w:val="single" w:sz="4" w:space="0" w:color="auto"/>
            </w:tcBorders>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8608AB" w:rsidRDefault="00222BE4">
            <w:pPr>
              <w:jc w:val="center"/>
            </w:pPr>
            <w:r w:rsidRPr="008608AB">
              <w:t>97,5</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8608AB" w:rsidRDefault="00222BE4">
            <w:pPr>
              <w:jc w:val="center"/>
            </w:pPr>
            <w:r w:rsidRPr="008608AB">
              <w:t>101</w:t>
            </w:r>
            <w: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BF2526" w:rsidRDefault="00222BE4" w:rsidP="00340D73">
            <w:pPr>
              <w:jc w:val="center"/>
            </w:pPr>
            <w:r w:rsidRPr="00BF2526">
              <w:t>100,5</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BF2526" w:rsidRDefault="00222BE4" w:rsidP="00340D73">
            <w:pPr>
              <w:jc w:val="center"/>
            </w:pPr>
            <w:r w:rsidRPr="00BF2526">
              <w:t>101</w:t>
            </w:r>
            <w:r>
              <w:t>,0</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BF2526" w:rsidRDefault="00222BE4" w:rsidP="00340D73">
            <w:pPr>
              <w:jc w:val="center"/>
            </w:pPr>
            <w:r w:rsidRPr="00BF2526">
              <w:t>101,7</w:t>
            </w:r>
          </w:p>
        </w:tc>
      </w:tr>
      <w:tr w:rsidR="00222BE4" w:rsidRPr="00DD28A8" w:rsidTr="002A07B4">
        <w:trPr>
          <w:trHeight w:val="52"/>
          <w:jc w:val="center"/>
        </w:trPr>
        <w:tc>
          <w:tcPr>
            <w:tcW w:w="771" w:type="dxa"/>
            <w:vMerge/>
            <w:tcBorders>
              <w:top w:val="single" w:sz="4" w:space="0" w:color="auto"/>
              <w:left w:val="single" w:sz="4" w:space="0" w:color="auto"/>
              <w:bottom w:val="single" w:sz="4" w:space="0" w:color="auto"/>
              <w:right w:val="single" w:sz="4" w:space="0" w:color="auto"/>
            </w:tcBorders>
            <w:shd w:val="clear" w:color="auto" w:fill="auto"/>
            <w:noWrap/>
          </w:tcPr>
          <w:p w:rsidR="00222BE4" w:rsidRPr="003304D4" w:rsidRDefault="00222BE4" w:rsidP="00222BE4">
            <w:pPr>
              <w:pStyle w:val="ab"/>
              <w:numPr>
                <w:ilvl w:val="0"/>
                <w:numId w:val="11"/>
              </w:numPr>
              <w:ind w:left="0" w:firstLine="284"/>
              <w:jc w:val="center"/>
            </w:pPr>
          </w:p>
        </w:tc>
        <w:tc>
          <w:tcPr>
            <w:tcW w:w="3780" w:type="dxa"/>
            <w:vMerge/>
            <w:tcBorders>
              <w:top w:val="single" w:sz="4" w:space="0" w:color="auto"/>
              <w:left w:val="single" w:sz="4" w:space="0" w:color="auto"/>
              <w:bottom w:val="single" w:sz="4" w:space="0" w:color="auto"/>
              <w:right w:val="single" w:sz="4" w:space="0" w:color="auto"/>
            </w:tcBorders>
            <w:shd w:val="clear" w:color="auto" w:fill="auto"/>
          </w:tcPr>
          <w:p w:rsidR="00222BE4" w:rsidRPr="00DD28A8" w:rsidRDefault="00222BE4" w:rsidP="00DD28A8">
            <w:pPr>
              <w:ind w:left="128"/>
              <w:rPr>
                <w:sz w:val="22"/>
                <w:szCs w:val="22"/>
              </w:rPr>
            </w:pPr>
          </w:p>
        </w:tc>
        <w:tc>
          <w:tcPr>
            <w:tcW w:w="2401" w:type="dxa"/>
            <w:vMerge/>
            <w:tcBorders>
              <w:top w:val="single" w:sz="4" w:space="0" w:color="auto"/>
              <w:left w:val="single" w:sz="4" w:space="0" w:color="auto"/>
              <w:bottom w:val="single" w:sz="4" w:space="0" w:color="auto"/>
              <w:right w:val="single" w:sz="4" w:space="0" w:color="auto"/>
            </w:tcBorders>
            <w:shd w:val="clear" w:color="auto" w:fill="auto"/>
          </w:tcPr>
          <w:p w:rsidR="00222BE4" w:rsidRPr="00DD28A8" w:rsidRDefault="00222BE4" w:rsidP="00DD28A8">
            <w:pPr>
              <w:jc w:val="center"/>
              <w:rPr>
                <w:sz w:val="22"/>
                <w:szCs w:val="22"/>
              </w:rPr>
            </w:pP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ED6E4F" w:rsidRDefault="00222BE4" w:rsidP="00ED6E4F">
            <w:pPr>
              <w:jc w:val="center"/>
            </w:pPr>
          </w:p>
        </w:tc>
        <w:tc>
          <w:tcPr>
            <w:tcW w:w="13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ED6E4F" w:rsidRDefault="00222BE4" w:rsidP="00ED6E4F">
            <w:pPr>
              <w:jc w:val="cente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pPr>
              <w:jc w:val="center"/>
            </w:pPr>
            <w:r w:rsidRPr="004553D2">
              <w:t>102,4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pPr>
              <w:jc w:val="center"/>
            </w:pPr>
            <w:r w:rsidRPr="004553D2">
              <w:t>100,7</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pPr>
              <w:jc w:val="center"/>
            </w:pPr>
            <w:r w:rsidRPr="004553D2">
              <w:t>101,9</w:t>
            </w:r>
          </w:p>
        </w:tc>
      </w:tr>
      <w:tr w:rsidR="00222BE4" w:rsidRPr="00DD28A8" w:rsidTr="002A07B4">
        <w:trPr>
          <w:trHeight w:val="283"/>
          <w:jc w:val="center"/>
        </w:trPr>
        <w:tc>
          <w:tcPr>
            <w:tcW w:w="771" w:type="dxa"/>
            <w:vMerge w:val="restart"/>
            <w:tcBorders>
              <w:top w:val="single" w:sz="4" w:space="0" w:color="auto"/>
            </w:tcBorders>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tcBorders>
              <w:top w:val="single" w:sz="4" w:space="0" w:color="auto"/>
            </w:tcBorders>
            <w:shd w:val="clear" w:color="auto" w:fill="auto"/>
          </w:tcPr>
          <w:p w:rsidR="00222BE4" w:rsidRDefault="00222BE4" w:rsidP="003304D4">
            <w:pPr>
              <w:pageBreakBefore/>
              <w:rPr>
                <w:sz w:val="22"/>
                <w:szCs w:val="22"/>
              </w:rPr>
            </w:pPr>
            <w:r>
              <w:rPr>
                <w:sz w:val="22"/>
                <w:szCs w:val="22"/>
              </w:rPr>
              <w:t>п</w:t>
            </w:r>
            <w:r w:rsidRPr="00DD28A8">
              <w:rPr>
                <w:sz w:val="22"/>
                <w:szCs w:val="22"/>
              </w:rPr>
              <w:t>роизводство химических веществ</w:t>
            </w:r>
            <w:r>
              <w:rPr>
                <w:sz w:val="22"/>
                <w:szCs w:val="22"/>
              </w:rPr>
              <w:t xml:space="preserve"> </w:t>
            </w:r>
          </w:p>
          <w:p w:rsidR="00222BE4" w:rsidRPr="00DD28A8" w:rsidRDefault="00222BE4" w:rsidP="003304D4">
            <w:pPr>
              <w:pageBreakBefore/>
              <w:rPr>
                <w:sz w:val="22"/>
                <w:szCs w:val="22"/>
              </w:rPr>
            </w:pPr>
            <w:r w:rsidRPr="00DD28A8">
              <w:rPr>
                <w:sz w:val="22"/>
                <w:szCs w:val="22"/>
              </w:rPr>
              <w:t>и химических продуктов</w:t>
            </w:r>
          </w:p>
        </w:tc>
        <w:tc>
          <w:tcPr>
            <w:tcW w:w="2401" w:type="dxa"/>
            <w:vMerge w:val="restart"/>
            <w:tcBorders>
              <w:top w:val="single" w:sz="4" w:space="0" w:color="auto"/>
            </w:tcBorders>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tcBorders>
              <w:top w:val="single" w:sz="4" w:space="0" w:color="auto"/>
            </w:tcBorders>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tcBorders>
              <w:top w:val="single" w:sz="4" w:space="0" w:color="auto"/>
            </w:tcBorders>
            <w:shd w:val="clear" w:color="auto" w:fill="auto"/>
            <w:noWrap/>
            <w:vAlign w:val="center"/>
          </w:tcPr>
          <w:p w:rsidR="00222BE4" w:rsidRPr="008608AB" w:rsidRDefault="00222BE4">
            <w:pPr>
              <w:jc w:val="center"/>
            </w:pPr>
            <w:r w:rsidRPr="008608AB">
              <w:t>99,7</w:t>
            </w:r>
          </w:p>
        </w:tc>
        <w:tc>
          <w:tcPr>
            <w:tcW w:w="1349" w:type="dxa"/>
            <w:vMerge w:val="restart"/>
            <w:tcBorders>
              <w:top w:val="single" w:sz="4" w:space="0" w:color="auto"/>
            </w:tcBorders>
            <w:shd w:val="clear" w:color="auto" w:fill="auto"/>
            <w:noWrap/>
            <w:vAlign w:val="center"/>
          </w:tcPr>
          <w:p w:rsidR="00222BE4" w:rsidRPr="008608AB" w:rsidRDefault="00222BE4">
            <w:pPr>
              <w:jc w:val="center"/>
            </w:pPr>
            <w:r w:rsidRPr="008608AB">
              <w:t>99</w:t>
            </w:r>
            <w:r>
              <w:t>,0</w:t>
            </w:r>
          </w:p>
        </w:tc>
        <w:tc>
          <w:tcPr>
            <w:tcW w:w="1180" w:type="dxa"/>
            <w:tcBorders>
              <w:top w:val="single" w:sz="4" w:space="0" w:color="auto"/>
            </w:tcBorders>
            <w:shd w:val="clear" w:color="auto" w:fill="auto"/>
            <w:noWrap/>
            <w:vAlign w:val="center"/>
          </w:tcPr>
          <w:p w:rsidR="00222BE4" w:rsidRPr="00BF2526" w:rsidRDefault="00222BE4" w:rsidP="00340D73">
            <w:pPr>
              <w:jc w:val="center"/>
            </w:pPr>
            <w:r w:rsidRPr="00BF2526">
              <w:t>101,2</w:t>
            </w:r>
          </w:p>
        </w:tc>
        <w:tc>
          <w:tcPr>
            <w:tcW w:w="1141" w:type="dxa"/>
            <w:tcBorders>
              <w:top w:val="single" w:sz="4" w:space="0" w:color="auto"/>
            </w:tcBorders>
            <w:shd w:val="clear" w:color="auto" w:fill="auto"/>
            <w:noWrap/>
            <w:vAlign w:val="center"/>
          </w:tcPr>
          <w:p w:rsidR="00222BE4" w:rsidRPr="00BF2526" w:rsidRDefault="00222BE4" w:rsidP="00340D73">
            <w:pPr>
              <w:jc w:val="center"/>
            </w:pPr>
            <w:r w:rsidRPr="00BF2526">
              <w:t>106</w:t>
            </w:r>
            <w:r>
              <w:t>,0</w:t>
            </w:r>
          </w:p>
        </w:tc>
        <w:tc>
          <w:tcPr>
            <w:tcW w:w="1272" w:type="dxa"/>
            <w:tcBorders>
              <w:top w:val="single" w:sz="4" w:space="0" w:color="auto"/>
            </w:tcBorders>
            <w:shd w:val="clear" w:color="auto" w:fill="auto"/>
            <w:noWrap/>
            <w:vAlign w:val="center"/>
          </w:tcPr>
          <w:p w:rsidR="00222BE4" w:rsidRPr="00BF2526" w:rsidRDefault="00222BE4" w:rsidP="00340D73">
            <w:pPr>
              <w:jc w:val="center"/>
            </w:pPr>
            <w:r w:rsidRPr="00BF2526">
              <w:t>106</w:t>
            </w:r>
            <w:r>
              <w:t>,0</w:t>
            </w:r>
          </w:p>
        </w:tc>
      </w:tr>
      <w:tr w:rsidR="00222BE4" w:rsidRPr="00DD28A8" w:rsidTr="002A07B4">
        <w:trPr>
          <w:trHeight w:val="283"/>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ind w:left="128"/>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103,4</w:t>
            </w:r>
          </w:p>
        </w:tc>
        <w:tc>
          <w:tcPr>
            <w:tcW w:w="1141" w:type="dxa"/>
            <w:shd w:val="clear" w:color="auto" w:fill="auto"/>
            <w:noWrap/>
            <w:vAlign w:val="center"/>
          </w:tcPr>
          <w:p w:rsidR="00222BE4" w:rsidRPr="004553D2" w:rsidRDefault="00222BE4">
            <w:pPr>
              <w:jc w:val="center"/>
            </w:pPr>
            <w:r w:rsidRPr="004553D2">
              <w:t>106,7</w:t>
            </w:r>
          </w:p>
        </w:tc>
        <w:tc>
          <w:tcPr>
            <w:tcW w:w="1272" w:type="dxa"/>
            <w:shd w:val="clear" w:color="auto" w:fill="auto"/>
            <w:noWrap/>
            <w:vAlign w:val="center"/>
          </w:tcPr>
          <w:p w:rsidR="00222BE4" w:rsidRPr="004553D2" w:rsidRDefault="00222BE4">
            <w:pPr>
              <w:jc w:val="center"/>
            </w:pPr>
            <w:r w:rsidRPr="004553D2">
              <w:t>106,4</w:t>
            </w:r>
          </w:p>
        </w:tc>
      </w:tr>
      <w:tr w:rsidR="00222BE4" w:rsidRPr="00DD28A8" w:rsidTr="002A07B4">
        <w:trPr>
          <w:trHeight w:val="131"/>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Default="00222BE4" w:rsidP="003304D4">
            <w:pPr>
              <w:rPr>
                <w:sz w:val="22"/>
                <w:szCs w:val="22"/>
              </w:rPr>
            </w:pPr>
            <w:r>
              <w:rPr>
                <w:sz w:val="22"/>
                <w:szCs w:val="22"/>
              </w:rPr>
              <w:t>п</w:t>
            </w:r>
            <w:r w:rsidRPr="00DD28A8">
              <w:rPr>
                <w:sz w:val="22"/>
                <w:szCs w:val="22"/>
              </w:rPr>
              <w:t xml:space="preserve">роизводство лекарственных средств </w:t>
            </w:r>
          </w:p>
          <w:p w:rsidR="00222BE4" w:rsidRDefault="00222BE4" w:rsidP="003304D4">
            <w:pPr>
              <w:rPr>
                <w:sz w:val="22"/>
                <w:szCs w:val="22"/>
              </w:rPr>
            </w:pPr>
            <w:r w:rsidRPr="00DD28A8">
              <w:rPr>
                <w:sz w:val="22"/>
                <w:szCs w:val="22"/>
              </w:rPr>
              <w:t xml:space="preserve">и материалов, применяемых </w:t>
            </w:r>
          </w:p>
          <w:p w:rsidR="00222BE4" w:rsidRPr="00DD28A8" w:rsidRDefault="00222BE4" w:rsidP="003304D4">
            <w:pPr>
              <w:rPr>
                <w:sz w:val="22"/>
                <w:szCs w:val="22"/>
              </w:rPr>
            </w:pPr>
            <w:r w:rsidRPr="00DD28A8">
              <w:rPr>
                <w:sz w:val="22"/>
                <w:szCs w:val="22"/>
              </w:rPr>
              <w:t xml:space="preserve">в медицинских целях </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119,2</w:t>
            </w:r>
          </w:p>
        </w:tc>
        <w:tc>
          <w:tcPr>
            <w:tcW w:w="1349" w:type="dxa"/>
            <w:vMerge w:val="restart"/>
            <w:shd w:val="clear" w:color="auto" w:fill="auto"/>
            <w:noWrap/>
            <w:vAlign w:val="center"/>
          </w:tcPr>
          <w:p w:rsidR="00222BE4" w:rsidRPr="008608AB" w:rsidRDefault="00222BE4">
            <w:pPr>
              <w:jc w:val="center"/>
            </w:pPr>
            <w:r w:rsidRPr="008608AB">
              <w:t>110</w:t>
            </w:r>
            <w:r>
              <w:t>,0</w:t>
            </w:r>
          </w:p>
        </w:tc>
        <w:tc>
          <w:tcPr>
            <w:tcW w:w="1180" w:type="dxa"/>
            <w:shd w:val="clear" w:color="auto" w:fill="auto"/>
            <w:noWrap/>
            <w:vAlign w:val="center"/>
          </w:tcPr>
          <w:p w:rsidR="00222BE4" w:rsidRPr="00BF2526" w:rsidRDefault="00222BE4" w:rsidP="00340D73">
            <w:pPr>
              <w:jc w:val="center"/>
            </w:pPr>
            <w:r w:rsidRPr="00BF2526">
              <w:t>99,9</w:t>
            </w:r>
          </w:p>
        </w:tc>
        <w:tc>
          <w:tcPr>
            <w:tcW w:w="1141" w:type="dxa"/>
            <w:shd w:val="clear" w:color="auto" w:fill="auto"/>
            <w:noWrap/>
            <w:vAlign w:val="center"/>
          </w:tcPr>
          <w:p w:rsidR="00222BE4" w:rsidRPr="00BF2526" w:rsidRDefault="00222BE4" w:rsidP="00340D73">
            <w:pPr>
              <w:jc w:val="center"/>
            </w:pPr>
            <w:r w:rsidRPr="00BF2526">
              <w:t>104,2</w:t>
            </w:r>
          </w:p>
        </w:tc>
        <w:tc>
          <w:tcPr>
            <w:tcW w:w="1272" w:type="dxa"/>
            <w:shd w:val="clear" w:color="auto" w:fill="auto"/>
            <w:noWrap/>
            <w:vAlign w:val="center"/>
          </w:tcPr>
          <w:p w:rsidR="00222BE4" w:rsidRPr="00BF2526" w:rsidRDefault="00222BE4" w:rsidP="00340D73">
            <w:pPr>
              <w:jc w:val="center"/>
            </w:pPr>
            <w:r w:rsidRPr="00BF2526">
              <w:t>100</w:t>
            </w:r>
            <w:r>
              <w:t>,0</w:t>
            </w:r>
          </w:p>
        </w:tc>
      </w:tr>
      <w:tr w:rsidR="00222BE4" w:rsidRPr="00DD28A8" w:rsidTr="002A07B4">
        <w:trPr>
          <w:trHeight w:val="283"/>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ind w:left="128"/>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102,7</w:t>
            </w:r>
          </w:p>
        </w:tc>
        <w:tc>
          <w:tcPr>
            <w:tcW w:w="1141" w:type="dxa"/>
            <w:shd w:val="clear" w:color="auto" w:fill="auto"/>
            <w:noWrap/>
            <w:vAlign w:val="center"/>
          </w:tcPr>
          <w:p w:rsidR="00222BE4" w:rsidRPr="004553D2" w:rsidRDefault="00222BE4">
            <w:pPr>
              <w:jc w:val="center"/>
            </w:pPr>
            <w:r w:rsidRPr="004553D2">
              <w:t>105,5</w:t>
            </w:r>
          </w:p>
        </w:tc>
        <w:tc>
          <w:tcPr>
            <w:tcW w:w="1272" w:type="dxa"/>
            <w:shd w:val="clear" w:color="auto" w:fill="auto"/>
            <w:noWrap/>
            <w:vAlign w:val="center"/>
          </w:tcPr>
          <w:p w:rsidR="00222BE4" w:rsidRPr="004553D2" w:rsidRDefault="00222BE4">
            <w:pPr>
              <w:jc w:val="center"/>
            </w:pPr>
            <w:r w:rsidRPr="004553D2">
              <w:t>101</w:t>
            </w:r>
            <w:r>
              <w:t>,0</w:t>
            </w:r>
          </w:p>
        </w:tc>
      </w:tr>
      <w:tr w:rsidR="00222BE4" w:rsidRPr="00DD28A8" w:rsidTr="002A07B4">
        <w:trPr>
          <w:trHeight w:val="283"/>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Default="00222BE4" w:rsidP="003304D4">
            <w:pPr>
              <w:rPr>
                <w:sz w:val="22"/>
                <w:szCs w:val="22"/>
              </w:rPr>
            </w:pPr>
            <w:r>
              <w:rPr>
                <w:sz w:val="22"/>
                <w:szCs w:val="22"/>
              </w:rPr>
              <w:t>п</w:t>
            </w:r>
            <w:r w:rsidRPr="00DD28A8">
              <w:rPr>
                <w:sz w:val="22"/>
                <w:szCs w:val="22"/>
              </w:rPr>
              <w:t xml:space="preserve">роизводство </w:t>
            </w:r>
            <w:proofErr w:type="gramStart"/>
            <w:r w:rsidRPr="00DD28A8">
              <w:rPr>
                <w:sz w:val="22"/>
                <w:szCs w:val="22"/>
              </w:rPr>
              <w:t>резиновых</w:t>
            </w:r>
            <w:proofErr w:type="gramEnd"/>
            <w:r w:rsidRPr="00DD28A8">
              <w:rPr>
                <w:sz w:val="22"/>
                <w:szCs w:val="22"/>
              </w:rPr>
              <w:t xml:space="preserve"> </w:t>
            </w:r>
          </w:p>
          <w:p w:rsidR="00222BE4" w:rsidRPr="00DD28A8" w:rsidRDefault="00222BE4" w:rsidP="003304D4">
            <w:pPr>
              <w:rPr>
                <w:sz w:val="22"/>
                <w:szCs w:val="22"/>
              </w:rPr>
            </w:pPr>
            <w:r w:rsidRPr="00DD28A8">
              <w:rPr>
                <w:sz w:val="22"/>
                <w:szCs w:val="22"/>
              </w:rPr>
              <w:t>и пластмассовых изделий</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108,7</w:t>
            </w:r>
          </w:p>
        </w:tc>
        <w:tc>
          <w:tcPr>
            <w:tcW w:w="1349" w:type="dxa"/>
            <w:vMerge w:val="restart"/>
            <w:shd w:val="clear" w:color="auto" w:fill="auto"/>
            <w:noWrap/>
            <w:vAlign w:val="center"/>
          </w:tcPr>
          <w:p w:rsidR="00222BE4" w:rsidRPr="008608AB" w:rsidRDefault="00222BE4">
            <w:pPr>
              <w:jc w:val="center"/>
            </w:pPr>
            <w:r w:rsidRPr="008608AB">
              <w:t>95</w:t>
            </w:r>
            <w:r>
              <w:t>,0</w:t>
            </w:r>
          </w:p>
        </w:tc>
        <w:tc>
          <w:tcPr>
            <w:tcW w:w="1180" w:type="dxa"/>
            <w:shd w:val="clear" w:color="auto" w:fill="auto"/>
            <w:noWrap/>
            <w:vAlign w:val="center"/>
          </w:tcPr>
          <w:p w:rsidR="00222BE4" w:rsidRPr="00BF2526" w:rsidRDefault="00222BE4" w:rsidP="00340D73">
            <w:pPr>
              <w:jc w:val="center"/>
            </w:pPr>
            <w:r w:rsidRPr="00BF2526">
              <w:t>99,3</w:t>
            </w:r>
          </w:p>
        </w:tc>
        <w:tc>
          <w:tcPr>
            <w:tcW w:w="1141" w:type="dxa"/>
            <w:shd w:val="clear" w:color="auto" w:fill="auto"/>
            <w:noWrap/>
            <w:vAlign w:val="center"/>
          </w:tcPr>
          <w:p w:rsidR="00222BE4" w:rsidRPr="00BF2526" w:rsidRDefault="00222BE4" w:rsidP="00340D73">
            <w:pPr>
              <w:jc w:val="center"/>
            </w:pPr>
            <w:r w:rsidRPr="00BF2526">
              <w:t>102,8</w:t>
            </w:r>
          </w:p>
        </w:tc>
        <w:tc>
          <w:tcPr>
            <w:tcW w:w="1272" w:type="dxa"/>
            <w:shd w:val="clear" w:color="auto" w:fill="auto"/>
            <w:noWrap/>
            <w:vAlign w:val="center"/>
          </w:tcPr>
          <w:p w:rsidR="00222BE4" w:rsidRPr="00BF2526" w:rsidRDefault="00222BE4" w:rsidP="00340D73">
            <w:pPr>
              <w:jc w:val="center"/>
            </w:pPr>
            <w:r w:rsidRPr="00BF2526">
              <w:t>100,6</w:t>
            </w:r>
          </w:p>
        </w:tc>
      </w:tr>
      <w:tr w:rsidR="00222BE4" w:rsidRPr="00DD28A8" w:rsidTr="002A07B4">
        <w:trPr>
          <w:trHeight w:val="60"/>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ind w:left="128"/>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101,5</w:t>
            </w:r>
          </w:p>
        </w:tc>
        <w:tc>
          <w:tcPr>
            <w:tcW w:w="1141" w:type="dxa"/>
            <w:shd w:val="clear" w:color="auto" w:fill="auto"/>
            <w:noWrap/>
            <w:vAlign w:val="center"/>
          </w:tcPr>
          <w:p w:rsidR="00222BE4" w:rsidRPr="004553D2" w:rsidRDefault="00222BE4">
            <w:pPr>
              <w:jc w:val="center"/>
            </w:pPr>
            <w:r w:rsidRPr="004553D2">
              <w:t>103,1</w:t>
            </w:r>
          </w:p>
        </w:tc>
        <w:tc>
          <w:tcPr>
            <w:tcW w:w="1272" w:type="dxa"/>
            <w:shd w:val="clear" w:color="auto" w:fill="auto"/>
            <w:noWrap/>
            <w:vAlign w:val="center"/>
          </w:tcPr>
          <w:p w:rsidR="00222BE4" w:rsidRPr="004553D2" w:rsidRDefault="00222BE4">
            <w:pPr>
              <w:jc w:val="center"/>
            </w:pPr>
            <w:r w:rsidRPr="004553D2">
              <w:t>100,7</w:t>
            </w:r>
          </w:p>
        </w:tc>
      </w:tr>
      <w:tr w:rsidR="00222BE4" w:rsidRPr="00DD28A8" w:rsidTr="002A07B4">
        <w:trPr>
          <w:trHeight w:val="283"/>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3304D4">
            <w:pPr>
              <w:rPr>
                <w:sz w:val="22"/>
                <w:szCs w:val="22"/>
              </w:rPr>
            </w:pPr>
            <w:r>
              <w:rPr>
                <w:sz w:val="22"/>
                <w:szCs w:val="22"/>
              </w:rPr>
              <w:t>п</w:t>
            </w:r>
            <w:r w:rsidRPr="00DD28A8">
              <w:rPr>
                <w:sz w:val="22"/>
                <w:szCs w:val="22"/>
              </w:rPr>
              <w:t xml:space="preserve">роизводство прочей неметаллической минеральной продукции </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99,4</w:t>
            </w:r>
          </w:p>
        </w:tc>
        <w:tc>
          <w:tcPr>
            <w:tcW w:w="1349" w:type="dxa"/>
            <w:vMerge w:val="restart"/>
            <w:shd w:val="clear" w:color="auto" w:fill="auto"/>
            <w:noWrap/>
            <w:vAlign w:val="center"/>
          </w:tcPr>
          <w:p w:rsidR="00222BE4" w:rsidRPr="008608AB" w:rsidRDefault="00222BE4">
            <w:pPr>
              <w:jc w:val="center"/>
            </w:pPr>
            <w:r w:rsidRPr="008608AB">
              <w:t>90</w:t>
            </w:r>
            <w:r>
              <w:t>,0</w:t>
            </w:r>
          </w:p>
        </w:tc>
        <w:tc>
          <w:tcPr>
            <w:tcW w:w="1180" w:type="dxa"/>
            <w:shd w:val="clear" w:color="auto" w:fill="auto"/>
            <w:noWrap/>
            <w:vAlign w:val="center"/>
          </w:tcPr>
          <w:p w:rsidR="00222BE4" w:rsidRPr="00BF2526" w:rsidRDefault="00222BE4" w:rsidP="00340D73">
            <w:pPr>
              <w:jc w:val="center"/>
            </w:pPr>
            <w:r w:rsidRPr="00BF2526">
              <w:t>98,6</w:t>
            </w:r>
          </w:p>
        </w:tc>
        <w:tc>
          <w:tcPr>
            <w:tcW w:w="1141" w:type="dxa"/>
            <w:shd w:val="clear" w:color="auto" w:fill="auto"/>
            <w:noWrap/>
            <w:vAlign w:val="center"/>
          </w:tcPr>
          <w:p w:rsidR="00222BE4" w:rsidRPr="00BF2526" w:rsidRDefault="00222BE4" w:rsidP="00340D73">
            <w:pPr>
              <w:jc w:val="center"/>
            </w:pPr>
            <w:r w:rsidRPr="00BF2526">
              <w:t>101</w:t>
            </w:r>
            <w:r>
              <w:t>,0</w:t>
            </w:r>
          </w:p>
        </w:tc>
        <w:tc>
          <w:tcPr>
            <w:tcW w:w="1272" w:type="dxa"/>
            <w:shd w:val="clear" w:color="auto" w:fill="auto"/>
            <w:noWrap/>
            <w:vAlign w:val="center"/>
          </w:tcPr>
          <w:p w:rsidR="00222BE4" w:rsidRPr="00BF2526" w:rsidRDefault="00222BE4" w:rsidP="00340D73">
            <w:pPr>
              <w:jc w:val="center"/>
            </w:pPr>
            <w:r w:rsidRPr="00BF2526">
              <w:t>101</w:t>
            </w:r>
            <w:r>
              <w:t>,0</w:t>
            </w:r>
          </w:p>
        </w:tc>
      </w:tr>
      <w:tr w:rsidR="00222BE4" w:rsidRPr="00DD28A8" w:rsidTr="002A07B4">
        <w:trPr>
          <w:trHeight w:val="68"/>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ind w:left="128"/>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99,6</w:t>
            </w:r>
          </w:p>
        </w:tc>
        <w:tc>
          <w:tcPr>
            <w:tcW w:w="1141" w:type="dxa"/>
            <w:shd w:val="clear" w:color="auto" w:fill="auto"/>
            <w:noWrap/>
            <w:vAlign w:val="center"/>
          </w:tcPr>
          <w:p w:rsidR="00222BE4" w:rsidRPr="004553D2" w:rsidRDefault="00222BE4">
            <w:pPr>
              <w:jc w:val="center"/>
            </w:pPr>
            <w:r w:rsidRPr="004553D2">
              <w:t>101,3</w:t>
            </w:r>
          </w:p>
        </w:tc>
        <w:tc>
          <w:tcPr>
            <w:tcW w:w="1272" w:type="dxa"/>
            <w:shd w:val="clear" w:color="auto" w:fill="auto"/>
            <w:noWrap/>
            <w:vAlign w:val="center"/>
          </w:tcPr>
          <w:p w:rsidR="00222BE4" w:rsidRPr="004553D2" w:rsidRDefault="00222BE4">
            <w:pPr>
              <w:jc w:val="center"/>
            </w:pPr>
            <w:r w:rsidRPr="004553D2">
              <w:t>101,5</w:t>
            </w:r>
          </w:p>
        </w:tc>
      </w:tr>
      <w:tr w:rsidR="00222BE4" w:rsidRPr="00DD28A8" w:rsidTr="002A07B4">
        <w:trPr>
          <w:trHeight w:val="100"/>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3304D4">
            <w:pPr>
              <w:rPr>
                <w:sz w:val="22"/>
                <w:szCs w:val="22"/>
              </w:rPr>
            </w:pPr>
            <w:r>
              <w:rPr>
                <w:sz w:val="22"/>
                <w:szCs w:val="22"/>
              </w:rPr>
              <w:t>п</w:t>
            </w:r>
            <w:r w:rsidRPr="00DD28A8">
              <w:rPr>
                <w:sz w:val="22"/>
                <w:szCs w:val="22"/>
              </w:rPr>
              <w:t>роизводство металлургическое</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123,1</w:t>
            </w:r>
          </w:p>
        </w:tc>
        <w:tc>
          <w:tcPr>
            <w:tcW w:w="1349" w:type="dxa"/>
            <w:vMerge w:val="restart"/>
            <w:shd w:val="clear" w:color="auto" w:fill="auto"/>
            <w:noWrap/>
            <w:vAlign w:val="center"/>
          </w:tcPr>
          <w:p w:rsidR="00222BE4" w:rsidRPr="008608AB" w:rsidRDefault="00222BE4">
            <w:pPr>
              <w:jc w:val="center"/>
            </w:pPr>
            <w:r w:rsidRPr="008608AB">
              <w:t>90</w:t>
            </w:r>
            <w:r>
              <w:t>,0</w:t>
            </w:r>
          </w:p>
        </w:tc>
        <w:tc>
          <w:tcPr>
            <w:tcW w:w="1180" w:type="dxa"/>
            <w:shd w:val="clear" w:color="auto" w:fill="auto"/>
            <w:noWrap/>
            <w:vAlign w:val="center"/>
          </w:tcPr>
          <w:p w:rsidR="00222BE4" w:rsidRPr="00BF2526" w:rsidRDefault="00222BE4" w:rsidP="00340D73">
            <w:pPr>
              <w:jc w:val="center"/>
            </w:pPr>
            <w:r w:rsidRPr="00BF2526">
              <w:t>98,8</w:t>
            </w:r>
          </w:p>
        </w:tc>
        <w:tc>
          <w:tcPr>
            <w:tcW w:w="1141" w:type="dxa"/>
            <w:shd w:val="clear" w:color="auto" w:fill="auto"/>
            <w:noWrap/>
            <w:vAlign w:val="center"/>
          </w:tcPr>
          <w:p w:rsidR="00222BE4" w:rsidRPr="00BF2526" w:rsidRDefault="00222BE4" w:rsidP="00340D73">
            <w:pPr>
              <w:jc w:val="center"/>
            </w:pPr>
            <w:r w:rsidRPr="00BF2526">
              <w:t>102,7</w:t>
            </w:r>
          </w:p>
        </w:tc>
        <w:tc>
          <w:tcPr>
            <w:tcW w:w="1272" w:type="dxa"/>
            <w:shd w:val="clear" w:color="auto" w:fill="auto"/>
            <w:noWrap/>
            <w:vAlign w:val="center"/>
          </w:tcPr>
          <w:p w:rsidR="00222BE4" w:rsidRPr="00BF2526" w:rsidRDefault="00222BE4" w:rsidP="00340D73">
            <w:pPr>
              <w:jc w:val="center"/>
            </w:pPr>
            <w:r w:rsidRPr="00BF2526">
              <w:t>101,7</w:t>
            </w:r>
          </w:p>
        </w:tc>
      </w:tr>
      <w:tr w:rsidR="00222BE4" w:rsidRPr="00DD28A8" w:rsidTr="002A07B4">
        <w:trPr>
          <w:trHeight w:val="118"/>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ind w:left="128"/>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100,6</w:t>
            </w:r>
          </w:p>
        </w:tc>
        <w:tc>
          <w:tcPr>
            <w:tcW w:w="1141" w:type="dxa"/>
            <w:shd w:val="clear" w:color="auto" w:fill="auto"/>
            <w:noWrap/>
            <w:vAlign w:val="center"/>
          </w:tcPr>
          <w:p w:rsidR="00222BE4" w:rsidRPr="004553D2" w:rsidRDefault="00222BE4">
            <w:pPr>
              <w:jc w:val="center"/>
            </w:pPr>
            <w:r w:rsidRPr="004553D2">
              <w:t>102,9</w:t>
            </w:r>
          </w:p>
        </w:tc>
        <w:tc>
          <w:tcPr>
            <w:tcW w:w="1272" w:type="dxa"/>
            <w:shd w:val="clear" w:color="auto" w:fill="auto"/>
            <w:noWrap/>
            <w:vAlign w:val="center"/>
          </w:tcPr>
          <w:p w:rsidR="00222BE4" w:rsidRPr="004553D2" w:rsidRDefault="00222BE4">
            <w:pPr>
              <w:jc w:val="center"/>
            </w:pPr>
            <w:r w:rsidRPr="004553D2">
              <w:t>101,9</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3304D4">
            <w:pPr>
              <w:rPr>
                <w:sz w:val="22"/>
                <w:szCs w:val="22"/>
              </w:rPr>
            </w:pPr>
            <w:r>
              <w:rPr>
                <w:sz w:val="22"/>
                <w:szCs w:val="22"/>
              </w:rPr>
              <w:t>п</w:t>
            </w:r>
            <w:r w:rsidRPr="00DD28A8">
              <w:rPr>
                <w:sz w:val="22"/>
                <w:szCs w:val="22"/>
              </w:rPr>
              <w:t>роизводство готовых металлических изделий, кроме машин и оборудования</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122,5</w:t>
            </w:r>
          </w:p>
        </w:tc>
        <w:tc>
          <w:tcPr>
            <w:tcW w:w="1349" w:type="dxa"/>
            <w:vMerge w:val="restart"/>
            <w:shd w:val="clear" w:color="auto" w:fill="auto"/>
            <w:noWrap/>
            <w:vAlign w:val="center"/>
          </w:tcPr>
          <w:p w:rsidR="00222BE4" w:rsidRPr="008608AB" w:rsidRDefault="00222BE4">
            <w:pPr>
              <w:jc w:val="center"/>
            </w:pPr>
            <w:r w:rsidRPr="008608AB">
              <w:t>96</w:t>
            </w:r>
            <w:r>
              <w:t>,0</w:t>
            </w:r>
          </w:p>
        </w:tc>
        <w:tc>
          <w:tcPr>
            <w:tcW w:w="1180" w:type="dxa"/>
            <w:shd w:val="clear" w:color="auto" w:fill="auto"/>
            <w:noWrap/>
            <w:vAlign w:val="center"/>
          </w:tcPr>
          <w:p w:rsidR="00222BE4" w:rsidRPr="00BF2526" w:rsidRDefault="00222BE4" w:rsidP="00340D73">
            <w:pPr>
              <w:jc w:val="center"/>
            </w:pPr>
            <w:r w:rsidRPr="00BF2526">
              <w:t>96,2</w:t>
            </w:r>
          </w:p>
        </w:tc>
        <w:tc>
          <w:tcPr>
            <w:tcW w:w="1141" w:type="dxa"/>
            <w:shd w:val="clear" w:color="auto" w:fill="auto"/>
            <w:noWrap/>
            <w:vAlign w:val="center"/>
          </w:tcPr>
          <w:p w:rsidR="00222BE4" w:rsidRPr="00BF2526" w:rsidRDefault="00222BE4" w:rsidP="00340D73">
            <w:pPr>
              <w:jc w:val="center"/>
            </w:pPr>
            <w:r w:rsidRPr="00BF2526">
              <w:t>105,7</w:t>
            </w:r>
          </w:p>
        </w:tc>
        <w:tc>
          <w:tcPr>
            <w:tcW w:w="1272" w:type="dxa"/>
            <w:shd w:val="clear" w:color="auto" w:fill="auto"/>
            <w:noWrap/>
            <w:vAlign w:val="center"/>
          </w:tcPr>
          <w:p w:rsidR="00222BE4" w:rsidRPr="00BF2526" w:rsidRDefault="00222BE4" w:rsidP="00340D73">
            <w:pPr>
              <w:jc w:val="center"/>
            </w:pPr>
            <w:r w:rsidRPr="00BF2526">
              <w:t>102,7</w:t>
            </w:r>
          </w:p>
        </w:tc>
      </w:tr>
      <w:tr w:rsidR="00222BE4" w:rsidRPr="00DD28A8" w:rsidTr="002A07B4">
        <w:trPr>
          <w:trHeight w:val="52"/>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ind w:left="128"/>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100,8</w:t>
            </w:r>
          </w:p>
        </w:tc>
        <w:tc>
          <w:tcPr>
            <w:tcW w:w="1141" w:type="dxa"/>
            <w:shd w:val="clear" w:color="auto" w:fill="auto"/>
            <w:noWrap/>
            <w:vAlign w:val="center"/>
          </w:tcPr>
          <w:p w:rsidR="00222BE4" w:rsidRPr="004553D2" w:rsidRDefault="00222BE4">
            <w:pPr>
              <w:jc w:val="center"/>
            </w:pPr>
            <w:r w:rsidRPr="004553D2">
              <w:t>106,1</w:t>
            </w:r>
          </w:p>
        </w:tc>
        <w:tc>
          <w:tcPr>
            <w:tcW w:w="1272" w:type="dxa"/>
            <w:shd w:val="clear" w:color="auto" w:fill="auto"/>
            <w:noWrap/>
            <w:vAlign w:val="center"/>
          </w:tcPr>
          <w:p w:rsidR="00222BE4" w:rsidRPr="004553D2" w:rsidRDefault="00222BE4">
            <w:pPr>
              <w:jc w:val="center"/>
            </w:pPr>
            <w:r w:rsidRPr="004553D2">
              <w:t>103</w:t>
            </w:r>
            <w:r>
              <w:t>,0</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3304D4">
            <w:pPr>
              <w:rPr>
                <w:sz w:val="22"/>
                <w:szCs w:val="22"/>
              </w:rPr>
            </w:pPr>
            <w:r>
              <w:rPr>
                <w:sz w:val="22"/>
                <w:szCs w:val="22"/>
              </w:rPr>
              <w:t>п</w:t>
            </w:r>
            <w:r w:rsidRPr="00DD28A8">
              <w:rPr>
                <w:sz w:val="22"/>
                <w:szCs w:val="22"/>
              </w:rPr>
              <w:t>роизводство компьютеров, электронных и оптических изделий</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94,5</w:t>
            </w:r>
          </w:p>
        </w:tc>
        <w:tc>
          <w:tcPr>
            <w:tcW w:w="1349" w:type="dxa"/>
            <w:vMerge w:val="restart"/>
            <w:shd w:val="clear" w:color="auto" w:fill="auto"/>
            <w:noWrap/>
            <w:vAlign w:val="center"/>
          </w:tcPr>
          <w:p w:rsidR="00222BE4" w:rsidRPr="008608AB" w:rsidRDefault="00222BE4">
            <w:pPr>
              <w:jc w:val="center"/>
            </w:pPr>
            <w:r w:rsidRPr="008608AB">
              <w:t>95</w:t>
            </w:r>
            <w:r>
              <w:t>,0</w:t>
            </w:r>
          </w:p>
        </w:tc>
        <w:tc>
          <w:tcPr>
            <w:tcW w:w="1180" w:type="dxa"/>
            <w:shd w:val="clear" w:color="auto" w:fill="auto"/>
            <w:noWrap/>
            <w:vAlign w:val="center"/>
          </w:tcPr>
          <w:p w:rsidR="00222BE4" w:rsidRPr="00BF2526" w:rsidRDefault="00222BE4" w:rsidP="00340D73">
            <w:pPr>
              <w:jc w:val="center"/>
            </w:pPr>
            <w:r w:rsidRPr="00BF2526">
              <w:t>98,5</w:t>
            </w:r>
          </w:p>
        </w:tc>
        <w:tc>
          <w:tcPr>
            <w:tcW w:w="1141" w:type="dxa"/>
            <w:shd w:val="clear" w:color="auto" w:fill="auto"/>
            <w:noWrap/>
            <w:vAlign w:val="center"/>
          </w:tcPr>
          <w:p w:rsidR="00222BE4" w:rsidRPr="00BF2526" w:rsidRDefault="00222BE4" w:rsidP="00340D73">
            <w:pPr>
              <w:jc w:val="center"/>
            </w:pPr>
            <w:r w:rsidRPr="00BF2526">
              <w:t>100,2</w:t>
            </w:r>
          </w:p>
        </w:tc>
        <w:tc>
          <w:tcPr>
            <w:tcW w:w="1272" w:type="dxa"/>
            <w:shd w:val="clear" w:color="auto" w:fill="auto"/>
            <w:noWrap/>
            <w:vAlign w:val="center"/>
          </w:tcPr>
          <w:p w:rsidR="00222BE4" w:rsidRPr="00BF2526" w:rsidRDefault="00222BE4" w:rsidP="00340D73">
            <w:pPr>
              <w:jc w:val="center"/>
            </w:pPr>
            <w:r w:rsidRPr="00BF2526">
              <w:t>102,5</w:t>
            </w:r>
          </w:p>
        </w:tc>
      </w:tr>
      <w:tr w:rsidR="00222BE4" w:rsidRPr="00DD28A8" w:rsidTr="002A07B4">
        <w:trPr>
          <w:trHeight w:val="52"/>
          <w:jc w:val="center"/>
        </w:trPr>
        <w:tc>
          <w:tcPr>
            <w:tcW w:w="771" w:type="dxa"/>
            <w:vMerge/>
            <w:shd w:val="clear" w:color="auto" w:fill="auto"/>
            <w:noWrap/>
          </w:tcPr>
          <w:p w:rsidR="00222BE4" w:rsidRPr="003304D4" w:rsidRDefault="00222BE4" w:rsidP="00F8448A">
            <w:pPr>
              <w:pStyle w:val="ab"/>
              <w:numPr>
                <w:ilvl w:val="0"/>
                <w:numId w:val="10"/>
              </w:numPr>
              <w:ind w:left="0" w:firstLine="0"/>
              <w:jc w:val="center"/>
            </w:pPr>
          </w:p>
        </w:tc>
        <w:tc>
          <w:tcPr>
            <w:tcW w:w="3780" w:type="dxa"/>
            <w:vMerge/>
            <w:shd w:val="clear" w:color="auto" w:fill="auto"/>
          </w:tcPr>
          <w:p w:rsidR="00222BE4" w:rsidRPr="00DD28A8" w:rsidRDefault="00222BE4" w:rsidP="00DD28A8">
            <w:pPr>
              <w:ind w:left="128"/>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99,6</w:t>
            </w:r>
          </w:p>
        </w:tc>
        <w:tc>
          <w:tcPr>
            <w:tcW w:w="1141" w:type="dxa"/>
            <w:shd w:val="clear" w:color="auto" w:fill="auto"/>
            <w:noWrap/>
            <w:vAlign w:val="center"/>
          </w:tcPr>
          <w:p w:rsidR="00222BE4" w:rsidRPr="004553D2" w:rsidRDefault="00222BE4">
            <w:pPr>
              <w:jc w:val="center"/>
            </w:pPr>
            <w:r w:rsidRPr="004553D2">
              <w:t>101,1</w:t>
            </w:r>
          </w:p>
        </w:tc>
        <w:tc>
          <w:tcPr>
            <w:tcW w:w="1272" w:type="dxa"/>
            <w:shd w:val="clear" w:color="auto" w:fill="auto"/>
            <w:noWrap/>
            <w:vAlign w:val="center"/>
          </w:tcPr>
          <w:p w:rsidR="00222BE4" w:rsidRPr="004553D2" w:rsidRDefault="00222BE4">
            <w:pPr>
              <w:jc w:val="center"/>
            </w:pPr>
            <w:r w:rsidRPr="004553D2">
              <w:t>102,7</w:t>
            </w:r>
          </w:p>
        </w:tc>
      </w:tr>
      <w:tr w:rsidR="00222BE4" w:rsidRPr="00DD28A8" w:rsidTr="002A07B4">
        <w:trPr>
          <w:trHeight w:val="79"/>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3304D4">
            <w:pPr>
              <w:rPr>
                <w:sz w:val="22"/>
                <w:szCs w:val="22"/>
              </w:rPr>
            </w:pPr>
            <w:r>
              <w:rPr>
                <w:sz w:val="22"/>
                <w:szCs w:val="22"/>
              </w:rPr>
              <w:t>п</w:t>
            </w:r>
            <w:r w:rsidRPr="00DD28A8">
              <w:rPr>
                <w:sz w:val="22"/>
                <w:szCs w:val="22"/>
              </w:rPr>
              <w:t>роизводство электрического оборудования</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101,0</w:t>
            </w:r>
          </w:p>
        </w:tc>
        <w:tc>
          <w:tcPr>
            <w:tcW w:w="1349" w:type="dxa"/>
            <w:vMerge w:val="restart"/>
            <w:shd w:val="clear" w:color="auto" w:fill="auto"/>
            <w:noWrap/>
            <w:vAlign w:val="center"/>
          </w:tcPr>
          <w:p w:rsidR="00222BE4" w:rsidRPr="008608AB" w:rsidRDefault="00222BE4">
            <w:pPr>
              <w:jc w:val="center"/>
            </w:pPr>
            <w:r w:rsidRPr="008608AB">
              <w:t>80</w:t>
            </w:r>
            <w:r>
              <w:t>,0</w:t>
            </w:r>
          </w:p>
        </w:tc>
        <w:tc>
          <w:tcPr>
            <w:tcW w:w="1180" w:type="dxa"/>
            <w:shd w:val="clear" w:color="auto" w:fill="auto"/>
            <w:noWrap/>
            <w:vAlign w:val="center"/>
          </w:tcPr>
          <w:p w:rsidR="00222BE4" w:rsidRPr="00BF2526" w:rsidRDefault="00222BE4" w:rsidP="00340D73">
            <w:pPr>
              <w:jc w:val="center"/>
            </w:pPr>
            <w:r w:rsidRPr="00BF2526">
              <w:t>99,4</w:t>
            </w:r>
          </w:p>
        </w:tc>
        <w:tc>
          <w:tcPr>
            <w:tcW w:w="1141" w:type="dxa"/>
            <w:shd w:val="clear" w:color="auto" w:fill="auto"/>
            <w:noWrap/>
            <w:vAlign w:val="center"/>
          </w:tcPr>
          <w:p w:rsidR="00222BE4" w:rsidRPr="00BF2526" w:rsidRDefault="00222BE4" w:rsidP="00340D73">
            <w:pPr>
              <w:jc w:val="center"/>
            </w:pPr>
            <w:r w:rsidRPr="00BF2526">
              <w:t>105,3</w:t>
            </w:r>
          </w:p>
        </w:tc>
        <w:tc>
          <w:tcPr>
            <w:tcW w:w="1272" w:type="dxa"/>
            <w:shd w:val="clear" w:color="auto" w:fill="auto"/>
            <w:noWrap/>
            <w:vAlign w:val="center"/>
          </w:tcPr>
          <w:p w:rsidR="00222BE4" w:rsidRPr="00BF2526" w:rsidRDefault="00222BE4" w:rsidP="00340D73">
            <w:pPr>
              <w:jc w:val="center"/>
            </w:pPr>
            <w:r w:rsidRPr="00BF2526">
              <w:t>102,2</w:t>
            </w:r>
          </w:p>
        </w:tc>
      </w:tr>
      <w:tr w:rsidR="00222BE4" w:rsidRPr="00DD28A8" w:rsidTr="002A07B4">
        <w:trPr>
          <w:trHeight w:val="84"/>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ind w:left="128"/>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100,6</w:t>
            </w:r>
          </w:p>
        </w:tc>
        <w:tc>
          <w:tcPr>
            <w:tcW w:w="1141" w:type="dxa"/>
            <w:shd w:val="clear" w:color="auto" w:fill="auto"/>
            <w:noWrap/>
            <w:vAlign w:val="center"/>
          </w:tcPr>
          <w:p w:rsidR="00222BE4" w:rsidRPr="004553D2" w:rsidRDefault="00222BE4">
            <w:pPr>
              <w:jc w:val="center"/>
            </w:pPr>
            <w:r w:rsidRPr="004553D2">
              <w:t>107,3</w:t>
            </w:r>
          </w:p>
        </w:tc>
        <w:tc>
          <w:tcPr>
            <w:tcW w:w="1272" w:type="dxa"/>
            <w:shd w:val="clear" w:color="auto" w:fill="auto"/>
            <w:noWrap/>
            <w:vAlign w:val="center"/>
          </w:tcPr>
          <w:p w:rsidR="00222BE4" w:rsidRPr="004553D2" w:rsidRDefault="00222BE4">
            <w:pPr>
              <w:jc w:val="center"/>
            </w:pPr>
            <w:r w:rsidRPr="004553D2">
              <w:t>103,2</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3304D4">
            <w:pPr>
              <w:rPr>
                <w:sz w:val="22"/>
                <w:szCs w:val="22"/>
              </w:rPr>
            </w:pPr>
            <w:r>
              <w:rPr>
                <w:sz w:val="22"/>
                <w:szCs w:val="22"/>
              </w:rPr>
              <w:t>п</w:t>
            </w:r>
            <w:r w:rsidRPr="00DD28A8">
              <w:rPr>
                <w:sz w:val="22"/>
                <w:szCs w:val="22"/>
              </w:rPr>
              <w:t xml:space="preserve">роизводство машин и оборудования, не включенных в другие группировки </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113,7</w:t>
            </w:r>
          </w:p>
        </w:tc>
        <w:tc>
          <w:tcPr>
            <w:tcW w:w="1349" w:type="dxa"/>
            <w:vMerge w:val="restart"/>
            <w:shd w:val="clear" w:color="auto" w:fill="auto"/>
            <w:noWrap/>
            <w:vAlign w:val="center"/>
          </w:tcPr>
          <w:p w:rsidR="00222BE4" w:rsidRPr="008608AB" w:rsidRDefault="00222BE4">
            <w:pPr>
              <w:jc w:val="center"/>
            </w:pPr>
            <w:r w:rsidRPr="008608AB">
              <w:t>100</w:t>
            </w:r>
            <w:r>
              <w:t>,0</w:t>
            </w:r>
          </w:p>
        </w:tc>
        <w:tc>
          <w:tcPr>
            <w:tcW w:w="1180" w:type="dxa"/>
            <w:shd w:val="clear" w:color="auto" w:fill="auto"/>
            <w:noWrap/>
            <w:vAlign w:val="center"/>
          </w:tcPr>
          <w:p w:rsidR="00222BE4" w:rsidRPr="00BF2526" w:rsidRDefault="00222BE4" w:rsidP="00340D73">
            <w:pPr>
              <w:jc w:val="center"/>
            </w:pPr>
            <w:r w:rsidRPr="00BF2526">
              <w:t>99,5</w:t>
            </w:r>
          </w:p>
        </w:tc>
        <w:tc>
          <w:tcPr>
            <w:tcW w:w="1141" w:type="dxa"/>
            <w:shd w:val="clear" w:color="auto" w:fill="auto"/>
            <w:noWrap/>
            <w:vAlign w:val="center"/>
          </w:tcPr>
          <w:p w:rsidR="00222BE4" w:rsidRPr="00BF2526" w:rsidRDefault="00222BE4" w:rsidP="00340D73">
            <w:pPr>
              <w:jc w:val="center"/>
            </w:pPr>
            <w:r w:rsidRPr="00BF2526">
              <w:t>103,2</w:t>
            </w:r>
          </w:p>
        </w:tc>
        <w:tc>
          <w:tcPr>
            <w:tcW w:w="1272" w:type="dxa"/>
            <w:shd w:val="clear" w:color="auto" w:fill="auto"/>
            <w:noWrap/>
            <w:vAlign w:val="center"/>
          </w:tcPr>
          <w:p w:rsidR="00222BE4" w:rsidRPr="00BF2526" w:rsidRDefault="00222BE4" w:rsidP="00340D73">
            <w:pPr>
              <w:jc w:val="center"/>
            </w:pPr>
            <w:r w:rsidRPr="00BF2526">
              <w:t>102,8</w:t>
            </w:r>
          </w:p>
        </w:tc>
      </w:tr>
      <w:tr w:rsidR="00222BE4" w:rsidRPr="00DD28A8" w:rsidTr="002A07B4">
        <w:trPr>
          <w:trHeight w:val="52"/>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ind w:left="128"/>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101,1</w:t>
            </w:r>
          </w:p>
        </w:tc>
        <w:tc>
          <w:tcPr>
            <w:tcW w:w="1141" w:type="dxa"/>
            <w:shd w:val="clear" w:color="auto" w:fill="auto"/>
            <w:noWrap/>
            <w:vAlign w:val="center"/>
          </w:tcPr>
          <w:p w:rsidR="00222BE4" w:rsidRPr="004553D2" w:rsidRDefault="00222BE4">
            <w:pPr>
              <w:jc w:val="center"/>
            </w:pPr>
            <w:r w:rsidRPr="004553D2">
              <w:t>103,2</w:t>
            </w:r>
          </w:p>
        </w:tc>
        <w:tc>
          <w:tcPr>
            <w:tcW w:w="1272" w:type="dxa"/>
            <w:shd w:val="clear" w:color="auto" w:fill="auto"/>
            <w:noWrap/>
            <w:vAlign w:val="center"/>
          </w:tcPr>
          <w:p w:rsidR="00222BE4" w:rsidRPr="004553D2" w:rsidRDefault="00222BE4">
            <w:pPr>
              <w:jc w:val="center"/>
            </w:pPr>
            <w:r w:rsidRPr="004553D2">
              <w:t>103</w:t>
            </w:r>
            <w:r>
              <w:t>,0</w:t>
            </w:r>
          </w:p>
        </w:tc>
      </w:tr>
      <w:tr w:rsidR="00222BE4" w:rsidRPr="00DD28A8" w:rsidTr="002A07B4">
        <w:trPr>
          <w:trHeight w:val="1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3304D4">
            <w:pPr>
              <w:rPr>
                <w:sz w:val="22"/>
                <w:szCs w:val="22"/>
              </w:rPr>
            </w:pPr>
            <w:r>
              <w:rPr>
                <w:sz w:val="22"/>
                <w:szCs w:val="22"/>
              </w:rPr>
              <w:t>п</w:t>
            </w:r>
            <w:r w:rsidRPr="00DD28A8">
              <w:rPr>
                <w:sz w:val="22"/>
                <w:szCs w:val="22"/>
              </w:rPr>
              <w:t>роизводство автотранспортных средств, прицепов и полуприцепов</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111,4</w:t>
            </w:r>
          </w:p>
        </w:tc>
        <w:tc>
          <w:tcPr>
            <w:tcW w:w="1349" w:type="dxa"/>
            <w:vMerge w:val="restart"/>
            <w:shd w:val="clear" w:color="auto" w:fill="auto"/>
            <w:noWrap/>
            <w:vAlign w:val="center"/>
          </w:tcPr>
          <w:p w:rsidR="00222BE4" w:rsidRPr="008608AB" w:rsidRDefault="00222BE4">
            <w:pPr>
              <w:jc w:val="center"/>
            </w:pPr>
            <w:r w:rsidRPr="008608AB">
              <w:t>80</w:t>
            </w:r>
            <w:r>
              <w:t>,0</w:t>
            </w:r>
          </w:p>
        </w:tc>
        <w:tc>
          <w:tcPr>
            <w:tcW w:w="1180" w:type="dxa"/>
            <w:shd w:val="clear" w:color="auto" w:fill="auto"/>
            <w:noWrap/>
            <w:vAlign w:val="center"/>
          </w:tcPr>
          <w:p w:rsidR="00222BE4" w:rsidRPr="00BF2526" w:rsidRDefault="00222BE4" w:rsidP="00340D73">
            <w:pPr>
              <w:jc w:val="center"/>
            </w:pPr>
            <w:r w:rsidRPr="00BF2526">
              <w:t>93,6</w:t>
            </w:r>
          </w:p>
        </w:tc>
        <w:tc>
          <w:tcPr>
            <w:tcW w:w="1141" w:type="dxa"/>
            <w:shd w:val="clear" w:color="auto" w:fill="auto"/>
            <w:noWrap/>
            <w:vAlign w:val="center"/>
          </w:tcPr>
          <w:p w:rsidR="00222BE4" w:rsidRPr="00BF2526" w:rsidRDefault="00222BE4" w:rsidP="00340D73">
            <w:pPr>
              <w:jc w:val="center"/>
            </w:pPr>
            <w:r w:rsidRPr="00BF2526">
              <w:t>103,5</w:t>
            </w:r>
          </w:p>
        </w:tc>
        <w:tc>
          <w:tcPr>
            <w:tcW w:w="1272" w:type="dxa"/>
            <w:shd w:val="clear" w:color="auto" w:fill="auto"/>
            <w:noWrap/>
            <w:vAlign w:val="center"/>
          </w:tcPr>
          <w:p w:rsidR="00222BE4" w:rsidRPr="00BF2526" w:rsidRDefault="00222BE4" w:rsidP="00340D73">
            <w:pPr>
              <w:jc w:val="center"/>
            </w:pPr>
            <w:r w:rsidRPr="00BF2526">
              <w:t>100,2</w:t>
            </w:r>
          </w:p>
        </w:tc>
      </w:tr>
      <w:tr w:rsidR="00222BE4" w:rsidRPr="00DD28A8" w:rsidTr="002A07B4">
        <w:trPr>
          <w:trHeight w:val="52"/>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ind w:left="128"/>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98,1</w:t>
            </w:r>
          </w:p>
        </w:tc>
        <w:tc>
          <w:tcPr>
            <w:tcW w:w="1141" w:type="dxa"/>
            <w:shd w:val="clear" w:color="auto" w:fill="auto"/>
            <w:noWrap/>
            <w:vAlign w:val="center"/>
          </w:tcPr>
          <w:p w:rsidR="00222BE4" w:rsidRPr="004553D2" w:rsidRDefault="00222BE4">
            <w:pPr>
              <w:jc w:val="center"/>
            </w:pPr>
            <w:r w:rsidRPr="004553D2">
              <w:t>103,8</w:t>
            </w:r>
          </w:p>
        </w:tc>
        <w:tc>
          <w:tcPr>
            <w:tcW w:w="1272" w:type="dxa"/>
            <w:shd w:val="clear" w:color="auto" w:fill="auto"/>
            <w:noWrap/>
            <w:vAlign w:val="center"/>
          </w:tcPr>
          <w:p w:rsidR="00222BE4" w:rsidRPr="004553D2" w:rsidRDefault="00222BE4">
            <w:pPr>
              <w:jc w:val="center"/>
            </w:pPr>
            <w:r w:rsidRPr="004553D2">
              <w:t>101,4</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3304D4">
            <w:pPr>
              <w:rPr>
                <w:sz w:val="22"/>
                <w:szCs w:val="22"/>
              </w:rPr>
            </w:pPr>
            <w:r>
              <w:rPr>
                <w:sz w:val="22"/>
                <w:szCs w:val="22"/>
              </w:rPr>
              <w:t>п</w:t>
            </w:r>
            <w:r w:rsidRPr="00DD28A8">
              <w:rPr>
                <w:sz w:val="22"/>
                <w:szCs w:val="22"/>
              </w:rPr>
              <w:t xml:space="preserve">роизводство прочих транспортных средств и оборудования </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95,3</w:t>
            </w:r>
          </w:p>
        </w:tc>
        <w:tc>
          <w:tcPr>
            <w:tcW w:w="1349" w:type="dxa"/>
            <w:vMerge w:val="restart"/>
            <w:shd w:val="clear" w:color="auto" w:fill="auto"/>
            <w:noWrap/>
            <w:vAlign w:val="center"/>
          </w:tcPr>
          <w:p w:rsidR="00222BE4" w:rsidRPr="008608AB" w:rsidRDefault="00222BE4">
            <w:pPr>
              <w:jc w:val="center"/>
            </w:pPr>
            <w:r w:rsidRPr="008608AB">
              <w:t>67</w:t>
            </w:r>
            <w:r>
              <w:t>,0</w:t>
            </w:r>
          </w:p>
        </w:tc>
        <w:tc>
          <w:tcPr>
            <w:tcW w:w="1180" w:type="dxa"/>
            <w:shd w:val="clear" w:color="auto" w:fill="auto"/>
            <w:noWrap/>
            <w:vAlign w:val="center"/>
          </w:tcPr>
          <w:p w:rsidR="00222BE4" w:rsidRPr="00BF2526" w:rsidRDefault="00222BE4" w:rsidP="00340D73">
            <w:pPr>
              <w:jc w:val="center"/>
            </w:pPr>
            <w:r w:rsidRPr="00BF2526">
              <w:t>90,8</w:t>
            </w:r>
          </w:p>
        </w:tc>
        <w:tc>
          <w:tcPr>
            <w:tcW w:w="1141" w:type="dxa"/>
            <w:shd w:val="clear" w:color="auto" w:fill="auto"/>
            <w:noWrap/>
            <w:vAlign w:val="center"/>
          </w:tcPr>
          <w:p w:rsidR="00222BE4" w:rsidRPr="00BF2526" w:rsidRDefault="00222BE4" w:rsidP="00340D73">
            <w:pPr>
              <w:jc w:val="center"/>
            </w:pPr>
            <w:r w:rsidRPr="00BF2526">
              <w:t>101,1</w:t>
            </w:r>
          </w:p>
        </w:tc>
        <w:tc>
          <w:tcPr>
            <w:tcW w:w="1272" w:type="dxa"/>
            <w:shd w:val="clear" w:color="auto" w:fill="auto"/>
            <w:noWrap/>
            <w:vAlign w:val="center"/>
          </w:tcPr>
          <w:p w:rsidR="00222BE4" w:rsidRPr="00BF2526" w:rsidRDefault="00222BE4" w:rsidP="00340D73">
            <w:pPr>
              <w:jc w:val="center"/>
            </w:pPr>
            <w:r w:rsidRPr="00BF2526">
              <w:t>100,2</w:t>
            </w:r>
          </w:p>
        </w:tc>
      </w:tr>
      <w:tr w:rsidR="00222BE4" w:rsidRPr="00DD28A8" w:rsidTr="002A07B4">
        <w:trPr>
          <w:trHeight w:val="78"/>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ind w:left="128"/>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94,8</w:t>
            </w:r>
          </w:p>
        </w:tc>
        <w:tc>
          <w:tcPr>
            <w:tcW w:w="1141" w:type="dxa"/>
            <w:shd w:val="clear" w:color="auto" w:fill="auto"/>
            <w:noWrap/>
            <w:vAlign w:val="center"/>
          </w:tcPr>
          <w:p w:rsidR="00222BE4" w:rsidRPr="004553D2" w:rsidRDefault="00222BE4">
            <w:pPr>
              <w:jc w:val="center"/>
            </w:pPr>
            <w:r w:rsidRPr="004553D2">
              <w:t>103,2</w:t>
            </w:r>
          </w:p>
        </w:tc>
        <w:tc>
          <w:tcPr>
            <w:tcW w:w="1272" w:type="dxa"/>
            <w:shd w:val="clear" w:color="auto" w:fill="auto"/>
            <w:noWrap/>
            <w:vAlign w:val="center"/>
          </w:tcPr>
          <w:p w:rsidR="00222BE4" w:rsidRPr="004553D2" w:rsidRDefault="00222BE4">
            <w:pPr>
              <w:jc w:val="center"/>
            </w:pPr>
            <w:r w:rsidRPr="004553D2">
              <w:t>102,2</w:t>
            </w:r>
          </w:p>
        </w:tc>
      </w:tr>
      <w:tr w:rsidR="00222BE4" w:rsidRPr="00DD28A8" w:rsidTr="002A07B4">
        <w:trPr>
          <w:trHeight w:val="96"/>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3304D4">
            <w:pPr>
              <w:rPr>
                <w:sz w:val="22"/>
                <w:szCs w:val="22"/>
              </w:rPr>
            </w:pPr>
            <w:r>
              <w:rPr>
                <w:sz w:val="22"/>
                <w:szCs w:val="22"/>
              </w:rPr>
              <w:t>п</w:t>
            </w:r>
            <w:r w:rsidRPr="00DD28A8">
              <w:rPr>
                <w:sz w:val="22"/>
                <w:szCs w:val="22"/>
              </w:rPr>
              <w:t>роизводство мебели</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109,8</w:t>
            </w:r>
          </w:p>
        </w:tc>
        <w:tc>
          <w:tcPr>
            <w:tcW w:w="1349" w:type="dxa"/>
            <w:vMerge w:val="restart"/>
            <w:shd w:val="clear" w:color="auto" w:fill="auto"/>
            <w:noWrap/>
            <w:vAlign w:val="center"/>
          </w:tcPr>
          <w:p w:rsidR="00222BE4" w:rsidRPr="008608AB" w:rsidRDefault="00222BE4">
            <w:pPr>
              <w:jc w:val="center"/>
            </w:pPr>
            <w:r w:rsidRPr="008608AB">
              <w:t>80</w:t>
            </w:r>
            <w:r>
              <w:t>,0</w:t>
            </w:r>
          </w:p>
        </w:tc>
        <w:tc>
          <w:tcPr>
            <w:tcW w:w="1180" w:type="dxa"/>
            <w:shd w:val="clear" w:color="auto" w:fill="auto"/>
            <w:noWrap/>
            <w:vAlign w:val="center"/>
          </w:tcPr>
          <w:p w:rsidR="00222BE4" w:rsidRPr="00BF2526" w:rsidRDefault="00222BE4" w:rsidP="00340D73">
            <w:pPr>
              <w:jc w:val="center"/>
            </w:pPr>
            <w:r w:rsidRPr="00BF2526">
              <w:t>99,9</w:t>
            </w:r>
          </w:p>
        </w:tc>
        <w:tc>
          <w:tcPr>
            <w:tcW w:w="1141" w:type="dxa"/>
            <w:shd w:val="clear" w:color="auto" w:fill="auto"/>
            <w:noWrap/>
            <w:vAlign w:val="center"/>
          </w:tcPr>
          <w:p w:rsidR="00222BE4" w:rsidRPr="00BF2526" w:rsidRDefault="00222BE4" w:rsidP="00340D73">
            <w:pPr>
              <w:jc w:val="center"/>
            </w:pPr>
            <w:r w:rsidRPr="00BF2526">
              <w:t>102,3</w:t>
            </w:r>
          </w:p>
        </w:tc>
        <w:tc>
          <w:tcPr>
            <w:tcW w:w="1272" w:type="dxa"/>
            <w:shd w:val="clear" w:color="auto" w:fill="auto"/>
            <w:noWrap/>
            <w:vAlign w:val="center"/>
          </w:tcPr>
          <w:p w:rsidR="00222BE4" w:rsidRPr="00BF2526" w:rsidRDefault="00222BE4" w:rsidP="00340D73">
            <w:pPr>
              <w:jc w:val="center"/>
            </w:pPr>
            <w:r w:rsidRPr="00BF2526">
              <w:t>102,2</w:t>
            </w:r>
          </w:p>
        </w:tc>
      </w:tr>
      <w:tr w:rsidR="00222BE4" w:rsidRPr="00DD28A8" w:rsidTr="002A07B4">
        <w:trPr>
          <w:trHeight w:val="114"/>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ind w:left="128"/>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100,3</w:t>
            </w:r>
          </w:p>
        </w:tc>
        <w:tc>
          <w:tcPr>
            <w:tcW w:w="1141" w:type="dxa"/>
            <w:shd w:val="clear" w:color="auto" w:fill="auto"/>
            <w:noWrap/>
            <w:vAlign w:val="center"/>
          </w:tcPr>
          <w:p w:rsidR="00222BE4" w:rsidRPr="004553D2" w:rsidRDefault="00222BE4">
            <w:pPr>
              <w:jc w:val="center"/>
            </w:pPr>
            <w:r w:rsidRPr="004553D2">
              <w:t>104,1</w:t>
            </w:r>
          </w:p>
        </w:tc>
        <w:tc>
          <w:tcPr>
            <w:tcW w:w="1272" w:type="dxa"/>
            <w:shd w:val="clear" w:color="auto" w:fill="auto"/>
            <w:noWrap/>
            <w:vAlign w:val="center"/>
          </w:tcPr>
          <w:p w:rsidR="00222BE4" w:rsidRPr="004553D2" w:rsidRDefault="00222BE4">
            <w:pPr>
              <w:jc w:val="center"/>
            </w:pPr>
            <w:r w:rsidRPr="004553D2">
              <w:t>102,9</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3304D4">
            <w:pPr>
              <w:rPr>
                <w:sz w:val="22"/>
                <w:szCs w:val="22"/>
              </w:rPr>
            </w:pPr>
            <w:r>
              <w:rPr>
                <w:sz w:val="22"/>
                <w:szCs w:val="22"/>
              </w:rPr>
              <w:t>п</w:t>
            </w:r>
            <w:r w:rsidRPr="00DD28A8">
              <w:rPr>
                <w:sz w:val="22"/>
                <w:szCs w:val="22"/>
              </w:rPr>
              <w:t>роизводство прочих готовых изделий</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79,0</w:t>
            </w:r>
          </w:p>
        </w:tc>
        <w:tc>
          <w:tcPr>
            <w:tcW w:w="1349" w:type="dxa"/>
            <w:vMerge w:val="restart"/>
            <w:shd w:val="clear" w:color="auto" w:fill="auto"/>
            <w:noWrap/>
            <w:vAlign w:val="center"/>
          </w:tcPr>
          <w:p w:rsidR="00222BE4" w:rsidRPr="008608AB" w:rsidRDefault="00222BE4">
            <w:pPr>
              <w:jc w:val="center"/>
            </w:pPr>
            <w:r w:rsidRPr="008608AB">
              <w:t>50</w:t>
            </w:r>
            <w:r>
              <w:t>,0</w:t>
            </w:r>
          </w:p>
        </w:tc>
        <w:tc>
          <w:tcPr>
            <w:tcW w:w="1180" w:type="dxa"/>
            <w:shd w:val="clear" w:color="auto" w:fill="auto"/>
            <w:noWrap/>
            <w:vAlign w:val="center"/>
          </w:tcPr>
          <w:p w:rsidR="00222BE4" w:rsidRPr="00BF2526" w:rsidRDefault="00222BE4" w:rsidP="00340D73">
            <w:pPr>
              <w:jc w:val="center"/>
            </w:pPr>
            <w:r w:rsidRPr="00BF2526">
              <w:t>89,1</w:t>
            </w:r>
          </w:p>
        </w:tc>
        <w:tc>
          <w:tcPr>
            <w:tcW w:w="1141" w:type="dxa"/>
            <w:shd w:val="clear" w:color="auto" w:fill="auto"/>
            <w:noWrap/>
            <w:vAlign w:val="center"/>
          </w:tcPr>
          <w:p w:rsidR="00222BE4" w:rsidRPr="00BF2526" w:rsidRDefault="00222BE4" w:rsidP="00340D73">
            <w:pPr>
              <w:jc w:val="center"/>
            </w:pPr>
            <w:r w:rsidRPr="00BF2526">
              <w:t>100,6</w:t>
            </w:r>
          </w:p>
        </w:tc>
        <w:tc>
          <w:tcPr>
            <w:tcW w:w="1272" w:type="dxa"/>
            <w:shd w:val="clear" w:color="auto" w:fill="auto"/>
            <w:noWrap/>
            <w:vAlign w:val="center"/>
          </w:tcPr>
          <w:p w:rsidR="00222BE4" w:rsidRPr="00BF2526" w:rsidRDefault="00222BE4" w:rsidP="00340D73">
            <w:pPr>
              <w:jc w:val="center"/>
            </w:pPr>
            <w:r w:rsidRPr="00BF2526">
              <w:t>102,3</w:t>
            </w:r>
          </w:p>
        </w:tc>
      </w:tr>
      <w:tr w:rsidR="00222BE4" w:rsidRPr="00DD28A8" w:rsidTr="002A07B4">
        <w:trPr>
          <w:trHeight w:val="135"/>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ind w:left="128"/>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90</w:t>
            </w:r>
            <w:r>
              <w:t>,0</w:t>
            </w:r>
          </w:p>
        </w:tc>
        <w:tc>
          <w:tcPr>
            <w:tcW w:w="1141" w:type="dxa"/>
            <w:shd w:val="clear" w:color="auto" w:fill="auto"/>
            <w:noWrap/>
            <w:vAlign w:val="center"/>
          </w:tcPr>
          <w:p w:rsidR="00222BE4" w:rsidRPr="004553D2" w:rsidRDefault="00222BE4">
            <w:pPr>
              <w:jc w:val="center"/>
            </w:pPr>
            <w:r w:rsidRPr="004553D2">
              <w:t>101</w:t>
            </w:r>
            <w:r>
              <w:t>,0</w:t>
            </w:r>
          </w:p>
        </w:tc>
        <w:tc>
          <w:tcPr>
            <w:tcW w:w="1272" w:type="dxa"/>
            <w:shd w:val="clear" w:color="auto" w:fill="auto"/>
            <w:noWrap/>
            <w:vAlign w:val="center"/>
          </w:tcPr>
          <w:p w:rsidR="00222BE4" w:rsidRPr="004553D2" w:rsidRDefault="00222BE4">
            <w:pPr>
              <w:jc w:val="center"/>
            </w:pPr>
            <w:r w:rsidRPr="004553D2">
              <w:t>103,9</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Default="00222BE4" w:rsidP="003304D4">
            <w:pPr>
              <w:rPr>
                <w:sz w:val="22"/>
                <w:szCs w:val="22"/>
              </w:rPr>
            </w:pPr>
            <w:r>
              <w:rPr>
                <w:sz w:val="22"/>
                <w:szCs w:val="22"/>
              </w:rPr>
              <w:t>р</w:t>
            </w:r>
            <w:r w:rsidRPr="00DD28A8">
              <w:rPr>
                <w:sz w:val="22"/>
                <w:szCs w:val="22"/>
              </w:rPr>
              <w:t xml:space="preserve">емонт и монтаж машин </w:t>
            </w:r>
          </w:p>
          <w:p w:rsidR="00222BE4" w:rsidRPr="00DD28A8" w:rsidRDefault="00222BE4" w:rsidP="003304D4">
            <w:pPr>
              <w:rPr>
                <w:sz w:val="22"/>
                <w:szCs w:val="22"/>
              </w:rPr>
            </w:pPr>
            <w:r w:rsidRPr="00DD28A8">
              <w:rPr>
                <w:sz w:val="22"/>
                <w:szCs w:val="22"/>
              </w:rPr>
              <w:t>и оборудования</w:t>
            </w:r>
          </w:p>
        </w:tc>
        <w:tc>
          <w:tcPr>
            <w:tcW w:w="2401" w:type="dxa"/>
            <w:vMerge w:val="restart"/>
            <w:shd w:val="clear" w:color="auto" w:fill="auto"/>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121,1</w:t>
            </w:r>
          </w:p>
        </w:tc>
        <w:tc>
          <w:tcPr>
            <w:tcW w:w="1349" w:type="dxa"/>
            <w:vMerge w:val="restart"/>
            <w:shd w:val="clear" w:color="auto" w:fill="auto"/>
            <w:noWrap/>
            <w:vAlign w:val="center"/>
          </w:tcPr>
          <w:p w:rsidR="00222BE4" w:rsidRPr="008608AB" w:rsidRDefault="00222BE4">
            <w:pPr>
              <w:jc w:val="center"/>
            </w:pPr>
            <w:r w:rsidRPr="008608AB">
              <w:t>100</w:t>
            </w:r>
            <w:r>
              <w:t>,0</w:t>
            </w:r>
          </w:p>
        </w:tc>
        <w:tc>
          <w:tcPr>
            <w:tcW w:w="1180" w:type="dxa"/>
            <w:shd w:val="clear" w:color="auto" w:fill="auto"/>
            <w:noWrap/>
            <w:vAlign w:val="center"/>
          </w:tcPr>
          <w:p w:rsidR="00222BE4" w:rsidRPr="00BF2526" w:rsidRDefault="00222BE4" w:rsidP="00340D73">
            <w:pPr>
              <w:jc w:val="center"/>
            </w:pPr>
            <w:r w:rsidRPr="00BF2526">
              <w:t>100,4</w:t>
            </w:r>
          </w:p>
        </w:tc>
        <w:tc>
          <w:tcPr>
            <w:tcW w:w="1141" w:type="dxa"/>
            <w:shd w:val="clear" w:color="auto" w:fill="auto"/>
            <w:noWrap/>
            <w:vAlign w:val="center"/>
          </w:tcPr>
          <w:p w:rsidR="00222BE4" w:rsidRPr="00BF2526" w:rsidRDefault="00222BE4" w:rsidP="00340D73">
            <w:pPr>
              <w:jc w:val="center"/>
            </w:pPr>
            <w:r w:rsidRPr="00BF2526">
              <w:t>100,6</w:t>
            </w:r>
          </w:p>
        </w:tc>
        <w:tc>
          <w:tcPr>
            <w:tcW w:w="1272" w:type="dxa"/>
            <w:shd w:val="clear" w:color="auto" w:fill="auto"/>
            <w:noWrap/>
            <w:vAlign w:val="center"/>
          </w:tcPr>
          <w:p w:rsidR="00222BE4" w:rsidRPr="00BF2526" w:rsidRDefault="00222BE4" w:rsidP="00340D73">
            <w:pPr>
              <w:jc w:val="center"/>
            </w:pPr>
            <w:r w:rsidRPr="00BF2526">
              <w:t>103,4</w:t>
            </w:r>
          </w:p>
        </w:tc>
      </w:tr>
      <w:tr w:rsidR="00222BE4" w:rsidRPr="00DD28A8" w:rsidTr="002A07B4">
        <w:trPr>
          <w:trHeight w:val="58"/>
          <w:jc w:val="center"/>
        </w:trPr>
        <w:tc>
          <w:tcPr>
            <w:tcW w:w="771" w:type="dxa"/>
            <w:vMerge/>
            <w:shd w:val="clear" w:color="auto" w:fill="auto"/>
            <w:noWrap/>
          </w:tcPr>
          <w:p w:rsidR="00222BE4" w:rsidRPr="003304D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rPr>
                <w:sz w:val="22"/>
                <w:szCs w:val="22"/>
              </w:rPr>
            </w:pPr>
          </w:p>
        </w:tc>
        <w:tc>
          <w:tcPr>
            <w:tcW w:w="2401" w:type="dxa"/>
            <w:vMerge/>
            <w:shd w:val="clear" w:color="auto" w:fill="auto"/>
          </w:tcPr>
          <w:p w:rsidR="00222BE4" w:rsidRPr="00DD28A8" w:rsidRDefault="00222BE4" w:rsidP="00DD28A8">
            <w:pPr>
              <w:jc w:val="center"/>
              <w:rPr>
                <w:sz w:val="22"/>
                <w:szCs w:val="22"/>
              </w:rPr>
            </w:pP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100,6</w:t>
            </w:r>
          </w:p>
        </w:tc>
        <w:tc>
          <w:tcPr>
            <w:tcW w:w="1141" w:type="dxa"/>
            <w:shd w:val="clear" w:color="auto" w:fill="auto"/>
            <w:noWrap/>
            <w:vAlign w:val="center"/>
          </w:tcPr>
          <w:p w:rsidR="00222BE4" w:rsidRPr="004553D2" w:rsidRDefault="00222BE4">
            <w:pPr>
              <w:jc w:val="center"/>
            </w:pPr>
            <w:r w:rsidRPr="004553D2">
              <w:t>101</w:t>
            </w:r>
            <w:r>
              <w:t>,0</w:t>
            </w:r>
          </w:p>
        </w:tc>
        <w:tc>
          <w:tcPr>
            <w:tcW w:w="1272" w:type="dxa"/>
            <w:shd w:val="clear" w:color="auto" w:fill="auto"/>
            <w:noWrap/>
            <w:vAlign w:val="center"/>
          </w:tcPr>
          <w:p w:rsidR="00222BE4" w:rsidRPr="004553D2" w:rsidRDefault="00222BE4">
            <w:pPr>
              <w:jc w:val="center"/>
            </w:pPr>
            <w:r w:rsidRPr="004553D2">
              <w:t>103,7</w:t>
            </w:r>
          </w:p>
        </w:tc>
      </w:tr>
      <w:tr w:rsidR="00222BE4" w:rsidRPr="00DD28A8" w:rsidTr="002A07B4">
        <w:trPr>
          <w:trHeight w:val="76"/>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F8448A">
            <w:pPr>
              <w:rPr>
                <w:sz w:val="22"/>
                <w:szCs w:val="22"/>
              </w:rPr>
            </w:pPr>
            <w:r w:rsidRPr="00DD28A8">
              <w:rPr>
                <w:sz w:val="22"/>
                <w:szCs w:val="22"/>
              </w:rPr>
              <w:t>Обеспечение электрической энергией, газом и паром; кондиционирование воздуха (раздел D)</w:t>
            </w:r>
          </w:p>
        </w:tc>
        <w:tc>
          <w:tcPr>
            <w:tcW w:w="2401" w:type="dxa"/>
            <w:vMerge w:val="restart"/>
            <w:shd w:val="clear" w:color="auto" w:fill="auto"/>
            <w:hideMark/>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108,2</w:t>
            </w:r>
          </w:p>
        </w:tc>
        <w:tc>
          <w:tcPr>
            <w:tcW w:w="1349" w:type="dxa"/>
            <w:vMerge w:val="restart"/>
            <w:shd w:val="clear" w:color="auto" w:fill="auto"/>
            <w:noWrap/>
            <w:vAlign w:val="center"/>
          </w:tcPr>
          <w:p w:rsidR="00222BE4" w:rsidRPr="008608AB" w:rsidRDefault="00222BE4">
            <w:pPr>
              <w:jc w:val="center"/>
            </w:pPr>
            <w:r w:rsidRPr="008608AB">
              <w:t>91</w:t>
            </w:r>
            <w:r>
              <w:t>,0</w:t>
            </w:r>
          </w:p>
        </w:tc>
        <w:tc>
          <w:tcPr>
            <w:tcW w:w="1180" w:type="dxa"/>
            <w:shd w:val="clear" w:color="auto" w:fill="auto"/>
            <w:noWrap/>
            <w:vAlign w:val="center"/>
          </w:tcPr>
          <w:p w:rsidR="00222BE4" w:rsidRPr="00BF2526" w:rsidRDefault="00222BE4" w:rsidP="00340D73">
            <w:pPr>
              <w:jc w:val="center"/>
            </w:pPr>
            <w:r w:rsidRPr="00BF2526">
              <w:t>91,6</w:t>
            </w:r>
          </w:p>
        </w:tc>
        <w:tc>
          <w:tcPr>
            <w:tcW w:w="1141" w:type="dxa"/>
            <w:shd w:val="clear" w:color="auto" w:fill="auto"/>
            <w:noWrap/>
            <w:vAlign w:val="center"/>
          </w:tcPr>
          <w:p w:rsidR="00222BE4" w:rsidRPr="00BF2526" w:rsidRDefault="00222BE4" w:rsidP="00340D73">
            <w:pPr>
              <w:jc w:val="center"/>
            </w:pPr>
            <w:r w:rsidRPr="00BF2526">
              <w:t>101,6</w:t>
            </w:r>
          </w:p>
        </w:tc>
        <w:tc>
          <w:tcPr>
            <w:tcW w:w="1272" w:type="dxa"/>
            <w:shd w:val="clear" w:color="auto" w:fill="auto"/>
            <w:noWrap/>
            <w:vAlign w:val="center"/>
          </w:tcPr>
          <w:p w:rsidR="00222BE4" w:rsidRPr="00BF2526" w:rsidRDefault="00222BE4" w:rsidP="00340D73">
            <w:pPr>
              <w:jc w:val="center"/>
            </w:pPr>
            <w:r w:rsidRPr="00BF2526">
              <w:t>102</w:t>
            </w:r>
            <w:r>
              <w:t>,0</w:t>
            </w:r>
          </w:p>
        </w:tc>
      </w:tr>
      <w:tr w:rsidR="00222BE4" w:rsidRPr="00DD28A8" w:rsidTr="002A07B4">
        <w:trPr>
          <w:trHeight w:val="283"/>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ind w:left="153"/>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92,6</w:t>
            </w:r>
          </w:p>
        </w:tc>
        <w:tc>
          <w:tcPr>
            <w:tcW w:w="1141" w:type="dxa"/>
            <w:shd w:val="clear" w:color="auto" w:fill="auto"/>
            <w:noWrap/>
            <w:vAlign w:val="center"/>
          </w:tcPr>
          <w:p w:rsidR="00222BE4" w:rsidRPr="004553D2" w:rsidRDefault="00222BE4">
            <w:pPr>
              <w:jc w:val="center"/>
            </w:pPr>
            <w:r w:rsidRPr="004553D2">
              <w:t>101,3</w:t>
            </w:r>
          </w:p>
        </w:tc>
        <w:tc>
          <w:tcPr>
            <w:tcW w:w="1272" w:type="dxa"/>
            <w:shd w:val="clear" w:color="auto" w:fill="auto"/>
            <w:noWrap/>
            <w:vAlign w:val="center"/>
          </w:tcPr>
          <w:p w:rsidR="00222BE4" w:rsidRPr="004553D2" w:rsidRDefault="00222BE4">
            <w:pPr>
              <w:jc w:val="center"/>
            </w:pPr>
            <w:r w:rsidRPr="004553D2">
              <w:t>102,1</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F8448A">
            <w:pPr>
              <w:rPr>
                <w:sz w:val="22"/>
                <w:szCs w:val="22"/>
              </w:rPr>
            </w:pPr>
            <w:r w:rsidRPr="00DD28A8">
              <w:rPr>
                <w:sz w:val="22"/>
                <w:szCs w:val="22"/>
              </w:rPr>
              <w:t>Водоснабжение; водоотведение, организация сбора и утилизации отходов, деятельность по ликвидации загрязнений (раздел Е)</w:t>
            </w:r>
          </w:p>
        </w:tc>
        <w:tc>
          <w:tcPr>
            <w:tcW w:w="2401" w:type="dxa"/>
            <w:vMerge w:val="restart"/>
            <w:shd w:val="clear" w:color="auto" w:fill="auto"/>
            <w:hideMark/>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8608AB" w:rsidRDefault="00222BE4">
            <w:pPr>
              <w:jc w:val="center"/>
            </w:pPr>
            <w:r w:rsidRPr="008608AB">
              <w:t>107,1</w:t>
            </w:r>
          </w:p>
        </w:tc>
        <w:tc>
          <w:tcPr>
            <w:tcW w:w="1349" w:type="dxa"/>
            <w:vMerge w:val="restart"/>
            <w:shd w:val="clear" w:color="auto" w:fill="auto"/>
            <w:noWrap/>
            <w:vAlign w:val="center"/>
          </w:tcPr>
          <w:p w:rsidR="00222BE4" w:rsidRPr="008608AB" w:rsidRDefault="00222BE4">
            <w:pPr>
              <w:jc w:val="center"/>
            </w:pPr>
            <w:r w:rsidRPr="008608AB">
              <w:t>105</w:t>
            </w:r>
            <w:r>
              <w:t>,0</w:t>
            </w:r>
          </w:p>
        </w:tc>
        <w:tc>
          <w:tcPr>
            <w:tcW w:w="1180" w:type="dxa"/>
            <w:shd w:val="clear" w:color="auto" w:fill="auto"/>
            <w:noWrap/>
            <w:vAlign w:val="center"/>
          </w:tcPr>
          <w:p w:rsidR="00222BE4" w:rsidRPr="00BF2526" w:rsidRDefault="00222BE4" w:rsidP="00340D73">
            <w:pPr>
              <w:jc w:val="center"/>
            </w:pPr>
            <w:r w:rsidRPr="00BF2526">
              <w:t>101,6</w:t>
            </w:r>
          </w:p>
        </w:tc>
        <w:tc>
          <w:tcPr>
            <w:tcW w:w="1141" w:type="dxa"/>
            <w:shd w:val="clear" w:color="auto" w:fill="auto"/>
            <w:noWrap/>
            <w:vAlign w:val="center"/>
          </w:tcPr>
          <w:p w:rsidR="00222BE4" w:rsidRPr="00BF2526" w:rsidRDefault="00222BE4" w:rsidP="00340D73">
            <w:pPr>
              <w:jc w:val="center"/>
            </w:pPr>
            <w:r w:rsidRPr="00BF2526">
              <w:t>101,6</w:t>
            </w:r>
          </w:p>
        </w:tc>
        <w:tc>
          <w:tcPr>
            <w:tcW w:w="1272" w:type="dxa"/>
            <w:shd w:val="clear" w:color="auto" w:fill="auto"/>
            <w:noWrap/>
            <w:vAlign w:val="center"/>
          </w:tcPr>
          <w:p w:rsidR="00222BE4" w:rsidRPr="00BF2526" w:rsidRDefault="00222BE4" w:rsidP="00340D73">
            <w:pPr>
              <w:jc w:val="center"/>
            </w:pPr>
            <w:r w:rsidRPr="00BF2526">
              <w:t>101,7</w:t>
            </w:r>
          </w:p>
        </w:tc>
      </w:tr>
      <w:tr w:rsidR="00222BE4" w:rsidRPr="00DD28A8" w:rsidTr="002A07B4">
        <w:trPr>
          <w:trHeight w:val="283"/>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tcBorders>
              <w:bottom w:val="single" w:sz="4" w:space="0" w:color="auto"/>
            </w:tcBorders>
            <w:shd w:val="clear" w:color="auto" w:fill="auto"/>
            <w:vAlign w:val="center"/>
          </w:tcPr>
          <w:p w:rsidR="00222BE4" w:rsidRPr="00ED6E4F" w:rsidRDefault="00222BE4" w:rsidP="00ED6E4F">
            <w:pPr>
              <w:jc w:val="center"/>
            </w:pPr>
          </w:p>
        </w:tc>
        <w:tc>
          <w:tcPr>
            <w:tcW w:w="1349" w:type="dxa"/>
            <w:vMerge/>
            <w:tcBorders>
              <w:bottom w:val="single" w:sz="4" w:space="0" w:color="auto"/>
            </w:tcBorders>
            <w:shd w:val="clear" w:color="auto" w:fill="auto"/>
            <w:vAlign w:val="center"/>
          </w:tcPr>
          <w:p w:rsidR="00222BE4" w:rsidRPr="00ED6E4F" w:rsidRDefault="00222BE4" w:rsidP="00ED6E4F">
            <w:pPr>
              <w:jc w:val="center"/>
            </w:pPr>
          </w:p>
        </w:tc>
        <w:tc>
          <w:tcPr>
            <w:tcW w:w="1180" w:type="dxa"/>
            <w:tcBorders>
              <w:bottom w:val="single" w:sz="4" w:space="0" w:color="auto"/>
            </w:tcBorders>
            <w:shd w:val="clear" w:color="auto" w:fill="auto"/>
            <w:noWrap/>
            <w:vAlign w:val="center"/>
          </w:tcPr>
          <w:p w:rsidR="00222BE4" w:rsidRPr="004553D2" w:rsidRDefault="00222BE4">
            <w:pPr>
              <w:jc w:val="center"/>
            </w:pPr>
            <w:r w:rsidRPr="004553D2">
              <w:t>102</w:t>
            </w:r>
            <w:r>
              <w:t>,0</w:t>
            </w:r>
          </w:p>
        </w:tc>
        <w:tc>
          <w:tcPr>
            <w:tcW w:w="1141" w:type="dxa"/>
            <w:tcBorders>
              <w:bottom w:val="single" w:sz="4" w:space="0" w:color="auto"/>
            </w:tcBorders>
            <w:shd w:val="clear" w:color="auto" w:fill="auto"/>
            <w:noWrap/>
            <w:vAlign w:val="center"/>
          </w:tcPr>
          <w:p w:rsidR="00222BE4" w:rsidRPr="004553D2" w:rsidRDefault="00222BE4">
            <w:pPr>
              <w:jc w:val="center"/>
            </w:pPr>
            <w:r w:rsidRPr="004553D2">
              <w:t>102</w:t>
            </w:r>
            <w:r>
              <w:t>,0</w:t>
            </w:r>
          </w:p>
        </w:tc>
        <w:tc>
          <w:tcPr>
            <w:tcW w:w="1272" w:type="dxa"/>
            <w:shd w:val="clear" w:color="auto" w:fill="auto"/>
            <w:noWrap/>
            <w:vAlign w:val="center"/>
          </w:tcPr>
          <w:p w:rsidR="00222BE4" w:rsidRPr="004553D2" w:rsidRDefault="00222BE4">
            <w:pPr>
              <w:jc w:val="center"/>
            </w:pPr>
            <w:r w:rsidRPr="004553D2">
              <w:t>101,8</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Потребление электроэнергии</w:t>
            </w:r>
          </w:p>
        </w:tc>
        <w:tc>
          <w:tcPr>
            <w:tcW w:w="2401" w:type="dxa"/>
            <w:vMerge w:val="restart"/>
            <w:shd w:val="clear" w:color="auto" w:fill="auto"/>
            <w:hideMark/>
          </w:tcPr>
          <w:p w:rsidR="00222BE4" w:rsidRPr="00DD28A8" w:rsidRDefault="00222BE4" w:rsidP="00DD28A8">
            <w:pPr>
              <w:jc w:val="center"/>
              <w:rPr>
                <w:sz w:val="22"/>
                <w:szCs w:val="22"/>
              </w:rPr>
            </w:pPr>
            <w:proofErr w:type="gramStart"/>
            <w:r w:rsidRPr="00DD28A8">
              <w:rPr>
                <w:sz w:val="22"/>
                <w:szCs w:val="22"/>
              </w:rPr>
              <w:t>млрд</w:t>
            </w:r>
            <w:proofErr w:type="gramEnd"/>
            <w:r w:rsidRPr="00DD28A8">
              <w:rPr>
                <w:sz w:val="22"/>
                <w:szCs w:val="22"/>
              </w:rPr>
              <w:t xml:space="preserve"> </w:t>
            </w:r>
            <w:proofErr w:type="spellStart"/>
            <w:r w:rsidRPr="00DD28A8">
              <w:rPr>
                <w:sz w:val="22"/>
                <w:szCs w:val="22"/>
              </w:rPr>
              <w:t>кВт.ч</w:t>
            </w:r>
            <w:proofErr w:type="spellEnd"/>
          </w:p>
        </w:tc>
        <w:tc>
          <w:tcPr>
            <w:tcW w:w="1862" w:type="dxa"/>
            <w:tcBorders>
              <w:right w:val="single" w:sz="4" w:space="0" w:color="auto"/>
            </w:tcBorders>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rsidP="004553D2">
            <w:pPr>
              <w:jc w:val="center"/>
            </w:pPr>
            <w:r w:rsidRPr="004553D2">
              <w:t>17</w:t>
            </w:r>
            <w:r>
              <w:t>,1</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rsidP="004553D2">
            <w:pPr>
              <w:jc w:val="center"/>
            </w:pPr>
            <w:r w:rsidRPr="004553D2">
              <w:t>16</w:t>
            </w:r>
            <w:r>
              <w:t>,</w:t>
            </w:r>
            <w:r w:rsidRPr="004553D2">
              <w:t>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rsidP="004553D2">
            <w:pPr>
              <w:jc w:val="center"/>
            </w:pPr>
            <w:r w:rsidRPr="004553D2">
              <w:t>17</w:t>
            </w:r>
            <w:r>
              <w:t>,</w:t>
            </w:r>
            <w:r w:rsidRPr="004553D2">
              <w:t>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rsidP="004553D2">
            <w:pPr>
              <w:jc w:val="center"/>
            </w:pPr>
            <w:r w:rsidRPr="004553D2">
              <w:t>17</w:t>
            </w:r>
            <w:r>
              <w:t>,</w:t>
            </w:r>
            <w:r w:rsidRPr="004553D2">
              <w:t>5</w:t>
            </w:r>
          </w:p>
        </w:tc>
        <w:tc>
          <w:tcPr>
            <w:tcW w:w="1272" w:type="dxa"/>
            <w:tcBorders>
              <w:left w:val="single" w:sz="4" w:space="0" w:color="auto"/>
            </w:tcBorders>
            <w:shd w:val="clear" w:color="auto" w:fill="auto"/>
            <w:noWrap/>
            <w:vAlign w:val="center"/>
          </w:tcPr>
          <w:p w:rsidR="00222BE4" w:rsidRPr="004553D2" w:rsidRDefault="00222BE4" w:rsidP="004553D2">
            <w:pPr>
              <w:jc w:val="center"/>
            </w:pPr>
            <w:r w:rsidRPr="004553D2">
              <w:t>18</w:t>
            </w:r>
            <w:r>
              <w:t>,1</w:t>
            </w:r>
          </w:p>
        </w:tc>
      </w:tr>
      <w:tr w:rsidR="00222BE4" w:rsidRPr="00DD28A8" w:rsidTr="002A07B4">
        <w:trPr>
          <w:trHeight w:val="52"/>
          <w:jc w:val="center"/>
        </w:trPr>
        <w:tc>
          <w:tcPr>
            <w:tcW w:w="771" w:type="dxa"/>
            <w:vMerge/>
            <w:shd w:val="clear" w:color="auto" w:fill="auto"/>
          </w:tcPr>
          <w:p w:rsidR="00222BE4" w:rsidRPr="003304D4" w:rsidRDefault="00222BE4" w:rsidP="00F8448A">
            <w:pPr>
              <w:pStyle w:val="ab"/>
              <w:numPr>
                <w:ilvl w:val="0"/>
                <w:numId w:val="10"/>
              </w:numPr>
              <w:ind w:left="0" w:firstLine="0"/>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tcBorders>
              <w:right w:val="single" w:sz="4" w:space="0" w:color="auto"/>
            </w:tcBorders>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2BE4" w:rsidRPr="00ED6E4F" w:rsidRDefault="00222BE4" w:rsidP="00ED6E4F">
            <w:pPr>
              <w:jc w:val="cente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2BE4" w:rsidRPr="00ED6E4F" w:rsidRDefault="00222BE4" w:rsidP="00ED6E4F">
            <w:pPr>
              <w:jc w:val="cente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rsidP="004553D2">
            <w:pPr>
              <w:jc w:val="center"/>
            </w:pPr>
            <w:r w:rsidRPr="004553D2">
              <w:t>17</w:t>
            </w:r>
            <w:r>
              <w:t>,</w:t>
            </w:r>
            <w:r w:rsidRPr="004553D2">
              <w:t>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rsidP="004553D2">
            <w:pPr>
              <w:jc w:val="center"/>
            </w:pPr>
            <w:r w:rsidRPr="004553D2">
              <w:t>17</w:t>
            </w:r>
            <w:r>
              <w:t>,</w:t>
            </w:r>
            <w:r w:rsidRPr="004553D2">
              <w:t>9</w:t>
            </w:r>
          </w:p>
        </w:tc>
        <w:tc>
          <w:tcPr>
            <w:tcW w:w="1272" w:type="dxa"/>
            <w:tcBorders>
              <w:left w:val="single" w:sz="4" w:space="0" w:color="auto"/>
            </w:tcBorders>
            <w:shd w:val="clear" w:color="auto" w:fill="auto"/>
            <w:noWrap/>
            <w:vAlign w:val="center"/>
          </w:tcPr>
          <w:p w:rsidR="00222BE4" w:rsidRPr="004553D2" w:rsidRDefault="00222BE4" w:rsidP="004553D2">
            <w:pPr>
              <w:jc w:val="center"/>
            </w:pPr>
            <w:r w:rsidRPr="004553D2">
              <w:t>18</w:t>
            </w:r>
            <w:r>
              <w:t>,3</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Средние тарифы на электроэнергию, отпущенную различным категориям потребителей</w:t>
            </w:r>
          </w:p>
        </w:tc>
        <w:tc>
          <w:tcPr>
            <w:tcW w:w="2401" w:type="dxa"/>
            <w:vMerge w:val="restart"/>
            <w:shd w:val="clear" w:color="auto" w:fill="auto"/>
            <w:hideMark/>
          </w:tcPr>
          <w:p w:rsidR="00222BE4" w:rsidRPr="00DD28A8" w:rsidRDefault="00222BE4" w:rsidP="00DD28A8">
            <w:pPr>
              <w:jc w:val="center"/>
              <w:rPr>
                <w:sz w:val="22"/>
                <w:szCs w:val="22"/>
              </w:rPr>
            </w:pPr>
            <w:r w:rsidRPr="00DD28A8">
              <w:rPr>
                <w:sz w:val="22"/>
                <w:szCs w:val="22"/>
              </w:rPr>
              <w:t xml:space="preserve">руб./тыс. </w:t>
            </w:r>
            <w:proofErr w:type="spellStart"/>
            <w:r w:rsidRPr="00DD28A8">
              <w:rPr>
                <w:sz w:val="22"/>
                <w:szCs w:val="22"/>
              </w:rPr>
              <w:t>кВт</w:t>
            </w:r>
            <w:proofErr w:type="gramStart"/>
            <w:r w:rsidRPr="00DD28A8">
              <w:rPr>
                <w:sz w:val="22"/>
                <w:szCs w:val="22"/>
              </w:rPr>
              <w:t>.ч</w:t>
            </w:r>
            <w:proofErr w:type="spellEnd"/>
            <w:proofErr w:type="gramEnd"/>
          </w:p>
        </w:tc>
        <w:tc>
          <w:tcPr>
            <w:tcW w:w="1862" w:type="dxa"/>
            <w:tcBorders>
              <w:right w:val="single" w:sz="4" w:space="0" w:color="auto"/>
            </w:tcBorders>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9B5C2F">
            <w:pPr>
              <w:jc w:val="center"/>
            </w:pPr>
            <w:r w:rsidRPr="004553D2">
              <w:t>4 822,1</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9B5C2F">
            <w:pPr>
              <w:jc w:val="center"/>
            </w:pPr>
            <w:r w:rsidRPr="004553D2">
              <w:t>4 957,1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9B5C2F">
            <w:pPr>
              <w:jc w:val="center"/>
            </w:pPr>
            <w:r w:rsidRPr="004553D2">
              <w:t>5 056,2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9B5C2F">
            <w:pPr>
              <w:jc w:val="center"/>
            </w:pPr>
            <w:r w:rsidRPr="004553D2">
              <w:t>5 157,4</w:t>
            </w:r>
          </w:p>
        </w:tc>
        <w:tc>
          <w:tcPr>
            <w:tcW w:w="1272" w:type="dxa"/>
            <w:tcBorders>
              <w:left w:val="single" w:sz="4" w:space="0" w:color="auto"/>
            </w:tcBorders>
            <w:shd w:val="clear" w:color="auto" w:fill="auto"/>
            <w:noWrap/>
            <w:vAlign w:val="center"/>
          </w:tcPr>
          <w:p w:rsidR="00222BE4" w:rsidRPr="004553D2" w:rsidRDefault="009B5C2F">
            <w:pPr>
              <w:jc w:val="center"/>
            </w:pPr>
            <w:r>
              <w:t>5 260,5</w:t>
            </w:r>
          </w:p>
        </w:tc>
      </w:tr>
      <w:tr w:rsidR="00222BE4" w:rsidRPr="00DD28A8" w:rsidTr="002A07B4">
        <w:trPr>
          <w:trHeight w:val="317"/>
          <w:jc w:val="center"/>
        </w:trPr>
        <w:tc>
          <w:tcPr>
            <w:tcW w:w="771" w:type="dxa"/>
            <w:vMerge/>
            <w:tcBorders>
              <w:bottom w:val="single" w:sz="4" w:space="0" w:color="auto"/>
            </w:tcBorders>
            <w:shd w:val="clear" w:color="auto" w:fill="auto"/>
          </w:tcPr>
          <w:p w:rsidR="00222BE4" w:rsidRPr="003304D4" w:rsidRDefault="00222BE4" w:rsidP="00222BE4">
            <w:pPr>
              <w:pStyle w:val="ab"/>
              <w:numPr>
                <w:ilvl w:val="0"/>
                <w:numId w:val="11"/>
              </w:numPr>
              <w:ind w:left="0" w:firstLine="284"/>
              <w:jc w:val="center"/>
            </w:pPr>
          </w:p>
        </w:tc>
        <w:tc>
          <w:tcPr>
            <w:tcW w:w="3780" w:type="dxa"/>
            <w:vMerge/>
            <w:tcBorders>
              <w:bottom w:val="single" w:sz="4" w:space="0" w:color="auto"/>
            </w:tcBorders>
            <w:shd w:val="clear" w:color="auto" w:fill="auto"/>
            <w:hideMark/>
          </w:tcPr>
          <w:p w:rsidR="00222BE4" w:rsidRPr="00DD28A8" w:rsidRDefault="00222BE4" w:rsidP="00DD28A8">
            <w:pPr>
              <w:rPr>
                <w:sz w:val="22"/>
                <w:szCs w:val="22"/>
              </w:rPr>
            </w:pPr>
          </w:p>
        </w:tc>
        <w:tc>
          <w:tcPr>
            <w:tcW w:w="2401" w:type="dxa"/>
            <w:vMerge/>
            <w:tcBorders>
              <w:bottom w:val="single" w:sz="4" w:space="0" w:color="auto"/>
            </w:tcBorders>
            <w:shd w:val="clear" w:color="auto" w:fill="auto"/>
            <w:hideMark/>
          </w:tcPr>
          <w:p w:rsidR="00222BE4" w:rsidRPr="00DD28A8" w:rsidRDefault="00222BE4" w:rsidP="00DD28A8">
            <w:pPr>
              <w:jc w:val="center"/>
              <w:rPr>
                <w:sz w:val="22"/>
                <w:szCs w:val="22"/>
              </w:rPr>
            </w:pPr>
          </w:p>
        </w:tc>
        <w:tc>
          <w:tcPr>
            <w:tcW w:w="1862" w:type="dxa"/>
            <w:tcBorders>
              <w:right w:val="single" w:sz="4" w:space="0" w:color="auto"/>
            </w:tcBorders>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2BE4" w:rsidRPr="00ED6E4F" w:rsidRDefault="00222BE4" w:rsidP="00ED6E4F">
            <w:pPr>
              <w:jc w:val="cente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2BE4" w:rsidRPr="00ED6E4F" w:rsidRDefault="00222BE4" w:rsidP="00ED6E4F">
            <w:pPr>
              <w:jc w:val="cente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pPr>
              <w:jc w:val="center"/>
            </w:pPr>
            <w:r w:rsidRPr="004553D2">
              <w:t>5 155,4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pPr>
              <w:jc w:val="center"/>
            </w:pPr>
            <w:r w:rsidRPr="004553D2">
              <w:t>5 361,6</w:t>
            </w:r>
          </w:p>
        </w:tc>
        <w:tc>
          <w:tcPr>
            <w:tcW w:w="1272" w:type="dxa"/>
            <w:tcBorders>
              <w:left w:val="single" w:sz="4" w:space="0" w:color="auto"/>
            </w:tcBorders>
            <w:shd w:val="clear" w:color="auto" w:fill="auto"/>
            <w:noWrap/>
            <w:vAlign w:val="center"/>
          </w:tcPr>
          <w:p w:rsidR="00222BE4" w:rsidRPr="004553D2" w:rsidRDefault="00222BE4">
            <w:pPr>
              <w:jc w:val="center"/>
            </w:pPr>
            <w:r w:rsidRPr="004553D2">
              <w:t>5 576,1</w:t>
            </w:r>
          </w:p>
        </w:tc>
      </w:tr>
      <w:tr w:rsidR="00222BE4" w:rsidRPr="00DD28A8" w:rsidTr="002A07B4">
        <w:trPr>
          <w:trHeight w:val="84"/>
          <w:jc w:val="center"/>
        </w:trPr>
        <w:tc>
          <w:tcPr>
            <w:tcW w:w="771" w:type="dxa"/>
            <w:vMerge w:val="restart"/>
            <w:tcBorders>
              <w:bottom w:val="nil"/>
            </w:tcBorders>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tcBorders>
              <w:bottom w:val="nil"/>
            </w:tcBorders>
            <w:shd w:val="clear" w:color="auto" w:fill="auto"/>
            <w:hideMark/>
          </w:tcPr>
          <w:p w:rsidR="00222BE4" w:rsidRPr="00DD28A8" w:rsidRDefault="00222BE4" w:rsidP="00DD28A8">
            <w:pPr>
              <w:rPr>
                <w:sz w:val="22"/>
                <w:szCs w:val="22"/>
              </w:rPr>
            </w:pPr>
            <w:r w:rsidRPr="00DD28A8">
              <w:rPr>
                <w:sz w:val="22"/>
                <w:szCs w:val="22"/>
              </w:rPr>
              <w:t>Продукция сельского хозяйства</w:t>
            </w:r>
          </w:p>
        </w:tc>
        <w:tc>
          <w:tcPr>
            <w:tcW w:w="2401" w:type="dxa"/>
            <w:vMerge w:val="restart"/>
            <w:tcBorders>
              <w:bottom w:val="nil"/>
            </w:tcBorders>
            <w:shd w:val="clear" w:color="auto" w:fill="auto"/>
            <w:hideMark/>
          </w:tcPr>
          <w:p w:rsidR="00222BE4" w:rsidRPr="00DD28A8" w:rsidRDefault="00222BE4" w:rsidP="00DD28A8">
            <w:pPr>
              <w:jc w:val="center"/>
              <w:rPr>
                <w:sz w:val="22"/>
                <w:szCs w:val="22"/>
              </w:rPr>
            </w:pPr>
            <w:proofErr w:type="gramStart"/>
            <w:r w:rsidRPr="00DD28A8">
              <w:rPr>
                <w:sz w:val="22"/>
                <w:szCs w:val="22"/>
              </w:rPr>
              <w:t>млрд</w:t>
            </w:r>
            <w:proofErr w:type="gramEnd"/>
            <w:r w:rsidRPr="00DD28A8">
              <w:rPr>
                <w:sz w:val="22"/>
                <w:szCs w:val="22"/>
              </w:rPr>
              <w:t xml:space="preserve"> руб.</w:t>
            </w:r>
          </w:p>
        </w:tc>
        <w:tc>
          <w:tcPr>
            <w:tcW w:w="1862" w:type="dxa"/>
            <w:tcBorders>
              <w:right w:val="single" w:sz="4" w:space="0" w:color="auto"/>
            </w:tcBorders>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rsidP="004553D2">
            <w:pPr>
              <w:jc w:val="center"/>
            </w:pPr>
            <w:r w:rsidRPr="004553D2">
              <w:t>108</w:t>
            </w:r>
            <w:r>
              <w:t>,</w:t>
            </w:r>
            <w:r w:rsidRPr="004553D2">
              <w:t>2</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rsidP="004553D2">
            <w:pPr>
              <w:jc w:val="center"/>
            </w:pPr>
            <w:r w:rsidRPr="004553D2">
              <w:t>113</w:t>
            </w:r>
            <w:r>
              <w:t>,5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rsidP="004553D2">
            <w:pPr>
              <w:jc w:val="center"/>
            </w:pPr>
            <w:r w:rsidRPr="004553D2">
              <w:t>118</w:t>
            </w:r>
            <w:r>
              <w:t>,1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rsidP="004553D2">
            <w:pPr>
              <w:jc w:val="center"/>
            </w:pPr>
            <w:r w:rsidRPr="004553D2">
              <w:t>124</w:t>
            </w:r>
            <w:r>
              <w:t>,1</w:t>
            </w:r>
          </w:p>
        </w:tc>
        <w:tc>
          <w:tcPr>
            <w:tcW w:w="1272" w:type="dxa"/>
            <w:tcBorders>
              <w:left w:val="single" w:sz="4" w:space="0" w:color="auto"/>
            </w:tcBorders>
            <w:shd w:val="clear" w:color="auto" w:fill="auto"/>
            <w:noWrap/>
            <w:vAlign w:val="center"/>
          </w:tcPr>
          <w:p w:rsidR="00222BE4" w:rsidRPr="004553D2" w:rsidRDefault="00222BE4" w:rsidP="004553D2">
            <w:pPr>
              <w:jc w:val="center"/>
            </w:pPr>
            <w:r w:rsidRPr="004553D2">
              <w:t>130</w:t>
            </w:r>
            <w:r>
              <w:t>,</w:t>
            </w:r>
            <w:r w:rsidRPr="004553D2">
              <w:t>7</w:t>
            </w:r>
          </w:p>
        </w:tc>
      </w:tr>
      <w:tr w:rsidR="00222BE4" w:rsidRPr="00DD28A8" w:rsidTr="002A07B4">
        <w:trPr>
          <w:trHeight w:val="116"/>
          <w:jc w:val="center"/>
        </w:trPr>
        <w:tc>
          <w:tcPr>
            <w:tcW w:w="771" w:type="dxa"/>
            <w:vMerge/>
            <w:tcBorders>
              <w:bottom w:val="single" w:sz="4" w:space="0" w:color="auto"/>
            </w:tcBorders>
            <w:shd w:val="clear" w:color="auto" w:fill="auto"/>
          </w:tcPr>
          <w:p w:rsidR="00222BE4" w:rsidRPr="003304D4" w:rsidRDefault="00222BE4" w:rsidP="00222BE4">
            <w:pPr>
              <w:pStyle w:val="ab"/>
              <w:numPr>
                <w:ilvl w:val="0"/>
                <w:numId w:val="11"/>
              </w:numPr>
              <w:ind w:left="0" w:firstLine="284"/>
              <w:jc w:val="center"/>
            </w:pPr>
          </w:p>
        </w:tc>
        <w:tc>
          <w:tcPr>
            <w:tcW w:w="3780" w:type="dxa"/>
            <w:vMerge/>
            <w:tcBorders>
              <w:bottom w:val="single" w:sz="4" w:space="0" w:color="auto"/>
            </w:tcBorders>
            <w:shd w:val="clear" w:color="auto" w:fill="auto"/>
            <w:hideMark/>
          </w:tcPr>
          <w:p w:rsidR="00222BE4" w:rsidRPr="00DD28A8" w:rsidRDefault="00222BE4" w:rsidP="00DD28A8">
            <w:pPr>
              <w:rPr>
                <w:sz w:val="22"/>
                <w:szCs w:val="22"/>
              </w:rPr>
            </w:pPr>
          </w:p>
        </w:tc>
        <w:tc>
          <w:tcPr>
            <w:tcW w:w="2401" w:type="dxa"/>
            <w:vMerge/>
            <w:tcBorders>
              <w:bottom w:val="single" w:sz="4" w:space="0" w:color="auto"/>
            </w:tcBorders>
            <w:shd w:val="clear" w:color="auto" w:fill="auto"/>
            <w:hideMark/>
          </w:tcPr>
          <w:p w:rsidR="00222BE4" w:rsidRPr="00DD28A8" w:rsidRDefault="00222BE4" w:rsidP="00DD28A8">
            <w:pPr>
              <w:jc w:val="center"/>
              <w:rPr>
                <w:sz w:val="22"/>
                <w:szCs w:val="22"/>
              </w:rPr>
            </w:pPr>
          </w:p>
        </w:tc>
        <w:tc>
          <w:tcPr>
            <w:tcW w:w="1862" w:type="dxa"/>
            <w:tcBorders>
              <w:right w:val="single" w:sz="4" w:space="0" w:color="auto"/>
            </w:tcBorders>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2BE4" w:rsidRPr="00ED6E4F" w:rsidRDefault="00222BE4" w:rsidP="00ED6E4F">
            <w:pPr>
              <w:jc w:val="cente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2BE4" w:rsidRPr="00ED6E4F" w:rsidRDefault="00222BE4" w:rsidP="00ED6E4F">
            <w:pPr>
              <w:jc w:val="cente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rsidP="004553D2">
            <w:pPr>
              <w:jc w:val="center"/>
            </w:pPr>
            <w:r w:rsidRPr="004553D2">
              <w:t>119</w:t>
            </w:r>
            <w:r>
              <w:t>,</w:t>
            </w:r>
            <w:r w:rsidRPr="004553D2">
              <w:t>9</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rsidP="004553D2">
            <w:pPr>
              <w:jc w:val="center"/>
            </w:pPr>
            <w:r w:rsidRPr="004553D2">
              <w:t>126</w:t>
            </w:r>
            <w:r>
              <w:t>,</w:t>
            </w:r>
            <w:r w:rsidRPr="004553D2">
              <w:t>9</w:t>
            </w:r>
          </w:p>
        </w:tc>
        <w:tc>
          <w:tcPr>
            <w:tcW w:w="1272" w:type="dxa"/>
            <w:tcBorders>
              <w:left w:val="single" w:sz="4" w:space="0" w:color="auto"/>
            </w:tcBorders>
            <w:shd w:val="clear" w:color="auto" w:fill="auto"/>
            <w:noWrap/>
            <w:vAlign w:val="center"/>
          </w:tcPr>
          <w:p w:rsidR="00222BE4" w:rsidRPr="004553D2" w:rsidRDefault="00222BE4" w:rsidP="004553D2">
            <w:pPr>
              <w:jc w:val="center"/>
            </w:pPr>
            <w:r w:rsidRPr="004553D2">
              <w:t>134</w:t>
            </w:r>
            <w:r>
              <w:t>,5</w:t>
            </w:r>
          </w:p>
        </w:tc>
      </w:tr>
      <w:tr w:rsidR="00222BE4" w:rsidRPr="00DD28A8" w:rsidTr="002A07B4">
        <w:trPr>
          <w:trHeight w:val="283"/>
          <w:jc w:val="center"/>
        </w:trPr>
        <w:tc>
          <w:tcPr>
            <w:tcW w:w="771" w:type="dxa"/>
            <w:vMerge w:val="restart"/>
            <w:tcBorders>
              <w:bottom w:val="single" w:sz="4" w:space="0" w:color="auto"/>
            </w:tcBorders>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tcBorders>
              <w:bottom w:val="single" w:sz="4" w:space="0" w:color="auto"/>
            </w:tcBorders>
            <w:shd w:val="clear" w:color="auto" w:fill="auto"/>
            <w:hideMark/>
          </w:tcPr>
          <w:p w:rsidR="00222BE4" w:rsidRPr="00DD28A8" w:rsidRDefault="00222BE4" w:rsidP="00DD28A8">
            <w:pPr>
              <w:rPr>
                <w:sz w:val="22"/>
                <w:szCs w:val="22"/>
              </w:rPr>
            </w:pPr>
            <w:r w:rsidRPr="00DD28A8">
              <w:rPr>
                <w:sz w:val="22"/>
                <w:szCs w:val="22"/>
              </w:rPr>
              <w:t>Индекс производства продукции сельского хозяйства</w:t>
            </w:r>
          </w:p>
        </w:tc>
        <w:tc>
          <w:tcPr>
            <w:tcW w:w="2401" w:type="dxa"/>
            <w:vMerge w:val="restart"/>
            <w:tcBorders>
              <w:bottom w:val="single" w:sz="4" w:space="0" w:color="auto"/>
            </w:tcBorders>
            <w:shd w:val="clear" w:color="auto" w:fill="auto"/>
            <w:hideMark/>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tcBorders>
              <w:right w:val="single" w:sz="4" w:space="0" w:color="auto"/>
            </w:tcBorders>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pPr>
              <w:jc w:val="center"/>
            </w:pPr>
            <w:r w:rsidRPr="004553D2">
              <w:t>100,7</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pPr>
              <w:jc w:val="center"/>
            </w:pPr>
            <w:r w:rsidRPr="004553D2">
              <w:t>100,8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pPr>
              <w:jc w:val="center"/>
            </w:pPr>
            <w:r w:rsidRPr="004553D2">
              <w:t>99,5</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BE4" w:rsidRPr="004553D2" w:rsidRDefault="00222BE4">
            <w:pPr>
              <w:jc w:val="center"/>
            </w:pPr>
            <w:r w:rsidRPr="004553D2">
              <w:t>100,3</w:t>
            </w:r>
          </w:p>
        </w:tc>
        <w:tc>
          <w:tcPr>
            <w:tcW w:w="1272" w:type="dxa"/>
            <w:tcBorders>
              <w:left w:val="single" w:sz="4" w:space="0" w:color="auto"/>
            </w:tcBorders>
            <w:shd w:val="clear" w:color="auto" w:fill="auto"/>
            <w:noWrap/>
            <w:vAlign w:val="center"/>
          </w:tcPr>
          <w:p w:rsidR="00222BE4" w:rsidRPr="004553D2" w:rsidRDefault="00222BE4">
            <w:pPr>
              <w:jc w:val="center"/>
            </w:pPr>
            <w:r w:rsidRPr="004553D2">
              <w:t>100,5</w:t>
            </w:r>
          </w:p>
        </w:tc>
      </w:tr>
      <w:tr w:rsidR="00222BE4" w:rsidRPr="00DD28A8" w:rsidTr="002A07B4">
        <w:trPr>
          <w:trHeight w:val="124"/>
          <w:jc w:val="center"/>
        </w:trPr>
        <w:tc>
          <w:tcPr>
            <w:tcW w:w="771" w:type="dxa"/>
            <w:vMerge/>
            <w:tcBorders>
              <w:bottom w:val="single" w:sz="4" w:space="0" w:color="auto"/>
            </w:tcBorders>
            <w:shd w:val="clear" w:color="auto" w:fill="auto"/>
          </w:tcPr>
          <w:p w:rsidR="00222BE4" w:rsidRPr="003304D4" w:rsidRDefault="00222BE4" w:rsidP="00222BE4">
            <w:pPr>
              <w:pStyle w:val="ab"/>
              <w:numPr>
                <w:ilvl w:val="0"/>
                <w:numId w:val="11"/>
              </w:numPr>
              <w:ind w:left="0" w:firstLine="284"/>
              <w:jc w:val="center"/>
            </w:pPr>
          </w:p>
        </w:tc>
        <w:tc>
          <w:tcPr>
            <w:tcW w:w="3780" w:type="dxa"/>
            <w:vMerge/>
            <w:tcBorders>
              <w:bottom w:val="single" w:sz="4" w:space="0" w:color="auto"/>
            </w:tcBorders>
            <w:shd w:val="clear" w:color="auto" w:fill="auto"/>
            <w:hideMark/>
          </w:tcPr>
          <w:p w:rsidR="00222BE4" w:rsidRPr="00DD28A8" w:rsidRDefault="00222BE4" w:rsidP="00DD28A8">
            <w:pPr>
              <w:rPr>
                <w:sz w:val="22"/>
                <w:szCs w:val="22"/>
              </w:rPr>
            </w:pPr>
          </w:p>
        </w:tc>
        <w:tc>
          <w:tcPr>
            <w:tcW w:w="2401" w:type="dxa"/>
            <w:vMerge/>
            <w:tcBorders>
              <w:bottom w:val="single" w:sz="4" w:space="0" w:color="auto"/>
            </w:tcBorders>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tcBorders>
              <w:top w:val="single" w:sz="4" w:space="0" w:color="auto"/>
            </w:tcBorders>
            <w:shd w:val="clear" w:color="auto" w:fill="auto"/>
            <w:vAlign w:val="center"/>
          </w:tcPr>
          <w:p w:rsidR="00222BE4" w:rsidRPr="00ED6E4F" w:rsidRDefault="00222BE4" w:rsidP="00ED6E4F">
            <w:pPr>
              <w:jc w:val="center"/>
            </w:pPr>
          </w:p>
        </w:tc>
        <w:tc>
          <w:tcPr>
            <w:tcW w:w="1349" w:type="dxa"/>
            <w:vMerge/>
            <w:tcBorders>
              <w:top w:val="single" w:sz="4" w:space="0" w:color="auto"/>
            </w:tcBorders>
            <w:shd w:val="clear" w:color="auto" w:fill="auto"/>
            <w:vAlign w:val="center"/>
          </w:tcPr>
          <w:p w:rsidR="00222BE4" w:rsidRPr="00ED6E4F" w:rsidRDefault="00222BE4" w:rsidP="00ED6E4F">
            <w:pPr>
              <w:jc w:val="center"/>
            </w:pPr>
          </w:p>
        </w:tc>
        <w:tc>
          <w:tcPr>
            <w:tcW w:w="1180" w:type="dxa"/>
            <w:tcBorders>
              <w:top w:val="single" w:sz="4" w:space="0" w:color="auto"/>
            </w:tcBorders>
            <w:shd w:val="clear" w:color="auto" w:fill="auto"/>
            <w:noWrap/>
            <w:vAlign w:val="center"/>
          </w:tcPr>
          <w:p w:rsidR="00222BE4" w:rsidRPr="004553D2" w:rsidRDefault="00222BE4">
            <w:pPr>
              <w:jc w:val="center"/>
            </w:pPr>
            <w:r w:rsidRPr="004553D2">
              <w:t>101,0</w:t>
            </w:r>
          </w:p>
        </w:tc>
        <w:tc>
          <w:tcPr>
            <w:tcW w:w="1141" w:type="dxa"/>
            <w:tcBorders>
              <w:top w:val="single" w:sz="4" w:space="0" w:color="auto"/>
            </w:tcBorders>
            <w:shd w:val="clear" w:color="auto" w:fill="auto"/>
            <w:noWrap/>
            <w:vAlign w:val="center"/>
          </w:tcPr>
          <w:p w:rsidR="00222BE4" w:rsidRPr="004553D2" w:rsidRDefault="00222BE4">
            <w:pPr>
              <w:jc w:val="center"/>
            </w:pPr>
            <w:r w:rsidRPr="004553D2">
              <w:t>101,1</w:t>
            </w:r>
          </w:p>
        </w:tc>
        <w:tc>
          <w:tcPr>
            <w:tcW w:w="1272" w:type="dxa"/>
            <w:shd w:val="clear" w:color="auto" w:fill="auto"/>
            <w:noWrap/>
            <w:vAlign w:val="center"/>
          </w:tcPr>
          <w:p w:rsidR="00222BE4" w:rsidRPr="004553D2" w:rsidRDefault="00222BE4">
            <w:pPr>
              <w:jc w:val="center"/>
            </w:pPr>
            <w:r w:rsidRPr="004553D2">
              <w:t>101,0</w:t>
            </w:r>
          </w:p>
        </w:tc>
      </w:tr>
      <w:tr w:rsidR="00222BE4" w:rsidRPr="00DD28A8" w:rsidTr="002A07B4">
        <w:trPr>
          <w:trHeight w:val="142"/>
          <w:jc w:val="center"/>
        </w:trPr>
        <w:tc>
          <w:tcPr>
            <w:tcW w:w="771" w:type="dxa"/>
            <w:vMerge w:val="restart"/>
            <w:tcBorders>
              <w:top w:val="single" w:sz="4" w:space="0" w:color="auto"/>
            </w:tcBorders>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tcBorders>
              <w:top w:val="single" w:sz="4" w:space="0" w:color="auto"/>
            </w:tcBorders>
            <w:shd w:val="clear" w:color="auto" w:fill="auto"/>
            <w:hideMark/>
          </w:tcPr>
          <w:p w:rsidR="00222BE4" w:rsidRPr="00DD28A8" w:rsidRDefault="00222BE4" w:rsidP="00DD28A8">
            <w:pPr>
              <w:rPr>
                <w:sz w:val="22"/>
                <w:szCs w:val="22"/>
              </w:rPr>
            </w:pPr>
            <w:r w:rsidRPr="00DD28A8">
              <w:rPr>
                <w:sz w:val="22"/>
                <w:szCs w:val="22"/>
              </w:rPr>
              <w:t>Объем работ, выполненных по виду деятельности "Строительство"</w:t>
            </w:r>
          </w:p>
        </w:tc>
        <w:tc>
          <w:tcPr>
            <w:tcW w:w="2401" w:type="dxa"/>
            <w:vMerge w:val="restart"/>
            <w:tcBorders>
              <w:top w:val="single" w:sz="4" w:space="0" w:color="auto"/>
            </w:tcBorders>
            <w:shd w:val="clear" w:color="auto" w:fill="auto"/>
            <w:hideMark/>
          </w:tcPr>
          <w:p w:rsidR="00222BE4" w:rsidRPr="00DD28A8" w:rsidRDefault="00222BE4" w:rsidP="00DD28A8">
            <w:pPr>
              <w:jc w:val="center"/>
              <w:rPr>
                <w:sz w:val="22"/>
                <w:szCs w:val="22"/>
              </w:rPr>
            </w:pPr>
            <w:proofErr w:type="gramStart"/>
            <w:r w:rsidRPr="00DD28A8">
              <w:rPr>
                <w:sz w:val="22"/>
                <w:szCs w:val="22"/>
              </w:rPr>
              <w:t>млрд</w:t>
            </w:r>
            <w:proofErr w:type="gramEnd"/>
            <w:r w:rsidRPr="00DD28A8">
              <w:rPr>
                <w:sz w:val="22"/>
                <w:szCs w:val="22"/>
              </w:rPr>
              <w:t xml:space="preserve"> руб.</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4553D2" w:rsidRDefault="00222BE4" w:rsidP="004553D2">
            <w:pPr>
              <w:jc w:val="center"/>
            </w:pPr>
            <w:r w:rsidRPr="004553D2">
              <w:t>227</w:t>
            </w:r>
            <w:r>
              <w:t>,</w:t>
            </w:r>
            <w:r w:rsidRPr="004553D2">
              <w:t>4</w:t>
            </w:r>
          </w:p>
        </w:tc>
        <w:tc>
          <w:tcPr>
            <w:tcW w:w="1349" w:type="dxa"/>
            <w:vMerge w:val="restart"/>
            <w:shd w:val="clear" w:color="auto" w:fill="auto"/>
            <w:noWrap/>
            <w:vAlign w:val="center"/>
          </w:tcPr>
          <w:p w:rsidR="00222BE4" w:rsidRPr="004553D2" w:rsidRDefault="00222BE4" w:rsidP="004553D2">
            <w:pPr>
              <w:jc w:val="center"/>
            </w:pPr>
            <w:r w:rsidRPr="004553D2">
              <w:t>265</w:t>
            </w:r>
            <w:r>
              <w:t>,</w:t>
            </w:r>
            <w:r w:rsidRPr="004553D2">
              <w:t>3</w:t>
            </w:r>
          </w:p>
        </w:tc>
        <w:tc>
          <w:tcPr>
            <w:tcW w:w="1180" w:type="dxa"/>
            <w:shd w:val="clear" w:color="auto" w:fill="auto"/>
            <w:noWrap/>
            <w:vAlign w:val="center"/>
          </w:tcPr>
          <w:p w:rsidR="00222BE4" w:rsidRPr="004553D2" w:rsidRDefault="00222BE4" w:rsidP="004553D2">
            <w:pPr>
              <w:jc w:val="center"/>
            </w:pPr>
            <w:r w:rsidRPr="004553D2">
              <w:t>280</w:t>
            </w:r>
            <w:r>
              <w:t>,9</w:t>
            </w:r>
          </w:p>
        </w:tc>
        <w:tc>
          <w:tcPr>
            <w:tcW w:w="1141" w:type="dxa"/>
            <w:shd w:val="clear" w:color="auto" w:fill="auto"/>
            <w:noWrap/>
            <w:vAlign w:val="center"/>
          </w:tcPr>
          <w:p w:rsidR="00222BE4" w:rsidRPr="004553D2" w:rsidRDefault="00222BE4" w:rsidP="004553D2">
            <w:pPr>
              <w:jc w:val="center"/>
            </w:pPr>
            <w:r w:rsidRPr="004553D2">
              <w:t>295</w:t>
            </w:r>
            <w:r>
              <w:t>,</w:t>
            </w:r>
            <w:r w:rsidRPr="004553D2">
              <w:t>3</w:t>
            </w:r>
          </w:p>
        </w:tc>
        <w:tc>
          <w:tcPr>
            <w:tcW w:w="1272" w:type="dxa"/>
            <w:shd w:val="clear" w:color="auto" w:fill="auto"/>
            <w:noWrap/>
            <w:vAlign w:val="center"/>
          </w:tcPr>
          <w:p w:rsidR="00222BE4" w:rsidRPr="004553D2" w:rsidRDefault="00222BE4" w:rsidP="004553D2">
            <w:pPr>
              <w:jc w:val="center"/>
            </w:pPr>
            <w:r w:rsidRPr="004553D2">
              <w:t>317</w:t>
            </w:r>
            <w:r>
              <w:t>,</w:t>
            </w:r>
            <w:r w:rsidRPr="004553D2">
              <w:t>2</w:t>
            </w:r>
          </w:p>
        </w:tc>
      </w:tr>
      <w:tr w:rsidR="00222BE4" w:rsidRPr="00DD28A8" w:rsidTr="002A07B4">
        <w:trPr>
          <w:trHeight w:val="160"/>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rsidP="004553D2">
            <w:pPr>
              <w:jc w:val="center"/>
            </w:pPr>
            <w:r w:rsidRPr="004553D2">
              <w:t>282</w:t>
            </w:r>
            <w:r>
              <w:t>,1</w:t>
            </w:r>
          </w:p>
        </w:tc>
        <w:tc>
          <w:tcPr>
            <w:tcW w:w="1141" w:type="dxa"/>
            <w:shd w:val="clear" w:color="auto" w:fill="auto"/>
            <w:noWrap/>
            <w:vAlign w:val="center"/>
          </w:tcPr>
          <w:p w:rsidR="00222BE4" w:rsidRPr="004553D2" w:rsidRDefault="00222BE4" w:rsidP="004553D2">
            <w:pPr>
              <w:jc w:val="center"/>
            </w:pPr>
            <w:r w:rsidRPr="004553D2">
              <w:t>300</w:t>
            </w:r>
            <w:r>
              <w:t>,4</w:t>
            </w:r>
          </w:p>
        </w:tc>
        <w:tc>
          <w:tcPr>
            <w:tcW w:w="1272" w:type="dxa"/>
            <w:shd w:val="clear" w:color="auto" w:fill="auto"/>
            <w:noWrap/>
            <w:vAlign w:val="center"/>
          </w:tcPr>
          <w:p w:rsidR="00222BE4" w:rsidRPr="004553D2" w:rsidRDefault="00222BE4" w:rsidP="004553D2">
            <w:pPr>
              <w:jc w:val="center"/>
            </w:pPr>
            <w:r w:rsidRPr="004553D2">
              <w:t>327</w:t>
            </w:r>
            <w:r>
              <w:t>,1</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Индекс производства по виду деятельности "Строительство"</w:t>
            </w:r>
          </w:p>
        </w:tc>
        <w:tc>
          <w:tcPr>
            <w:tcW w:w="2401" w:type="dxa"/>
            <w:vMerge w:val="restart"/>
            <w:shd w:val="clear" w:color="auto" w:fill="auto"/>
            <w:hideMark/>
          </w:tcPr>
          <w:p w:rsidR="00222BE4" w:rsidRPr="00DD28A8" w:rsidRDefault="00222BE4" w:rsidP="00340D73">
            <w:pPr>
              <w:jc w:val="center"/>
              <w:rPr>
                <w:sz w:val="22"/>
                <w:szCs w:val="22"/>
              </w:rPr>
            </w:pPr>
            <w:r>
              <w:rPr>
                <w:sz w:val="22"/>
                <w:szCs w:val="22"/>
              </w:rPr>
              <w:t xml:space="preserve"> проц. к предыдущему году</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4553D2" w:rsidRDefault="00222BE4">
            <w:pPr>
              <w:jc w:val="center"/>
            </w:pPr>
            <w:r w:rsidRPr="004553D2">
              <w:t>107,7</w:t>
            </w:r>
          </w:p>
        </w:tc>
        <w:tc>
          <w:tcPr>
            <w:tcW w:w="1349" w:type="dxa"/>
            <w:vMerge w:val="restart"/>
            <w:shd w:val="clear" w:color="auto" w:fill="auto"/>
            <w:noWrap/>
            <w:vAlign w:val="center"/>
          </w:tcPr>
          <w:p w:rsidR="00222BE4" w:rsidRPr="004553D2" w:rsidRDefault="00222BE4">
            <w:pPr>
              <w:jc w:val="center"/>
            </w:pPr>
            <w:r w:rsidRPr="004553D2">
              <w:t>105,2</w:t>
            </w:r>
          </w:p>
        </w:tc>
        <w:tc>
          <w:tcPr>
            <w:tcW w:w="1180" w:type="dxa"/>
            <w:shd w:val="clear" w:color="auto" w:fill="auto"/>
            <w:noWrap/>
            <w:vAlign w:val="center"/>
          </w:tcPr>
          <w:p w:rsidR="00222BE4" w:rsidRPr="004553D2" w:rsidRDefault="00222BE4">
            <w:pPr>
              <w:jc w:val="center"/>
            </w:pPr>
            <w:r w:rsidRPr="004553D2">
              <w:t>99,5</w:t>
            </w:r>
          </w:p>
        </w:tc>
        <w:tc>
          <w:tcPr>
            <w:tcW w:w="1141" w:type="dxa"/>
            <w:shd w:val="clear" w:color="auto" w:fill="auto"/>
            <w:noWrap/>
            <w:vAlign w:val="center"/>
          </w:tcPr>
          <w:p w:rsidR="00222BE4" w:rsidRPr="004553D2" w:rsidRDefault="00222BE4">
            <w:pPr>
              <w:jc w:val="center"/>
            </w:pPr>
            <w:r w:rsidRPr="004553D2">
              <w:t>100,8</w:t>
            </w:r>
          </w:p>
        </w:tc>
        <w:tc>
          <w:tcPr>
            <w:tcW w:w="1272" w:type="dxa"/>
            <w:shd w:val="clear" w:color="auto" w:fill="auto"/>
            <w:noWrap/>
            <w:vAlign w:val="center"/>
          </w:tcPr>
          <w:p w:rsidR="00222BE4" w:rsidRPr="004553D2" w:rsidRDefault="00222BE4">
            <w:pPr>
              <w:jc w:val="center"/>
            </w:pPr>
            <w:r w:rsidRPr="004553D2">
              <w:t>103,1</w:t>
            </w:r>
          </w:p>
        </w:tc>
      </w:tr>
      <w:tr w:rsidR="00222BE4" w:rsidRPr="00DD28A8" w:rsidTr="002A07B4">
        <w:trPr>
          <w:trHeight w:val="68"/>
          <w:jc w:val="center"/>
        </w:trPr>
        <w:tc>
          <w:tcPr>
            <w:tcW w:w="771" w:type="dxa"/>
            <w:vMerge/>
            <w:shd w:val="clear" w:color="auto" w:fill="auto"/>
          </w:tcPr>
          <w:p w:rsidR="00222BE4" w:rsidRPr="003304D4" w:rsidRDefault="00222BE4" w:rsidP="00F8448A">
            <w:pPr>
              <w:pStyle w:val="ab"/>
              <w:numPr>
                <w:ilvl w:val="0"/>
                <w:numId w:val="10"/>
              </w:numPr>
              <w:ind w:left="0" w:firstLine="0"/>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100,2</w:t>
            </w:r>
          </w:p>
        </w:tc>
        <w:tc>
          <w:tcPr>
            <w:tcW w:w="1141" w:type="dxa"/>
            <w:shd w:val="clear" w:color="auto" w:fill="auto"/>
            <w:noWrap/>
            <w:vAlign w:val="center"/>
          </w:tcPr>
          <w:p w:rsidR="00222BE4" w:rsidRPr="004553D2" w:rsidRDefault="00222BE4">
            <w:pPr>
              <w:jc w:val="center"/>
            </w:pPr>
            <w:r w:rsidRPr="004553D2">
              <w:t>102,2</w:t>
            </w:r>
          </w:p>
        </w:tc>
        <w:tc>
          <w:tcPr>
            <w:tcW w:w="1272" w:type="dxa"/>
            <w:shd w:val="clear" w:color="auto" w:fill="auto"/>
            <w:noWrap/>
            <w:vAlign w:val="center"/>
          </w:tcPr>
          <w:p w:rsidR="00222BE4" w:rsidRPr="004553D2" w:rsidRDefault="00222BE4">
            <w:pPr>
              <w:jc w:val="center"/>
            </w:pPr>
            <w:r w:rsidRPr="004553D2">
              <w:t>104,6</w:t>
            </w:r>
          </w:p>
        </w:tc>
      </w:tr>
      <w:tr w:rsidR="00222BE4" w:rsidRPr="00DD28A8" w:rsidTr="002A07B4">
        <w:trPr>
          <w:trHeight w:val="283"/>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Ввод в действие жилых домов</w:t>
            </w:r>
          </w:p>
        </w:tc>
        <w:tc>
          <w:tcPr>
            <w:tcW w:w="2401" w:type="dxa"/>
            <w:vMerge w:val="restart"/>
            <w:shd w:val="clear" w:color="auto" w:fill="auto"/>
            <w:hideMark/>
          </w:tcPr>
          <w:p w:rsidR="00222BE4" w:rsidRPr="00DD28A8" w:rsidRDefault="00222BE4" w:rsidP="00AA048F">
            <w:pPr>
              <w:jc w:val="center"/>
              <w:rPr>
                <w:sz w:val="22"/>
                <w:szCs w:val="22"/>
              </w:rPr>
            </w:pPr>
            <w:r w:rsidRPr="00DD28A8">
              <w:rPr>
                <w:sz w:val="22"/>
                <w:szCs w:val="22"/>
              </w:rPr>
              <w:t>тыс. кв. м общей площади</w:t>
            </w:r>
          </w:p>
        </w:tc>
        <w:tc>
          <w:tcPr>
            <w:tcW w:w="1862" w:type="dxa"/>
            <w:shd w:val="clear" w:color="auto" w:fill="auto"/>
            <w:hideMark/>
          </w:tcPr>
          <w:p w:rsidR="00222BE4" w:rsidRPr="00DD28A8" w:rsidRDefault="00222BE4" w:rsidP="002A07B4">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4553D2" w:rsidRDefault="00222BE4">
            <w:pPr>
              <w:jc w:val="center"/>
            </w:pPr>
            <w:r w:rsidRPr="004553D2">
              <w:t>3</w:t>
            </w:r>
            <w:r>
              <w:t xml:space="preserve"> </w:t>
            </w:r>
            <w:r w:rsidRPr="004553D2">
              <w:t>386,4</w:t>
            </w:r>
          </w:p>
        </w:tc>
        <w:tc>
          <w:tcPr>
            <w:tcW w:w="1349" w:type="dxa"/>
            <w:vMerge w:val="restart"/>
            <w:shd w:val="clear" w:color="auto" w:fill="auto"/>
            <w:noWrap/>
            <w:vAlign w:val="center"/>
          </w:tcPr>
          <w:p w:rsidR="00222BE4" w:rsidRPr="004553D2" w:rsidRDefault="00222BE4">
            <w:pPr>
              <w:jc w:val="center"/>
            </w:pPr>
            <w:r w:rsidRPr="004553D2">
              <w:t>2</w:t>
            </w:r>
            <w:r>
              <w:t xml:space="preserve"> </w:t>
            </w:r>
            <w:r w:rsidRPr="004553D2">
              <w:t>650,0</w:t>
            </w:r>
          </w:p>
        </w:tc>
        <w:tc>
          <w:tcPr>
            <w:tcW w:w="1180" w:type="dxa"/>
            <w:shd w:val="clear" w:color="auto" w:fill="auto"/>
            <w:noWrap/>
            <w:vAlign w:val="center"/>
          </w:tcPr>
          <w:p w:rsidR="00222BE4" w:rsidRPr="004553D2" w:rsidRDefault="00222BE4">
            <w:pPr>
              <w:jc w:val="center"/>
            </w:pPr>
            <w:r w:rsidRPr="004553D2">
              <w:t>1</w:t>
            </w:r>
            <w:r>
              <w:t xml:space="preserve"> </w:t>
            </w:r>
            <w:r w:rsidRPr="004553D2">
              <w:t>990,0</w:t>
            </w:r>
          </w:p>
        </w:tc>
        <w:tc>
          <w:tcPr>
            <w:tcW w:w="1141" w:type="dxa"/>
            <w:shd w:val="clear" w:color="auto" w:fill="auto"/>
            <w:noWrap/>
            <w:vAlign w:val="center"/>
          </w:tcPr>
          <w:p w:rsidR="00222BE4" w:rsidRPr="004553D2" w:rsidRDefault="00222BE4">
            <w:pPr>
              <w:jc w:val="center"/>
            </w:pPr>
            <w:r w:rsidRPr="004553D2">
              <w:t>2</w:t>
            </w:r>
            <w:r>
              <w:t xml:space="preserve"> </w:t>
            </w:r>
            <w:r w:rsidRPr="004553D2">
              <w:t>040,0</w:t>
            </w:r>
          </w:p>
        </w:tc>
        <w:tc>
          <w:tcPr>
            <w:tcW w:w="1272" w:type="dxa"/>
            <w:shd w:val="clear" w:color="auto" w:fill="auto"/>
            <w:noWrap/>
            <w:vAlign w:val="center"/>
          </w:tcPr>
          <w:p w:rsidR="00222BE4" w:rsidRPr="004553D2" w:rsidRDefault="00222BE4">
            <w:pPr>
              <w:jc w:val="center"/>
            </w:pPr>
            <w:r w:rsidRPr="004553D2">
              <w:t>2</w:t>
            </w:r>
            <w:r>
              <w:t xml:space="preserve"> </w:t>
            </w:r>
            <w:r w:rsidRPr="004553D2">
              <w:t>080,0</w:t>
            </w:r>
          </w:p>
        </w:tc>
      </w:tr>
      <w:tr w:rsidR="00222BE4" w:rsidRPr="00DD28A8" w:rsidTr="002A07B4">
        <w:trPr>
          <w:trHeight w:val="283"/>
          <w:jc w:val="center"/>
        </w:trPr>
        <w:tc>
          <w:tcPr>
            <w:tcW w:w="771" w:type="dxa"/>
            <w:vMerge/>
            <w:shd w:val="clear" w:color="auto" w:fill="auto"/>
            <w:noWrap/>
          </w:tcPr>
          <w:p w:rsidR="00222BE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rPr>
                <w:sz w:val="22"/>
                <w:szCs w:val="22"/>
              </w:rPr>
            </w:pPr>
          </w:p>
        </w:tc>
        <w:tc>
          <w:tcPr>
            <w:tcW w:w="2401" w:type="dxa"/>
            <w:vMerge/>
            <w:shd w:val="clear" w:color="auto" w:fill="auto"/>
          </w:tcPr>
          <w:p w:rsidR="00222BE4" w:rsidRPr="00DD28A8" w:rsidRDefault="00222BE4" w:rsidP="00AA048F">
            <w:pPr>
              <w:jc w:val="center"/>
              <w:rPr>
                <w:sz w:val="22"/>
                <w:szCs w:val="22"/>
              </w:rPr>
            </w:pPr>
          </w:p>
        </w:tc>
        <w:tc>
          <w:tcPr>
            <w:tcW w:w="1862" w:type="dxa"/>
            <w:shd w:val="clear" w:color="auto" w:fill="auto"/>
          </w:tcPr>
          <w:p w:rsidR="00222BE4" w:rsidRPr="00DD28A8" w:rsidRDefault="00222BE4" w:rsidP="002A07B4">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D066FA">
            <w:pPr>
              <w:jc w:val="center"/>
            </w:pPr>
          </w:p>
        </w:tc>
        <w:tc>
          <w:tcPr>
            <w:tcW w:w="1349" w:type="dxa"/>
            <w:vMerge/>
            <w:shd w:val="clear" w:color="auto" w:fill="auto"/>
            <w:noWrap/>
            <w:vAlign w:val="center"/>
          </w:tcPr>
          <w:p w:rsidR="00222BE4" w:rsidRPr="00ED6E4F" w:rsidRDefault="00222BE4" w:rsidP="000836D0">
            <w:pPr>
              <w:jc w:val="center"/>
            </w:pPr>
          </w:p>
        </w:tc>
        <w:tc>
          <w:tcPr>
            <w:tcW w:w="1180" w:type="dxa"/>
            <w:shd w:val="clear" w:color="auto" w:fill="auto"/>
            <w:noWrap/>
            <w:vAlign w:val="center"/>
          </w:tcPr>
          <w:p w:rsidR="00222BE4" w:rsidRPr="004553D2" w:rsidRDefault="00222BE4">
            <w:pPr>
              <w:jc w:val="center"/>
            </w:pPr>
            <w:r w:rsidRPr="004553D2">
              <w:t>2</w:t>
            </w:r>
            <w:r>
              <w:t xml:space="preserve"> </w:t>
            </w:r>
            <w:r w:rsidRPr="004553D2">
              <w:t>390,0</w:t>
            </w:r>
          </w:p>
        </w:tc>
        <w:tc>
          <w:tcPr>
            <w:tcW w:w="1141" w:type="dxa"/>
            <w:shd w:val="clear" w:color="auto" w:fill="auto"/>
            <w:noWrap/>
            <w:vAlign w:val="center"/>
          </w:tcPr>
          <w:p w:rsidR="00222BE4" w:rsidRPr="004553D2" w:rsidRDefault="00222BE4">
            <w:pPr>
              <w:jc w:val="center"/>
            </w:pPr>
            <w:r w:rsidRPr="004553D2">
              <w:t>2</w:t>
            </w:r>
            <w:r>
              <w:t xml:space="preserve"> </w:t>
            </w:r>
            <w:r w:rsidRPr="004553D2">
              <w:t>470,0</w:t>
            </w:r>
          </w:p>
        </w:tc>
        <w:tc>
          <w:tcPr>
            <w:tcW w:w="1272" w:type="dxa"/>
            <w:shd w:val="clear" w:color="auto" w:fill="auto"/>
            <w:noWrap/>
            <w:vAlign w:val="center"/>
          </w:tcPr>
          <w:p w:rsidR="00222BE4" w:rsidRPr="004553D2" w:rsidRDefault="00222BE4">
            <w:pPr>
              <w:jc w:val="center"/>
            </w:pPr>
            <w:r w:rsidRPr="004553D2">
              <w:t>2</w:t>
            </w:r>
            <w:r>
              <w:t xml:space="preserve"> </w:t>
            </w:r>
            <w:r w:rsidRPr="004553D2">
              <w:t>540,0</w:t>
            </w:r>
          </w:p>
        </w:tc>
      </w:tr>
      <w:tr w:rsidR="00222BE4" w:rsidRPr="00DD28A8" w:rsidTr="002A07B4">
        <w:trPr>
          <w:trHeight w:val="136"/>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DD28A8">
            <w:pPr>
              <w:rPr>
                <w:sz w:val="22"/>
                <w:szCs w:val="22"/>
              </w:rPr>
            </w:pPr>
            <w:r>
              <w:rPr>
                <w:sz w:val="22"/>
                <w:szCs w:val="22"/>
              </w:rPr>
              <w:t xml:space="preserve">Объем грузооборота портов Ленинградской области </w:t>
            </w:r>
          </w:p>
        </w:tc>
        <w:tc>
          <w:tcPr>
            <w:tcW w:w="2401" w:type="dxa"/>
            <w:vMerge w:val="restart"/>
            <w:shd w:val="clear" w:color="auto" w:fill="auto"/>
          </w:tcPr>
          <w:p w:rsidR="00222BE4" w:rsidRPr="00832FB8" w:rsidRDefault="00222BE4" w:rsidP="00832FB8">
            <w:pPr>
              <w:jc w:val="center"/>
            </w:pPr>
            <w:proofErr w:type="gramStart"/>
            <w:r>
              <w:t>млн</w:t>
            </w:r>
            <w:proofErr w:type="gramEnd"/>
            <w:r>
              <w:t xml:space="preserve"> тонн</w:t>
            </w:r>
          </w:p>
        </w:tc>
        <w:tc>
          <w:tcPr>
            <w:tcW w:w="1862" w:type="dxa"/>
            <w:shd w:val="clear" w:color="auto" w:fill="auto"/>
          </w:tcPr>
          <w:p w:rsidR="00222BE4" w:rsidRPr="00DD28A8" w:rsidRDefault="00222BE4" w:rsidP="002A07B4">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6E15AA" w:rsidRDefault="00222BE4" w:rsidP="006E15AA">
            <w:pPr>
              <w:jc w:val="center"/>
            </w:pPr>
            <w:r w:rsidRPr="006E15AA">
              <w:t>177</w:t>
            </w:r>
            <w:r>
              <w:t>,</w:t>
            </w:r>
            <w:r w:rsidRPr="006E15AA">
              <w:t>6</w:t>
            </w:r>
          </w:p>
        </w:tc>
        <w:tc>
          <w:tcPr>
            <w:tcW w:w="1349" w:type="dxa"/>
            <w:vMerge w:val="restart"/>
            <w:shd w:val="clear" w:color="auto" w:fill="auto"/>
            <w:noWrap/>
            <w:vAlign w:val="center"/>
          </w:tcPr>
          <w:p w:rsidR="00222BE4" w:rsidRPr="006E15AA" w:rsidRDefault="00222BE4" w:rsidP="006E15AA">
            <w:pPr>
              <w:jc w:val="center"/>
            </w:pPr>
            <w:r w:rsidRPr="006E15AA">
              <w:t>173</w:t>
            </w:r>
            <w:r>
              <w:t>,</w:t>
            </w:r>
            <w:r w:rsidRPr="006E15AA">
              <w:t>6</w:t>
            </w:r>
          </w:p>
        </w:tc>
        <w:tc>
          <w:tcPr>
            <w:tcW w:w="1180" w:type="dxa"/>
            <w:shd w:val="clear" w:color="auto" w:fill="auto"/>
            <w:noWrap/>
            <w:vAlign w:val="center"/>
          </w:tcPr>
          <w:p w:rsidR="00222BE4" w:rsidRPr="006E15AA" w:rsidRDefault="00222BE4" w:rsidP="006E15AA">
            <w:pPr>
              <w:jc w:val="center"/>
            </w:pPr>
            <w:r w:rsidRPr="006E15AA">
              <w:t>163</w:t>
            </w:r>
            <w:r>
              <w:t>,1</w:t>
            </w:r>
          </w:p>
        </w:tc>
        <w:tc>
          <w:tcPr>
            <w:tcW w:w="1141" w:type="dxa"/>
            <w:shd w:val="clear" w:color="auto" w:fill="auto"/>
            <w:noWrap/>
            <w:vAlign w:val="center"/>
          </w:tcPr>
          <w:p w:rsidR="00222BE4" w:rsidRPr="006E15AA" w:rsidRDefault="00222BE4" w:rsidP="006E15AA">
            <w:pPr>
              <w:jc w:val="center"/>
            </w:pPr>
            <w:r w:rsidRPr="006E15AA">
              <w:t>164</w:t>
            </w:r>
            <w:r>
              <w:t>,3</w:t>
            </w:r>
          </w:p>
        </w:tc>
        <w:tc>
          <w:tcPr>
            <w:tcW w:w="1272" w:type="dxa"/>
            <w:shd w:val="clear" w:color="auto" w:fill="auto"/>
            <w:noWrap/>
            <w:vAlign w:val="center"/>
          </w:tcPr>
          <w:p w:rsidR="00222BE4" w:rsidRPr="006E15AA" w:rsidRDefault="00222BE4" w:rsidP="006E15AA">
            <w:pPr>
              <w:jc w:val="center"/>
            </w:pPr>
            <w:r w:rsidRPr="006E15AA">
              <w:t>180</w:t>
            </w:r>
            <w:r>
              <w:t>,5</w:t>
            </w:r>
          </w:p>
        </w:tc>
      </w:tr>
      <w:tr w:rsidR="00222BE4" w:rsidRPr="00DD28A8" w:rsidTr="002A07B4">
        <w:trPr>
          <w:trHeight w:val="136"/>
          <w:jc w:val="center"/>
        </w:trPr>
        <w:tc>
          <w:tcPr>
            <w:tcW w:w="771" w:type="dxa"/>
            <w:vMerge/>
            <w:shd w:val="clear" w:color="auto" w:fill="auto"/>
            <w:noWrap/>
          </w:tcPr>
          <w:p w:rsidR="00222BE4" w:rsidRDefault="00222BE4" w:rsidP="00222BE4">
            <w:pPr>
              <w:pStyle w:val="ab"/>
              <w:numPr>
                <w:ilvl w:val="0"/>
                <w:numId w:val="11"/>
              </w:numPr>
              <w:ind w:left="0" w:firstLine="284"/>
              <w:jc w:val="center"/>
            </w:pPr>
          </w:p>
        </w:tc>
        <w:tc>
          <w:tcPr>
            <w:tcW w:w="3780" w:type="dxa"/>
            <w:vMerge/>
            <w:shd w:val="clear" w:color="auto" w:fill="auto"/>
          </w:tcPr>
          <w:p w:rsidR="00222BE4" w:rsidRDefault="00222BE4" w:rsidP="00DD28A8">
            <w:pPr>
              <w:rPr>
                <w:sz w:val="22"/>
                <w:szCs w:val="22"/>
              </w:rPr>
            </w:pPr>
          </w:p>
        </w:tc>
        <w:tc>
          <w:tcPr>
            <w:tcW w:w="2401" w:type="dxa"/>
            <w:vMerge/>
            <w:shd w:val="clear" w:color="auto" w:fill="auto"/>
          </w:tcPr>
          <w:p w:rsidR="00222BE4" w:rsidRDefault="00222BE4" w:rsidP="00832FB8">
            <w:pPr>
              <w:jc w:val="center"/>
            </w:pPr>
          </w:p>
        </w:tc>
        <w:tc>
          <w:tcPr>
            <w:tcW w:w="1862" w:type="dxa"/>
            <w:shd w:val="clear" w:color="auto" w:fill="auto"/>
          </w:tcPr>
          <w:p w:rsidR="00222BE4" w:rsidRPr="00DD28A8" w:rsidRDefault="00222BE4" w:rsidP="002A07B4">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832FB8">
            <w:pPr>
              <w:jc w:val="center"/>
            </w:pPr>
          </w:p>
        </w:tc>
        <w:tc>
          <w:tcPr>
            <w:tcW w:w="1349" w:type="dxa"/>
            <w:vMerge/>
            <w:shd w:val="clear" w:color="auto" w:fill="auto"/>
            <w:noWrap/>
            <w:vAlign w:val="center"/>
          </w:tcPr>
          <w:p w:rsidR="00222BE4" w:rsidRPr="00ED6E4F" w:rsidRDefault="00222BE4" w:rsidP="00832FB8">
            <w:pPr>
              <w:jc w:val="center"/>
            </w:pPr>
          </w:p>
        </w:tc>
        <w:tc>
          <w:tcPr>
            <w:tcW w:w="1180" w:type="dxa"/>
            <w:shd w:val="clear" w:color="auto" w:fill="auto"/>
            <w:noWrap/>
            <w:vAlign w:val="center"/>
          </w:tcPr>
          <w:p w:rsidR="00222BE4" w:rsidRPr="006E15AA" w:rsidRDefault="00222BE4" w:rsidP="002A07B4">
            <w:pPr>
              <w:jc w:val="center"/>
            </w:pPr>
            <w:r w:rsidRPr="006E15AA">
              <w:t>166</w:t>
            </w:r>
            <w:r>
              <w:t>,7</w:t>
            </w:r>
          </w:p>
        </w:tc>
        <w:tc>
          <w:tcPr>
            <w:tcW w:w="1141" w:type="dxa"/>
            <w:shd w:val="clear" w:color="auto" w:fill="auto"/>
            <w:noWrap/>
            <w:vAlign w:val="center"/>
          </w:tcPr>
          <w:p w:rsidR="00222BE4" w:rsidRPr="00ED6E4F" w:rsidRDefault="00222BE4" w:rsidP="006E15AA">
            <w:pPr>
              <w:jc w:val="center"/>
            </w:pPr>
            <w:r w:rsidRPr="006E15AA">
              <w:t>173</w:t>
            </w:r>
            <w:r>
              <w:t>,9</w:t>
            </w:r>
          </w:p>
        </w:tc>
        <w:tc>
          <w:tcPr>
            <w:tcW w:w="1272" w:type="dxa"/>
            <w:shd w:val="clear" w:color="auto" w:fill="auto"/>
            <w:noWrap/>
            <w:vAlign w:val="center"/>
          </w:tcPr>
          <w:p w:rsidR="00222BE4" w:rsidRPr="006E15AA" w:rsidRDefault="00222BE4" w:rsidP="006E15AA">
            <w:pPr>
              <w:jc w:val="center"/>
            </w:pPr>
            <w:r w:rsidRPr="006E15AA">
              <w:t>194</w:t>
            </w:r>
            <w:r>
              <w:t>,8</w:t>
            </w:r>
          </w:p>
        </w:tc>
      </w:tr>
      <w:tr w:rsidR="00222BE4" w:rsidRPr="00DD28A8" w:rsidTr="002A07B4">
        <w:trPr>
          <w:trHeight w:val="283"/>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tcPr>
          <w:p w:rsidR="00222BE4" w:rsidRPr="00DD28A8" w:rsidRDefault="00222BE4" w:rsidP="00DD28A8">
            <w:pPr>
              <w:rPr>
                <w:sz w:val="22"/>
                <w:szCs w:val="22"/>
              </w:rPr>
            </w:pPr>
            <w:r w:rsidRPr="00DD28A8">
              <w:rPr>
                <w:sz w:val="22"/>
                <w:szCs w:val="22"/>
              </w:rPr>
              <w:t>Плотность автомобильных дорог общего пользования с твердым покрытием (на конец года)</w:t>
            </w:r>
          </w:p>
        </w:tc>
        <w:tc>
          <w:tcPr>
            <w:tcW w:w="2401" w:type="dxa"/>
            <w:vMerge w:val="restart"/>
            <w:shd w:val="clear" w:color="auto" w:fill="auto"/>
          </w:tcPr>
          <w:p w:rsidR="00222BE4" w:rsidRPr="00DD28A8" w:rsidRDefault="00222BE4" w:rsidP="00F8448A">
            <w:pPr>
              <w:ind w:left="-51" w:right="-51"/>
              <w:jc w:val="center"/>
              <w:rPr>
                <w:sz w:val="22"/>
                <w:szCs w:val="22"/>
              </w:rPr>
            </w:pPr>
            <w:proofErr w:type="gramStart"/>
            <w:r w:rsidRPr="00DD28A8">
              <w:rPr>
                <w:sz w:val="22"/>
                <w:szCs w:val="22"/>
              </w:rPr>
              <w:t>км</w:t>
            </w:r>
            <w:proofErr w:type="gramEnd"/>
            <w:r w:rsidRPr="00DD28A8">
              <w:rPr>
                <w:sz w:val="22"/>
                <w:szCs w:val="22"/>
              </w:rPr>
              <w:t xml:space="preserve"> путей на 10000 кв. км территории</w:t>
            </w:r>
          </w:p>
        </w:tc>
        <w:tc>
          <w:tcPr>
            <w:tcW w:w="1862" w:type="dxa"/>
            <w:shd w:val="clear" w:color="auto" w:fill="auto"/>
          </w:tcPr>
          <w:p w:rsidR="00222BE4" w:rsidRPr="00DD28A8" w:rsidRDefault="00222BE4" w:rsidP="00191FBA">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6E15AA" w:rsidRDefault="00222BE4">
            <w:pPr>
              <w:jc w:val="center"/>
            </w:pPr>
            <w:r w:rsidRPr="006E15AA">
              <w:t>2</w:t>
            </w:r>
            <w:r>
              <w:t xml:space="preserve"> </w:t>
            </w:r>
            <w:r w:rsidRPr="006E15AA">
              <w:t>054,0</w:t>
            </w:r>
          </w:p>
        </w:tc>
        <w:tc>
          <w:tcPr>
            <w:tcW w:w="1349" w:type="dxa"/>
            <w:vMerge w:val="restart"/>
            <w:shd w:val="clear" w:color="auto" w:fill="auto"/>
            <w:noWrap/>
            <w:vAlign w:val="center"/>
          </w:tcPr>
          <w:p w:rsidR="00222BE4" w:rsidRPr="006E15AA" w:rsidRDefault="00222BE4">
            <w:pPr>
              <w:jc w:val="center"/>
            </w:pPr>
            <w:r w:rsidRPr="006E15AA">
              <w:t>2</w:t>
            </w:r>
            <w:r>
              <w:t xml:space="preserve"> </w:t>
            </w:r>
            <w:r w:rsidRPr="006E15AA">
              <w:t>160,3</w:t>
            </w:r>
          </w:p>
        </w:tc>
        <w:tc>
          <w:tcPr>
            <w:tcW w:w="1180" w:type="dxa"/>
            <w:shd w:val="clear" w:color="auto" w:fill="auto"/>
            <w:noWrap/>
            <w:vAlign w:val="center"/>
          </w:tcPr>
          <w:p w:rsidR="00222BE4" w:rsidRPr="006E15AA" w:rsidRDefault="00222BE4">
            <w:pPr>
              <w:jc w:val="center"/>
            </w:pPr>
            <w:r w:rsidRPr="006E15AA">
              <w:t>2</w:t>
            </w:r>
            <w:r>
              <w:t xml:space="preserve"> </w:t>
            </w:r>
            <w:r w:rsidRPr="006E15AA">
              <w:t>160,5</w:t>
            </w:r>
          </w:p>
        </w:tc>
        <w:tc>
          <w:tcPr>
            <w:tcW w:w="1141" w:type="dxa"/>
            <w:shd w:val="clear" w:color="auto" w:fill="auto"/>
            <w:noWrap/>
            <w:vAlign w:val="center"/>
          </w:tcPr>
          <w:p w:rsidR="00222BE4" w:rsidRPr="006E15AA" w:rsidRDefault="00222BE4">
            <w:pPr>
              <w:jc w:val="center"/>
            </w:pPr>
            <w:r w:rsidRPr="006E15AA">
              <w:t>2</w:t>
            </w:r>
            <w:r>
              <w:t xml:space="preserve"> </w:t>
            </w:r>
            <w:r w:rsidRPr="006E15AA">
              <w:t>160,7</w:t>
            </w:r>
          </w:p>
        </w:tc>
        <w:tc>
          <w:tcPr>
            <w:tcW w:w="1272" w:type="dxa"/>
            <w:shd w:val="clear" w:color="auto" w:fill="auto"/>
            <w:noWrap/>
            <w:vAlign w:val="center"/>
          </w:tcPr>
          <w:p w:rsidR="00222BE4" w:rsidRPr="006E15AA" w:rsidRDefault="00222BE4" w:rsidP="006E15AA">
            <w:pPr>
              <w:jc w:val="center"/>
            </w:pPr>
            <w:r w:rsidRPr="006E15AA">
              <w:t>2</w:t>
            </w:r>
            <w:r>
              <w:t xml:space="preserve"> </w:t>
            </w:r>
            <w:r w:rsidRPr="006E15AA">
              <w:t>160,9</w:t>
            </w:r>
          </w:p>
        </w:tc>
      </w:tr>
      <w:tr w:rsidR="00222BE4" w:rsidRPr="00DD28A8" w:rsidTr="002A07B4">
        <w:trPr>
          <w:trHeight w:val="283"/>
          <w:jc w:val="center"/>
        </w:trPr>
        <w:tc>
          <w:tcPr>
            <w:tcW w:w="771" w:type="dxa"/>
            <w:vMerge/>
            <w:shd w:val="clear" w:color="auto" w:fill="auto"/>
            <w:noWrap/>
          </w:tcPr>
          <w:p w:rsidR="00222BE4" w:rsidRDefault="00222BE4" w:rsidP="00222BE4">
            <w:pPr>
              <w:pStyle w:val="ab"/>
              <w:numPr>
                <w:ilvl w:val="0"/>
                <w:numId w:val="11"/>
              </w:numPr>
              <w:ind w:left="0" w:firstLine="284"/>
              <w:jc w:val="center"/>
            </w:pPr>
          </w:p>
        </w:tc>
        <w:tc>
          <w:tcPr>
            <w:tcW w:w="3780" w:type="dxa"/>
            <w:vMerge/>
            <w:shd w:val="clear" w:color="auto" w:fill="auto"/>
          </w:tcPr>
          <w:p w:rsidR="00222BE4" w:rsidRPr="00DD28A8" w:rsidRDefault="00222BE4" w:rsidP="00DD28A8">
            <w:pPr>
              <w:rPr>
                <w:sz w:val="22"/>
                <w:szCs w:val="22"/>
              </w:rPr>
            </w:pPr>
          </w:p>
        </w:tc>
        <w:tc>
          <w:tcPr>
            <w:tcW w:w="2401" w:type="dxa"/>
            <w:vMerge/>
            <w:shd w:val="clear" w:color="auto" w:fill="auto"/>
          </w:tcPr>
          <w:p w:rsidR="00222BE4" w:rsidRPr="00DD28A8" w:rsidRDefault="00222BE4" w:rsidP="00F8448A">
            <w:pPr>
              <w:ind w:left="-51" w:right="-51"/>
              <w:jc w:val="center"/>
              <w:rPr>
                <w:sz w:val="22"/>
                <w:szCs w:val="22"/>
              </w:rPr>
            </w:pPr>
          </w:p>
        </w:tc>
        <w:tc>
          <w:tcPr>
            <w:tcW w:w="1862" w:type="dxa"/>
            <w:shd w:val="clear" w:color="auto" w:fill="auto"/>
          </w:tcPr>
          <w:p w:rsidR="00222BE4" w:rsidRPr="00DD28A8" w:rsidRDefault="00222BE4" w:rsidP="00191FBA">
            <w:pPr>
              <w:rPr>
                <w:sz w:val="22"/>
                <w:szCs w:val="22"/>
              </w:rPr>
            </w:pPr>
            <w:r w:rsidRPr="00DD28A8">
              <w:rPr>
                <w:sz w:val="22"/>
                <w:szCs w:val="22"/>
              </w:rPr>
              <w:t>базовый</w:t>
            </w:r>
          </w:p>
        </w:tc>
        <w:tc>
          <w:tcPr>
            <w:tcW w:w="1221" w:type="dxa"/>
            <w:vMerge/>
            <w:shd w:val="clear" w:color="auto" w:fill="auto"/>
            <w:noWrap/>
            <w:vAlign w:val="center"/>
          </w:tcPr>
          <w:p w:rsidR="00222BE4" w:rsidRPr="00ED6E4F" w:rsidRDefault="00222BE4" w:rsidP="00ED6E4F">
            <w:pPr>
              <w:jc w:val="center"/>
            </w:pPr>
          </w:p>
        </w:tc>
        <w:tc>
          <w:tcPr>
            <w:tcW w:w="1349" w:type="dxa"/>
            <w:vMerge/>
            <w:shd w:val="clear" w:color="auto" w:fill="auto"/>
            <w:noWrap/>
            <w:vAlign w:val="center"/>
          </w:tcPr>
          <w:p w:rsidR="00222BE4" w:rsidRPr="00ED6E4F" w:rsidRDefault="00222BE4" w:rsidP="00ED6E4F">
            <w:pPr>
              <w:jc w:val="center"/>
            </w:pPr>
          </w:p>
        </w:tc>
        <w:tc>
          <w:tcPr>
            <w:tcW w:w="1180" w:type="dxa"/>
            <w:shd w:val="clear" w:color="auto" w:fill="auto"/>
            <w:noWrap/>
            <w:vAlign w:val="center"/>
          </w:tcPr>
          <w:p w:rsidR="00222BE4" w:rsidRPr="00ED6E4F" w:rsidRDefault="00222BE4" w:rsidP="00ED6E4F">
            <w:pPr>
              <w:jc w:val="center"/>
            </w:pPr>
            <w:r w:rsidRPr="006E15AA">
              <w:t>2</w:t>
            </w:r>
            <w:r>
              <w:t xml:space="preserve"> </w:t>
            </w:r>
            <w:r w:rsidRPr="006E15AA">
              <w:t>160,7</w:t>
            </w:r>
          </w:p>
        </w:tc>
        <w:tc>
          <w:tcPr>
            <w:tcW w:w="1141" w:type="dxa"/>
            <w:shd w:val="clear" w:color="auto" w:fill="auto"/>
            <w:noWrap/>
            <w:vAlign w:val="center"/>
          </w:tcPr>
          <w:p w:rsidR="00222BE4" w:rsidRPr="00ED6E4F" w:rsidRDefault="00222BE4" w:rsidP="00ED6E4F">
            <w:pPr>
              <w:jc w:val="center"/>
            </w:pPr>
            <w:r w:rsidRPr="006E15AA">
              <w:t>2</w:t>
            </w:r>
            <w:r>
              <w:t xml:space="preserve"> </w:t>
            </w:r>
            <w:r w:rsidRPr="006E15AA">
              <w:t>160,9</w:t>
            </w:r>
          </w:p>
        </w:tc>
        <w:tc>
          <w:tcPr>
            <w:tcW w:w="1272" w:type="dxa"/>
            <w:shd w:val="clear" w:color="auto" w:fill="auto"/>
            <w:noWrap/>
            <w:vAlign w:val="center"/>
          </w:tcPr>
          <w:p w:rsidR="00222BE4" w:rsidRPr="00ED6E4F" w:rsidRDefault="00222BE4" w:rsidP="00ED6E4F">
            <w:pPr>
              <w:jc w:val="center"/>
            </w:pPr>
            <w:r>
              <w:t>2 162,0</w:t>
            </w:r>
          </w:p>
        </w:tc>
      </w:tr>
      <w:tr w:rsidR="00222BE4" w:rsidRPr="00DD28A8" w:rsidTr="002A07B4">
        <w:trPr>
          <w:trHeight w:val="55"/>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Default="00222BE4" w:rsidP="00DD28A8">
            <w:pPr>
              <w:rPr>
                <w:sz w:val="22"/>
                <w:szCs w:val="22"/>
              </w:rPr>
            </w:pPr>
            <w:r w:rsidRPr="00DD28A8">
              <w:rPr>
                <w:sz w:val="22"/>
                <w:szCs w:val="22"/>
              </w:rPr>
              <w:t>Индекс</w:t>
            </w:r>
            <w:r>
              <w:rPr>
                <w:sz w:val="22"/>
                <w:szCs w:val="22"/>
              </w:rPr>
              <w:t xml:space="preserve"> </w:t>
            </w:r>
            <w:r w:rsidRPr="00DD28A8">
              <w:rPr>
                <w:sz w:val="22"/>
                <w:szCs w:val="22"/>
              </w:rPr>
              <w:t xml:space="preserve">потребительских цен </w:t>
            </w:r>
          </w:p>
          <w:p w:rsidR="00222BE4" w:rsidRPr="00DD28A8" w:rsidRDefault="00222BE4" w:rsidP="00DD28A8">
            <w:pPr>
              <w:rPr>
                <w:sz w:val="22"/>
                <w:szCs w:val="22"/>
              </w:rPr>
            </w:pPr>
            <w:r w:rsidRPr="00DD28A8">
              <w:rPr>
                <w:sz w:val="22"/>
                <w:szCs w:val="22"/>
              </w:rPr>
              <w:t>на конец года</w:t>
            </w:r>
          </w:p>
        </w:tc>
        <w:tc>
          <w:tcPr>
            <w:tcW w:w="2401" w:type="dxa"/>
            <w:vMerge w:val="restart"/>
            <w:shd w:val="clear" w:color="auto" w:fill="auto"/>
            <w:hideMark/>
          </w:tcPr>
          <w:p w:rsidR="00222BE4" w:rsidRPr="00DD28A8" w:rsidRDefault="00222BE4" w:rsidP="00DD28A8">
            <w:pPr>
              <w:jc w:val="center"/>
              <w:rPr>
                <w:sz w:val="22"/>
                <w:szCs w:val="22"/>
              </w:rPr>
            </w:pPr>
            <w:r>
              <w:rPr>
                <w:sz w:val="22"/>
                <w:szCs w:val="22"/>
              </w:rPr>
              <w:t xml:space="preserve"> проц.</w:t>
            </w:r>
            <w:r w:rsidRPr="00DD28A8">
              <w:rPr>
                <w:sz w:val="22"/>
                <w:szCs w:val="22"/>
              </w:rPr>
              <w:t xml:space="preserve"> к декабрю предыдущего года</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4553D2" w:rsidRDefault="00222BE4">
            <w:pPr>
              <w:jc w:val="center"/>
            </w:pPr>
            <w:r w:rsidRPr="004553D2">
              <w:t>108,0</w:t>
            </w:r>
          </w:p>
        </w:tc>
        <w:tc>
          <w:tcPr>
            <w:tcW w:w="1349" w:type="dxa"/>
            <w:vMerge w:val="restart"/>
            <w:shd w:val="clear" w:color="auto" w:fill="auto"/>
            <w:noWrap/>
            <w:vAlign w:val="center"/>
          </w:tcPr>
          <w:p w:rsidR="00222BE4" w:rsidRPr="004553D2" w:rsidRDefault="00222BE4">
            <w:pPr>
              <w:jc w:val="center"/>
            </w:pPr>
            <w:r w:rsidRPr="004553D2">
              <w:t>117,0</w:t>
            </w:r>
          </w:p>
        </w:tc>
        <w:tc>
          <w:tcPr>
            <w:tcW w:w="1180" w:type="dxa"/>
            <w:shd w:val="clear" w:color="auto" w:fill="auto"/>
            <w:noWrap/>
            <w:vAlign w:val="center"/>
          </w:tcPr>
          <w:p w:rsidR="00222BE4" w:rsidRPr="004553D2" w:rsidRDefault="00222BE4">
            <w:pPr>
              <w:jc w:val="center"/>
            </w:pPr>
            <w:r w:rsidRPr="004553D2">
              <w:t>105,4</w:t>
            </w:r>
          </w:p>
        </w:tc>
        <w:tc>
          <w:tcPr>
            <w:tcW w:w="1141" w:type="dxa"/>
            <w:shd w:val="clear" w:color="auto" w:fill="auto"/>
            <w:noWrap/>
            <w:vAlign w:val="center"/>
          </w:tcPr>
          <w:p w:rsidR="00222BE4" w:rsidRPr="004553D2" w:rsidRDefault="00222BE4">
            <w:pPr>
              <w:jc w:val="center"/>
            </w:pPr>
            <w:r w:rsidRPr="004553D2">
              <w:t>103,7</w:t>
            </w:r>
          </w:p>
        </w:tc>
        <w:tc>
          <w:tcPr>
            <w:tcW w:w="1272" w:type="dxa"/>
            <w:shd w:val="clear" w:color="auto" w:fill="auto"/>
            <w:noWrap/>
            <w:vAlign w:val="center"/>
          </w:tcPr>
          <w:p w:rsidR="00222BE4" w:rsidRPr="004553D2" w:rsidRDefault="00222BE4">
            <w:pPr>
              <w:jc w:val="center"/>
            </w:pPr>
            <w:r w:rsidRPr="004553D2">
              <w:t>104</w:t>
            </w:r>
            <w:r>
              <w:t>,0</w:t>
            </w:r>
          </w:p>
        </w:tc>
      </w:tr>
      <w:tr w:rsidR="00222BE4" w:rsidRPr="00DD28A8" w:rsidTr="002A07B4">
        <w:trPr>
          <w:trHeight w:val="74"/>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106,1</w:t>
            </w:r>
          </w:p>
        </w:tc>
        <w:tc>
          <w:tcPr>
            <w:tcW w:w="1141" w:type="dxa"/>
            <w:shd w:val="clear" w:color="auto" w:fill="auto"/>
            <w:noWrap/>
            <w:vAlign w:val="center"/>
          </w:tcPr>
          <w:p w:rsidR="00222BE4" w:rsidRPr="004553D2" w:rsidRDefault="00222BE4">
            <w:pPr>
              <w:jc w:val="center"/>
            </w:pPr>
            <w:r w:rsidRPr="004553D2">
              <w:t>104</w:t>
            </w:r>
            <w:r>
              <w:t>,0</w:t>
            </w:r>
          </w:p>
        </w:tc>
        <w:tc>
          <w:tcPr>
            <w:tcW w:w="1272" w:type="dxa"/>
            <w:shd w:val="clear" w:color="auto" w:fill="auto"/>
            <w:noWrap/>
            <w:vAlign w:val="center"/>
          </w:tcPr>
          <w:p w:rsidR="00222BE4" w:rsidRPr="004553D2" w:rsidRDefault="00222BE4">
            <w:pPr>
              <w:jc w:val="center"/>
            </w:pPr>
            <w:r w:rsidRPr="004553D2">
              <w:t>104</w:t>
            </w:r>
            <w:r>
              <w:t>,0</w:t>
            </w:r>
          </w:p>
        </w:tc>
      </w:tr>
      <w:tr w:rsidR="00222BE4" w:rsidRPr="00DD28A8" w:rsidTr="002A07B4">
        <w:trPr>
          <w:trHeight w:val="9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Default="00222BE4" w:rsidP="00DD28A8">
            <w:pPr>
              <w:rPr>
                <w:sz w:val="22"/>
                <w:szCs w:val="22"/>
              </w:rPr>
            </w:pPr>
            <w:r w:rsidRPr="00DD28A8">
              <w:rPr>
                <w:sz w:val="22"/>
                <w:szCs w:val="22"/>
              </w:rPr>
              <w:t>Индекс</w:t>
            </w:r>
            <w:r>
              <w:rPr>
                <w:sz w:val="22"/>
                <w:szCs w:val="22"/>
              </w:rPr>
              <w:t xml:space="preserve"> </w:t>
            </w:r>
            <w:r w:rsidRPr="00DD28A8">
              <w:rPr>
                <w:sz w:val="22"/>
                <w:szCs w:val="22"/>
              </w:rPr>
              <w:t xml:space="preserve">потребительских цен </w:t>
            </w:r>
          </w:p>
          <w:p w:rsidR="00222BE4" w:rsidRPr="00DD28A8" w:rsidRDefault="00222BE4" w:rsidP="00DD28A8">
            <w:pPr>
              <w:rPr>
                <w:sz w:val="22"/>
                <w:szCs w:val="22"/>
              </w:rPr>
            </w:pPr>
            <w:r w:rsidRPr="00DD28A8">
              <w:rPr>
                <w:sz w:val="22"/>
                <w:szCs w:val="22"/>
              </w:rPr>
              <w:t>в среднем за год</w:t>
            </w:r>
          </w:p>
        </w:tc>
        <w:tc>
          <w:tcPr>
            <w:tcW w:w="2401" w:type="dxa"/>
            <w:vMerge w:val="restart"/>
            <w:shd w:val="clear" w:color="auto" w:fill="auto"/>
            <w:hideMark/>
          </w:tcPr>
          <w:p w:rsidR="00222BE4" w:rsidRPr="00DD28A8" w:rsidRDefault="00222BE4" w:rsidP="00B90E3A">
            <w:pPr>
              <w:jc w:val="center"/>
              <w:rPr>
                <w:sz w:val="22"/>
                <w:szCs w:val="22"/>
              </w:rPr>
            </w:pPr>
            <w:r>
              <w:rPr>
                <w:sz w:val="22"/>
                <w:szCs w:val="22"/>
              </w:rPr>
              <w:t xml:space="preserve"> проц.</w:t>
            </w:r>
            <w:r w:rsidRPr="00DD28A8">
              <w:rPr>
                <w:sz w:val="22"/>
                <w:szCs w:val="22"/>
              </w:rPr>
              <w:t xml:space="preserve"> к предыдущему году</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4553D2" w:rsidRDefault="00222BE4">
            <w:pPr>
              <w:jc w:val="center"/>
            </w:pPr>
            <w:r>
              <w:t>106,2</w:t>
            </w:r>
          </w:p>
        </w:tc>
        <w:tc>
          <w:tcPr>
            <w:tcW w:w="1349" w:type="dxa"/>
            <w:vMerge w:val="restart"/>
            <w:shd w:val="clear" w:color="auto" w:fill="auto"/>
            <w:noWrap/>
            <w:vAlign w:val="center"/>
          </w:tcPr>
          <w:p w:rsidR="00222BE4" w:rsidRPr="004553D2" w:rsidRDefault="00222BE4">
            <w:pPr>
              <w:jc w:val="center"/>
            </w:pPr>
            <w:r w:rsidRPr="004553D2">
              <w:t>115,5</w:t>
            </w:r>
          </w:p>
        </w:tc>
        <w:tc>
          <w:tcPr>
            <w:tcW w:w="1180" w:type="dxa"/>
            <w:shd w:val="clear" w:color="auto" w:fill="auto"/>
            <w:noWrap/>
            <w:vAlign w:val="center"/>
          </w:tcPr>
          <w:p w:rsidR="00222BE4" w:rsidRPr="004553D2" w:rsidRDefault="00222BE4">
            <w:pPr>
              <w:jc w:val="center"/>
            </w:pPr>
            <w:r w:rsidRPr="004553D2">
              <w:t>107,8</w:t>
            </w:r>
          </w:p>
        </w:tc>
        <w:tc>
          <w:tcPr>
            <w:tcW w:w="1141" w:type="dxa"/>
            <w:shd w:val="clear" w:color="auto" w:fill="auto"/>
            <w:noWrap/>
            <w:vAlign w:val="center"/>
          </w:tcPr>
          <w:p w:rsidR="00222BE4" w:rsidRPr="004553D2" w:rsidRDefault="00222BE4">
            <w:pPr>
              <w:jc w:val="center"/>
            </w:pPr>
            <w:r w:rsidRPr="004553D2">
              <w:t>104,2</w:t>
            </w:r>
          </w:p>
        </w:tc>
        <w:tc>
          <w:tcPr>
            <w:tcW w:w="1272" w:type="dxa"/>
            <w:shd w:val="clear" w:color="auto" w:fill="auto"/>
            <w:noWrap/>
            <w:vAlign w:val="center"/>
          </w:tcPr>
          <w:p w:rsidR="00222BE4" w:rsidRPr="004553D2" w:rsidRDefault="00222BE4">
            <w:pPr>
              <w:jc w:val="center"/>
            </w:pPr>
            <w:r w:rsidRPr="004553D2">
              <w:t>104</w:t>
            </w:r>
            <w:r>
              <w:t>,0</w:t>
            </w:r>
          </w:p>
        </w:tc>
      </w:tr>
      <w:tr w:rsidR="00222BE4" w:rsidRPr="00DD28A8" w:rsidTr="002A07B4">
        <w:trPr>
          <w:trHeight w:val="52"/>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4553D2" w:rsidRDefault="00222BE4">
            <w:pPr>
              <w:jc w:val="center"/>
            </w:pPr>
            <w:r w:rsidRPr="004553D2">
              <w:t>109</w:t>
            </w:r>
            <w:r>
              <w:t>,0</w:t>
            </w:r>
          </w:p>
        </w:tc>
        <w:tc>
          <w:tcPr>
            <w:tcW w:w="1141" w:type="dxa"/>
            <w:shd w:val="clear" w:color="auto" w:fill="auto"/>
            <w:noWrap/>
            <w:vAlign w:val="center"/>
          </w:tcPr>
          <w:p w:rsidR="00222BE4" w:rsidRPr="004553D2" w:rsidRDefault="00222BE4">
            <w:pPr>
              <w:jc w:val="center"/>
            </w:pPr>
            <w:r w:rsidRPr="004553D2">
              <w:t>104,6</w:t>
            </w:r>
          </w:p>
        </w:tc>
        <w:tc>
          <w:tcPr>
            <w:tcW w:w="1272" w:type="dxa"/>
            <w:shd w:val="clear" w:color="auto" w:fill="auto"/>
            <w:noWrap/>
            <w:vAlign w:val="center"/>
          </w:tcPr>
          <w:p w:rsidR="00222BE4" w:rsidRPr="004553D2" w:rsidRDefault="00222BE4">
            <w:pPr>
              <w:jc w:val="center"/>
            </w:pPr>
            <w:r w:rsidRPr="004553D2">
              <w:t>104</w:t>
            </w:r>
            <w:r>
              <w:t>,0</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Оборот розничной торговли</w:t>
            </w:r>
          </w:p>
        </w:tc>
        <w:tc>
          <w:tcPr>
            <w:tcW w:w="2401" w:type="dxa"/>
            <w:vMerge w:val="restart"/>
            <w:shd w:val="clear" w:color="auto" w:fill="auto"/>
            <w:hideMark/>
          </w:tcPr>
          <w:p w:rsidR="00222BE4" w:rsidRPr="00DD28A8" w:rsidRDefault="00222BE4" w:rsidP="00DD28A8">
            <w:pPr>
              <w:jc w:val="center"/>
              <w:rPr>
                <w:sz w:val="22"/>
                <w:szCs w:val="22"/>
              </w:rPr>
            </w:pPr>
            <w:proofErr w:type="gramStart"/>
            <w:r w:rsidRPr="00DD28A8">
              <w:rPr>
                <w:sz w:val="22"/>
                <w:szCs w:val="22"/>
              </w:rPr>
              <w:t>млрд</w:t>
            </w:r>
            <w:proofErr w:type="gramEnd"/>
            <w:r w:rsidRPr="00DD28A8">
              <w:rPr>
                <w:sz w:val="22"/>
                <w:szCs w:val="22"/>
              </w:rPr>
              <w:t xml:space="preserve"> рублей</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F84A8C" w:rsidRDefault="00222BE4" w:rsidP="00F84A8C">
            <w:pPr>
              <w:jc w:val="center"/>
            </w:pPr>
            <w:r w:rsidRPr="00F84A8C">
              <w:t>567</w:t>
            </w:r>
            <w:r w:rsidR="009B5C2F">
              <w:t>,</w:t>
            </w:r>
            <w:r>
              <w:t>7</w:t>
            </w:r>
          </w:p>
        </w:tc>
        <w:tc>
          <w:tcPr>
            <w:tcW w:w="1349" w:type="dxa"/>
            <w:vMerge w:val="restart"/>
            <w:shd w:val="clear" w:color="auto" w:fill="auto"/>
            <w:noWrap/>
            <w:vAlign w:val="center"/>
          </w:tcPr>
          <w:p w:rsidR="00222BE4" w:rsidRPr="00F84A8C" w:rsidRDefault="00222BE4" w:rsidP="00F84A8C">
            <w:pPr>
              <w:jc w:val="center"/>
            </w:pPr>
            <w:r w:rsidRPr="00F84A8C">
              <w:t>626</w:t>
            </w:r>
            <w:r>
              <w:t>,</w:t>
            </w:r>
            <w:r w:rsidRPr="00F84A8C">
              <w:t>6</w:t>
            </w:r>
          </w:p>
        </w:tc>
        <w:tc>
          <w:tcPr>
            <w:tcW w:w="1180" w:type="dxa"/>
            <w:shd w:val="clear" w:color="auto" w:fill="auto"/>
            <w:noWrap/>
            <w:vAlign w:val="center"/>
          </w:tcPr>
          <w:p w:rsidR="00222BE4" w:rsidRPr="00F84A8C" w:rsidRDefault="00222BE4" w:rsidP="00F84A8C">
            <w:pPr>
              <w:jc w:val="center"/>
            </w:pPr>
            <w:r w:rsidRPr="00F84A8C">
              <w:t>683</w:t>
            </w:r>
            <w:r>
              <w:t>,</w:t>
            </w:r>
            <w:r w:rsidRPr="00F84A8C">
              <w:t>2</w:t>
            </w:r>
          </w:p>
        </w:tc>
        <w:tc>
          <w:tcPr>
            <w:tcW w:w="1141" w:type="dxa"/>
            <w:shd w:val="clear" w:color="auto" w:fill="auto"/>
            <w:noWrap/>
            <w:vAlign w:val="center"/>
          </w:tcPr>
          <w:p w:rsidR="00222BE4" w:rsidRPr="00F84A8C" w:rsidRDefault="00222BE4" w:rsidP="00F84A8C">
            <w:pPr>
              <w:jc w:val="center"/>
            </w:pPr>
            <w:r w:rsidRPr="00F84A8C">
              <w:t>748</w:t>
            </w:r>
            <w:r>
              <w:t>,</w:t>
            </w:r>
            <w:r w:rsidRPr="00F84A8C">
              <w:t>9</w:t>
            </w:r>
          </w:p>
        </w:tc>
        <w:tc>
          <w:tcPr>
            <w:tcW w:w="1272" w:type="dxa"/>
            <w:shd w:val="clear" w:color="auto" w:fill="auto"/>
            <w:noWrap/>
            <w:vAlign w:val="center"/>
          </w:tcPr>
          <w:p w:rsidR="00222BE4" w:rsidRPr="00F84A8C" w:rsidRDefault="00222BE4" w:rsidP="00F84A8C">
            <w:pPr>
              <w:jc w:val="center"/>
            </w:pPr>
            <w:r w:rsidRPr="00F84A8C">
              <w:t>793</w:t>
            </w:r>
            <w:r>
              <w:t>,7</w:t>
            </w:r>
          </w:p>
        </w:tc>
      </w:tr>
      <w:tr w:rsidR="00222BE4" w:rsidRPr="00DD28A8" w:rsidTr="002A07B4">
        <w:trPr>
          <w:trHeight w:val="52"/>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F84A8C" w:rsidRDefault="00222BE4" w:rsidP="00F84A8C">
            <w:pPr>
              <w:jc w:val="center"/>
            </w:pPr>
            <w:r w:rsidRPr="00F84A8C">
              <w:t>707</w:t>
            </w:r>
            <w:r>
              <w:t>,</w:t>
            </w:r>
            <w:r w:rsidRPr="00F84A8C">
              <w:t>8</w:t>
            </w:r>
          </w:p>
        </w:tc>
        <w:tc>
          <w:tcPr>
            <w:tcW w:w="1141" w:type="dxa"/>
            <w:shd w:val="clear" w:color="auto" w:fill="auto"/>
            <w:noWrap/>
            <w:vAlign w:val="center"/>
          </w:tcPr>
          <w:p w:rsidR="00222BE4" w:rsidRPr="00F84A8C" w:rsidRDefault="00222BE4" w:rsidP="00F84A8C">
            <w:pPr>
              <w:jc w:val="center"/>
            </w:pPr>
            <w:r w:rsidRPr="00F84A8C">
              <w:t>779</w:t>
            </w:r>
            <w:r>
              <w:t>,</w:t>
            </w:r>
            <w:r w:rsidRPr="00F84A8C">
              <w:t>6</w:t>
            </w:r>
          </w:p>
        </w:tc>
        <w:tc>
          <w:tcPr>
            <w:tcW w:w="1272" w:type="dxa"/>
            <w:shd w:val="clear" w:color="auto" w:fill="auto"/>
            <w:noWrap/>
            <w:vAlign w:val="center"/>
          </w:tcPr>
          <w:p w:rsidR="00222BE4" w:rsidRPr="00F84A8C" w:rsidRDefault="00222BE4" w:rsidP="00F84A8C">
            <w:pPr>
              <w:jc w:val="center"/>
            </w:pPr>
            <w:r w:rsidRPr="00F84A8C">
              <w:t>843</w:t>
            </w:r>
            <w:r>
              <w:t>,3</w:t>
            </w:r>
          </w:p>
        </w:tc>
      </w:tr>
      <w:tr w:rsidR="00222BE4" w:rsidRPr="00DD28A8" w:rsidTr="002A07B4">
        <w:trPr>
          <w:trHeight w:val="178"/>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Темп роста оборота розничной торговли</w:t>
            </w:r>
          </w:p>
        </w:tc>
        <w:tc>
          <w:tcPr>
            <w:tcW w:w="2401" w:type="dxa"/>
            <w:vMerge w:val="restart"/>
            <w:shd w:val="clear" w:color="auto" w:fill="auto"/>
            <w:hideMark/>
          </w:tcPr>
          <w:p w:rsidR="00222BE4" w:rsidRPr="00DD28A8" w:rsidRDefault="00222BE4" w:rsidP="00B90E3A">
            <w:pPr>
              <w:jc w:val="center"/>
              <w:rPr>
                <w:sz w:val="22"/>
                <w:szCs w:val="22"/>
              </w:rPr>
            </w:pPr>
            <w:r>
              <w:rPr>
                <w:sz w:val="22"/>
                <w:szCs w:val="22"/>
              </w:rPr>
              <w:t xml:space="preserve"> проц.</w:t>
            </w:r>
            <w:r w:rsidRPr="00DD28A8">
              <w:rPr>
                <w:sz w:val="22"/>
                <w:szCs w:val="22"/>
              </w:rPr>
              <w:t xml:space="preserve"> к предыдущему году в сопоставимых ценах</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F84A8C" w:rsidRDefault="00222BE4">
            <w:pPr>
              <w:jc w:val="center"/>
            </w:pPr>
            <w:r w:rsidRPr="00F84A8C">
              <w:t>110,7</w:t>
            </w:r>
          </w:p>
        </w:tc>
        <w:tc>
          <w:tcPr>
            <w:tcW w:w="1349" w:type="dxa"/>
            <w:vMerge w:val="restart"/>
            <w:shd w:val="clear" w:color="auto" w:fill="auto"/>
            <w:noWrap/>
            <w:vAlign w:val="center"/>
          </w:tcPr>
          <w:p w:rsidR="00222BE4" w:rsidRPr="00F84A8C" w:rsidRDefault="00222BE4">
            <w:pPr>
              <w:jc w:val="center"/>
            </w:pPr>
            <w:r w:rsidRPr="00F84A8C">
              <w:t>93</w:t>
            </w:r>
            <w:r w:rsidR="009B5C2F">
              <w:t>,0</w:t>
            </w:r>
          </w:p>
        </w:tc>
        <w:tc>
          <w:tcPr>
            <w:tcW w:w="1180" w:type="dxa"/>
            <w:shd w:val="clear" w:color="auto" w:fill="auto"/>
            <w:noWrap/>
            <w:vAlign w:val="center"/>
          </w:tcPr>
          <w:p w:rsidR="00222BE4" w:rsidRPr="00F84A8C" w:rsidRDefault="00222BE4">
            <w:pPr>
              <w:jc w:val="center"/>
            </w:pPr>
            <w:r w:rsidRPr="00F84A8C">
              <w:t>100,3</w:t>
            </w:r>
          </w:p>
        </w:tc>
        <w:tc>
          <w:tcPr>
            <w:tcW w:w="1141" w:type="dxa"/>
            <w:shd w:val="clear" w:color="auto" w:fill="auto"/>
            <w:noWrap/>
            <w:vAlign w:val="center"/>
          </w:tcPr>
          <w:p w:rsidR="00222BE4" w:rsidRPr="00F84A8C" w:rsidRDefault="00222BE4">
            <w:pPr>
              <w:jc w:val="center"/>
            </w:pPr>
            <w:r w:rsidRPr="00F84A8C">
              <w:t>104,9</w:t>
            </w:r>
          </w:p>
        </w:tc>
        <w:tc>
          <w:tcPr>
            <w:tcW w:w="1272" w:type="dxa"/>
            <w:shd w:val="clear" w:color="auto" w:fill="auto"/>
            <w:noWrap/>
            <w:vAlign w:val="center"/>
          </w:tcPr>
          <w:p w:rsidR="00222BE4" w:rsidRPr="00F84A8C" w:rsidRDefault="00222BE4">
            <w:pPr>
              <w:jc w:val="center"/>
            </w:pPr>
            <w:r w:rsidRPr="00F84A8C">
              <w:t>101,9</w:t>
            </w:r>
          </w:p>
        </w:tc>
      </w:tr>
      <w:tr w:rsidR="00222BE4" w:rsidRPr="00DD28A8" w:rsidTr="002A07B4">
        <w:trPr>
          <w:trHeight w:val="54"/>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F84A8C" w:rsidRDefault="00222BE4">
            <w:pPr>
              <w:jc w:val="center"/>
            </w:pPr>
            <w:r w:rsidRPr="00F84A8C">
              <w:t>102,5</w:t>
            </w:r>
          </w:p>
        </w:tc>
        <w:tc>
          <w:tcPr>
            <w:tcW w:w="1141" w:type="dxa"/>
            <w:shd w:val="clear" w:color="auto" w:fill="auto"/>
            <w:noWrap/>
            <w:vAlign w:val="center"/>
          </w:tcPr>
          <w:p w:rsidR="00222BE4" w:rsidRPr="00F84A8C" w:rsidRDefault="00222BE4">
            <w:pPr>
              <w:jc w:val="center"/>
            </w:pPr>
            <w:r w:rsidRPr="00F84A8C">
              <w:t>104,9</w:t>
            </w:r>
          </w:p>
        </w:tc>
        <w:tc>
          <w:tcPr>
            <w:tcW w:w="1272" w:type="dxa"/>
            <w:shd w:val="clear" w:color="auto" w:fill="auto"/>
            <w:noWrap/>
            <w:vAlign w:val="center"/>
          </w:tcPr>
          <w:p w:rsidR="00222BE4" w:rsidRPr="00F84A8C" w:rsidRDefault="00222BE4">
            <w:pPr>
              <w:jc w:val="center"/>
            </w:pPr>
            <w:r w:rsidRPr="00F84A8C">
              <w:t>103,8</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Объем платных услуг населению</w:t>
            </w:r>
          </w:p>
        </w:tc>
        <w:tc>
          <w:tcPr>
            <w:tcW w:w="2401" w:type="dxa"/>
            <w:vMerge w:val="restart"/>
            <w:shd w:val="clear" w:color="auto" w:fill="auto"/>
            <w:hideMark/>
          </w:tcPr>
          <w:p w:rsidR="00222BE4" w:rsidRPr="00DD28A8" w:rsidRDefault="00222BE4" w:rsidP="00B90E3A">
            <w:pPr>
              <w:jc w:val="center"/>
              <w:rPr>
                <w:sz w:val="22"/>
                <w:szCs w:val="22"/>
              </w:rPr>
            </w:pPr>
            <w:proofErr w:type="gramStart"/>
            <w:r w:rsidRPr="00DD28A8">
              <w:rPr>
                <w:sz w:val="22"/>
                <w:szCs w:val="22"/>
              </w:rPr>
              <w:t>млрд</w:t>
            </w:r>
            <w:proofErr w:type="gramEnd"/>
            <w:r w:rsidRPr="00DD28A8">
              <w:rPr>
                <w:sz w:val="22"/>
                <w:szCs w:val="22"/>
              </w:rPr>
              <w:t xml:space="preserve"> руб</w:t>
            </w:r>
            <w:r>
              <w:rPr>
                <w:sz w:val="22"/>
                <w:szCs w:val="22"/>
              </w:rPr>
              <w:t>.</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F84A8C" w:rsidRDefault="005423C7" w:rsidP="00F84A8C">
            <w:pPr>
              <w:jc w:val="center"/>
            </w:pPr>
            <w:r>
              <w:t>93,1</w:t>
            </w:r>
          </w:p>
        </w:tc>
        <w:tc>
          <w:tcPr>
            <w:tcW w:w="1349" w:type="dxa"/>
            <w:vMerge w:val="restart"/>
            <w:shd w:val="clear" w:color="auto" w:fill="auto"/>
            <w:noWrap/>
            <w:vAlign w:val="center"/>
          </w:tcPr>
          <w:p w:rsidR="00222BE4" w:rsidRPr="00F84A8C" w:rsidRDefault="00222BE4" w:rsidP="00F84A8C">
            <w:pPr>
              <w:jc w:val="center"/>
            </w:pPr>
            <w:r w:rsidRPr="00F84A8C">
              <w:t>106</w:t>
            </w:r>
            <w:r>
              <w:t>,1</w:t>
            </w:r>
          </w:p>
        </w:tc>
        <w:tc>
          <w:tcPr>
            <w:tcW w:w="1180" w:type="dxa"/>
            <w:shd w:val="clear" w:color="auto" w:fill="auto"/>
            <w:noWrap/>
            <w:vAlign w:val="center"/>
          </w:tcPr>
          <w:p w:rsidR="00222BE4" w:rsidRPr="00F84A8C" w:rsidRDefault="00222BE4" w:rsidP="00F84A8C">
            <w:pPr>
              <w:jc w:val="center"/>
            </w:pPr>
            <w:r w:rsidRPr="00F84A8C">
              <w:t>113</w:t>
            </w:r>
            <w:r>
              <w:t>,</w:t>
            </w:r>
            <w:r w:rsidRPr="00F84A8C">
              <w:t>3</w:t>
            </w:r>
          </w:p>
        </w:tc>
        <w:tc>
          <w:tcPr>
            <w:tcW w:w="1141" w:type="dxa"/>
            <w:shd w:val="clear" w:color="auto" w:fill="auto"/>
            <w:noWrap/>
            <w:vAlign w:val="center"/>
          </w:tcPr>
          <w:p w:rsidR="00222BE4" w:rsidRPr="00F84A8C" w:rsidRDefault="00222BE4" w:rsidP="00F84A8C">
            <w:pPr>
              <w:jc w:val="center"/>
            </w:pPr>
            <w:r w:rsidRPr="00F84A8C">
              <w:t>120</w:t>
            </w:r>
            <w:r>
              <w:t>,7</w:t>
            </w:r>
          </w:p>
        </w:tc>
        <w:tc>
          <w:tcPr>
            <w:tcW w:w="1272" w:type="dxa"/>
            <w:shd w:val="clear" w:color="auto" w:fill="auto"/>
            <w:noWrap/>
            <w:vAlign w:val="center"/>
          </w:tcPr>
          <w:p w:rsidR="00222BE4" w:rsidRPr="00F84A8C" w:rsidRDefault="00222BE4" w:rsidP="00F84A8C">
            <w:pPr>
              <w:jc w:val="center"/>
            </w:pPr>
            <w:r w:rsidRPr="00F84A8C">
              <w:t>127</w:t>
            </w:r>
            <w:r>
              <w:t>,</w:t>
            </w:r>
            <w:r w:rsidRPr="00F84A8C">
              <w:t>1</w:t>
            </w:r>
          </w:p>
        </w:tc>
      </w:tr>
      <w:tr w:rsidR="00222BE4" w:rsidRPr="00DD28A8" w:rsidTr="002A07B4">
        <w:trPr>
          <w:trHeight w:val="90"/>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F84A8C" w:rsidRDefault="00222BE4" w:rsidP="00F84A8C">
            <w:pPr>
              <w:jc w:val="center"/>
            </w:pPr>
            <w:r w:rsidRPr="00F84A8C">
              <w:t>116</w:t>
            </w:r>
            <w:r>
              <w:t>,</w:t>
            </w:r>
            <w:r w:rsidRPr="00F84A8C">
              <w:t>2</w:t>
            </w:r>
          </w:p>
        </w:tc>
        <w:tc>
          <w:tcPr>
            <w:tcW w:w="1141" w:type="dxa"/>
            <w:shd w:val="clear" w:color="auto" w:fill="auto"/>
            <w:noWrap/>
            <w:vAlign w:val="center"/>
          </w:tcPr>
          <w:p w:rsidR="00222BE4" w:rsidRPr="00F84A8C" w:rsidRDefault="00222BE4" w:rsidP="00F84A8C">
            <w:pPr>
              <w:jc w:val="center"/>
            </w:pPr>
            <w:r w:rsidRPr="00F84A8C">
              <w:t>126</w:t>
            </w:r>
            <w:r>
              <w:t>,7</w:t>
            </w:r>
          </w:p>
        </w:tc>
        <w:tc>
          <w:tcPr>
            <w:tcW w:w="1272" w:type="dxa"/>
            <w:shd w:val="clear" w:color="auto" w:fill="auto"/>
            <w:noWrap/>
            <w:vAlign w:val="center"/>
          </w:tcPr>
          <w:p w:rsidR="00222BE4" w:rsidRPr="00F84A8C" w:rsidRDefault="00222BE4" w:rsidP="00F84A8C">
            <w:pPr>
              <w:jc w:val="center"/>
            </w:pPr>
            <w:r w:rsidRPr="00F84A8C">
              <w:t>134</w:t>
            </w:r>
            <w:r>
              <w:t>,</w:t>
            </w:r>
            <w:r w:rsidRPr="00F84A8C">
              <w:t>1</w:t>
            </w:r>
          </w:p>
        </w:tc>
      </w:tr>
      <w:tr w:rsidR="00222BE4" w:rsidRPr="00DD28A8" w:rsidTr="002A07B4">
        <w:trPr>
          <w:trHeight w:val="151"/>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Темп роста объема платных услуг населению</w:t>
            </w:r>
          </w:p>
        </w:tc>
        <w:tc>
          <w:tcPr>
            <w:tcW w:w="2401" w:type="dxa"/>
            <w:vMerge w:val="restart"/>
            <w:shd w:val="clear" w:color="auto" w:fill="auto"/>
            <w:hideMark/>
          </w:tcPr>
          <w:p w:rsidR="00222BE4" w:rsidRPr="00DD28A8" w:rsidRDefault="00222BE4" w:rsidP="00DD28A8">
            <w:pPr>
              <w:jc w:val="center"/>
              <w:rPr>
                <w:sz w:val="22"/>
                <w:szCs w:val="22"/>
              </w:rPr>
            </w:pPr>
            <w:r>
              <w:rPr>
                <w:sz w:val="22"/>
                <w:szCs w:val="22"/>
              </w:rPr>
              <w:t xml:space="preserve"> проц. </w:t>
            </w:r>
            <w:r w:rsidRPr="00DD28A8">
              <w:rPr>
                <w:sz w:val="22"/>
                <w:szCs w:val="22"/>
              </w:rPr>
              <w:t>к предыдущему году в сопоставимых ценах</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5423C7">
            <w:pPr>
              <w:jc w:val="center"/>
            </w:pPr>
            <w:r>
              <w:t>108,8</w:t>
            </w:r>
          </w:p>
        </w:tc>
        <w:tc>
          <w:tcPr>
            <w:tcW w:w="1349" w:type="dxa"/>
            <w:vMerge w:val="restart"/>
            <w:shd w:val="clear" w:color="auto" w:fill="auto"/>
            <w:noWrap/>
            <w:vAlign w:val="center"/>
          </w:tcPr>
          <w:p w:rsidR="00222BE4" w:rsidRPr="003D54F9" w:rsidRDefault="00222BE4">
            <w:pPr>
              <w:jc w:val="center"/>
            </w:pPr>
            <w:r w:rsidRPr="003D54F9">
              <w:t>98</w:t>
            </w:r>
          </w:p>
        </w:tc>
        <w:tc>
          <w:tcPr>
            <w:tcW w:w="1180" w:type="dxa"/>
            <w:shd w:val="clear" w:color="auto" w:fill="auto"/>
            <w:noWrap/>
            <w:vAlign w:val="center"/>
          </w:tcPr>
          <w:p w:rsidR="00222BE4" w:rsidRPr="003D54F9" w:rsidRDefault="00222BE4">
            <w:pPr>
              <w:jc w:val="center"/>
            </w:pPr>
            <w:r w:rsidRPr="003D54F9">
              <w:t>100,7</w:t>
            </w:r>
          </w:p>
        </w:tc>
        <w:tc>
          <w:tcPr>
            <w:tcW w:w="1141" w:type="dxa"/>
            <w:shd w:val="clear" w:color="auto" w:fill="auto"/>
            <w:noWrap/>
            <w:vAlign w:val="center"/>
          </w:tcPr>
          <w:p w:rsidR="00222BE4" w:rsidRPr="003D54F9" w:rsidRDefault="00222BE4">
            <w:pPr>
              <w:jc w:val="center"/>
            </w:pPr>
            <w:r w:rsidRPr="003D54F9">
              <w:t>102,3</w:t>
            </w:r>
          </w:p>
        </w:tc>
        <w:tc>
          <w:tcPr>
            <w:tcW w:w="1272" w:type="dxa"/>
            <w:shd w:val="clear" w:color="auto" w:fill="auto"/>
            <w:noWrap/>
            <w:vAlign w:val="center"/>
          </w:tcPr>
          <w:p w:rsidR="00222BE4" w:rsidRPr="003D54F9" w:rsidRDefault="00222BE4">
            <w:pPr>
              <w:jc w:val="center"/>
            </w:pPr>
            <w:r w:rsidRPr="003D54F9">
              <w:t>101</w:t>
            </w:r>
            <w:r>
              <w:t>,0</w:t>
            </w:r>
          </w:p>
        </w:tc>
      </w:tr>
      <w:tr w:rsidR="00222BE4" w:rsidRPr="00DD28A8" w:rsidTr="002A07B4">
        <w:trPr>
          <w:trHeight w:val="52"/>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102,9</w:t>
            </w:r>
          </w:p>
        </w:tc>
        <w:tc>
          <w:tcPr>
            <w:tcW w:w="1141" w:type="dxa"/>
            <w:shd w:val="clear" w:color="auto" w:fill="auto"/>
            <w:noWrap/>
            <w:vAlign w:val="center"/>
          </w:tcPr>
          <w:p w:rsidR="00222BE4" w:rsidRPr="003D54F9" w:rsidRDefault="00222BE4">
            <w:pPr>
              <w:jc w:val="center"/>
            </w:pPr>
            <w:r w:rsidRPr="003D54F9">
              <w:t>104,5</w:t>
            </w:r>
          </w:p>
        </w:tc>
        <w:tc>
          <w:tcPr>
            <w:tcW w:w="1272" w:type="dxa"/>
            <w:shd w:val="clear" w:color="auto" w:fill="auto"/>
            <w:noWrap/>
            <w:vAlign w:val="center"/>
          </w:tcPr>
          <w:p w:rsidR="00222BE4" w:rsidRPr="003D54F9" w:rsidRDefault="00222BE4">
            <w:pPr>
              <w:jc w:val="center"/>
            </w:pPr>
            <w:r w:rsidRPr="003D54F9">
              <w:t>101,5</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Экспорт товаров</w:t>
            </w:r>
          </w:p>
        </w:tc>
        <w:tc>
          <w:tcPr>
            <w:tcW w:w="2401" w:type="dxa"/>
            <w:vMerge w:val="restart"/>
            <w:shd w:val="clear" w:color="auto" w:fill="auto"/>
            <w:hideMark/>
          </w:tcPr>
          <w:p w:rsidR="00222BE4" w:rsidRPr="00DD28A8" w:rsidRDefault="00222BE4" w:rsidP="00DD28A8">
            <w:pPr>
              <w:jc w:val="center"/>
              <w:rPr>
                <w:sz w:val="22"/>
                <w:szCs w:val="22"/>
              </w:rPr>
            </w:pPr>
            <w:r w:rsidRPr="00DD28A8">
              <w:rPr>
                <w:sz w:val="22"/>
                <w:szCs w:val="22"/>
              </w:rPr>
              <w:t>млн. долл. США</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8370</w:t>
            </w:r>
          </w:p>
        </w:tc>
        <w:tc>
          <w:tcPr>
            <w:tcW w:w="1349" w:type="dxa"/>
            <w:vMerge w:val="restart"/>
            <w:shd w:val="clear" w:color="auto" w:fill="auto"/>
            <w:noWrap/>
            <w:vAlign w:val="center"/>
          </w:tcPr>
          <w:p w:rsidR="00222BE4" w:rsidRPr="003D54F9" w:rsidRDefault="00222BE4">
            <w:pPr>
              <w:jc w:val="center"/>
            </w:pPr>
            <w:r w:rsidRPr="003D54F9">
              <w:t>8177,5</w:t>
            </w:r>
          </w:p>
        </w:tc>
        <w:tc>
          <w:tcPr>
            <w:tcW w:w="1180" w:type="dxa"/>
            <w:shd w:val="clear" w:color="auto" w:fill="auto"/>
            <w:noWrap/>
            <w:vAlign w:val="center"/>
          </w:tcPr>
          <w:p w:rsidR="00222BE4" w:rsidRPr="003D54F9" w:rsidRDefault="00222BE4">
            <w:pPr>
              <w:jc w:val="center"/>
            </w:pPr>
            <w:r w:rsidRPr="003D54F9">
              <w:t>7016,3</w:t>
            </w:r>
          </w:p>
        </w:tc>
        <w:tc>
          <w:tcPr>
            <w:tcW w:w="1141" w:type="dxa"/>
            <w:shd w:val="clear" w:color="auto" w:fill="auto"/>
            <w:noWrap/>
            <w:vAlign w:val="center"/>
          </w:tcPr>
          <w:p w:rsidR="00222BE4" w:rsidRPr="003D54F9" w:rsidRDefault="00222BE4">
            <w:pPr>
              <w:jc w:val="center"/>
            </w:pPr>
            <w:r w:rsidRPr="003D54F9">
              <w:t>7107,5</w:t>
            </w:r>
          </w:p>
        </w:tc>
        <w:tc>
          <w:tcPr>
            <w:tcW w:w="1272" w:type="dxa"/>
            <w:shd w:val="clear" w:color="auto" w:fill="auto"/>
            <w:noWrap/>
            <w:vAlign w:val="center"/>
          </w:tcPr>
          <w:p w:rsidR="00222BE4" w:rsidRPr="003D54F9" w:rsidRDefault="00222BE4">
            <w:pPr>
              <w:jc w:val="center"/>
            </w:pPr>
            <w:r w:rsidRPr="003D54F9">
              <w:t>7150,2</w:t>
            </w:r>
          </w:p>
        </w:tc>
      </w:tr>
      <w:tr w:rsidR="00222BE4" w:rsidRPr="00DD28A8" w:rsidTr="002A07B4">
        <w:trPr>
          <w:trHeight w:val="62"/>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7654,1</w:t>
            </w:r>
          </w:p>
        </w:tc>
        <w:tc>
          <w:tcPr>
            <w:tcW w:w="1141" w:type="dxa"/>
            <w:shd w:val="clear" w:color="auto" w:fill="auto"/>
            <w:noWrap/>
            <w:vAlign w:val="center"/>
          </w:tcPr>
          <w:p w:rsidR="00222BE4" w:rsidRPr="003D54F9" w:rsidRDefault="00222BE4">
            <w:pPr>
              <w:jc w:val="center"/>
            </w:pPr>
            <w:r w:rsidRPr="003D54F9">
              <w:t>7631,2</w:t>
            </w:r>
          </w:p>
        </w:tc>
        <w:tc>
          <w:tcPr>
            <w:tcW w:w="1272" w:type="dxa"/>
            <w:shd w:val="clear" w:color="auto" w:fill="auto"/>
            <w:noWrap/>
            <w:vAlign w:val="center"/>
          </w:tcPr>
          <w:p w:rsidR="00222BE4" w:rsidRPr="003D54F9" w:rsidRDefault="00222BE4">
            <w:pPr>
              <w:jc w:val="center"/>
            </w:pPr>
            <w:r w:rsidRPr="003D54F9">
              <w:t>7615,9</w:t>
            </w:r>
          </w:p>
        </w:tc>
      </w:tr>
      <w:tr w:rsidR="00222BE4" w:rsidRPr="00DD28A8" w:rsidTr="002A07B4">
        <w:trPr>
          <w:trHeight w:val="80"/>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Импорт товаров</w:t>
            </w:r>
          </w:p>
        </w:tc>
        <w:tc>
          <w:tcPr>
            <w:tcW w:w="2401" w:type="dxa"/>
            <w:vMerge w:val="restart"/>
            <w:shd w:val="clear" w:color="auto" w:fill="auto"/>
            <w:hideMark/>
          </w:tcPr>
          <w:p w:rsidR="00222BE4" w:rsidRPr="00DD28A8" w:rsidRDefault="00222BE4" w:rsidP="00DD28A8">
            <w:pPr>
              <w:jc w:val="center"/>
              <w:rPr>
                <w:sz w:val="22"/>
                <w:szCs w:val="22"/>
              </w:rPr>
            </w:pPr>
            <w:r w:rsidRPr="00DD28A8">
              <w:rPr>
                <w:sz w:val="22"/>
                <w:szCs w:val="22"/>
              </w:rPr>
              <w:t>млн. долл. США</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4353</w:t>
            </w:r>
          </w:p>
        </w:tc>
        <w:tc>
          <w:tcPr>
            <w:tcW w:w="1349" w:type="dxa"/>
            <w:vMerge w:val="restart"/>
            <w:shd w:val="clear" w:color="auto" w:fill="auto"/>
            <w:noWrap/>
            <w:vAlign w:val="center"/>
          </w:tcPr>
          <w:p w:rsidR="00222BE4" w:rsidRPr="003D54F9" w:rsidRDefault="00222BE4">
            <w:pPr>
              <w:jc w:val="center"/>
            </w:pPr>
            <w:r w:rsidRPr="003D54F9">
              <w:t>3608,6</w:t>
            </w:r>
          </w:p>
        </w:tc>
        <w:tc>
          <w:tcPr>
            <w:tcW w:w="1180" w:type="dxa"/>
            <w:shd w:val="clear" w:color="auto" w:fill="auto"/>
            <w:noWrap/>
            <w:vAlign w:val="center"/>
          </w:tcPr>
          <w:p w:rsidR="00222BE4" w:rsidRPr="003D54F9" w:rsidRDefault="00222BE4">
            <w:pPr>
              <w:jc w:val="center"/>
            </w:pPr>
            <w:r w:rsidRPr="003D54F9">
              <w:t>3778,2</w:t>
            </w:r>
          </w:p>
        </w:tc>
        <w:tc>
          <w:tcPr>
            <w:tcW w:w="1141" w:type="dxa"/>
            <w:shd w:val="clear" w:color="auto" w:fill="auto"/>
            <w:noWrap/>
            <w:vAlign w:val="center"/>
          </w:tcPr>
          <w:p w:rsidR="00222BE4" w:rsidRPr="003D54F9" w:rsidRDefault="00222BE4">
            <w:pPr>
              <w:jc w:val="center"/>
            </w:pPr>
            <w:r w:rsidRPr="003D54F9">
              <w:t>4057,8</w:t>
            </w:r>
          </w:p>
        </w:tc>
        <w:tc>
          <w:tcPr>
            <w:tcW w:w="1272" w:type="dxa"/>
            <w:shd w:val="clear" w:color="auto" w:fill="auto"/>
            <w:noWrap/>
            <w:vAlign w:val="center"/>
          </w:tcPr>
          <w:p w:rsidR="00222BE4" w:rsidRPr="003D54F9" w:rsidRDefault="00222BE4">
            <w:pPr>
              <w:jc w:val="center"/>
            </w:pPr>
            <w:r w:rsidRPr="003D54F9">
              <w:t>4358,1</w:t>
            </w:r>
          </w:p>
        </w:tc>
      </w:tr>
      <w:tr w:rsidR="00222BE4" w:rsidRPr="00DD28A8" w:rsidTr="002A07B4">
        <w:trPr>
          <w:trHeight w:val="52"/>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3940,6</w:t>
            </w:r>
          </w:p>
        </w:tc>
        <w:tc>
          <w:tcPr>
            <w:tcW w:w="1141" w:type="dxa"/>
            <w:shd w:val="clear" w:color="auto" w:fill="auto"/>
            <w:noWrap/>
            <w:vAlign w:val="center"/>
          </w:tcPr>
          <w:p w:rsidR="00222BE4" w:rsidRPr="003D54F9" w:rsidRDefault="00222BE4">
            <w:pPr>
              <w:jc w:val="center"/>
            </w:pPr>
            <w:r w:rsidRPr="003D54F9">
              <w:t>4291,3</w:t>
            </w:r>
          </w:p>
        </w:tc>
        <w:tc>
          <w:tcPr>
            <w:tcW w:w="1272" w:type="dxa"/>
            <w:shd w:val="clear" w:color="auto" w:fill="auto"/>
            <w:noWrap/>
            <w:vAlign w:val="center"/>
          </w:tcPr>
          <w:p w:rsidR="00222BE4" w:rsidRPr="003D54F9" w:rsidRDefault="00222BE4">
            <w:pPr>
              <w:jc w:val="center"/>
            </w:pPr>
            <w:r w:rsidRPr="003D54F9">
              <w:t>4596</w:t>
            </w:r>
            <w:r w:rsidR="009B5C2F">
              <w:t>,0</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 xml:space="preserve">Количество малых и средних предприятий, включая </w:t>
            </w:r>
            <w:proofErr w:type="spellStart"/>
            <w:r w:rsidRPr="00DD28A8">
              <w:rPr>
                <w:sz w:val="22"/>
                <w:szCs w:val="22"/>
              </w:rPr>
              <w:t>микропредприятия</w:t>
            </w:r>
            <w:proofErr w:type="spellEnd"/>
            <w:r w:rsidRPr="00DD28A8">
              <w:rPr>
                <w:sz w:val="22"/>
                <w:szCs w:val="22"/>
              </w:rPr>
              <w:t xml:space="preserve"> (на конец года)</w:t>
            </w:r>
          </w:p>
        </w:tc>
        <w:tc>
          <w:tcPr>
            <w:tcW w:w="2401" w:type="dxa"/>
            <w:vMerge w:val="restart"/>
            <w:shd w:val="clear" w:color="auto" w:fill="auto"/>
            <w:hideMark/>
          </w:tcPr>
          <w:p w:rsidR="00222BE4" w:rsidRPr="00DD28A8" w:rsidRDefault="00222BE4" w:rsidP="00DD28A8">
            <w:pPr>
              <w:jc w:val="center"/>
              <w:rPr>
                <w:sz w:val="22"/>
                <w:szCs w:val="22"/>
              </w:rPr>
            </w:pPr>
            <w:r w:rsidRPr="00DD28A8">
              <w:rPr>
                <w:sz w:val="22"/>
                <w:szCs w:val="22"/>
              </w:rPr>
              <w:t>единиц</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69392</w:t>
            </w:r>
          </w:p>
        </w:tc>
        <w:tc>
          <w:tcPr>
            <w:tcW w:w="1349" w:type="dxa"/>
            <w:vMerge w:val="restart"/>
            <w:shd w:val="clear" w:color="auto" w:fill="auto"/>
            <w:noWrap/>
            <w:vAlign w:val="center"/>
          </w:tcPr>
          <w:p w:rsidR="00222BE4" w:rsidRPr="003D54F9" w:rsidRDefault="00222BE4">
            <w:pPr>
              <w:jc w:val="center"/>
            </w:pPr>
            <w:r w:rsidRPr="003D54F9">
              <w:t>74370</w:t>
            </w:r>
          </w:p>
        </w:tc>
        <w:tc>
          <w:tcPr>
            <w:tcW w:w="1180" w:type="dxa"/>
            <w:shd w:val="clear" w:color="auto" w:fill="auto"/>
            <w:noWrap/>
            <w:vAlign w:val="center"/>
          </w:tcPr>
          <w:p w:rsidR="00222BE4" w:rsidRPr="003D54F9" w:rsidRDefault="00222BE4">
            <w:pPr>
              <w:jc w:val="center"/>
            </w:pPr>
            <w:r w:rsidRPr="003D54F9">
              <w:t>76304</w:t>
            </w:r>
          </w:p>
        </w:tc>
        <w:tc>
          <w:tcPr>
            <w:tcW w:w="1141" w:type="dxa"/>
            <w:shd w:val="clear" w:color="auto" w:fill="auto"/>
            <w:noWrap/>
            <w:vAlign w:val="center"/>
          </w:tcPr>
          <w:p w:rsidR="00222BE4" w:rsidRPr="003D54F9" w:rsidRDefault="00222BE4">
            <w:pPr>
              <w:jc w:val="center"/>
            </w:pPr>
            <w:r w:rsidRPr="003D54F9">
              <w:t>77792</w:t>
            </w:r>
          </w:p>
        </w:tc>
        <w:tc>
          <w:tcPr>
            <w:tcW w:w="1272" w:type="dxa"/>
            <w:shd w:val="clear" w:color="auto" w:fill="auto"/>
            <w:noWrap/>
            <w:vAlign w:val="center"/>
          </w:tcPr>
          <w:p w:rsidR="00222BE4" w:rsidRPr="003D54F9" w:rsidRDefault="00222BE4">
            <w:pPr>
              <w:jc w:val="center"/>
            </w:pPr>
            <w:r w:rsidRPr="003D54F9">
              <w:t>79153</w:t>
            </w:r>
          </w:p>
        </w:tc>
      </w:tr>
      <w:tr w:rsidR="00222BE4" w:rsidRPr="00DD28A8" w:rsidTr="002A07B4">
        <w:trPr>
          <w:trHeight w:val="283"/>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76527</w:t>
            </w:r>
          </w:p>
        </w:tc>
        <w:tc>
          <w:tcPr>
            <w:tcW w:w="1141" w:type="dxa"/>
            <w:shd w:val="clear" w:color="auto" w:fill="auto"/>
            <w:noWrap/>
            <w:vAlign w:val="center"/>
          </w:tcPr>
          <w:p w:rsidR="00222BE4" w:rsidRPr="003D54F9" w:rsidRDefault="00222BE4">
            <w:pPr>
              <w:jc w:val="center"/>
            </w:pPr>
            <w:r w:rsidRPr="003D54F9">
              <w:t>77981</w:t>
            </w:r>
          </w:p>
        </w:tc>
        <w:tc>
          <w:tcPr>
            <w:tcW w:w="1272" w:type="dxa"/>
            <w:shd w:val="clear" w:color="auto" w:fill="auto"/>
            <w:noWrap/>
            <w:vAlign w:val="center"/>
          </w:tcPr>
          <w:p w:rsidR="00222BE4" w:rsidRPr="003D54F9" w:rsidRDefault="00222BE4">
            <w:pPr>
              <w:jc w:val="center"/>
            </w:pPr>
            <w:r w:rsidRPr="003D54F9">
              <w:t>79306</w:t>
            </w:r>
          </w:p>
        </w:tc>
      </w:tr>
      <w:tr w:rsidR="00222BE4" w:rsidRPr="00DD28A8" w:rsidTr="002A07B4">
        <w:trPr>
          <w:trHeight w:val="631"/>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512CF1">
            <w:pPr>
              <w:rPr>
                <w:sz w:val="22"/>
                <w:szCs w:val="22"/>
              </w:rPr>
            </w:pPr>
            <w:r w:rsidRPr="00DD28A8">
              <w:rPr>
                <w:sz w:val="22"/>
                <w:szCs w:val="22"/>
              </w:rPr>
              <w:t xml:space="preserve">Среднесписочная численность работников малых и средних предприятий, включая </w:t>
            </w:r>
            <w:proofErr w:type="spellStart"/>
            <w:r w:rsidRPr="00DD28A8">
              <w:rPr>
                <w:sz w:val="22"/>
                <w:szCs w:val="22"/>
              </w:rPr>
              <w:t>микропредприятия</w:t>
            </w:r>
            <w:proofErr w:type="spellEnd"/>
          </w:p>
        </w:tc>
        <w:tc>
          <w:tcPr>
            <w:tcW w:w="2401" w:type="dxa"/>
            <w:vMerge w:val="restart"/>
            <w:shd w:val="clear" w:color="auto" w:fill="auto"/>
            <w:hideMark/>
          </w:tcPr>
          <w:p w:rsidR="00222BE4" w:rsidRPr="00DD28A8" w:rsidRDefault="00222BE4" w:rsidP="00DD28A8">
            <w:pPr>
              <w:jc w:val="center"/>
              <w:rPr>
                <w:sz w:val="22"/>
                <w:szCs w:val="22"/>
              </w:rPr>
            </w:pPr>
            <w:r w:rsidRPr="00DD28A8">
              <w:rPr>
                <w:sz w:val="22"/>
                <w:szCs w:val="22"/>
              </w:rPr>
              <w:t>тыс. чел.</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158,5</w:t>
            </w:r>
          </w:p>
        </w:tc>
        <w:tc>
          <w:tcPr>
            <w:tcW w:w="1349" w:type="dxa"/>
            <w:vMerge w:val="restart"/>
            <w:shd w:val="clear" w:color="auto" w:fill="auto"/>
            <w:noWrap/>
            <w:vAlign w:val="center"/>
          </w:tcPr>
          <w:p w:rsidR="00222BE4" w:rsidRPr="003D54F9" w:rsidRDefault="00222BE4">
            <w:pPr>
              <w:jc w:val="center"/>
            </w:pPr>
            <w:r w:rsidRPr="003D54F9">
              <w:t>157,4</w:t>
            </w:r>
          </w:p>
        </w:tc>
        <w:tc>
          <w:tcPr>
            <w:tcW w:w="1180" w:type="dxa"/>
            <w:shd w:val="clear" w:color="auto" w:fill="auto"/>
            <w:noWrap/>
            <w:vAlign w:val="center"/>
          </w:tcPr>
          <w:p w:rsidR="00222BE4" w:rsidRPr="003D54F9" w:rsidRDefault="00222BE4">
            <w:pPr>
              <w:jc w:val="center"/>
            </w:pPr>
            <w:r w:rsidRPr="003D54F9">
              <w:t>158,4</w:t>
            </w:r>
          </w:p>
        </w:tc>
        <w:tc>
          <w:tcPr>
            <w:tcW w:w="1141" w:type="dxa"/>
            <w:shd w:val="clear" w:color="auto" w:fill="auto"/>
            <w:noWrap/>
            <w:vAlign w:val="center"/>
          </w:tcPr>
          <w:p w:rsidR="00222BE4" w:rsidRPr="003D54F9" w:rsidRDefault="00222BE4">
            <w:pPr>
              <w:jc w:val="center"/>
            </w:pPr>
            <w:r w:rsidRPr="003D54F9">
              <w:t>159,0</w:t>
            </w:r>
          </w:p>
        </w:tc>
        <w:tc>
          <w:tcPr>
            <w:tcW w:w="1272" w:type="dxa"/>
            <w:shd w:val="clear" w:color="auto" w:fill="auto"/>
            <w:noWrap/>
            <w:vAlign w:val="center"/>
          </w:tcPr>
          <w:p w:rsidR="00222BE4" w:rsidRPr="003D54F9" w:rsidRDefault="00222BE4">
            <w:pPr>
              <w:jc w:val="center"/>
            </w:pPr>
            <w:r w:rsidRPr="003D54F9">
              <w:t>159,5</w:t>
            </w:r>
          </w:p>
        </w:tc>
      </w:tr>
      <w:tr w:rsidR="00222BE4" w:rsidRPr="00DD28A8" w:rsidTr="002A07B4">
        <w:trPr>
          <w:trHeight w:val="283"/>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158,7</w:t>
            </w:r>
          </w:p>
        </w:tc>
        <w:tc>
          <w:tcPr>
            <w:tcW w:w="1141" w:type="dxa"/>
            <w:shd w:val="clear" w:color="auto" w:fill="auto"/>
            <w:noWrap/>
            <w:vAlign w:val="center"/>
          </w:tcPr>
          <w:p w:rsidR="00222BE4" w:rsidRPr="003D54F9" w:rsidRDefault="00222BE4">
            <w:pPr>
              <w:jc w:val="center"/>
            </w:pPr>
            <w:r w:rsidRPr="003D54F9">
              <w:t>160,1</w:t>
            </w:r>
          </w:p>
        </w:tc>
        <w:tc>
          <w:tcPr>
            <w:tcW w:w="1272" w:type="dxa"/>
            <w:shd w:val="clear" w:color="auto" w:fill="auto"/>
            <w:noWrap/>
            <w:vAlign w:val="center"/>
          </w:tcPr>
          <w:p w:rsidR="00222BE4" w:rsidRPr="003D54F9" w:rsidRDefault="00222BE4">
            <w:pPr>
              <w:jc w:val="center"/>
            </w:pPr>
            <w:r w:rsidRPr="003D54F9">
              <w:t>161,4</w:t>
            </w:r>
          </w:p>
        </w:tc>
      </w:tr>
      <w:tr w:rsidR="00222BE4" w:rsidRPr="00DD28A8" w:rsidTr="00512CF1">
        <w:trPr>
          <w:trHeight w:val="624"/>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 xml:space="preserve">Оборот малых и средних предприятий, включая </w:t>
            </w:r>
            <w:proofErr w:type="spellStart"/>
            <w:r w:rsidRPr="00DD28A8">
              <w:rPr>
                <w:sz w:val="22"/>
                <w:szCs w:val="22"/>
              </w:rPr>
              <w:t>микропредприятия</w:t>
            </w:r>
            <w:proofErr w:type="spellEnd"/>
          </w:p>
        </w:tc>
        <w:tc>
          <w:tcPr>
            <w:tcW w:w="2401" w:type="dxa"/>
            <w:vMerge w:val="restart"/>
            <w:shd w:val="clear" w:color="auto" w:fill="auto"/>
            <w:hideMark/>
          </w:tcPr>
          <w:p w:rsidR="00222BE4" w:rsidRPr="00DD28A8" w:rsidRDefault="00222BE4" w:rsidP="00DD28A8">
            <w:pPr>
              <w:jc w:val="center"/>
              <w:rPr>
                <w:sz w:val="22"/>
                <w:szCs w:val="22"/>
              </w:rPr>
            </w:pPr>
            <w:proofErr w:type="gramStart"/>
            <w:r w:rsidRPr="00DD28A8">
              <w:rPr>
                <w:sz w:val="22"/>
                <w:szCs w:val="22"/>
              </w:rPr>
              <w:t>млрд</w:t>
            </w:r>
            <w:proofErr w:type="gramEnd"/>
            <w:r w:rsidRPr="00DD28A8">
              <w:rPr>
                <w:sz w:val="22"/>
                <w:szCs w:val="22"/>
              </w:rPr>
              <w:t xml:space="preserve"> руб.</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743,0</w:t>
            </w:r>
          </w:p>
        </w:tc>
        <w:tc>
          <w:tcPr>
            <w:tcW w:w="1349" w:type="dxa"/>
            <w:vMerge w:val="restart"/>
            <w:shd w:val="clear" w:color="auto" w:fill="auto"/>
            <w:noWrap/>
            <w:vAlign w:val="center"/>
          </w:tcPr>
          <w:p w:rsidR="00222BE4" w:rsidRPr="003D54F9" w:rsidRDefault="00222BE4">
            <w:pPr>
              <w:jc w:val="center"/>
            </w:pPr>
            <w:r w:rsidRPr="003D54F9">
              <w:t>788,4</w:t>
            </w:r>
          </w:p>
        </w:tc>
        <w:tc>
          <w:tcPr>
            <w:tcW w:w="1180" w:type="dxa"/>
            <w:shd w:val="clear" w:color="auto" w:fill="auto"/>
            <w:noWrap/>
            <w:vAlign w:val="center"/>
          </w:tcPr>
          <w:p w:rsidR="00222BE4" w:rsidRPr="003D54F9" w:rsidRDefault="00222BE4">
            <w:pPr>
              <w:jc w:val="center"/>
            </w:pPr>
            <w:r w:rsidRPr="003D54F9">
              <w:t>829,4</w:t>
            </w:r>
          </w:p>
        </w:tc>
        <w:tc>
          <w:tcPr>
            <w:tcW w:w="1141" w:type="dxa"/>
            <w:shd w:val="clear" w:color="auto" w:fill="auto"/>
            <w:noWrap/>
            <w:vAlign w:val="center"/>
          </w:tcPr>
          <w:p w:rsidR="00222BE4" w:rsidRPr="003D54F9" w:rsidRDefault="00222BE4">
            <w:pPr>
              <w:jc w:val="center"/>
            </w:pPr>
            <w:r w:rsidRPr="003D54F9">
              <w:t>861,7</w:t>
            </w:r>
          </w:p>
        </w:tc>
        <w:tc>
          <w:tcPr>
            <w:tcW w:w="1272" w:type="dxa"/>
            <w:shd w:val="clear" w:color="auto" w:fill="auto"/>
            <w:noWrap/>
            <w:vAlign w:val="center"/>
          </w:tcPr>
          <w:p w:rsidR="00222BE4" w:rsidRPr="003D54F9" w:rsidRDefault="00222BE4">
            <w:pPr>
              <w:jc w:val="center"/>
            </w:pPr>
            <w:r w:rsidRPr="003D54F9">
              <w:t>891,9</w:t>
            </w:r>
          </w:p>
        </w:tc>
      </w:tr>
      <w:tr w:rsidR="00222BE4" w:rsidRPr="00DD28A8" w:rsidTr="002A07B4">
        <w:trPr>
          <w:trHeight w:val="78"/>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834,1</w:t>
            </w:r>
          </w:p>
        </w:tc>
        <w:tc>
          <w:tcPr>
            <w:tcW w:w="1141" w:type="dxa"/>
            <w:shd w:val="clear" w:color="auto" w:fill="auto"/>
            <w:noWrap/>
            <w:vAlign w:val="center"/>
          </w:tcPr>
          <w:p w:rsidR="00222BE4" w:rsidRPr="003D54F9" w:rsidRDefault="00222BE4">
            <w:pPr>
              <w:jc w:val="center"/>
            </w:pPr>
            <w:r w:rsidRPr="003D54F9">
              <w:t>865,8</w:t>
            </w:r>
          </w:p>
        </w:tc>
        <w:tc>
          <w:tcPr>
            <w:tcW w:w="1272" w:type="dxa"/>
            <w:shd w:val="clear" w:color="auto" w:fill="auto"/>
            <w:noWrap/>
            <w:vAlign w:val="center"/>
          </w:tcPr>
          <w:p w:rsidR="00222BE4" w:rsidRPr="003D54F9" w:rsidRDefault="00222BE4">
            <w:pPr>
              <w:jc w:val="center"/>
            </w:pPr>
            <w:r w:rsidRPr="003D54F9">
              <w:t>895,3</w:t>
            </w:r>
          </w:p>
        </w:tc>
      </w:tr>
      <w:tr w:rsidR="00222BE4" w:rsidRPr="00DD28A8" w:rsidTr="002A07B4">
        <w:trPr>
          <w:trHeight w:val="110"/>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Инвестиции в основной капитал</w:t>
            </w:r>
          </w:p>
        </w:tc>
        <w:tc>
          <w:tcPr>
            <w:tcW w:w="2401" w:type="dxa"/>
            <w:vMerge w:val="restart"/>
            <w:shd w:val="clear" w:color="auto" w:fill="auto"/>
            <w:hideMark/>
          </w:tcPr>
          <w:p w:rsidR="00222BE4" w:rsidRPr="00DD28A8" w:rsidRDefault="00222BE4" w:rsidP="00B90E3A">
            <w:pPr>
              <w:jc w:val="center"/>
              <w:rPr>
                <w:sz w:val="22"/>
                <w:szCs w:val="22"/>
              </w:rPr>
            </w:pPr>
            <w:proofErr w:type="gramStart"/>
            <w:r w:rsidRPr="00DD28A8">
              <w:rPr>
                <w:sz w:val="22"/>
                <w:szCs w:val="22"/>
              </w:rPr>
              <w:t>млрд</w:t>
            </w:r>
            <w:proofErr w:type="gramEnd"/>
            <w:r w:rsidRPr="00DD28A8">
              <w:rPr>
                <w:sz w:val="22"/>
                <w:szCs w:val="22"/>
              </w:rPr>
              <w:t xml:space="preserve"> руб</w:t>
            </w:r>
            <w:r>
              <w:rPr>
                <w:sz w:val="22"/>
                <w:szCs w:val="22"/>
              </w:rPr>
              <w:t>.</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rsidP="003D54F9">
            <w:pPr>
              <w:jc w:val="center"/>
            </w:pPr>
            <w:r w:rsidRPr="003D54F9">
              <w:t>442</w:t>
            </w:r>
            <w:r>
              <w:t>,</w:t>
            </w:r>
            <w:r w:rsidRPr="003D54F9">
              <w:t>8</w:t>
            </w:r>
          </w:p>
        </w:tc>
        <w:tc>
          <w:tcPr>
            <w:tcW w:w="1349" w:type="dxa"/>
            <w:vMerge w:val="restart"/>
            <w:shd w:val="clear" w:color="auto" w:fill="auto"/>
            <w:noWrap/>
            <w:vAlign w:val="center"/>
          </w:tcPr>
          <w:p w:rsidR="00222BE4" w:rsidRPr="003D54F9" w:rsidRDefault="00222BE4" w:rsidP="003D54F9">
            <w:pPr>
              <w:jc w:val="center"/>
            </w:pPr>
            <w:r w:rsidRPr="003D54F9">
              <w:t>474</w:t>
            </w:r>
            <w:r>
              <w:t>,1</w:t>
            </w:r>
          </w:p>
        </w:tc>
        <w:tc>
          <w:tcPr>
            <w:tcW w:w="1180" w:type="dxa"/>
            <w:shd w:val="clear" w:color="auto" w:fill="auto"/>
            <w:noWrap/>
            <w:vAlign w:val="center"/>
          </w:tcPr>
          <w:p w:rsidR="00222BE4" w:rsidRPr="003D54F9" w:rsidRDefault="00222BE4" w:rsidP="003D54F9">
            <w:pPr>
              <w:jc w:val="center"/>
            </w:pPr>
            <w:r w:rsidRPr="003D54F9">
              <w:t>498</w:t>
            </w:r>
            <w:r>
              <w:t>,</w:t>
            </w:r>
            <w:r w:rsidRPr="003D54F9">
              <w:t>6</w:t>
            </w:r>
          </w:p>
        </w:tc>
        <w:tc>
          <w:tcPr>
            <w:tcW w:w="1141" w:type="dxa"/>
            <w:shd w:val="clear" w:color="auto" w:fill="auto"/>
            <w:noWrap/>
            <w:vAlign w:val="center"/>
          </w:tcPr>
          <w:p w:rsidR="00222BE4" w:rsidRPr="003D54F9" w:rsidRDefault="00222BE4" w:rsidP="003D54F9">
            <w:pPr>
              <w:jc w:val="center"/>
            </w:pPr>
            <w:r w:rsidRPr="003D54F9">
              <w:t>554</w:t>
            </w:r>
            <w:r>
              <w:t>,</w:t>
            </w:r>
            <w:r w:rsidRPr="003D54F9">
              <w:t>4</w:t>
            </w:r>
          </w:p>
        </w:tc>
        <w:tc>
          <w:tcPr>
            <w:tcW w:w="1272" w:type="dxa"/>
            <w:shd w:val="clear" w:color="auto" w:fill="auto"/>
            <w:noWrap/>
            <w:vAlign w:val="center"/>
          </w:tcPr>
          <w:p w:rsidR="00222BE4" w:rsidRPr="003D54F9" w:rsidRDefault="00222BE4" w:rsidP="003D54F9">
            <w:pPr>
              <w:jc w:val="center"/>
            </w:pPr>
            <w:r w:rsidRPr="003D54F9">
              <w:t>620</w:t>
            </w:r>
            <w:r>
              <w:t>,</w:t>
            </w:r>
            <w:r w:rsidRPr="003D54F9">
              <w:t>6</w:t>
            </w:r>
          </w:p>
        </w:tc>
      </w:tr>
      <w:tr w:rsidR="00222BE4" w:rsidRPr="00DD28A8" w:rsidTr="002A07B4">
        <w:trPr>
          <w:trHeight w:val="128"/>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rsidP="003D54F9">
            <w:pPr>
              <w:jc w:val="center"/>
            </w:pPr>
            <w:r w:rsidRPr="003D54F9">
              <w:t>511</w:t>
            </w:r>
            <w:r>
              <w:t>,</w:t>
            </w:r>
            <w:r w:rsidRPr="003D54F9">
              <w:t>9</w:t>
            </w:r>
          </w:p>
        </w:tc>
        <w:tc>
          <w:tcPr>
            <w:tcW w:w="1141" w:type="dxa"/>
            <w:shd w:val="clear" w:color="auto" w:fill="auto"/>
            <w:noWrap/>
            <w:vAlign w:val="center"/>
          </w:tcPr>
          <w:p w:rsidR="00222BE4" w:rsidRPr="003D54F9" w:rsidRDefault="00222BE4" w:rsidP="003D54F9">
            <w:pPr>
              <w:jc w:val="center"/>
            </w:pPr>
            <w:r w:rsidRPr="003D54F9">
              <w:t>590</w:t>
            </w:r>
            <w:r>
              <w:t>,8</w:t>
            </w:r>
          </w:p>
        </w:tc>
        <w:tc>
          <w:tcPr>
            <w:tcW w:w="1272" w:type="dxa"/>
            <w:shd w:val="clear" w:color="auto" w:fill="auto"/>
            <w:noWrap/>
            <w:vAlign w:val="center"/>
          </w:tcPr>
          <w:p w:rsidR="00222BE4" w:rsidRPr="003D54F9" w:rsidRDefault="00222BE4" w:rsidP="003D54F9">
            <w:pPr>
              <w:jc w:val="center"/>
            </w:pPr>
            <w:r w:rsidRPr="003D54F9">
              <w:t>677</w:t>
            </w:r>
            <w:r>
              <w:t>,</w:t>
            </w:r>
            <w:r w:rsidRPr="003D54F9">
              <w:t>3</w:t>
            </w:r>
          </w:p>
        </w:tc>
      </w:tr>
      <w:tr w:rsidR="00222BE4" w:rsidRPr="00DD28A8" w:rsidTr="00512CF1">
        <w:trPr>
          <w:trHeight w:val="397"/>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3D54F9" w:rsidRDefault="00222BE4" w:rsidP="00DD28A8">
            <w:pPr>
              <w:rPr>
                <w:sz w:val="22"/>
                <w:szCs w:val="22"/>
              </w:rPr>
            </w:pPr>
            <w:r w:rsidRPr="003D54F9">
              <w:rPr>
                <w:sz w:val="22"/>
                <w:szCs w:val="22"/>
              </w:rPr>
              <w:t>Индекс физического объема инвестиций в основной капита</w:t>
            </w:r>
            <w:r w:rsidR="00512CF1">
              <w:rPr>
                <w:sz w:val="22"/>
                <w:szCs w:val="22"/>
              </w:rPr>
              <w:t>л</w:t>
            </w:r>
          </w:p>
        </w:tc>
        <w:tc>
          <w:tcPr>
            <w:tcW w:w="2401" w:type="dxa"/>
            <w:vMerge w:val="restart"/>
            <w:shd w:val="clear" w:color="auto" w:fill="auto"/>
            <w:hideMark/>
          </w:tcPr>
          <w:p w:rsidR="00222BE4" w:rsidRPr="003D54F9" w:rsidRDefault="00222BE4" w:rsidP="003D54F9">
            <w:pPr>
              <w:jc w:val="center"/>
              <w:rPr>
                <w:sz w:val="22"/>
                <w:szCs w:val="22"/>
                <w:lang w:val="en-US"/>
              </w:rPr>
            </w:pPr>
            <w:r>
              <w:rPr>
                <w:sz w:val="22"/>
                <w:szCs w:val="22"/>
              </w:rPr>
              <w:t xml:space="preserve"> проц. к предыдущему году</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105,6</w:t>
            </w:r>
          </w:p>
        </w:tc>
        <w:tc>
          <w:tcPr>
            <w:tcW w:w="1349" w:type="dxa"/>
            <w:vMerge w:val="restart"/>
            <w:shd w:val="clear" w:color="auto" w:fill="auto"/>
            <w:noWrap/>
            <w:vAlign w:val="center"/>
          </w:tcPr>
          <w:p w:rsidR="00222BE4" w:rsidRPr="003D54F9" w:rsidRDefault="00222BE4">
            <w:pPr>
              <w:jc w:val="center"/>
            </w:pPr>
            <w:r w:rsidRPr="003D54F9">
              <w:t>96,1</w:t>
            </w:r>
          </w:p>
        </w:tc>
        <w:tc>
          <w:tcPr>
            <w:tcW w:w="1180" w:type="dxa"/>
            <w:shd w:val="clear" w:color="auto" w:fill="auto"/>
            <w:noWrap/>
            <w:vAlign w:val="center"/>
          </w:tcPr>
          <w:p w:rsidR="00222BE4" w:rsidRPr="003D54F9" w:rsidRDefault="00222BE4">
            <w:pPr>
              <w:jc w:val="center"/>
            </w:pPr>
            <w:r w:rsidRPr="003D54F9">
              <w:t>98,2</w:t>
            </w:r>
          </w:p>
        </w:tc>
        <w:tc>
          <w:tcPr>
            <w:tcW w:w="1141" w:type="dxa"/>
            <w:shd w:val="clear" w:color="auto" w:fill="auto"/>
            <w:noWrap/>
            <w:vAlign w:val="center"/>
          </w:tcPr>
          <w:p w:rsidR="00222BE4" w:rsidRPr="003D54F9" w:rsidRDefault="00222BE4">
            <w:pPr>
              <w:jc w:val="center"/>
            </w:pPr>
            <w:r w:rsidRPr="003D54F9">
              <w:t>105,2</w:t>
            </w:r>
          </w:p>
        </w:tc>
        <w:tc>
          <w:tcPr>
            <w:tcW w:w="1272" w:type="dxa"/>
            <w:shd w:val="clear" w:color="auto" w:fill="auto"/>
            <w:noWrap/>
            <w:vAlign w:val="center"/>
          </w:tcPr>
          <w:p w:rsidR="00222BE4" w:rsidRPr="003D54F9" w:rsidRDefault="00222BE4">
            <w:pPr>
              <w:jc w:val="center"/>
            </w:pPr>
            <w:r w:rsidRPr="003D54F9">
              <w:t>106,7</w:t>
            </w:r>
          </w:p>
        </w:tc>
      </w:tr>
      <w:tr w:rsidR="00222BE4" w:rsidRPr="00DD28A8" w:rsidTr="002A07B4">
        <w:trPr>
          <w:trHeight w:val="52"/>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101,1</w:t>
            </w:r>
          </w:p>
        </w:tc>
        <w:tc>
          <w:tcPr>
            <w:tcW w:w="1141" w:type="dxa"/>
            <w:shd w:val="clear" w:color="auto" w:fill="auto"/>
            <w:noWrap/>
            <w:vAlign w:val="center"/>
          </w:tcPr>
          <w:p w:rsidR="00222BE4" w:rsidRPr="003D54F9" w:rsidRDefault="00222BE4">
            <w:pPr>
              <w:jc w:val="center"/>
            </w:pPr>
            <w:r w:rsidRPr="003D54F9">
              <w:t>109,6</w:t>
            </w:r>
          </w:p>
        </w:tc>
        <w:tc>
          <w:tcPr>
            <w:tcW w:w="1272" w:type="dxa"/>
            <w:shd w:val="clear" w:color="auto" w:fill="auto"/>
            <w:noWrap/>
            <w:vAlign w:val="center"/>
          </w:tcPr>
          <w:p w:rsidR="00222BE4" w:rsidRPr="003D54F9" w:rsidRDefault="00222BE4">
            <w:pPr>
              <w:jc w:val="center"/>
            </w:pPr>
            <w:r w:rsidRPr="003D54F9">
              <w:t>109,4</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Инвестиции в основной капитал к ВРП</w:t>
            </w:r>
          </w:p>
        </w:tc>
        <w:tc>
          <w:tcPr>
            <w:tcW w:w="2401" w:type="dxa"/>
            <w:vMerge w:val="restart"/>
            <w:shd w:val="clear" w:color="auto" w:fill="auto"/>
            <w:hideMark/>
          </w:tcPr>
          <w:p w:rsidR="00222BE4" w:rsidRPr="00DD28A8" w:rsidRDefault="00222BE4" w:rsidP="00DD28A8">
            <w:pPr>
              <w:jc w:val="center"/>
              <w:rPr>
                <w:sz w:val="22"/>
                <w:szCs w:val="22"/>
              </w:rPr>
            </w:pPr>
            <w:r>
              <w:rPr>
                <w:sz w:val="22"/>
                <w:szCs w:val="22"/>
              </w:rPr>
              <w:t xml:space="preserve"> проц.</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32,4</w:t>
            </w:r>
          </w:p>
        </w:tc>
        <w:tc>
          <w:tcPr>
            <w:tcW w:w="1349" w:type="dxa"/>
            <w:vMerge w:val="restart"/>
            <w:shd w:val="clear" w:color="auto" w:fill="auto"/>
            <w:noWrap/>
            <w:vAlign w:val="center"/>
          </w:tcPr>
          <w:p w:rsidR="00222BE4" w:rsidRPr="003D54F9" w:rsidRDefault="00222BE4">
            <w:pPr>
              <w:jc w:val="center"/>
            </w:pPr>
            <w:r w:rsidRPr="003D54F9">
              <w:t>31,4</w:t>
            </w:r>
          </w:p>
        </w:tc>
        <w:tc>
          <w:tcPr>
            <w:tcW w:w="1180" w:type="dxa"/>
            <w:shd w:val="clear" w:color="auto" w:fill="auto"/>
            <w:noWrap/>
            <w:vAlign w:val="center"/>
          </w:tcPr>
          <w:p w:rsidR="00222BE4" w:rsidRPr="003D54F9" w:rsidRDefault="00222BE4">
            <w:pPr>
              <w:jc w:val="center"/>
            </w:pPr>
            <w:r w:rsidRPr="003D54F9">
              <w:t>31,4</w:t>
            </w:r>
          </w:p>
        </w:tc>
        <w:tc>
          <w:tcPr>
            <w:tcW w:w="1141" w:type="dxa"/>
            <w:shd w:val="clear" w:color="auto" w:fill="auto"/>
            <w:noWrap/>
            <w:vAlign w:val="center"/>
          </w:tcPr>
          <w:p w:rsidR="00222BE4" w:rsidRPr="003D54F9" w:rsidRDefault="00222BE4">
            <w:pPr>
              <w:jc w:val="center"/>
            </w:pPr>
            <w:r w:rsidRPr="003D54F9">
              <w:t>33,0</w:t>
            </w:r>
          </w:p>
        </w:tc>
        <w:tc>
          <w:tcPr>
            <w:tcW w:w="1272" w:type="dxa"/>
            <w:shd w:val="clear" w:color="auto" w:fill="auto"/>
            <w:noWrap/>
            <w:vAlign w:val="center"/>
          </w:tcPr>
          <w:p w:rsidR="00222BE4" w:rsidRPr="003D54F9" w:rsidRDefault="00222BE4">
            <w:pPr>
              <w:jc w:val="center"/>
            </w:pPr>
            <w:r w:rsidRPr="003D54F9">
              <w:t>35,0</w:t>
            </w:r>
          </w:p>
        </w:tc>
      </w:tr>
      <w:tr w:rsidR="00222BE4" w:rsidRPr="00DD28A8" w:rsidTr="002A07B4">
        <w:trPr>
          <w:trHeight w:val="72"/>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31,6</w:t>
            </w:r>
          </w:p>
        </w:tc>
        <w:tc>
          <w:tcPr>
            <w:tcW w:w="1141" w:type="dxa"/>
            <w:shd w:val="clear" w:color="auto" w:fill="auto"/>
            <w:noWrap/>
            <w:vAlign w:val="center"/>
          </w:tcPr>
          <w:p w:rsidR="00222BE4" w:rsidRPr="003D54F9" w:rsidRDefault="00222BE4">
            <w:pPr>
              <w:jc w:val="center"/>
            </w:pPr>
            <w:r w:rsidRPr="003D54F9">
              <w:t>34,1</w:t>
            </w:r>
          </w:p>
        </w:tc>
        <w:tc>
          <w:tcPr>
            <w:tcW w:w="1272" w:type="dxa"/>
            <w:shd w:val="clear" w:color="auto" w:fill="auto"/>
            <w:noWrap/>
            <w:vAlign w:val="center"/>
          </w:tcPr>
          <w:p w:rsidR="00222BE4" w:rsidRPr="003D54F9" w:rsidRDefault="00222BE4">
            <w:pPr>
              <w:jc w:val="center"/>
            </w:pPr>
            <w:r w:rsidRPr="003D54F9">
              <w:t>36,7</w:t>
            </w:r>
          </w:p>
        </w:tc>
      </w:tr>
      <w:tr w:rsidR="00222BE4" w:rsidRPr="00DD28A8" w:rsidTr="002A07B4">
        <w:trPr>
          <w:trHeight w:val="231"/>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 xml:space="preserve">Реальные располагаемые денежные </w:t>
            </w:r>
            <w:r w:rsidRPr="00DD28A8">
              <w:rPr>
                <w:sz w:val="22"/>
                <w:szCs w:val="22"/>
              </w:rPr>
              <w:lastRenderedPageBreak/>
              <w:t>доходы населения</w:t>
            </w:r>
          </w:p>
        </w:tc>
        <w:tc>
          <w:tcPr>
            <w:tcW w:w="2401" w:type="dxa"/>
            <w:vMerge w:val="restart"/>
            <w:shd w:val="clear" w:color="auto" w:fill="auto"/>
            <w:hideMark/>
          </w:tcPr>
          <w:p w:rsidR="00222BE4" w:rsidRPr="00DD28A8" w:rsidRDefault="00222BE4" w:rsidP="00340D73">
            <w:pPr>
              <w:jc w:val="center"/>
              <w:rPr>
                <w:sz w:val="22"/>
                <w:szCs w:val="22"/>
              </w:rPr>
            </w:pPr>
            <w:r>
              <w:rPr>
                <w:sz w:val="22"/>
                <w:szCs w:val="22"/>
              </w:rPr>
              <w:lastRenderedPageBreak/>
              <w:t xml:space="preserve"> проц. к предыдущему </w:t>
            </w:r>
            <w:r>
              <w:rPr>
                <w:sz w:val="22"/>
                <w:szCs w:val="22"/>
              </w:rPr>
              <w:lastRenderedPageBreak/>
              <w:t>году</w:t>
            </w:r>
          </w:p>
        </w:tc>
        <w:tc>
          <w:tcPr>
            <w:tcW w:w="1862" w:type="dxa"/>
            <w:shd w:val="clear" w:color="auto" w:fill="auto"/>
            <w:hideMark/>
          </w:tcPr>
          <w:p w:rsidR="00222BE4" w:rsidRPr="00DD28A8" w:rsidRDefault="00222BE4" w:rsidP="00DD28A8">
            <w:pPr>
              <w:rPr>
                <w:sz w:val="22"/>
                <w:szCs w:val="22"/>
              </w:rPr>
            </w:pPr>
            <w:r w:rsidRPr="00DD28A8">
              <w:rPr>
                <w:sz w:val="22"/>
                <w:szCs w:val="22"/>
              </w:rPr>
              <w:lastRenderedPageBreak/>
              <w:t>консервативный</w:t>
            </w:r>
          </w:p>
        </w:tc>
        <w:tc>
          <w:tcPr>
            <w:tcW w:w="1221" w:type="dxa"/>
            <w:vMerge w:val="restart"/>
            <w:shd w:val="clear" w:color="auto" w:fill="auto"/>
            <w:noWrap/>
            <w:vAlign w:val="center"/>
          </w:tcPr>
          <w:p w:rsidR="00222BE4" w:rsidRPr="003D54F9" w:rsidRDefault="00222BE4">
            <w:pPr>
              <w:jc w:val="center"/>
            </w:pPr>
            <w:r w:rsidRPr="003D54F9">
              <w:t>103,8</w:t>
            </w:r>
          </w:p>
        </w:tc>
        <w:tc>
          <w:tcPr>
            <w:tcW w:w="1349" w:type="dxa"/>
            <w:vMerge w:val="restart"/>
            <w:shd w:val="clear" w:color="auto" w:fill="auto"/>
            <w:noWrap/>
            <w:vAlign w:val="center"/>
          </w:tcPr>
          <w:p w:rsidR="00222BE4" w:rsidRPr="003D54F9" w:rsidRDefault="00222BE4">
            <w:pPr>
              <w:jc w:val="center"/>
            </w:pPr>
            <w:r w:rsidRPr="003D54F9">
              <w:t>94,3</w:t>
            </w:r>
          </w:p>
        </w:tc>
        <w:tc>
          <w:tcPr>
            <w:tcW w:w="1180" w:type="dxa"/>
            <w:shd w:val="clear" w:color="auto" w:fill="auto"/>
            <w:noWrap/>
            <w:vAlign w:val="center"/>
          </w:tcPr>
          <w:p w:rsidR="00222BE4" w:rsidRPr="003D54F9" w:rsidRDefault="00222BE4">
            <w:pPr>
              <w:jc w:val="center"/>
            </w:pPr>
            <w:r w:rsidRPr="003D54F9">
              <w:t>98,0</w:t>
            </w:r>
          </w:p>
        </w:tc>
        <w:tc>
          <w:tcPr>
            <w:tcW w:w="1141" w:type="dxa"/>
            <w:shd w:val="clear" w:color="auto" w:fill="auto"/>
            <w:noWrap/>
            <w:vAlign w:val="center"/>
          </w:tcPr>
          <w:p w:rsidR="00222BE4" w:rsidRPr="003D54F9" w:rsidRDefault="00222BE4">
            <w:pPr>
              <w:jc w:val="center"/>
            </w:pPr>
            <w:r w:rsidRPr="003D54F9">
              <w:t>102,3</w:t>
            </w:r>
          </w:p>
        </w:tc>
        <w:tc>
          <w:tcPr>
            <w:tcW w:w="1272" w:type="dxa"/>
            <w:shd w:val="clear" w:color="auto" w:fill="auto"/>
            <w:noWrap/>
            <w:vAlign w:val="center"/>
          </w:tcPr>
          <w:p w:rsidR="00222BE4" w:rsidRPr="003D54F9" w:rsidRDefault="00222BE4">
            <w:pPr>
              <w:jc w:val="center"/>
            </w:pPr>
            <w:r w:rsidRPr="003D54F9">
              <w:t>102,0</w:t>
            </w:r>
          </w:p>
        </w:tc>
      </w:tr>
      <w:tr w:rsidR="00222BE4" w:rsidRPr="00DD28A8" w:rsidTr="002A07B4">
        <w:trPr>
          <w:trHeight w:val="94"/>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101,0</w:t>
            </w:r>
          </w:p>
        </w:tc>
        <w:tc>
          <w:tcPr>
            <w:tcW w:w="1141" w:type="dxa"/>
            <w:shd w:val="clear" w:color="auto" w:fill="auto"/>
            <w:noWrap/>
            <w:vAlign w:val="center"/>
          </w:tcPr>
          <w:p w:rsidR="00222BE4" w:rsidRPr="003D54F9" w:rsidRDefault="00222BE4">
            <w:pPr>
              <w:jc w:val="center"/>
            </w:pPr>
            <w:r w:rsidRPr="003D54F9">
              <w:t>103,4</w:t>
            </w:r>
          </w:p>
        </w:tc>
        <w:tc>
          <w:tcPr>
            <w:tcW w:w="1272" w:type="dxa"/>
            <w:shd w:val="clear" w:color="auto" w:fill="auto"/>
            <w:noWrap/>
            <w:vAlign w:val="center"/>
          </w:tcPr>
          <w:p w:rsidR="00222BE4" w:rsidRPr="003D54F9" w:rsidRDefault="00222BE4">
            <w:pPr>
              <w:jc w:val="center"/>
            </w:pPr>
            <w:r w:rsidRPr="003D54F9">
              <w:t>103,0</w:t>
            </w:r>
          </w:p>
        </w:tc>
      </w:tr>
      <w:tr w:rsidR="00222BE4" w:rsidRPr="00DD28A8" w:rsidTr="002A07B4">
        <w:trPr>
          <w:trHeight w:val="126"/>
          <w:jc w:val="center"/>
        </w:trPr>
        <w:tc>
          <w:tcPr>
            <w:tcW w:w="771" w:type="dxa"/>
            <w:shd w:val="clear" w:color="auto" w:fill="auto"/>
            <w:noWrap/>
          </w:tcPr>
          <w:p w:rsidR="00222BE4" w:rsidRPr="003304D4" w:rsidRDefault="00222BE4" w:rsidP="00222BE4">
            <w:pPr>
              <w:pStyle w:val="ab"/>
              <w:numPr>
                <w:ilvl w:val="0"/>
                <w:numId w:val="11"/>
              </w:numPr>
              <w:ind w:left="0" w:firstLine="284"/>
              <w:jc w:val="center"/>
            </w:pPr>
          </w:p>
        </w:tc>
        <w:tc>
          <w:tcPr>
            <w:tcW w:w="3780" w:type="dxa"/>
            <w:shd w:val="clear" w:color="auto" w:fill="auto"/>
            <w:hideMark/>
          </w:tcPr>
          <w:p w:rsidR="00222BE4" w:rsidRPr="00DD28A8" w:rsidRDefault="00222BE4" w:rsidP="00DD28A8">
            <w:pPr>
              <w:rPr>
                <w:sz w:val="22"/>
                <w:szCs w:val="22"/>
              </w:rPr>
            </w:pPr>
            <w:r w:rsidRPr="00DD28A8">
              <w:rPr>
                <w:sz w:val="22"/>
                <w:szCs w:val="22"/>
              </w:rPr>
              <w:t>Прожиточный минимум в среднем</w:t>
            </w:r>
            <w:r>
              <w:rPr>
                <w:sz w:val="22"/>
                <w:szCs w:val="22"/>
              </w:rPr>
              <w:t xml:space="preserve"> </w:t>
            </w:r>
            <w:r w:rsidRPr="00DD28A8">
              <w:rPr>
                <w:sz w:val="22"/>
                <w:szCs w:val="22"/>
              </w:rPr>
              <w:t>на душу населения (в среднем за год)</w:t>
            </w:r>
          </w:p>
        </w:tc>
        <w:tc>
          <w:tcPr>
            <w:tcW w:w="2401" w:type="dxa"/>
            <w:shd w:val="clear" w:color="auto" w:fill="auto"/>
            <w:hideMark/>
          </w:tcPr>
          <w:p w:rsidR="00222BE4" w:rsidRPr="00DD28A8" w:rsidRDefault="00222BE4" w:rsidP="00DD28A8">
            <w:pPr>
              <w:jc w:val="center"/>
              <w:rPr>
                <w:sz w:val="22"/>
                <w:szCs w:val="22"/>
              </w:rPr>
            </w:pPr>
            <w:r w:rsidRPr="00DD28A8">
              <w:rPr>
                <w:sz w:val="22"/>
                <w:szCs w:val="22"/>
              </w:rPr>
              <w:t>руб./мес.</w:t>
            </w:r>
          </w:p>
        </w:tc>
        <w:tc>
          <w:tcPr>
            <w:tcW w:w="1862" w:type="dxa"/>
            <w:shd w:val="clear" w:color="auto" w:fill="auto"/>
          </w:tcPr>
          <w:p w:rsidR="00222BE4" w:rsidRPr="00DD28A8" w:rsidRDefault="00222BE4" w:rsidP="00DD28A8">
            <w:pPr>
              <w:rPr>
                <w:sz w:val="22"/>
                <w:szCs w:val="22"/>
              </w:rPr>
            </w:pPr>
            <w:r w:rsidRPr="00DD28A8">
              <w:rPr>
                <w:sz w:val="22"/>
                <w:szCs w:val="22"/>
              </w:rPr>
              <w:t>базовый</w:t>
            </w:r>
          </w:p>
        </w:tc>
        <w:tc>
          <w:tcPr>
            <w:tcW w:w="1221" w:type="dxa"/>
            <w:shd w:val="clear" w:color="auto" w:fill="auto"/>
            <w:noWrap/>
            <w:vAlign w:val="center"/>
          </w:tcPr>
          <w:p w:rsidR="00222BE4" w:rsidRPr="003D54F9" w:rsidRDefault="00222BE4">
            <w:pPr>
              <w:jc w:val="center"/>
            </w:pPr>
            <w:r w:rsidRPr="003D54F9">
              <w:t>11</w:t>
            </w:r>
            <w:r>
              <w:t xml:space="preserve"> </w:t>
            </w:r>
            <w:r w:rsidRPr="003D54F9">
              <w:t>289</w:t>
            </w:r>
          </w:p>
        </w:tc>
        <w:tc>
          <w:tcPr>
            <w:tcW w:w="1349" w:type="dxa"/>
            <w:shd w:val="clear" w:color="auto" w:fill="auto"/>
            <w:noWrap/>
            <w:vAlign w:val="center"/>
          </w:tcPr>
          <w:p w:rsidR="00222BE4" w:rsidRPr="003D54F9" w:rsidRDefault="00222BE4">
            <w:pPr>
              <w:jc w:val="center"/>
            </w:pPr>
            <w:r w:rsidRPr="003D54F9">
              <w:t>14</w:t>
            </w:r>
            <w:r>
              <w:t xml:space="preserve"> </w:t>
            </w:r>
            <w:r w:rsidRPr="003D54F9">
              <w:t>059</w:t>
            </w:r>
          </w:p>
        </w:tc>
        <w:tc>
          <w:tcPr>
            <w:tcW w:w="1180" w:type="dxa"/>
            <w:shd w:val="clear" w:color="auto" w:fill="auto"/>
            <w:vAlign w:val="center"/>
          </w:tcPr>
          <w:p w:rsidR="00222BE4" w:rsidRPr="003D54F9" w:rsidRDefault="00222BE4">
            <w:pPr>
              <w:jc w:val="center"/>
            </w:pPr>
            <w:r w:rsidRPr="003D54F9">
              <w:t>15</w:t>
            </w:r>
            <w:r>
              <w:t xml:space="preserve"> </w:t>
            </w:r>
            <w:r w:rsidRPr="003D54F9">
              <w:t>493</w:t>
            </w:r>
          </w:p>
        </w:tc>
        <w:tc>
          <w:tcPr>
            <w:tcW w:w="1141" w:type="dxa"/>
            <w:shd w:val="clear" w:color="auto" w:fill="auto"/>
            <w:vAlign w:val="center"/>
          </w:tcPr>
          <w:p w:rsidR="00222BE4" w:rsidRPr="003D54F9" w:rsidRDefault="00222BE4">
            <w:pPr>
              <w:jc w:val="center"/>
            </w:pPr>
            <w:r w:rsidRPr="003D54F9">
              <w:t>17</w:t>
            </w:r>
            <w:r>
              <w:t xml:space="preserve"> </w:t>
            </w:r>
            <w:r w:rsidRPr="003D54F9">
              <w:t>118</w:t>
            </w:r>
          </w:p>
        </w:tc>
        <w:tc>
          <w:tcPr>
            <w:tcW w:w="1272" w:type="dxa"/>
            <w:shd w:val="clear" w:color="auto" w:fill="auto"/>
            <w:vAlign w:val="center"/>
          </w:tcPr>
          <w:p w:rsidR="00222BE4" w:rsidRPr="003D54F9" w:rsidRDefault="00222BE4">
            <w:pPr>
              <w:jc w:val="center"/>
            </w:pPr>
            <w:r w:rsidRPr="003D54F9">
              <w:t>19</w:t>
            </w:r>
            <w:r>
              <w:t xml:space="preserve"> </w:t>
            </w:r>
            <w:r w:rsidRPr="003D54F9">
              <w:t>372</w:t>
            </w:r>
          </w:p>
        </w:tc>
      </w:tr>
      <w:tr w:rsidR="00222BE4" w:rsidRPr="00DD28A8" w:rsidTr="002A07B4">
        <w:trPr>
          <w:trHeight w:val="161"/>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 xml:space="preserve">Численность населения с денежными доходами </w:t>
            </w:r>
            <w:proofErr w:type="gramStart"/>
            <w:r w:rsidRPr="00DD28A8">
              <w:rPr>
                <w:sz w:val="22"/>
                <w:szCs w:val="22"/>
              </w:rPr>
              <w:t>ниже прожиточного минимума к общей численности населения</w:t>
            </w:r>
            <w:proofErr w:type="gramEnd"/>
            <w:r w:rsidRPr="00DD28A8">
              <w:rPr>
                <w:sz w:val="22"/>
                <w:szCs w:val="22"/>
              </w:rPr>
              <w:t xml:space="preserve"> </w:t>
            </w:r>
          </w:p>
        </w:tc>
        <w:tc>
          <w:tcPr>
            <w:tcW w:w="2401" w:type="dxa"/>
            <w:vMerge w:val="restart"/>
            <w:shd w:val="clear" w:color="auto" w:fill="auto"/>
            <w:hideMark/>
          </w:tcPr>
          <w:p w:rsidR="00222BE4" w:rsidRPr="00DD28A8" w:rsidRDefault="00222BE4" w:rsidP="00DD28A8">
            <w:pPr>
              <w:jc w:val="center"/>
              <w:rPr>
                <w:sz w:val="22"/>
                <w:szCs w:val="22"/>
              </w:rPr>
            </w:pPr>
            <w:r>
              <w:rPr>
                <w:sz w:val="22"/>
                <w:szCs w:val="22"/>
              </w:rPr>
              <w:t xml:space="preserve"> проц.</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8,1</w:t>
            </w:r>
          </w:p>
        </w:tc>
        <w:tc>
          <w:tcPr>
            <w:tcW w:w="1349" w:type="dxa"/>
            <w:vMerge w:val="restart"/>
            <w:shd w:val="clear" w:color="auto" w:fill="auto"/>
            <w:noWrap/>
            <w:vAlign w:val="center"/>
          </w:tcPr>
          <w:p w:rsidR="00222BE4" w:rsidRPr="003D54F9" w:rsidRDefault="00222BE4">
            <w:pPr>
              <w:jc w:val="center"/>
            </w:pPr>
            <w:r w:rsidRPr="003D54F9">
              <w:t>8,9</w:t>
            </w:r>
          </w:p>
        </w:tc>
        <w:tc>
          <w:tcPr>
            <w:tcW w:w="1180" w:type="dxa"/>
            <w:shd w:val="clear" w:color="auto" w:fill="auto"/>
            <w:noWrap/>
            <w:vAlign w:val="center"/>
          </w:tcPr>
          <w:p w:rsidR="00222BE4" w:rsidRPr="003D54F9" w:rsidRDefault="00222BE4">
            <w:pPr>
              <w:jc w:val="center"/>
            </w:pPr>
            <w:r w:rsidRPr="003D54F9">
              <w:t>8,6</w:t>
            </w:r>
          </w:p>
        </w:tc>
        <w:tc>
          <w:tcPr>
            <w:tcW w:w="1141" w:type="dxa"/>
            <w:shd w:val="clear" w:color="auto" w:fill="auto"/>
            <w:noWrap/>
            <w:vAlign w:val="center"/>
          </w:tcPr>
          <w:p w:rsidR="00222BE4" w:rsidRPr="003D54F9" w:rsidRDefault="00222BE4">
            <w:pPr>
              <w:jc w:val="center"/>
            </w:pPr>
            <w:r w:rsidRPr="003D54F9">
              <w:t>8,3</w:t>
            </w:r>
          </w:p>
        </w:tc>
        <w:tc>
          <w:tcPr>
            <w:tcW w:w="1272" w:type="dxa"/>
            <w:shd w:val="clear" w:color="auto" w:fill="auto"/>
            <w:noWrap/>
            <w:vAlign w:val="center"/>
          </w:tcPr>
          <w:p w:rsidR="00222BE4" w:rsidRPr="003D54F9" w:rsidRDefault="00222BE4">
            <w:pPr>
              <w:jc w:val="center"/>
            </w:pPr>
            <w:r w:rsidRPr="003D54F9">
              <w:t>8</w:t>
            </w:r>
            <w:r>
              <w:t>,0</w:t>
            </w:r>
          </w:p>
        </w:tc>
      </w:tr>
      <w:tr w:rsidR="00222BE4" w:rsidRPr="00DD28A8" w:rsidTr="002A07B4">
        <w:trPr>
          <w:trHeight w:val="283"/>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7,9</w:t>
            </w:r>
          </w:p>
        </w:tc>
        <w:tc>
          <w:tcPr>
            <w:tcW w:w="1141" w:type="dxa"/>
            <w:shd w:val="clear" w:color="auto" w:fill="auto"/>
            <w:noWrap/>
            <w:vAlign w:val="center"/>
          </w:tcPr>
          <w:p w:rsidR="00222BE4" w:rsidRPr="003D54F9" w:rsidRDefault="00222BE4">
            <w:pPr>
              <w:jc w:val="center"/>
            </w:pPr>
            <w:r w:rsidRPr="003D54F9">
              <w:t>7,6</w:t>
            </w:r>
          </w:p>
        </w:tc>
        <w:tc>
          <w:tcPr>
            <w:tcW w:w="1272" w:type="dxa"/>
            <w:shd w:val="clear" w:color="auto" w:fill="auto"/>
            <w:noWrap/>
            <w:vAlign w:val="center"/>
          </w:tcPr>
          <w:p w:rsidR="00222BE4" w:rsidRPr="003D54F9" w:rsidRDefault="00222BE4">
            <w:pPr>
              <w:jc w:val="center"/>
            </w:pPr>
            <w:r w:rsidRPr="003D54F9">
              <w:t>7,3</w:t>
            </w:r>
          </w:p>
        </w:tc>
      </w:tr>
      <w:tr w:rsidR="00222BE4" w:rsidRPr="00DD28A8" w:rsidTr="002A07B4">
        <w:trPr>
          <w:trHeight w:val="134"/>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Численность рабочей силы</w:t>
            </w:r>
          </w:p>
        </w:tc>
        <w:tc>
          <w:tcPr>
            <w:tcW w:w="2401" w:type="dxa"/>
            <w:vMerge w:val="restart"/>
            <w:shd w:val="clear" w:color="auto" w:fill="auto"/>
            <w:hideMark/>
          </w:tcPr>
          <w:p w:rsidR="00222BE4" w:rsidRPr="00DD28A8" w:rsidRDefault="00222BE4" w:rsidP="00DD28A8">
            <w:pPr>
              <w:jc w:val="center"/>
              <w:rPr>
                <w:sz w:val="22"/>
                <w:szCs w:val="22"/>
              </w:rPr>
            </w:pPr>
            <w:r w:rsidRPr="00DD28A8">
              <w:rPr>
                <w:sz w:val="22"/>
                <w:szCs w:val="22"/>
              </w:rPr>
              <w:t>тыс. чел.</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998,1</w:t>
            </w:r>
          </w:p>
        </w:tc>
        <w:tc>
          <w:tcPr>
            <w:tcW w:w="1349" w:type="dxa"/>
            <w:vMerge w:val="restart"/>
            <w:shd w:val="clear" w:color="auto" w:fill="auto"/>
            <w:noWrap/>
            <w:vAlign w:val="center"/>
          </w:tcPr>
          <w:p w:rsidR="00222BE4" w:rsidRPr="003D54F9" w:rsidRDefault="00222BE4">
            <w:pPr>
              <w:jc w:val="center"/>
            </w:pPr>
            <w:r w:rsidRPr="003D54F9">
              <w:t>1047,9</w:t>
            </w:r>
          </w:p>
        </w:tc>
        <w:tc>
          <w:tcPr>
            <w:tcW w:w="1180" w:type="dxa"/>
            <w:shd w:val="clear" w:color="auto" w:fill="auto"/>
            <w:noWrap/>
            <w:vAlign w:val="center"/>
          </w:tcPr>
          <w:p w:rsidR="00222BE4" w:rsidRPr="003D54F9" w:rsidRDefault="00222BE4">
            <w:pPr>
              <w:jc w:val="center"/>
            </w:pPr>
            <w:r w:rsidRPr="003D54F9">
              <w:t>1044,8</w:t>
            </w:r>
          </w:p>
        </w:tc>
        <w:tc>
          <w:tcPr>
            <w:tcW w:w="1141" w:type="dxa"/>
            <w:shd w:val="clear" w:color="auto" w:fill="auto"/>
            <w:noWrap/>
            <w:vAlign w:val="center"/>
          </w:tcPr>
          <w:p w:rsidR="00222BE4" w:rsidRPr="003D54F9" w:rsidRDefault="00222BE4">
            <w:pPr>
              <w:jc w:val="center"/>
            </w:pPr>
            <w:r w:rsidRPr="003D54F9">
              <w:t>1045,8</w:t>
            </w:r>
          </w:p>
        </w:tc>
        <w:tc>
          <w:tcPr>
            <w:tcW w:w="1272" w:type="dxa"/>
            <w:shd w:val="clear" w:color="auto" w:fill="auto"/>
            <w:noWrap/>
            <w:vAlign w:val="center"/>
          </w:tcPr>
          <w:p w:rsidR="00222BE4" w:rsidRPr="003D54F9" w:rsidRDefault="00222BE4">
            <w:pPr>
              <w:jc w:val="center"/>
            </w:pPr>
            <w:r w:rsidRPr="003D54F9">
              <w:t>1064,3</w:t>
            </w:r>
          </w:p>
        </w:tc>
      </w:tr>
      <w:tr w:rsidR="00222BE4" w:rsidRPr="00DD28A8" w:rsidTr="002A07B4">
        <w:trPr>
          <w:trHeight w:val="151"/>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1050,0</w:t>
            </w:r>
          </w:p>
        </w:tc>
        <w:tc>
          <w:tcPr>
            <w:tcW w:w="1141" w:type="dxa"/>
            <w:shd w:val="clear" w:color="auto" w:fill="auto"/>
            <w:noWrap/>
            <w:vAlign w:val="center"/>
          </w:tcPr>
          <w:p w:rsidR="00222BE4" w:rsidRPr="003D54F9" w:rsidRDefault="00222BE4">
            <w:pPr>
              <w:jc w:val="center"/>
            </w:pPr>
            <w:r w:rsidRPr="003D54F9">
              <w:t>1055,3</w:t>
            </w:r>
          </w:p>
        </w:tc>
        <w:tc>
          <w:tcPr>
            <w:tcW w:w="1272" w:type="dxa"/>
            <w:shd w:val="clear" w:color="auto" w:fill="auto"/>
            <w:noWrap/>
            <w:vAlign w:val="center"/>
          </w:tcPr>
          <w:p w:rsidR="00222BE4" w:rsidRPr="003D54F9" w:rsidRDefault="00222BE4">
            <w:pPr>
              <w:jc w:val="center"/>
            </w:pPr>
            <w:r w:rsidRPr="003D54F9">
              <w:t>1074,0</w:t>
            </w:r>
          </w:p>
        </w:tc>
      </w:tr>
      <w:tr w:rsidR="00222BE4" w:rsidRPr="00DD28A8" w:rsidTr="002A07B4">
        <w:trPr>
          <w:trHeight w:val="170"/>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B57010">
            <w:pPr>
              <w:rPr>
                <w:sz w:val="22"/>
                <w:szCs w:val="22"/>
              </w:rPr>
            </w:pPr>
            <w:r>
              <w:rPr>
                <w:sz w:val="22"/>
                <w:szCs w:val="22"/>
              </w:rPr>
              <w:t>Ч</w:t>
            </w:r>
            <w:r w:rsidRPr="00DD28A8">
              <w:rPr>
                <w:sz w:val="22"/>
                <w:szCs w:val="22"/>
              </w:rPr>
              <w:t xml:space="preserve">исленность занятых </w:t>
            </w:r>
            <w:r>
              <w:rPr>
                <w:sz w:val="22"/>
                <w:szCs w:val="22"/>
              </w:rPr>
              <w:t>в</w:t>
            </w:r>
            <w:r w:rsidRPr="00DD28A8">
              <w:rPr>
                <w:sz w:val="22"/>
                <w:szCs w:val="22"/>
              </w:rPr>
              <w:t xml:space="preserve"> экономике (по данным баланса трудовых ресурсов)</w:t>
            </w:r>
          </w:p>
        </w:tc>
        <w:tc>
          <w:tcPr>
            <w:tcW w:w="2401" w:type="dxa"/>
            <w:vMerge w:val="restart"/>
            <w:shd w:val="clear" w:color="auto" w:fill="auto"/>
            <w:hideMark/>
          </w:tcPr>
          <w:p w:rsidR="00222BE4" w:rsidRPr="00DD28A8" w:rsidRDefault="00222BE4" w:rsidP="00DD28A8">
            <w:pPr>
              <w:jc w:val="center"/>
              <w:rPr>
                <w:sz w:val="22"/>
                <w:szCs w:val="22"/>
              </w:rPr>
            </w:pPr>
            <w:r w:rsidRPr="00DD28A8">
              <w:rPr>
                <w:sz w:val="22"/>
                <w:szCs w:val="22"/>
              </w:rPr>
              <w:t>тыс. чел</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800,1</w:t>
            </w:r>
          </w:p>
        </w:tc>
        <w:tc>
          <w:tcPr>
            <w:tcW w:w="1349" w:type="dxa"/>
            <w:vMerge w:val="restart"/>
            <w:shd w:val="clear" w:color="auto" w:fill="auto"/>
            <w:noWrap/>
            <w:vAlign w:val="center"/>
          </w:tcPr>
          <w:p w:rsidR="00222BE4" w:rsidRPr="003D54F9" w:rsidRDefault="00222BE4">
            <w:pPr>
              <w:jc w:val="center"/>
            </w:pPr>
            <w:r w:rsidRPr="003D54F9">
              <w:t>859,2</w:t>
            </w:r>
          </w:p>
        </w:tc>
        <w:tc>
          <w:tcPr>
            <w:tcW w:w="1180" w:type="dxa"/>
            <w:shd w:val="clear" w:color="auto" w:fill="auto"/>
            <w:noWrap/>
            <w:vAlign w:val="center"/>
          </w:tcPr>
          <w:p w:rsidR="00222BE4" w:rsidRPr="003D54F9" w:rsidRDefault="00222BE4">
            <w:pPr>
              <w:jc w:val="center"/>
            </w:pPr>
            <w:r w:rsidRPr="003D54F9">
              <w:t>868,4</w:t>
            </w:r>
          </w:p>
        </w:tc>
        <w:tc>
          <w:tcPr>
            <w:tcW w:w="1141" w:type="dxa"/>
            <w:shd w:val="clear" w:color="auto" w:fill="auto"/>
            <w:noWrap/>
            <w:vAlign w:val="center"/>
          </w:tcPr>
          <w:p w:rsidR="00222BE4" w:rsidRPr="003D54F9" w:rsidRDefault="00222BE4">
            <w:pPr>
              <w:jc w:val="center"/>
            </w:pPr>
            <w:r w:rsidRPr="003D54F9">
              <w:t>872,8</w:t>
            </w:r>
          </w:p>
        </w:tc>
        <w:tc>
          <w:tcPr>
            <w:tcW w:w="1272" w:type="dxa"/>
            <w:shd w:val="clear" w:color="auto" w:fill="auto"/>
            <w:noWrap/>
            <w:vAlign w:val="center"/>
          </w:tcPr>
          <w:p w:rsidR="00222BE4" w:rsidRPr="003D54F9" w:rsidRDefault="00222BE4">
            <w:pPr>
              <w:jc w:val="center"/>
            </w:pPr>
            <w:r w:rsidRPr="003D54F9">
              <w:t>879,0</w:t>
            </w:r>
          </w:p>
        </w:tc>
      </w:tr>
      <w:tr w:rsidR="00222BE4" w:rsidRPr="00DD28A8" w:rsidTr="002A07B4">
        <w:trPr>
          <w:trHeight w:val="283"/>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880,7</w:t>
            </w:r>
          </w:p>
        </w:tc>
        <w:tc>
          <w:tcPr>
            <w:tcW w:w="1141" w:type="dxa"/>
            <w:shd w:val="clear" w:color="auto" w:fill="auto"/>
            <w:noWrap/>
            <w:vAlign w:val="center"/>
          </w:tcPr>
          <w:p w:rsidR="00222BE4" w:rsidRPr="003D54F9" w:rsidRDefault="00222BE4">
            <w:pPr>
              <w:jc w:val="center"/>
            </w:pPr>
            <w:r w:rsidRPr="003D54F9">
              <w:t>885,2</w:t>
            </w:r>
          </w:p>
        </w:tc>
        <w:tc>
          <w:tcPr>
            <w:tcW w:w="1272" w:type="dxa"/>
            <w:shd w:val="clear" w:color="auto" w:fill="auto"/>
            <w:noWrap/>
            <w:vAlign w:val="center"/>
          </w:tcPr>
          <w:p w:rsidR="00222BE4" w:rsidRPr="003D54F9" w:rsidRDefault="00222BE4">
            <w:pPr>
              <w:jc w:val="center"/>
            </w:pPr>
            <w:r w:rsidRPr="003D54F9">
              <w:t>891,5</w:t>
            </w:r>
          </w:p>
        </w:tc>
      </w:tr>
      <w:tr w:rsidR="00222BE4" w:rsidRPr="00DD28A8" w:rsidTr="002A07B4">
        <w:trPr>
          <w:trHeight w:val="151"/>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Номинальная начисленная среднемесячная заработная плата работников организаций</w:t>
            </w:r>
          </w:p>
        </w:tc>
        <w:tc>
          <w:tcPr>
            <w:tcW w:w="2401" w:type="dxa"/>
            <w:vMerge w:val="restart"/>
            <w:shd w:val="clear" w:color="auto" w:fill="auto"/>
            <w:hideMark/>
          </w:tcPr>
          <w:p w:rsidR="00222BE4" w:rsidRPr="00DD28A8" w:rsidRDefault="00222BE4" w:rsidP="00DD28A8">
            <w:pPr>
              <w:jc w:val="center"/>
              <w:rPr>
                <w:sz w:val="22"/>
                <w:szCs w:val="22"/>
              </w:rPr>
            </w:pPr>
            <w:r w:rsidRPr="00DD28A8">
              <w:rPr>
                <w:sz w:val="22"/>
                <w:szCs w:val="22"/>
              </w:rPr>
              <w:t>руб./мес.</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rsidP="003D54F9">
            <w:pPr>
              <w:jc w:val="center"/>
            </w:pPr>
            <w:r w:rsidRPr="003D54F9">
              <w:t>52 749</w:t>
            </w:r>
          </w:p>
        </w:tc>
        <w:tc>
          <w:tcPr>
            <w:tcW w:w="1349" w:type="dxa"/>
            <w:vMerge w:val="restart"/>
            <w:shd w:val="clear" w:color="auto" w:fill="auto"/>
            <w:noWrap/>
            <w:vAlign w:val="center"/>
          </w:tcPr>
          <w:p w:rsidR="00222BE4" w:rsidRPr="003D54F9" w:rsidRDefault="00222BE4" w:rsidP="003D54F9">
            <w:pPr>
              <w:jc w:val="center"/>
            </w:pPr>
            <w:r w:rsidRPr="003D54F9">
              <w:t>58 390</w:t>
            </w:r>
          </w:p>
        </w:tc>
        <w:tc>
          <w:tcPr>
            <w:tcW w:w="1180" w:type="dxa"/>
            <w:shd w:val="clear" w:color="auto" w:fill="auto"/>
            <w:noWrap/>
            <w:vAlign w:val="center"/>
          </w:tcPr>
          <w:p w:rsidR="00222BE4" w:rsidRPr="003D54F9" w:rsidRDefault="00222BE4" w:rsidP="003D54F9">
            <w:pPr>
              <w:jc w:val="center"/>
            </w:pPr>
            <w:r w:rsidRPr="003D54F9">
              <w:t>61 080</w:t>
            </w:r>
          </w:p>
        </w:tc>
        <w:tc>
          <w:tcPr>
            <w:tcW w:w="1141" w:type="dxa"/>
            <w:shd w:val="clear" w:color="auto" w:fill="auto"/>
            <w:noWrap/>
            <w:vAlign w:val="center"/>
          </w:tcPr>
          <w:p w:rsidR="00222BE4" w:rsidRPr="003D54F9" w:rsidRDefault="00222BE4" w:rsidP="003D54F9">
            <w:pPr>
              <w:jc w:val="center"/>
            </w:pPr>
            <w:r w:rsidRPr="003D54F9">
              <w:t>63 950</w:t>
            </w:r>
          </w:p>
        </w:tc>
        <w:tc>
          <w:tcPr>
            <w:tcW w:w="1272" w:type="dxa"/>
            <w:shd w:val="clear" w:color="auto" w:fill="auto"/>
            <w:noWrap/>
            <w:vAlign w:val="center"/>
          </w:tcPr>
          <w:p w:rsidR="00222BE4" w:rsidRPr="003D54F9" w:rsidRDefault="00222BE4" w:rsidP="003D54F9">
            <w:pPr>
              <w:jc w:val="center"/>
            </w:pPr>
            <w:r w:rsidRPr="003D54F9">
              <w:t>67 150</w:t>
            </w:r>
          </w:p>
        </w:tc>
      </w:tr>
      <w:tr w:rsidR="00222BE4" w:rsidRPr="00DD28A8" w:rsidTr="002A07B4">
        <w:trPr>
          <w:trHeight w:val="283"/>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rsidP="003D54F9">
            <w:pPr>
              <w:jc w:val="center"/>
            </w:pPr>
            <w:r w:rsidRPr="003D54F9">
              <w:t>63 760</w:t>
            </w:r>
          </w:p>
        </w:tc>
        <w:tc>
          <w:tcPr>
            <w:tcW w:w="1141" w:type="dxa"/>
            <w:shd w:val="clear" w:color="auto" w:fill="auto"/>
            <w:noWrap/>
            <w:vAlign w:val="center"/>
          </w:tcPr>
          <w:p w:rsidR="00222BE4" w:rsidRPr="003D54F9" w:rsidRDefault="00222BE4" w:rsidP="003D54F9">
            <w:pPr>
              <w:jc w:val="center"/>
            </w:pPr>
            <w:r w:rsidRPr="003D54F9">
              <w:t>68 290</w:t>
            </w:r>
          </w:p>
        </w:tc>
        <w:tc>
          <w:tcPr>
            <w:tcW w:w="1272" w:type="dxa"/>
            <w:shd w:val="clear" w:color="auto" w:fill="auto"/>
            <w:noWrap/>
            <w:vAlign w:val="center"/>
          </w:tcPr>
          <w:p w:rsidR="00222BE4" w:rsidRPr="003D54F9" w:rsidRDefault="00222BE4" w:rsidP="003D54F9">
            <w:pPr>
              <w:jc w:val="center"/>
            </w:pPr>
            <w:r w:rsidRPr="003D54F9">
              <w:t>72 800</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Темп номинальной начисленной среднемесячной заработной платы работников организаций</w:t>
            </w:r>
          </w:p>
        </w:tc>
        <w:tc>
          <w:tcPr>
            <w:tcW w:w="2401" w:type="dxa"/>
            <w:vMerge w:val="restart"/>
            <w:shd w:val="clear" w:color="auto" w:fill="auto"/>
            <w:hideMark/>
          </w:tcPr>
          <w:p w:rsidR="00222BE4" w:rsidRPr="00DD28A8" w:rsidRDefault="00222BE4" w:rsidP="00DD28A8">
            <w:pPr>
              <w:jc w:val="center"/>
              <w:rPr>
                <w:sz w:val="22"/>
                <w:szCs w:val="22"/>
              </w:rPr>
            </w:pPr>
            <w:r>
              <w:rPr>
                <w:sz w:val="22"/>
                <w:szCs w:val="22"/>
              </w:rPr>
              <w:t xml:space="preserve"> проц.</w:t>
            </w:r>
            <w:r w:rsidRPr="00DD28A8">
              <w:rPr>
                <w:sz w:val="22"/>
                <w:szCs w:val="22"/>
              </w:rPr>
              <w:t xml:space="preserve"> к предыдущему году</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109,2</w:t>
            </w:r>
          </w:p>
        </w:tc>
        <w:tc>
          <w:tcPr>
            <w:tcW w:w="1349" w:type="dxa"/>
            <w:vMerge w:val="restart"/>
            <w:shd w:val="clear" w:color="auto" w:fill="auto"/>
            <w:noWrap/>
            <w:vAlign w:val="center"/>
          </w:tcPr>
          <w:p w:rsidR="00222BE4" w:rsidRPr="003D54F9" w:rsidRDefault="00222BE4">
            <w:pPr>
              <w:jc w:val="center"/>
            </w:pPr>
            <w:r w:rsidRPr="003D54F9">
              <w:t>110,7</w:t>
            </w:r>
          </w:p>
        </w:tc>
        <w:tc>
          <w:tcPr>
            <w:tcW w:w="1180" w:type="dxa"/>
            <w:shd w:val="clear" w:color="auto" w:fill="auto"/>
            <w:noWrap/>
            <w:vAlign w:val="center"/>
          </w:tcPr>
          <w:p w:rsidR="00222BE4" w:rsidRPr="003D54F9" w:rsidRDefault="00222BE4">
            <w:pPr>
              <w:jc w:val="center"/>
            </w:pPr>
            <w:r w:rsidRPr="003D54F9">
              <w:t>104,6</w:t>
            </w:r>
          </w:p>
        </w:tc>
        <w:tc>
          <w:tcPr>
            <w:tcW w:w="1141" w:type="dxa"/>
            <w:shd w:val="clear" w:color="auto" w:fill="auto"/>
            <w:noWrap/>
            <w:vAlign w:val="center"/>
          </w:tcPr>
          <w:p w:rsidR="00222BE4" w:rsidRPr="003D54F9" w:rsidRDefault="00222BE4">
            <w:pPr>
              <w:jc w:val="center"/>
            </w:pPr>
            <w:r w:rsidRPr="003D54F9">
              <w:t>104,7</w:t>
            </w:r>
          </w:p>
        </w:tc>
        <w:tc>
          <w:tcPr>
            <w:tcW w:w="1272" w:type="dxa"/>
            <w:shd w:val="clear" w:color="auto" w:fill="auto"/>
            <w:noWrap/>
            <w:vAlign w:val="center"/>
          </w:tcPr>
          <w:p w:rsidR="00222BE4" w:rsidRPr="003D54F9" w:rsidRDefault="00222BE4">
            <w:pPr>
              <w:jc w:val="center"/>
            </w:pPr>
            <w:r w:rsidRPr="003D54F9">
              <w:t>105,0</w:t>
            </w:r>
          </w:p>
        </w:tc>
      </w:tr>
      <w:tr w:rsidR="00222BE4" w:rsidRPr="00DD28A8" w:rsidTr="002A07B4">
        <w:trPr>
          <w:trHeight w:val="283"/>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109,2</w:t>
            </w:r>
          </w:p>
        </w:tc>
        <w:tc>
          <w:tcPr>
            <w:tcW w:w="1141" w:type="dxa"/>
            <w:shd w:val="clear" w:color="auto" w:fill="auto"/>
            <w:noWrap/>
            <w:vAlign w:val="center"/>
          </w:tcPr>
          <w:p w:rsidR="00222BE4" w:rsidRPr="003D54F9" w:rsidRDefault="00222BE4">
            <w:pPr>
              <w:jc w:val="center"/>
            </w:pPr>
            <w:r w:rsidRPr="003D54F9">
              <w:t>107,1</w:t>
            </w:r>
          </w:p>
        </w:tc>
        <w:tc>
          <w:tcPr>
            <w:tcW w:w="1272" w:type="dxa"/>
            <w:shd w:val="clear" w:color="auto" w:fill="auto"/>
            <w:noWrap/>
            <w:vAlign w:val="center"/>
          </w:tcPr>
          <w:p w:rsidR="00222BE4" w:rsidRPr="003D54F9" w:rsidRDefault="00222BE4">
            <w:pPr>
              <w:jc w:val="center"/>
            </w:pPr>
            <w:r w:rsidRPr="003D54F9">
              <w:t>106,6</w:t>
            </w:r>
          </w:p>
        </w:tc>
      </w:tr>
      <w:tr w:rsidR="00222BE4" w:rsidRPr="00DD28A8" w:rsidTr="002A07B4">
        <w:trPr>
          <w:trHeight w:val="158"/>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Реальная заработная плата</w:t>
            </w:r>
            <w:r>
              <w:rPr>
                <w:sz w:val="22"/>
                <w:szCs w:val="22"/>
              </w:rPr>
              <w:t xml:space="preserve"> </w:t>
            </w:r>
            <w:r w:rsidRPr="00DD28A8">
              <w:rPr>
                <w:sz w:val="22"/>
                <w:szCs w:val="22"/>
              </w:rPr>
              <w:t>работников организаций</w:t>
            </w:r>
          </w:p>
        </w:tc>
        <w:tc>
          <w:tcPr>
            <w:tcW w:w="2401" w:type="dxa"/>
            <w:vMerge w:val="restart"/>
            <w:shd w:val="clear" w:color="auto" w:fill="auto"/>
            <w:hideMark/>
          </w:tcPr>
          <w:p w:rsidR="00222BE4" w:rsidRPr="00DD28A8" w:rsidRDefault="00222BE4" w:rsidP="00DD28A8">
            <w:pPr>
              <w:jc w:val="center"/>
              <w:rPr>
                <w:sz w:val="22"/>
                <w:szCs w:val="22"/>
              </w:rPr>
            </w:pPr>
            <w:r>
              <w:rPr>
                <w:sz w:val="22"/>
                <w:szCs w:val="22"/>
              </w:rPr>
              <w:t xml:space="preserve"> проц.</w:t>
            </w:r>
            <w:r w:rsidRPr="00DD28A8">
              <w:rPr>
                <w:sz w:val="22"/>
                <w:szCs w:val="22"/>
              </w:rPr>
              <w:t xml:space="preserve"> к предыдущему году</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102,9</w:t>
            </w:r>
          </w:p>
        </w:tc>
        <w:tc>
          <w:tcPr>
            <w:tcW w:w="1349" w:type="dxa"/>
            <w:vMerge w:val="restart"/>
            <w:shd w:val="clear" w:color="auto" w:fill="auto"/>
            <w:noWrap/>
            <w:vAlign w:val="center"/>
          </w:tcPr>
          <w:p w:rsidR="00222BE4" w:rsidRPr="003D54F9" w:rsidRDefault="00222BE4">
            <w:pPr>
              <w:jc w:val="center"/>
            </w:pPr>
            <w:r w:rsidRPr="003D54F9">
              <w:t>96,0</w:t>
            </w:r>
          </w:p>
        </w:tc>
        <w:tc>
          <w:tcPr>
            <w:tcW w:w="1180" w:type="dxa"/>
            <w:shd w:val="clear" w:color="auto" w:fill="auto"/>
            <w:noWrap/>
            <w:vAlign w:val="center"/>
          </w:tcPr>
          <w:p w:rsidR="00222BE4" w:rsidRPr="003D54F9" w:rsidRDefault="00222BE4">
            <w:pPr>
              <w:jc w:val="center"/>
            </w:pPr>
            <w:r w:rsidRPr="003D54F9">
              <w:t>97,0</w:t>
            </w:r>
          </w:p>
        </w:tc>
        <w:tc>
          <w:tcPr>
            <w:tcW w:w="1141" w:type="dxa"/>
            <w:shd w:val="clear" w:color="auto" w:fill="auto"/>
            <w:noWrap/>
            <w:vAlign w:val="center"/>
          </w:tcPr>
          <w:p w:rsidR="00222BE4" w:rsidRPr="003D54F9" w:rsidRDefault="00222BE4">
            <w:pPr>
              <w:jc w:val="center"/>
            </w:pPr>
            <w:r w:rsidRPr="003D54F9">
              <w:t>100,5</w:t>
            </w:r>
          </w:p>
        </w:tc>
        <w:tc>
          <w:tcPr>
            <w:tcW w:w="1272" w:type="dxa"/>
            <w:shd w:val="clear" w:color="auto" w:fill="auto"/>
            <w:noWrap/>
            <w:vAlign w:val="center"/>
          </w:tcPr>
          <w:p w:rsidR="00222BE4" w:rsidRPr="003D54F9" w:rsidRDefault="00222BE4">
            <w:pPr>
              <w:jc w:val="center"/>
            </w:pPr>
            <w:r w:rsidRPr="003D54F9">
              <w:t>101,0</w:t>
            </w:r>
          </w:p>
        </w:tc>
      </w:tr>
      <w:tr w:rsidR="00222BE4" w:rsidRPr="00DD28A8" w:rsidTr="002A07B4">
        <w:trPr>
          <w:trHeight w:val="52"/>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100,2</w:t>
            </w:r>
          </w:p>
        </w:tc>
        <w:tc>
          <w:tcPr>
            <w:tcW w:w="1141" w:type="dxa"/>
            <w:shd w:val="clear" w:color="auto" w:fill="auto"/>
            <w:noWrap/>
            <w:vAlign w:val="center"/>
          </w:tcPr>
          <w:p w:rsidR="00222BE4" w:rsidRPr="003D54F9" w:rsidRDefault="00222BE4">
            <w:pPr>
              <w:jc w:val="center"/>
            </w:pPr>
            <w:r w:rsidRPr="003D54F9">
              <w:t>102,4</w:t>
            </w:r>
          </w:p>
        </w:tc>
        <w:tc>
          <w:tcPr>
            <w:tcW w:w="1272" w:type="dxa"/>
            <w:shd w:val="clear" w:color="auto" w:fill="auto"/>
            <w:noWrap/>
            <w:vAlign w:val="center"/>
          </w:tcPr>
          <w:p w:rsidR="00222BE4" w:rsidRPr="003D54F9" w:rsidRDefault="00222BE4">
            <w:pPr>
              <w:jc w:val="center"/>
            </w:pPr>
            <w:r w:rsidRPr="003D54F9">
              <w:t>102,5</w:t>
            </w:r>
          </w:p>
        </w:tc>
      </w:tr>
      <w:tr w:rsidR="00222BE4" w:rsidRPr="00DD28A8" w:rsidTr="002A07B4">
        <w:trPr>
          <w:trHeight w:val="66"/>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Численность безработных, зарегистрированных в</w:t>
            </w:r>
            <w:r>
              <w:rPr>
                <w:sz w:val="22"/>
                <w:szCs w:val="22"/>
              </w:rPr>
              <w:t xml:space="preserve"> </w:t>
            </w:r>
            <w:proofErr w:type="spellStart"/>
            <w:proofErr w:type="gramStart"/>
            <w:r w:rsidRPr="00DD28A8">
              <w:rPr>
                <w:sz w:val="22"/>
                <w:szCs w:val="22"/>
              </w:rPr>
              <w:t>государствен</w:t>
            </w:r>
            <w:r>
              <w:rPr>
                <w:sz w:val="22"/>
                <w:szCs w:val="22"/>
              </w:rPr>
              <w:t>-</w:t>
            </w:r>
            <w:r w:rsidRPr="00DD28A8">
              <w:rPr>
                <w:sz w:val="22"/>
                <w:szCs w:val="22"/>
              </w:rPr>
              <w:t>ных</w:t>
            </w:r>
            <w:proofErr w:type="spellEnd"/>
            <w:proofErr w:type="gramEnd"/>
            <w:r w:rsidRPr="00DD28A8">
              <w:rPr>
                <w:sz w:val="22"/>
                <w:szCs w:val="22"/>
              </w:rPr>
              <w:t xml:space="preserve"> учреждениях службы занятости населения (на конец года)</w:t>
            </w:r>
          </w:p>
        </w:tc>
        <w:tc>
          <w:tcPr>
            <w:tcW w:w="2401" w:type="dxa"/>
            <w:vMerge w:val="restart"/>
            <w:shd w:val="clear" w:color="auto" w:fill="auto"/>
            <w:hideMark/>
          </w:tcPr>
          <w:p w:rsidR="00222BE4" w:rsidRPr="00DD28A8" w:rsidRDefault="00222BE4" w:rsidP="00DD28A8">
            <w:pPr>
              <w:jc w:val="center"/>
              <w:rPr>
                <w:sz w:val="22"/>
                <w:szCs w:val="22"/>
              </w:rPr>
            </w:pPr>
            <w:r w:rsidRPr="00DD28A8">
              <w:rPr>
                <w:sz w:val="22"/>
                <w:szCs w:val="22"/>
              </w:rPr>
              <w:t>тыс. чел.</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4,4</w:t>
            </w:r>
          </w:p>
        </w:tc>
        <w:tc>
          <w:tcPr>
            <w:tcW w:w="1349" w:type="dxa"/>
            <w:vMerge w:val="restart"/>
            <w:shd w:val="clear" w:color="auto" w:fill="auto"/>
            <w:noWrap/>
            <w:vAlign w:val="center"/>
          </w:tcPr>
          <w:p w:rsidR="00222BE4" w:rsidRPr="003D54F9" w:rsidRDefault="00222BE4">
            <w:pPr>
              <w:jc w:val="center"/>
            </w:pPr>
            <w:r w:rsidRPr="003D54F9">
              <w:t>5,2</w:t>
            </w:r>
          </w:p>
        </w:tc>
        <w:tc>
          <w:tcPr>
            <w:tcW w:w="1180" w:type="dxa"/>
            <w:shd w:val="clear" w:color="auto" w:fill="auto"/>
            <w:noWrap/>
            <w:vAlign w:val="center"/>
          </w:tcPr>
          <w:p w:rsidR="00222BE4" w:rsidRPr="003D54F9" w:rsidRDefault="00222BE4">
            <w:pPr>
              <w:jc w:val="center"/>
            </w:pPr>
            <w:r w:rsidRPr="003D54F9">
              <w:t>6,4</w:t>
            </w:r>
          </w:p>
        </w:tc>
        <w:tc>
          <w:tcPr>
            <w:tcW w:w="1141" w:type="dxa"/>
            <w:shd w:val="clear" w:color="auto" w:fill="auto"/>
            <w:noWrap/>
            <w:vAlign w:val="center"/>
          </w:tcPr>
          <w:p w:rsidR="00222BE4" w:rsidRPr="003D54F9" w:rsidRDefault="00222BE4">
            <w:pPr>
              <w:jc w:val="center"/>
            </w:pPr>
            <w:r w:rsidRPr="003D54F9">
              <w:t>6,2</w:t>
            </w:r>
          </w:p>
        </w:tc>
        <w:tc>
          <w:tcPr>
            <w:tcW w:w="1272" w:type="dxa"/>
            <w:shd w:val="clear" w:color="auto" w:fill="auto"/>
            <w:noWrap/>
            <w:vAlign w:val="center"/>
          </w:tcPr>
          <w:p w:rsidR="00222BE4" w:rsidRPr="003D54F9" w:rsidRDefault="00222BE4">
            <w:pPr>
              <w:jc w:val="center"/>
            </w:pPr>
            <w:r w:rsidRPr="003D54F9">
              <w:t>6,1</w:t>
            </w:r>
          </w:p>
        </w:tc>
      </w:tr>
      <w:tr w:rsidR="00222BE4" w:rsidRPr="00DD28A8" w:rsidTr="002A07B4">
        <w:trPr>
          <w:trHeight w:val="283"/>
          <w:jc w:val="center"/>
        </w:trPr>
        <w:tc>
          <w:tcPr>
            <w:tcW w:w="771" w:type="dxa"/>
            <w:vMerge/>
            <w:shd w:val="clear" w:color="auto" w:fill="auto"/>
          </w:tcPr>
          <w:p w:rsidR="00222BE4" w:rsidRPr="003304D4" w:rsidRDefault="00222BE4" w:rsidP="00222BE4">
            <w:pPr>
              <w:pStyle w:val="ab"/>
              <w:numPr>
                <w:ilvl w:val="0"/>
                <w:numId w:val="11"/>
              </w:numPr>
              <w:ind w:left="0" w:firstLine="284"/>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ED6E4F" w:rsidRDefault="00222BE4" w:rsidP="00ED6E4F">
            <w:pPr>
              <w:jc w:val="center"/>
            </w:pPr>
          </w:p>
        </w:tc>
        <w:tc>
          <w:tcPr>
            <w:tcW w:w="1349" w:type="dxa"/>
            <w:vMerge/>
            <w:shd w:val="clear" w:color="auto" w:fill="auto"/>
            <w:vAlign w:val="center"/>
          </w:tcPr>
          <w:p w:rsidR="00222BE4" w:rsidRPr="00ED6E4F" w:rsidRDefault="00222BE4" w:rsidP="00ED6E4F">
            <w:pPr>
              <w:jc w:val="center"/>
            </w:pPr>
          </w:p>
        </w:tc>
        <w:tc>
          <w:tcPr>
            <w:tcW w:w="1180" w:type="dxa"/>
            <w:shd w:val="clear" w:color="auto" w:fill="auto"/>
            <w:noWrap/>
            <w:vAlign w:val="center"/>
          </w:tcPr>
          <w:p w:rsidR="00222BE4" w:rsidRPr="003D54F9" w:rsidRDefault="00222BE4">
            <w:pPr>
              <w:jc w:val="center"/>
            </w:pPr>
            <w:r w:rsidRPr="003D54F9">
              <w:t>4</w:t>
            </w:r>
            <w:r>
              <w:t>,0</w:t>
            </w:r>
          </w:p>
        </w:tc>
        <w:tc>
          <w:tcPr>
            <w:tcW w:w="1141" w:type="dxa"/>
            <w:shd w:val="clear" w:color="auto" w:fill="auto"/>
            <w:noWrap/>
            <w:vAlign w:val="center"/>
          </w:tcPr>
          <w:p w:rsidR="00222BE4" w:rsidRPr="003D54F9" w:rsidRDefault="00222BE4">
            <w:pPr>
              <w:jc w:val="center"/>
            </w:pPr>
            <w:r w:rsidRPr="003D54F9">
              <w:t>3,9</w:t>
            </w:r>
          </w:p>
        </w:tc>
        <w:tc>
          <w:tcPr>
            <w:tcW w:w="1272" w:type="dxa"/>
            <w:shd w:val="clear" w:color="auto" w:fill="auto"/>
            <w:noWrap/>
            <w:vAlign w:val="center"/>
          </w:tcPr>
          <w:p w:rsidR="00222BE4" w:rsidRPr="003D54F9" w:rsidRDefault="00222BE4">
            <w:pPr>
              <w:jc w:val="center"/>
            </w:pPr>
            <w:r w:rsidRPr="003D54F9">
              <w:t>3,8</w:t>
            </w:r>
          </w:p>
        </w:tc>
      </w:tr>
      <w:tr w:rsidR="00222BE4" w:rsidRPr="00DD28A8" w:rsidTr="002A07B4">
        <w:trPr>
          <w:trHeight w:val="52"/>
          <w:jc w:val="center"/>
        </w:trPr>
        <w:tc>
          <w:tcPr>
            <w:tcW w:w="771" w:type="dxa"/>
            <w:vMerge w:val="restart"/>
            <w:shd w:val="clear" w:color="auto" w:fill="auto"/>
            <w:noWrap/>
          </w:tcPr>
          <w:p w:rsidR="00222BE4" w:rsidRPr="003304D4" w:rsidRDefault="00222BE4" w:rsidP="00222BE4">
            <w:pPr>
              <w:pStyle w:val="ab"/>
              <w:numPr>
                <w:ilvl w:val="0"/>
                <w:numId w:val="11"/>
              </w:numPr>
              <w:ind w:left="0" w:firstLine="284"/>
              <w:jc w:val="center"/>
            </w:pPr>
          </w:p>
        </w:tc>
        <w:tc>
          <w:tcPr>
            <w:tcW w:w="3780" w:type="dxa"/>
            <w:vMerge w:val="restart"/>
            <w:shd w:val="clear" w:color="auto" w:fill="auto"/>
            <w:hideMark/>
          </w:tcPr>
          <w:p w:rsidR="00222BE4" w:rsidRPr="00DD28A8" w:rsidRDefault="00222BE4" w:rsidP="00DD28A8">
            <w:pPr>
              <w:rPr>
                <w:sz w:val="22"/>
                <w:szCs w:val="22"/>
              </w:rPr>
            </w:pPr>
            <w:r w:rsidRPr="00DD28A8">
              <w:rPr>
                <w:sz w:val="22"/>
                <w:szCs w:val="22"/>
              </w:rPr>
              <w:t>Уровень зарегистрированной безработицы (на конец года)</w:t>
            </w:r>
          </w:p>
        </w:tc>
        <w:tc>
          <w:tcPr>
            <w:tcW w:w="2401" w:type="dxa"/>
            <w:vMerge w:val="restart"/>
            <w:shd w:val="clear" w:color="auto" w:fill="auto"/>
            <w:hideMark/>
          </w:tcPr>
          <w:p w:rsidR="00222BE4" w:rsidRPr="00DD28A8" w:rsidRDefault="00222BE4" w:rsidP="00DD28A8">
            <w:pPr>
              <w:jc w:val="center"/>
              <w:rPr>
                <w:sz w:val="22"/>
                <w:szCs w:val="22"/>
              </w:rPr>
            </w:pPr>
            <w:r>
              <w:rPr>
                <w:sz w:val="22"/>
                <w:szCs w:val="22"/>
              </w:rPr>
              <w:t xml:space="preserve"> проц.</w:t>
            </w:r>
            <w:r w:rsidRPr="00DD28A8">
              <w:rPr>
                <w:sz w:val="22"/>
                <w:szCs w:val="22"/>
              </w:rPr>
              <w:t xml:space="preserve"> к рабочей силе</w:t>
            </w:r>
          </w:p>
        </w:tc>
        <w:tc>
          <w:tcPr>
            <w:tcW w:w="1862" w:type="dxa"/>
            <w:shd w:val="clear" w:color="auto" w:fill="auto"/>
            <w:hideMark/>
          </w:tcPr>
          <w:p w:rsidR="00222BE4" w:rsidRPr="00DD28A8" w:rsidRDefault="00222BE4" w:rsidP="00DD28A8">
            <w:pPr>
              <w:rPr>
                <w:sz w:val="22"/>
                <w:szCs w:val="22"/>
              </w:rPr>
            </w:pPr>
            <w:r w:rsidRPr="00DD28A8">
              <w:rPr>
                <w:sz w:val="22"/>
                <w:szCs w:val="22"/>
              </w:rPr>
              <w:t>консервативный</w:t>
            </w:r>
          </w:p>
        </w:tc>
        <w:tc>
          <w:tcPr>
            <w:tcW w:w="1221" w:type="dxa"/>
            <w:vMerge w:val="restart"/>
            <w:shd w:val="clear" w:color="auto" w:fill="auto"/>
            <w:noWrap/>
            <w:vAlign w:val="center"/>
          </w:tcPr>
          <w:p w:rsidR="00222BE4" w:rsidRPr="003D54F9" w:rsidRDefault="00222BE4">
            <w:pPr>
              <w:jc w:val="center"/>
            </w:pPr>
            <w:r w:rsidRPr="003D54F9">
              <w:t>0,5</w:t>
            </w:r>
          </w:p>
        </w:tc>
        <w:tc>
          <w:tcPr>
            <w:tcW w:w="1349" w:type="dxa"/>
            <w:vMerge w:val="restart"/>
            <w:shd w:val="clear" w:color="auto" w:fill="auto"/>
            <w:noWrap/>
            <w:vAlign w:val="center"/>
          </w:tcPr>
          <w:p w:rsidR="00222BE4" w:rsidRPr="003D54F9" w:rsidRDefault="00222BE4">
            <w:pPr>
              <w:jc w:val="center"/>
            </w:pPr>
            <w:r w:rsidRPr="003D54F9">
              <w:t>0,5</w:t>
            </w:r>
          </w:p>
        </w:tc>
        <w:tc>
          <w:tcPr>
            <w:tcW w:w="1180" w:type="dxa"/>
            <w:shd w:val="clear" w:color="auto" w:fill="auto"/>
            <w:noWrap/>
            <w:vAlign w:val="center"/>
          </w:tcPr>
          <w:p w:rsidR="00222BE4" w:rsidRPr="003D54F9" w:rsidRDefault="00222BE4">
            <w:pPr>
              <w:jc w:val="center"/>
            </w:pPr>
            <w:r w:rsidRPr="003D54F9">
              <w:t>0,6</w:t>
            </w:r>
          </w:p>
        </w:tc>
        <w:tc>
          <w:tcPr>
            <w:tcW w:w="1141" w:type="dxa"/>
            <w:shd w:val="clear" w:color="auto" w:fill="auto"/>
            <w:noWrap/>
            <w:vAlign w:val="center"/>
          </w:tcPr>
          <w:p w:rsidR="00222BE4" w:rsidRPr="003D54F9" w:rsidRDefault="00222BE4">
            <w:pPr>
              <w:jc w:val="center"/>
            </w:pPr>
            <w:r w:rsidRPr="003D54F9">
              <w:t>0,6</w:t>
            </w:r>
          </w:p>
        </w:tc>
        <w:tc>
          <w:tcPr>
            <w:tcW w:w="1272" w:type="dxa"/>
            <w:shd w:val="clear" w:color="auto" w:fill="auto"/>
            <w:noWrap/>
            <w:vAlign w:val="center"/>
          </w:tcPr>
          <w:p w:rsidR="00222BE4" w:rsidRPr="003D54F9" w:rsidRDefault="00222BE4">
            <w:pPr>
              <w:jc w:val="center"/>
            </w:pPr>
            <w:r w:rsidRPr="003D54F9">
              <w:t>0,6</w:t>
            </w:r>
          </w:p>
        </w:tc>
      </w:tr>
      <w:tr w:rsidR="00222BE4" w:rsidRPr="00DD28A8" w:rsidTr="002A07B4">
        <w:trPr>
          <w:trHeight w:val="56"/>
          <w:jc w:val="center"/>
        </w:trPr>
        <w:tc>
          <w:tcPr>
            <w:tcW w:w="771" w:type="dxa"/>
            <w:vMerge/>
            <w:shd w:val="clear" w:color="auto" w:fill="auto"/>
          </w:tcPr>
          <w:p w:rsidR="00222BE4" w:rsidRPr="003304D4" w:rsidRDefault="00222BE4" w:rsidP="00F8448A">
            <w:pPr>
              <w:jc w:val="center"/>
            </w:pPr>
          </w:p>
        </w:tc>
        <w:tc>
          <w:tcPr>
            <w:tcW w:w="3780" w:type="dxa"/>
            <w:vMerge/>
            <w:shd w:val="clear" w:color="auto" w:fill="auto"/>
            <w:hideMark/>
          </w:tcPr>
          <w:p w:rsidR="00222BE4" w:rsidRPr="00DD28A8" w:rsidRDefault="00222BE4" w:rsidP="00DD28A8">
            <w:pPr>
              <w:rPr>
                <w:sz w:val="22"/>
                <w:szCs w:val="22"/>
              </w:rPr>
            </w:pPr>
          </w:p>
        </w:tc>
        <w:tc>
          <w:tcPr>
            <w:tcW w:w="2401" w:type="dxa"/>
            <w:vMerge/>
            <w:shd w:val="clear" w:color="auto" w:fill="auto"/>
            <w:hideMark/>
          </w:tcPr>
          <w:p w:rsidR="00222BE4" w:rsidRPr="00DD28A8" w:rsidRDefault="00222BE4" w:rsidP="00DD28A8">
            <w:pPr>
              <w:jc w:val="center"/>
              <w:rPr>
                <w:sz w:val="22"/>
                <w:szCs w:val="22"/>
              </w:rPr>
            </w:pPr>
          </w:p>
        </w:tc>
        <w:tc>
          <w:tcPr>
            <w:tcW w:w="1862" w:type="dxa"/>
            <w:shd w:val="clear" w:color="auto" w:fill="auto"/>
            <w:hideMark/>
          </w:tcPr>
          <w:p w:rsidR="00222BE4" w:rsidRPr="00DD28A8" w:rsidRDefault="00222BE4" w:rsidP="00DD28A8">
            <w:pPr>
              <w:rPr>
                <w:sz w:val="22"/>
                <w:szCs w:val="22"/>
              </w:rPr>
            </w:pPr>
            <w:r w:rsidRPr="00DD28A8">
              <w:rPr>
                <w:sz w:val="22"/>
                <w:szCs w:val="22"/>
              </w:rPr>
              <w:t>базовый</w:t>
            </w:r>
          </w:p>
        </w:tc>
        <w:tc>
          <w:tcPr>
            <w:tcW w:w="1221" w:type="dxa"/>
            <w:vMerge/>
            <w:shd w:val="clear" w:color="auto" w:fill="auto"/>
            <w:vAlign w:val="center"/>
          </w:tcPr>
          <w:p w:rsidR="00222BE4" w:rsidRPr="003D54F9" w:rsidRDefault="00222BE4" w:rsidP="00ED6E4F">
            <w:pPr>
              <w:jc w:val="center"/>
            </w:pPr>
          </w:p>
        </w:tc>
        <w:tc>
          <w:tcPr>
            <w:tcW w:w="1349" w:type="dxa"/>
            <w:vMerge/>
            <w:shd w:val="clear" w:color="auto" w:fill="auto"/>
            <w:vAlign w:val="center"/>
          </w:tcPr>
          <w:p w:rsidR="00222BE4" w:rsidRPr="003D54F9" w:rsidRDefault="00222BE4" w:rsidP="00ED6E4F">
            <w:pPr>
              <w:jc w:val="center"/>
            </w:pPr>
          </w:p>
        </w:tc>
        <w:tc>
          <w:tcPr>
            <w:tcW w:w="1180" w:type="dxa"/>
            <w:shd w:val="clear" w:color="auto" w:fill="auto"/>
            <w:noWrap/>
            <w:vAlign w:val="center"/>
          </w:tcPr>
          <w:p w:rsidR="00222BE4" w:rsidRPr="003D54F9" w:rsidRDefault="00222BE4">
            <w:pPr>
              <w:jc w:val="center"/>
            </w:pPr>
            <w:r w:rsidRPr="003D54F9">
              <w:t>0,4</w:t>
            </w:r>
          </w:p>
        </w:tc>
        <w:tc>
          <w:tcPr>
            <w:tcW w:w="1141" w:type="dxa"/>
            <w:shd w:val="clear" w:color="auto" w:fill="auto"/>
            <w:noWrap/>
            <w:vAlign w:val="center"/>
          </w:tcPr>
          <w:p w:rsidR="00222BE4" w:rsidRPr="003D54F9" w:rsidRDefault="00222BE4">
            <w:pPr>
              <w:jc w:val="center"/>
            </w:pPr>
            <w:r w:rsidRPr="003D54F9">
              <w:t>0,4</w:t>
            </w:r>
          </w:p>
        </w:tc>
        <w:tc>
          <w:tcPr>
            <w:tcW w:w="1272" w:type="dxa"/>
            <w:shd w:val="clear" w:color="auto" w:fill="auto"/>
            <w:noWrap/>
            <w:vAlign w:val="center"/>
          </w:tcPr>
          <w:p w:rsidR="00222BE4" w:rsidRPr="003D54F9" w:rsidRDefault="00222BE4">
            <w:pPr>
              <w:jc w:val="center"/>
            </w:pPr>
            <w:r w:rsidRPr="003D54F9">
              <w:t>0,4</w:t>
            </w:r>
          </w:p>
        </w:tc>
      </w:tr>
    </w:tbl>
    <w:p w:rsidR="00F66AEF" w:rsidRPr="008822FC" w:rsidRDefault="00F66AEF" w:rsidP="0085636C">
      <w:pPr>
        <w:jc w:val="center"/>
      </w:pPr>
    </w:p>
    <w:p w:rsidR="002C3EF4" w:rsidRPr="008822FC" w:rsidRDefault="002C3EF4">
      <w:pPr>
        <w:sectPr w:rsidR="002C3EF4" w:rsidRPr="008822FC" w:rsidSect="00DD28A8">
          <w:headerReference w:type="default" r:id="rId9"/>
          <w:headerReference w:type="first" r:id="rId10"/>
          <w:pgSz w:w="16838" w:h="11906" w:orient="landscape"/>
          <w:pgMar w:top="1134" w:right="851" w:bottom="1134" w:left="1134" w:header="709" w:footer="709" w:gutter="0"/>
          <w:cols w:space="708"/>
          <w:titlePg/>
          <w:docGrid w:linePitch="360"/>
        </w:sectPr>
      </w:pPr>
    </w:p>
    <w:p w:rsidR="002C3EF4" w:rsidRPr="008822FC" w:rsidRDefault="002C3EF4" w:rsidP="00C553A6">
      <w:pPr>
        <w:jc w:val="center"/>
        <w:rPr>
          <w:sz w:val="28"/>
          <w:szCs w:val="28"/>
        </w:rPr>
      </w:pPr>
      <w:r w:rsidRPr="008822FC">
        <w:rPr>
          <w:sz w:val="28"/>
          <w:szCs w:val="28"/>
        </w:rPr>
        <w:lastRenderedPageBreak/>
        <w:t xml:space="preserve">2. Пояснительная записка </w:t>
      </w:r>
    </w:p>
    <w:p w:rsidR="00141582" w:rsidRPr="008822FC" w:rsidRDefault="00141582" w:rsidP="00C553A6">
      <w:pPr>
        <w:jc w:val="center"/>
        <w:rPr>
          <w:sz w:val="28"/>
          <w:szCs w:val="28"/>
        </w:rPr>
      </w:pPr>
      <w:r w:rsidRPr="008822FC">
        <w:rPr>
          <w:sz w:val="28"/>
          <w:szCs w:val="28"/>
        </w:rPr>
        <w:t xml:space="preserve">к показателям прогноза социально-экономического развития </w:t>
      </w:r>
      <w:r w:rsidR="00481531" w:rsidRPr="008822FC">
        <w:rPr>
          <w:sz w:val="28"/>
          <w:szCs w:val="28"/>
        </w:rPr>
        <w:br/>
      </w:r>
      <w:r w:rsidRPr="008822FC">
        <w:rPr>
          <w:sz w:val="28"/>
          <w:szCs w:val="28"/>
        </w:rPr>
        <w:t>Ленинградской области на 20</w:t>
      </w:r>
      <w:r w:rsidR="00EB3177" w:rsidRPr="008822FC">
        <w:rPr>
          <w:sz w:val="28"/>
          <w:szCs w:val="28"/>
        </w:rPr>
        <w:t>2</w:t>
      </w:r>
      <w:r w:rsidR="00354020">
        <w:rPr>
          <w:sz w:val="28"/>
          <w:szCs w:val="28"/>
        </w:rPr>
        <w:t>3</w:t>
      </w:r>
      <w:r w:rsidR="00C80F5A" w:rsidRPr="008822FC">
        <w:rPr>
          <w:sz w:val="28"/>
          <w:szCs w:val="28"/>
        </w:rPr>
        <w:t xml:space="preserve"> </w:t>
      </w:r>
      <w:r w:rsidR="00C553A6">
        <w:rPr>
          <w:sz w:val="28"/>
          <w:szCs w:val="28"/>
        </w:rPr>
        <w:t>–</w:t>
      </w:r>
      <w:r w:rsidR="00C80F5A" w:rsidRPr="008822FC">
        <w:rPr>
          <w:sz w:val="28"/>
          <w:szCs w:val="28"/>
        </w:rPr>
        <w:t xml:space="preserve"> 202</w:t>
      </w:r>
      <w:r w:rsidR="00354020">
        <w:rPr>
          <w:sz w:val="28"/>
          <w:szCs w:val="28"/>
        </w:rPr>
        <w:t>5</w:t>
      </w:r>
      <w:r w:rsidRPr="008822FC">
        <w:rPr>
          <w:sz w:val="28"/>
          <w:szCs w:val="28"/>
        </w:rPr>
        <w:t xml:space="preserve"> год</w:t>
      </w:r>
      <w:r w:rsidR="00EB3177" w:rsidRPr="008822FC">
        <w:rPr>
          <w:sz w:val="28"/>
          <w:szCs w:val="28"/>
        </w:rPr>
        <w:t>ы</w:t>
      </w:r>
    </w:p>
    <w:p w:rsidR="007A48FA" w:rsidRPr="00D2118E" w:rsidRDefault="007A48FA" w:rsidP="007A48FA">
      <w:pPr>
        <w:jc w:val="center"/>
        <w:rPr>
          <w:sz w:val="16"/>
          <w:szCs w:val="16"/>
        </w:rPr>
      </w:pPr>
    </w:p>
    <w:p w:rsidR="00191FBA" w:rsidRPr="00191FBA" w:rsidRDefault="00191FBA" w:rsidP="00191FBA">
      <w:pPr>
        <w:shd w:val="clear" w:color="auto" w:fill="FFFFFF" w:themeFill="background1"/>
        <w:ind w:firstLine="709"/>
        <w:jc w:val="both"/>
        <w:rPr>
          <w:sz w:val="28"/>
          <w:szCs w:val="28"/>
        </w:rPr>
      </w:pPr>
      <w:r w:rsidRPr="00191FBA">
        <w:rPr>
          <w:sz w:val="28"/>
          <w:szCs w:val="28"/>
        </w:rPr>
        <w:t xml:space="preserve">Прогноз социально-экономического развития Ленинградской области </w:t>
      </w:r>
      <w:r w:rsidRPr="00191FBA">
        <w:rPr>
          <w:sz w:val="28"/>
          <w:szCs w:val="28"/>
        </w:rPr>
        <w:br/>
        <w:t xml:space="preserve">на 2023 - 2025 годы разработан с учетом сценарных условий функционирования экономики Российской Федерации, ретроспективного анализа социально-экономического развития Ленинградской области, итогов социально-экономического развития за 2021 год и </w:t>
      </w:r>
      <w:r w:rsidR="006B6E80">
        <w:rPr>
          <w:sz w:val="28"/>
          <w:szCs w:val="28"/>
        </w:rPr>
        <w:t xml:space="preserve">отчетный период </w:t>
      </w:r>
      <w:r w:rsidRPr="00191FBA">
        <w:rPr>
          <w:sz w:val="28"/>
          <w:szCs w:val="28"/>
        </w:rPr>
        <w:t>2022 года.</w:t>
      </w:r>
    </w:p>
    <w:p w:rsidR="006B6E80" w:rsidRDefault="00191FBA" w:rsidP="00191FBA">
      <w:pPr>
        <w:shd w:val="clear" w:color="auto" w:fill="FFFFFF" w:themeFill="background1"/>
        <w:ind w:firstLine="709"/>
        <w:jc w:val="both"/>
        <w:rPr>
          <w:sz w:val="28"/>
          <w:szCs w:val="28"/>
        </w:rPr>
      </w:pPr>
      <w:r w:rsidRPr="00191FBA">
        <w:rPr>
          <w:sz w:val="28"/>
          <w:szCs w:val="28"/>
        </w:rPr>
        <w:t xml:space="preserve">С момента подготовки и одобрения прогноза социально-экономического развития Ленинградской области на 2022-2024 годы (распоряжение Правительства Ленинградской области от 11.10.2021 № 600-р) внешние и внутренние условия развития российской экономики существенно </w:t>
      </w:r>
      <w:r w:rsidR="006B6E80">
        <w:rPr>
          <w:sz w:val="28"/>
          <w:szCs w:val="28"/>
        </w:rPr>
        <w:t>трансформировались</w:t>
      </w:r>
      <w:r w:rsidRPr="00191FBA">
        <w:rPr>
          <w:sz w:val="28"/>
          <w:szCs w:val="28"/>
        </w:rPr>
        <w:t xml:space="preserve">. </w:t>
      </w:r>
    </w:p>
    <w:p w:rsidR="00A80B97" w:rsidRDefault="006B6E80" w:rsidP="006B6E80">
      <w:pPr>
        <w:ind w:firstLine="709"/>
        <w:jc w:val="both"/>
        <w:rPr>
          <w:rFonts w:eastAsia="Malgun Gothic"/>
          <w:snapToGrid w:val="0"/>
          <w:color w:val="000000" w:themeColor="text1"/>
          <w:sz w:val="28"/>
          <w:szCs w:val="28"/>
        </w:rPr>
      </w:pPr>
      <w:r w:rsidRPr="008B5E95">
        <w:rPr>
          <w:rFonts w:eastAsia="Malgun Gothic"/>
          <w:snapToGrid w:val="0"/>
          <w:color w:val="000000" w:themeColor="text1"/>
          <w:sz w:val="28"/>
          <w:szCs w:val="28"/>
        </w:rPr>
        <w:t xml:space="preserve">С конца февраля 2022 года геополитические условия функционирования российской экономики изменились кардинально. </w:t>
      </w:r>
      <w:r w:rsidR="008337D8">
        <w:rPr>
          <w:rFonts w:eastAsia="Malgun Gothic"/>
          <w:snapToGrid w:val="0"/>
          <w:color w:val="000000" w:themeColor="text1"/>
          <w:sz w:val="28"/>
          <w:szCs w:val="28"/>
        </w:rPr>
        <w:t xml:space="preserve">С февраля по </w:t>
      </w:r>
      <w:r w:rsidR="00A80B97">
        <w:rPr>
          <w:rFonts w:eastAsia="Malgun Gothic"/>
          <w:snapToGrid w:val="0"/>
          <w:color w:val="000000" w:themeColor="text1"/>
          <w:sz w:val="28"/>
          <w:szCs w:val="28"/>
        </w:rPr>
        <w:t>июл</w:t>
      </w:r>
      <w:r w:rsidR="008337D8">
        <w:rPr>
          <w:rFonts w:eastAsia="Malgun Gothic"/>
          <w:snapToGrid w:val="0"/>
          <w:color w:val="000000" w:themeColor="text1"/>
          <w:sz w:val="28"/>
          <w:szCs w:val="28"/>
        </w:rPr>
        <w:t>ь</w:t>
      </w:r>
      <w:r w:rsidR="00A80B97">
        <w:rPr>
          <w:rFonts w:eastAsia="Malgun Gothic"/>
          <w:snapToGrid w:val="0"/>
          <w:color w:val="000000" w:themeColor="text1"/>
          <w:sz w:val="28"/>
          <w:szCs w:val="28"/>
        </w:rPr>
        <w:t xml:space="preserve"> </w:t>
      </w:r>
      <w:r w:rsidR="008337D8">
        <w:rPr>
          <w:rFonts w:eastAsia="Malgun Gothic"/>
          <w:snapToGrid w:val="0"/>
          <w:color w:val="000000" w:themeColor="text1"/>
          <w:sz w:val="28"/>
          <w:szCs w:val="28"/>
        </w:rPr>
        <w:t xml:space="preserve">2022 года </w:t>
      </w:r>
      <w:r w:rsidR="008337D8" w:rsidRPr="00191FBA">
        <w:rPr>
          <w:sz w:val="28"/>
          <w:szCs w:val="28"/>
          <w:lang w:eastAsia="en-US"/>
        </w:rPr>
        <w:t xml:space="preserve">отдельными европейскими государствами и США </w:t>
      </w:r>
      <w:r w:rsidR="008337D8">
        <w:rPr>
          <w:sz w:val="28"/>
          <w:szCs w:val="28"/>
          <w:lang w:eastAsia="en-US"/>
        </w:rPr>
        <w:t>был</w:t>
      </w:r>
      <w:r w:rsidR="009F6DE5">
        <w:rPr>
          <w:sz w:val="28"/>
          <w:szCs w:val="28"/>
          <w:lang w:eastAsia="en-US"/>
        </w:rPr>
        <w:t>о</w:t>
      </w:r>
      <w:r w:rsidR="008337D8">
        <w:rPr>
          <w:sz w:val="28"/>
          <w:szCs w:val="28"/>
          <w:lang w:eastAsia="en-US"/>
        </w:rPr>
        <w:t xml:space="preserve"> принят</w:t>
      </w:r>
      <w:r w:rsidR="009F6DE5">
        <w:rPr>
          <w:sz w:val="28"/>
          <w:szCs w:val="28"/>
          <w:lang w:eastAsia="en-US"/>
        </w:rPr>
        <w:t>о</w:t>
      </w:r>
      <w:r w:rsidR="008337D8">
        <w:rPr>
          <w:sz w:val="28"/>
          <w:szCs w:val="28"/>
          <w:lang w:eastAsia="en-US"/>
        </w:rPr>
        <w:t xml:space="preserve"> </w:t>
      </w:r>
      <w:r w:rsidR="00A80B97">
        <w:rPr>
          <w:rFonts w:eastAsia="Malgun Gothic"/>
          <w:snapToGrid w:val="0"/>
          <w:color w:val="000000" w:themeColor="text1"/>
          <w:sz w:val="28"/>
          <w:szCs w:val="28"/>
        </w:rPr>
        <w:t>семь пакетов санкций проти</w:t>
      </w:r>
      <w:r w:rsidR="008337D8">
        <w:rPr>
          <w:rFonts w:eastAsia="Malgun Gothic"/>
          <w:snapToGrid w:val="0"/>
          <w:color w:val="000000" w:themeColor="text1"/>
          <w:sz w:val="28"/>
          <w:szCs w:val="28"/>
        </w:rPr>
        <w:t>в</w:t>
      </w:r>
      <w:r w:rsidR="00A80B97">
        <w:rPr>
          <w:rFonts w:eastAsia="Malgun Gothic"/>
          <w:snapToGrid w:val="0"/>
          <w:color w:val="000000" w:themeColor="text1"/>
          <w:sz w:val="28"/>
          <w:szCs w:val="28"/>
        </w:rPr>
        <w:t xml:space="preserve"> России. </w:t>
      </w:r>
    </w:p>
    <w:p w:rsidR="00627F43" w:rsidRDefault="00627F43" w:rsidP="006B6E80">
      <w:pPr>
        <w:ind w:firstLine="709"/>
        <w:jc w:val="both"/>
        <w:rPr>
          <w:rFonts w:eastAsia="Malgun Gothic"/>
          <w:snapToGrid w:val="0"/>
          <w:color w:val="000000" w:themeColor="text1"/>
          <w:sz w:val="28"/>
          <w:szCs w:val="28"/>
        </w:rPr>
      </w:pPr>
      <w:r>
        <w:rPr>
          <w:rFonts w:eastAsia="Malgun Gothic"/>
          <w:snapToGrid w:val="0"/>
          <w:color w:val="000000" w:themeColor="text1"/>
          <w:sz w:val="28"/>
          <w:szCs w:val="28"/>
        </w:rPr>
        <w:t xml:space="preserve">В условиях противодействия санкциям </w:t>
      </w:r>
      <w:r w:rsidRPr="00191FBA">
        <w:rPr>
          <w:sz w:val="28"/>
          <w:szCs w:val="28"/>
          <w:lang w:eastAsia="en-US"/>
        </w:rPr>
        <w:t>развитие российской экономики в кратко</w:t>
      </w:r>
      <w:r w:rsidR="009F6DE5">
        <w:rPr>
          <w:sz w:val="28"/>
          <w:szCs w:val="28"/>
          <w:lang w:eastAsia="en-US"/>
        </w:rPr>
        <w:t>-</w:t>
      </w:r>
      <w:r w:rsidRPr="00191FBA">
        <w:rPr>
          <w:sz w:val="28"/>
          <w:szCs w:val="28"/>
          <w:lang w:eastAsia="en-US"/>
        </w:rPr>
        <w:t xml:space="preserve"> и среднесрочной перспективе характериз</w:t>
      </w:r>
      <w:r>
        <w:rPr>
          <w:sz w:val="28"/>
          <w:szCs w:val="28"/>
          <w:lang w:eastAsia="en-US"/>
        </w:rPr>
        <w:t xml:space="preserve">уется </w:t>
      </w:r>
      <w:r w:rsidRPr="00191FBA">
        <w:rPr>
          <w:b/>
          <w:sz w:val="28"/>
          <w:szCs w:val="28"/>
          <w:lang w:eastAsia="en-US"/>
        </w:rPr>
        <w:t>высокой степенью неопределенности</w:t>
      </w:r>
      <w:r w:rsidRPr="00191FBA">
        <w:rPr>
          <w:sz w:val="28"/>
          <w:szCs w:val="28"/>
          <w:lang w:eastAsia="en-US"/>
        </w:rPr>
        <w:t>.</w:t>
      </w:r>
      <w:r>
        <w:rPr>
          <w:sz w:val="28"/>
          <w:szCs w:val="28"/>
          <w:lang w:eastAsia="en-US"/>
        </w:rPr>
        <w:t xml:space="preserve"> Прогнозные параметры социально-экономического развития Российской Федерац</w:t>
      </w:r>
      <w:proofErr w:type="gramStart"/>
      <w:r>
        <w:rPr>
          <w:sz w:val="28"/>
          <w:szCs w:val="28"/>
          <w:lang w:eastAsia="en-US"/>
        </w:rPr>
        <w:t>ии и ее</w:t>
      </w:r>
      <w:proofErr w:type="gramEnd"/>
      <w:r>
        <w:rPr>
          <w:sz w:val="28"/>
          <w:szCs w:val="28"/>
          <w:lang w:eastAsia="en-US"/>
        </w:rPr>
        <w:t xml:space="preserve"> субъектов могут быть скорректированы в условиях изменения складывающейся внешнеполитической и внутренней общероссийской ситуации.</w:t>
      </w:r>
    </w:p>
    <w:p w:rsidR="006B6E80" w:rsidRPr="00191FBA" w:rsidRDefault="00ED6626" w:rsidP="006B6E80">
      <w:pPr>
        <w:ind w:firstLine="709"/>
        <w:jc w:val="both"/>
        <w:rPr>
          <w:color w:val="000000" w:themeColor="text1"/>
          <w:sz w:val="28"/>
          <w:szCs w:val="28"/>
        </w:rPr>
      </w:pPr>
      <w:r>
        <w:rPr>
          <w:rFonts w:eastAsia="Malgun Gothic"/>
          <w:snapToGrid w:val="0"/>
          <w:color w:val="000000" w:themeColor="text1"/>
          <w:sz w:val="28"/>
          <w:szCs w:val="28"/>
        </w:rPr>
        <w:t>В марте 2022 года в</w:t>
      </w:r>
      <w:r w:rsidR="006B6E80" w:rsidRPr="008B5E95">
        <w:rPr>
          <w:rFonts w:eastAsia="Malgun Gothic"/>
          <w:snapToGrid w:val="0"/>
          <w:color w:val="000000" w:themeColor="text1"/>
          <w:sz w:val="28"/>
          <w:szCs w:val="28"/>
        </w:rPr>
        <w:t xml:space="preserve">веденные </w:t>
      </w:r>
      <w:r w:rsidR="00F72216" w:rsidRPr="00191FBA">
        <w:rPr>
          <w:sz w:val="28"/>
          <w:szCs w:val="28"/>
          <w:lang w:eastAsia="en-US"/>
        </w:rPr>
        <w:t>антироссийски</w:t>
      </w:r>
      <w:r w:rsidR="00F72216">
        <w:rPr>
          <w:sz w:val="28"/>
          <w:szCs w:val="28"/>
          <w:lang w:eastAsia="en-US"/>
        </w:rPr>
        <w:t>е</w:t>
      </w:r>
      <w:r w:rsidR="00F72216" w:rsidRPr="00191FBA">
        <w:rPr>
          <w:sz w:val="28"/>
          <w:szCs w:val="28"/>
          <w:lang w:eastAsia="en-US"/>
        </w:rPr>
        <w:t xml:space="preserve"> санкци</w:t>
      </w:r>
      <w:r w:rsidR="00F72216">
        <w:rPr>
          <w:sz w:val="28"/>
          <w:szCs w:val="28"/>
          <w:lang w:eastAsia="en-US"/>
        </w:rPr>
        <w:t>и</w:t>
      </w:r>
      <w:r w:rsidR="006B6E80" w:rsidRPr="008B5E95">
        <w:rPr>
          <w:rFonts w:eastAsia="Malgun Gothic"/>
          <w:snapToGrid w:val="0"/>
          <w:color w:val="000000" w:themeColor="text1"/>
          <w:sz w:val="28"/>
          <w:szCs w:val="28"/>
        </w:rPr>
        <w:t xml:space="preserve"> привели к усилению волатильности валютного курса</w:t>
      </w:r>
      <w:r>
        <w:rPr>
          <w:rFonts w:eastAsia="Malgun Gothic"/>
          <w:snapToGrid w:val="0"/>
          <w:color w:val="000000" w:themeColor="text1"/>
          <w:sz w:val="28"/>
          <w:szCs w:val="28"/>
        </w:rPr>
        <w:t xml:space="preserve"> (на 11 марта курс доллара США составил 120,38 рублей</w:t>
      </w:r>
      <w:r w:rsidR="00B902F2">
        <w:rPr>
          <w:rFonts w:eastAsia="Malgun Gothic"/>
          <w:snapToGrid w:val="0"/>
          <w:color w:val="000000" w:themeColor="text1"/>
          <w:sz w:val="28"/>
          <w:szCs w:val="28"/>
        </w:rPr>
        <w:t xml:space="preserve"> – максимальное значение</w:t>
      </w:r>
      <w:r>
        <w:rPr>
          <w:rFonts w:eastAsia="Malgun Gothic"/>
          <w:snapToGrid w:val="0"/>
          <w:color w:val="000000" w:themeColor="text1"/>
          <w:sz w:val="28"/>
          <w:szCs w:val="28"/>
        </w:rPr>
        <w:t>)</w:t>
      </w:r>
      <w:r w:rsidR="006B6E80" w:rsidRPr="008B5E95">
        <w:rPr>
          <w:rFonts w:eastAsia="Malgun Gothic"/>
          <w:snapToGrid w:val="0"/>
          <w:color w:val="000000" w:themeColor="text1"/>
          <w:sz w:val="28"/>
          <w:szCs w:val="28"/>
        </w:rPr>
        <w:t>, снижению цен на финансовые активы, расширению дефицита ликвидности банковского сектора. Одновременно ажиотажный спрос населения на ряд продовольственных и непродовольственных товаров в совокупности с ослаблением рубля привели к ускорению инфляции (до 17,8</w:t>
      </w:r>
      <w:r w:rsidR="00EA1742">
        <w:rPr>
          <w:rFonts w:eastAsia="Malgun Gothic"/>
          <w:snapToGrid w:val="0"/>
          <w:color w:val="000000" w:themeColor="text1"/>
          <w:sz w:val="28"/>
          <w:szCs w:val="28"/>
        </w:rPr>
        <w:t xml:space="preserve"> проц.</w:t>
      </w:r>
      <w:r w:rsidR="006B6E80" w:rsidRPr="008B5E95">
        <w:rPr>
          <w:rFonts w:eastAsia="Malgun Gothic"/>
          <w:snapToGrid w:val="0"/>
          <w:color w:val="000000" w:themeColor="text1"/>
          <w:sz w:val="28"/>
          <w:szCs w:val="28"/>
        </w:rPr>
        <w:t xml:space="preserve"> в апреле в годовом выражении).</w:t>
      </w:r>
      <w:r>
        <w:rPr>
          <w:rFonts w:eastAsia="Malgun Gothic"/>
          <w:snapToGrid w:val="0"/>
          <w:color w:val="000000" w:themeColor="text1"/>
          <w:sz w:val="28"/>
          <w:szCs w:val="28"/>
        </w:rPr>
        <w:t xml:space="preserve"> </w:t>
      </w:r>
    </w:p>
    <w:p w:rsidR="00B902F2" w:rsidRDefault="00B902F2" w:rsidP="00B902F2">
      <w:pPr>
        <w:shd w:val="clear" w:color="auto" w:fill="FFFFFF" w:themeFill="background1"/>
        <w:ind w:firstLine="709"/>
        <w:jc w:val="both"/>
        <w:rPr>
          <w:sz w:val="28"/>
          <w:szCs w:val="28"/>
        </w:rPr>
      </w:pPr>
      <w:proofErr w:type="gramStart"/>
      <w:r>
        <w:rPr>
          <w:sz w:val="28"/>
          <w:szCs w:val="28"/>
        </w:rPr>
        <w:t xml:space="preserve">На первом этапе после введения </w:t>
      </w:r>
      <w:proofErr w:type="spellStart"/>
      <w:r>
        <w:rPr>
          <w:sz w:val="28"/>
          <w:szCs w:val="28"/>
        </w:rPr>
        <w:t>санкционных</w:t>
      </w:r>
      <w:proofErr w:type="spellEnd"/>
      <w:r>
        <w:rPr>
          <w:sz w:val="28"/>
          <w:szCs w:val="28"/>
        </w:rPr>
        <w:t xml:space="preserve"> ограничений в отношении Российской Федерации Правительством Российской Федерации и Центральным банком России был оперативно реализован </w:t>
      </w:r>
      <w:r w:rsidRPr="00B902F2">
        <w:rPr>
          <w:sz w:val="28"/>
          <w:szCs w:val="28"/>
        </w:rPr>
        <w:t xml:space="preserve">комплекс мер </w:t>
      </w:r>
      <w:r>
        <w:rPr>
          <w:sz w:val="28"/>
          <w:szCs w:val="28"/>
        </w:rPr>
        <w:t>по стабилизации ситуации на валютном и финансовом рынках, в том числе повышена ключевая ставка до 20%, временно приостановлены торги в фондовой секции Московской биржи, а также введены ограничения на движение капитала и обязательная продажа 80% валютной выручки</w:t>
      </w:r>
      <w:proofErr w:type="gramEnd"/>
      <w:r>
        <w:rPr>
          <w:sz w:val="28"/>
          <w:szCs w:val="28"/>
        </w:rPr>
        <w:t xml:space="preserve"> экспортерами на внутреннем валютном рынке. </w:t>
      </w:r>
    </w:p>
    <w:p w:rsidR="00B902F2" w:rsidRDefault="00B902F2" w:rsidP="00B902F2">
      <w:pPr>
        <w:shd w:val="clear" w:color="auto" w:fill="FFFFFF" w:themeFill="background1"/>
        <w:ind w:firstLine="709"/>
        <w:jc w:val="both"/>
        <w:rPr>
          <w:sz w:val="28"/>
          <w:szCs w:val="28"/>
        </w:rPr>
      </w:pPr>
      <w:r>
        <w:rPr>
          <w:sz w:val="28"/>
          <w:szCs w:val="28"/>
        </w:rPr>
        <w:t xml:space="preserve">15 марта 2022 года Правительством Российской Федерации принят </w:t>
      </w:r>
      <w:r w:rsidRPr="00B902F2">
        <w:rPr>
          <w:sz w:val="28"/>
          <w:szCs w:val="28"/>
        </w:rPr>
        <w:t xml:space="preserve">План первоочередных действий </w:t>
      </w:r>
      <w:r>
        <w:rPr>
          <w:sz w:val="28"/>
          <w:szCs w:val="28"/>
        </w:rPr>
        <w:t xml:space="preserve">по обеспечению развития российской экономики в условиях внешнего </w:t>
      </w:r>
      <w:proofErr w:type="spellStart"/>
      <w:r>
        <w:rPr>
          <w:sz w:val="28"/>
          <w:szCs w:val="28"/>
        </w:rPr>
        <w:t>санкционного</w:t>
      </w:r>
      <w:proofErr w:type="spellEnd"/>
      <w:r>
        <w:rPr>
          <w:sz w:val="28"/>
          <w:szCs w:val="28"/>
        </w:rPr>
        <w:t xml:space="preserve"> давления (далее – План), который на регулярной основе </w:t>
      </w:r>
      <w:r w:rsidR="00627F43">
        <w:rPr>
          <w:sz w:val="28"/>
          <w:szCs w:val="28"/>
        </w:rPr>
        <w:t xml:space="preserve">оперативно </w:t>
      </w:r>
      <w:r>
        <w:rPr>
          <w:sz w:val="28"/>
          <w:szCs w:val="28"/>
        </w:rPr>
        <w:t>дополн</w:t>
      </w:r>
      <w:r w:rsidR="00627F43">
        <w:rPr>
          <w:sz w:val="28"/>
          <w:szCs w:val="28"/>
        </w:rPr>
        <w:t xml:space="preserve">ялся </w:t>
      </w:r>
      <w:r>
        <w:rPr>
          <w:sz w:val="28"/>
          <w:szCs w:val="28"/>
        </w:rPr>
        <w:t xml:space="preserve">новыми мероприятиями в зависимости от выявляемых рисков и потребностей. </w:t>
      </w:r>
    </w:p>
    <w:p w:rsidR="00B902F2" w:rsidRDefault="00B902F2" w:rsidP="00B902F2">
      <w:pPr>
        <w:shd w:val="clear" w:color="auto" w:fill="FFFFFF" w:themeFill="background1"/>
        <w:ind w:firstLine="709"/>
        <w:jc w:val="both"/>
        <w:rPr>
          <w:sz w:val="28"/>
          <w:szCs w:val="28"/>
        </w:rPr>
      </w:pPr>
      <w:r>
        <w:rPr>
          <w:sz w:val="28"/>
          <w:szCs w:val="28"/>
        </w:rPr>
        <w:t xml:space="preserve">Основной задачей Плана является облегчение и ускорение </w:t>
      </w:r>
      <w:r w:rsidRPr="00B902F2">
        <w:rPr>
          <w:sz w:val="28"/>
          <w:szCs w:val="28"/>
        </w:rPr>
        <w:t>адаптации экономики к новым условиям</w:t>
      </w:r>
      <w:r>
        <w:rPr>
          <w:sz w:val="28"/>
          <w:szCs w:val="28"/>
        </w:rPr>
        <w:t xml:space="preserve">. Были приняты решения по либерализации </w:t>
      </w:r>
      <w:r>
        <w:rPr>
          <w:sz w:val="28"/>
          <w:szCs w:val="28"/>
        </w:rPr>
        <w:lastRenderedPageBreak/>
        <w:t xml:space="preserve">внутренней хозяйственной деятельности (радикально сокращена контрольно-надзорная деятельность, перенесено введение обязательных требований, автоматически продлены лицензии и разрешения, упрощены процедуры подтверждения соответствия). Сняты многие барьеры на пути импорта (обнуление пошлин на более чем 1000 позиций, ввоз по копиям документов, снятие ветеринарного и фитосанитарного контроля и другие). Реализуются программы поддержки отдельных отраслей – сельского хозяйства, промышленности, транспорта, </w:t>
      </w:r>
      <w:proofErr w:type="gramStart"/>
      <w:r>
        <w:rPr>
          <w:sz w:val="28"/>
          <w:szCs w:val="28"/>
        </w:rPr>
        <w:t>ИТ</w:t>
      </w:r>
      <w:proofErr w:type="gramEnd"/>
      <w:r>
        <w:rPr>
          <w:sz w:val="28"/>
          <w:szCs w:val="28"/>
        </w:rPr>
        <w:t xml:space="preserve"> и других. Активно </w:t>
      </w:r>
      <w:r w:rsidR="00627F43">
        <w:rPr>
          <w:sz w:val="28"/>
          <w:szCs w:val="28"/>
        </w:rPr>
        <w:t>реализуются</w:t>
      </w:r>
      <w:r>
        <w:rPr>
          <w:sz w:val="28"/>
          <w:szCs w:val="28"/>
        </w:rPr>
        <w:t xml:space="preserve"> программ</w:t>
      </w:r>
      <w:r w:rsidR="00627F43">
        <w:rPr>
          <w:sz w:val="28"/>
          <w:szCs w:val="28"/>
        </w:rPr>
        <w:t>ы</w:t>
      </w:r>
      <w:r>
        <w:rPr>
          <w:sz w:val="28"/>
          <w:szCs w:val="28"/>
        </w:rPr>
        <w:t xml:space="preserve"> льготного кредитования системообразующих организаций, субъектов МСП, </w:t>
      </w:r>
      <w:proofErr w:type="spellStart"/>
      <w:r>
        <w:rPr>
          <w:sz w:val="28"/>
          <w:szCs w:val="28"/>
        </w:rPr>
        <w:t>сельхозтоваропроизводителей</w:t>
      </w:r>
      <w:proofErr w:type="spellEnd"/>
      <w:r>
        <w:rPr>
          <w:sz w:val="28"/>
          <w:szCs w:val="28"/>
        </w:rPr>
        <w:t xml:space="preserve">. </w:t>
      </w:r>
    </w:p>
    <w:p w:rsidR="00B902F2" w:rsidRDefault="00B902F2" w:rsidP="00B902F2">
      <w:pPr>
        <w:shd w:val="clear" w:color="auto" w:fill="FFFFFF" w:themeFill="background1"/>
        <w:ind w:firstLine="709"/>
        <w:jc w:val="both"/>
        <w:rPr>
          <w:sz w:val="28"/>
          <w:szCs w:val="28"/>
        </w:rPr>
      </w:pPr>
      <w:r>
        <w:rPr>
          <w:sz w:val="28"/>
          <w:szCs w:val="28"/>
        </w:rPr>
        <w:t xml:space="preserve">Благодаря указанным мерам удалось </w:t>
      </w:r>
      <w:r w:rsidRPr="00B902F2">
        <w:rPr>
          <w:sz w:val="28"/>
          <w:szCs w:val="28"/>
        </w:rPr>
        <w:t>сохранить устойчивость финансового и валютного рынков, стабилизировать ситуацию в экономике</w:t>
      </w:r>
      <w:r>
        <w:rPr>
          <w:sz w:val="28"/>
          <w:szCs w:val="28"/>
        </w:rPr>
        <w:t xml:space="preserve">. Так, по итогам апреля курс рубля укрепился </w:t>
      </w:r>
      <w:r w:rsidR="009F6DE5">
        <w:rPr>
          <w:sz w:val="28"/>
          <w:szCs w:val="28"/>
        </w:rPr>
        <w:t xml:space="preserve">на отметке </w:t>
      </w:r>
      <w:r>
        <w:rPr>
          <w:sz w:val="28"/>
          <w:szCs w:val="28"/>
        </w:rPr>
        <w:t>71 рубл</w:t>
      </w:r>
      <w:r w:rsidR="009F6DE5">
        <w:rPr>
          <w:sz w:val="28"/>
          <w:szCs w:val="28"/>
        </w:rPr>
        <w:t>ь</w:t>
      </w:r>
      <w:r>
        <w:rPr>
          <w:sz w:val="28"/>
          <w:szCs w:val="28"/>
        </w:rPr>
        <w:t xml:space="preserve"> за долл. США</w:t>
      </w:r>
      <w:r w:rsidR="00627F43">
        <w:rPr>
          <w:sz w:val="28"/>
          <w:szCs w:val="28"/>
        </w:rPr>
        <w:t xml:space="preserve">. </w:t>
      </w:r>
      <w:r>
        <w:rPr>
          <w:sz w:val="28"/>
          <w:szCs w:val="28"/>
        </w:rPr>
        <w:t>Укрепление рубля и спад ажиотажного спроса также способствовали замедлению инфляции</w:t>
      </w:r>
      <w:r w:rsidR="00627F43">
        <w:rPr>
          <w:sz w:val="28"/>
          <w:szCs w:val="28"/>
        </w:rPr>
        <w:t xml:space="preserve"> (</w:t>
      </w:r>
      <w:r w:rsidR="003158D4">
        <w:rPr>
          <w:sz w:val="28"/>
          <w:szCs w:val="28"/>
        </w:rPr>
        <w:t xml:space="preserve">еженедельный рост снизился с </w:t>
      </w:r>
      <w:r w:rsidR="00627F43">
        <w:rPr>
          <w:sz w:val="28"/>
          <w:szCs w:val="28"/>
        </w:rPr>
        <w:t>2</w:t>
      </w:r>
      <w:r w:rsidR="003158D4">
        <w:rPr>
          <w:sz w:val="28"/>
          <w:szCs w:val="28"/>
        </w:rPr>
        <w:t xml:space="preserve"> проц.</w:t>
      </w:r>
      <w:r w:rsidR="00627F43">
        <w:rPr>
          <w:sz w:val="28"/>
          <w:szCs w:val="28"/>
        </w:rPr>
        <w:t xml:space="preserve"> до </w:t>
      </w:r>
      <w:r>
        <w:rPr>
          <w:sz w:val="28"/>
          <w:szCs w:val="28"/>
        </w:rPr>
        <w:t>0,2</w:t>
      </w:r>
      <w:r w:rsidR="003158D4">
        <w:rPr>
          <w:sz w:val="28"/>
          <w:szCs w:val="28"/>
        </w:rPr>
        <w:t xml:space="preserve"> проц.</w:t>
      </w:r>
      <w:r>
        <w:rPr>
          <w:sz w:val="28"/>
          <w:szCs w:val="28"/>
        </w:rPr>
        <w:t>)</w:t>
      </w:r>
      <w:r w:rsidR="00627F43">
        <w:rPr>
          <w:sz w:val="28"/>
          <w:szCs w:val="28"/>
        </w:rPr>
        <w:t xml:space="preserve">, что позволило </w:t>
      </w:r>
      <w:r>
        <w:rPr>
          <w:sz w:val="28"/>
          <w:szCs w:val="28"/>
        </w:rPr>
        <w:t>стабилизирова</w:t>
      </w:r>
      <w:r w:rsidR="003158D4">
        <w:rPr>
          <w:sz w:val="28"/>
          <w:szCs w:val="28"/>
        </w:rPr>
        <w:t>ть</w:t>
      </w:r>
      <w:r>
        <w:rPr>
          <w:sz w:val="28"/>
          <w:szCs w:val="28"/>
        </w:rPr>
        <w:t xml:space="preserve"> </w:t>
      </w:r>
      <w:r w:rsidR="00627F43">
        <w:rPr>
          <w:sz w:val="28"/>
          <w:szCs w:val="28"/>
        </w:rPr>
        <w:t xml:space="preserve">годовую инфляцию </w:t>
      </w:r>
      <w:r>
        <w:rPr>
          <w:sz w:val="28"/>
          <w:szCs w:val="28"/>
        </w:rPr>
        <w:t>на уровне 17,7–17,8</w:t>
      </w:r>
      <w:r w:rsidR="003158D4">
        <w:rPr>
          <w:sz w:val="28"/>
          <w:szCs w:val="28"/>
        </w:rPr>
        <w:t xml:space="preserve"> проц.</w:t>
      </w:r>
      <w:r>
        <w:rPr>
          <w:sz w:val="28"/>
          <w:szCs w:val="28"/>
        </w:rPr>
        <w:t xml:space="preserve"> г/г. В результате стабилизации по вышеперечисленным направлениям Банк России начал постепенно ослаблять введенные ранее ограничения на операции с иностранной валютой</w:t>
      </w:r>
      <w:r w:rsidR="00627F43">
        <w:rPr>
          <w:sz w:val="28"/>
          <w:szCs w:val="28"/>
        </w:rPr>
        <w:t xml:space="preserve"> и </w:t>
      </w:r>
      <w:r>
        <w:rPr>
          <w:sz w:val="28"/>
          <w:szCs w:val="28"/>
        </w:rPr>
        <w:t>понизил ключевую</w:t>
      </w:r>
      <w:r w:rsidR="00627F43">
        <w:rPr>
          <w:sz w:val="28"/>
          <w:szCs w:val="28"/>
        </w:rPr>
        <w:t xml:space="preserve"> ставку до 14 проц. (29 апреля 2022 года).</w:t>
      </w:r>
      <w:r>
        <w:rPr>
          <w:sz w:val="28"/>
          <w:szCs w:val="28"/>
        </w:rPr>
        <w:t xml:space="preserve"> </w:t>
      </w:r>
    </w:p>
    <w:p w:rsidR="00627F43" w:rsidRPr="00661A38" w:rsidRDefault="00627F43" w:rsidP="00661A38">
      <w:pPr>
        <w:ind w:firstLine="709"/>
        <w:jc w:val="both"/>
        <w:rPr>
          <w:rFonts w:eastAsia="Malgun Gothic"/>
          <w:snapToGrid w:val="0"/>
          <w:color w:val="000000" w:themeColor="text1"/>
          <w:sz w:val="28"/>
          <w:szCs w:val="28"/>
        </w:rPr>
      </w:pPr>
      <w:r>
        <w:rPr>
          <w:sz w:val="28"/>
          <w:szCs w:val="28"/>
        </w:rPr>
        <w:t>С учетом сложившейся в январе-апреле текущего года ситуации в экономике, финансах и социальной сфере Российской Федерации Министерство экономического развития Российской Федерации представил</w:t>
      </w:r>
      <w:r w:rsidR="00D63F8C">
        <w:rPr>
          <w:sz w:val="28"/>
          <w:szCs w:val="28"/>
        </w:rPr>
        <w:t>о</w:t>
      </w:r>
      <w:r>
        <w:rPr>
          <w:sz w:val="28"/>
          <w:szCs w:val="28"/>
        </w:rPr>
        <w:t xml:space="preserve"> основные </w:t>
      </w:r>
      <w:r w:rsidRPr="00627F43">
        <w:rPr>
          <w:sz w:val="28"/>
          <w:szCs w:val="28"/>
        </w:rPr>
        <w:t xml:space="preserve">параметры сценарных условий прогноза социально-экономического развития Российской </w:t>
      </w:r>
      <w:r w:rsidRPr="00661A38">
        <w:rPr>
          <w:rFonts w:eastAsia="Malgun Gothic"/>
          <w:snapToGrid w:val="0"/>
          <w:color w:val="000000" w:themeColor="text1"/>
          <w:sz w:val="28"/>
          <w:szCs w:val="28"/>
        </w:rPr>
        <w:t xml:space="preserve">Федерации на 2023 год и на плановый период 2024 и 2025 годов. </w:t>
      </w:r>
    </w:p>
    <w:p w:rsidR="00627F43" w:rsidRPr="00191FBA" w:rsidRDefault="00627F43" w:rsidP="00661A38">
      <w:pPr>
        <w:ind w:firstLine="709"/>
        <w:jc w:val="both"/>
        <w:rPr>
          <w:sz w:val="28"/>
          <w:szCs w:val="28"/>
        </w:rPr>
      </w:pPr>
      <w:r w:rsidRPr="00661A38">
        <w:rPr>
          <w:rFonts w:eastAsia="Malgun Gothic"/>
          <w:snapToGrid w:val="0"/>
          <w:color w:val="000000" w:themeColor="text1"/>
          <w:sz w:val="28"/>
          <w:szCs w:val="28"/>
        </w:rPr>
        <w:t>Сценарные</w:t>
      </w:r>
      <w:r w:rsidR="00661A38">
        <w:rPr>
          <w:sz w:val="28"/>
          <w:szCs w:val="28"/>
        </w:rPr>
        <w:t xml:space="preserve"> условия и</w:t>
      </w:r>
      <w:r w:rsidRPr="00191FBA">
        <w:rPr>
          <w:sz w:val="28"/>
          <w:szCs w:val="28"/>
        </w:rPr>
        <w:t xml:space="preserve"> основные параметры прогноза социально-экономического развития Российской Федерации на 2023 год и на плановый период 2024 и 2025 годов разработаны в двух вариантах:</w:t>
      </w:r>
    </w:p>
    <w:p w:rsidR="00627F43" w:rsidRPr="00191FBA" w:rsidRDefault="00627F43" w:rsidP="00627F43">
      <w:pPr>
        <w:shd w:val="clear" w:color="auto" w:fill="FFFFFF" w:themeFill="background1"/>
        <w:ind w:firstLine="709"/>
        <w:jc w:val="both"/>
        <w:rPr>
          <w:sz w:val="28"/>
          <w:szCs w:val="28"/>
        </w:rPr>
      </w:pPr>
      <w:r>
        <w:rPr>
          <w:b/>
          <w:sz w:val="28"/>
          <w:szCs w:val="28"/>
        </w:rPr>
        <w:t>б</w:t>
      </w:r>
      <w:r w:rsidRPr="00191FBA">
        <w:rPr>
          <w:b/>
          <w:sz w:val="28"/>
          <w:szCs w:val="28"/>
        </w:rPr>
        <w:t>азовый (вариант 2) прогноза</w:t>
      </w:r>
      <w:r>
        <w:rPr>
          <w:sz w:val="28"/>
          <w:szCs w:val="28"/>
        </w:rPr>
        <w:t xml:space="preserve"> характеризуется проведением </w:t>
      </w:r>
      <w:proofErr w:type="spellStart"/>
      <w:r w:rsidRPr="00191FBA">
        <w:rPr>
          <w:sz w:val="28"/>
          <w:szCs w:val="28"/>
        </w:rPr>
        <w:t>проактивн</w:t>
      </w:r>
      <w:r>
        <w:rPr>
          <w:sz w:val="28"/>
          <w:szCs w:val="28"/>
        </w:rPr>
        <w:t>ой</w:t>
      </w:r>
      <w:proofErr w:type="spellEnd"/>
      <w:r w:rsidRPr="00191FBA">
        <w:rPr>
          <w:sz w:val="28"/>
          <w:szCs w:val="28"/>
        </w:rPr>
        <w:t xml:space="preserve"> экономическ</w:t>
      </w:r>
      <w:r>
        <w:rPr>
          <w:sz w:val="28"/>
          <w:szCs w:val="28"/>
        </w:rPr>
        <w:t>ой</w:t>
      </w:r>
      <w:r w:rsidRPr="00191FBA">
        <w:rPr>
          <w:sz w:val="28"/>
          <w:szCs w:val="28"/>
        </w:rPr>
        <w:t xml:space="preserve"> политик</w:t>
      </w:r>
      <w:r>
        <w:rPr>
          <w:sz w:val="28"/>
          <w:szCs w:val="28"/>
        </w:rPr>
        <w:t>и</w:t>
      </w:r>
      <w:r w:rsidRPr="00191FBA">
        <w:rPr>
          <w:sz w:val="28"/>
          <w:szCs w:val="28"/>
        </w:rPr>
        <w:t>. Планируется: эффективная реализация всего комплекса мер по поддержке экономики, включая программы льготного кредитования; активное снижение ключевой ставки Банком России вслед за инфляцией; достаточный для поддержания внутреннего спроса уровень бюджетных расходов. Экономика сможет адаптироваться к новым условиям в 2023 году и перейти к восстановительному</w:t>
      </w:r>
      <w:r>
        <w:rPr>
          <w:sz w:val="28"/>
          <w:szCs w:val="28"/>
        </w:rPr>
        <w:t xml:space="preserve"> росту в период 2024-2025 годов;</w:t>
      </w:r>
    </w:p>
    <w:p w:rsidR="00627F43" w:rsidRDefault="00627F43" w:rsidP="00627F43">
      <w:pPr>
        <w:shd w:val="clear" w:color="auto" w:fill="FFFFFF" w:themeFill="background1"/>
        <w:ind w:firstLine="709"/>
        <w:jc w:val="both"/>
        <w:rPr>
          <w:sz w:val="28"/>
          <w:szCs w:val="28"/>
        </w:rPr>
      </w:pPr>
      <w:r>
        <w:rPr>
          <w:b/>
          <w:sz w:val="28"/>
          <w:szCs w:val="28"/>
        </w:rPr>
        <w:t>к</w:t>
      </w:r>
      <w:r w:rsidRPr="00191FBA">
        <w:rPr>
          <w:b/>
          <w:sz w:val="28"/>
          <w:szCs w:val="28"/>
        </w:rPr>
        <w:t>онсервативный (вариант 1)</w:t>
      </w:r>
      <w:r w:rsidRPr="00191FBA">
        <w:rPr>
          <w:sz w:val="28"/>
          <w:szCs w:val="28"/>
        </w:rPr>
        <w:t xml:space="preserve"> прогноза предполагает: более глубокий спад российской экономики в условиях более жесткого применения </w:t>
      </w:r>
      <w:proofErr w:type="spellStart"/>
      <w:r w:rsidRPr="00191FBA">
        <w:rPr>
          <w:sz w:val="28"/>
          <w:szCs w:val="28"/>
        </w:rPr>
        <w:t>санкционного</w:t>
      </w:r>
      <w:proofErr w:type="spellEnd"/>
      <w:r w:rsidRPr="00191FBA">
        <w:rPr>
          <w:sz w:val="28"/>
          <w:szCs w:val="28"/>
        </w:rPr>
        <w:t xml:space="preserve"> режима и более медленной перестройки производственно-логистических цепочек; более существенное снижение цен на товары российского экспорта. Восстановительный период экономики при этом сценарии развития сформируется только в конце 2025 года.</w:t>
      </w:r>
    </w:p>
    <w:p w:rsidR="00E8222C" w:rsidRPr="00661A38" w:rsidRDefault="00E8222C" w:rsidP="00E8222C">
      <w:pPr>
        <w:ind w:firstLine="709"/>
        <w:jc w:val="both"/>
        <w:rPr>
          <w:rFonts w:eastAsia="Malgun Gothic"/>
          <w:snapToGrid w:val="0"/>
          <w:color w:val="000000" w:themeColor="text1"/>
          <w:sz w:val="28"/>
          <w:szCs w:val="28"/>
        </w:rPr>
      </w:pPr>
      <w:r>
        <w:rPr>
          <w:rFonts w:eastAsia="Malgun Gothic"/>
          <w:snapToGrid w:val="0"/>
          <w:color w:val="000000" w:themeColor="text1"/>
          <w:sz w:val="28"/>
          <w:szCs w:val="28"/>
        </w:rPr>
        <w:t>В рамках представленных сценарных условий ожидается, что по итогу 2022 года валовой внутренний продукт (</w:t>
      </w:r>
      <w:r w:rsidRPr="00661A38">
        <w:rPr>
          <w:rFonts w:eastAsia="Malgun Gothic"/>
          <w:snapToGrid w:val="0"/>
          <w:color w:val="000000" w:themeColor="text1"/>
          <w:sz w:val="28"/>
          <w:szCs w:val="28"/>
        </w:rPr>
        <w:t>ВВП</w:t>
      </w:r>
      <w:r>
        <w:rPr>
          <w:rFonts w:eastAsia="Malgun Gothic"/>
          <w:snapToGrid w:val="0"/>
          <w:color w:val="000000" w:themeColor="text1"/>
          <w:sz w:val="28"/>
          <w:szCs w:val="28"/>
        </w:rPr>
        <w:t xml:space="preserve">) России </w:t>
      </w:r>
      <w:r w:rsidRPr="00661A38">
        <w:rPr>
          <w:rFonts w:eastAsia="Malgun Gothic"/>
          <w:snapToGrid w:val="0"/>
          <w:color w:val="000000" w:themeColor="text1"/>
          <w:sz w:val="28"/>
          <w:szCs w:val="28"/>
        </w:rPr>
        <w:t xml:space="preserve">снизится на 7,8%. Основной вклад в снижение ВВП внесет внутренний спрос – как потребительский, так и инвестиционный. </w:t>
      </w:r>
      <w:proofErr w:type="gramStart"/>
      <w:r w:rsidRPr="00661A38">
        <w:rPr>
          <w:rFonts w:eastAsia="Malgun Gothic"/>
          <w:snapToGrid w:val="0"/>
          <w:color w:val="000000" w:themeColor="text1"/>
          <w:sz w:val="28"/>
          <w:szCs w:val="28"/>
        </w:rPr>
        <w:t xml:space="preserve">В условиях снижения реальных располагаемых доходов </w:t>
      </w:r>
      <w:r w:rsidRPr="00661A38">
        <w:rPr>
          <w:rFonts w:eastAsia="Malgun Gothic"/>
          <w:snapToGrid w:val="0"/>
          <w:color w:val="000000" w:themeColor="text1"/>
          <w:sz w:val="28"/>
          <w:szCs w:val="28"/>
        </w:rPr>
        <w:lastRenderedPageBreak/>
        <w:t>населения (на 6,8</w:t>
      </w:r>
      <w:r w:rsidR="00D63F8C">
        <w:rPr>
          <w:rFonts w:eastAsia="Malgun Gothic"/>
          <w:snapToGrid w:val="0"/>
          <w:color w:val="000000" w:themeColor="text1"/>
          <w:sz w:val="28"/>
          <w:szCs w:val="28"/>
        </w:rPr>
        <w:t xml:space="preserve"> проц.</w:t>
      </w:r>
      <w:r w:rsidRPr="00661A38">
        <w:rPr>
          <w:rFonts w:eastAsia="Malgun Gothic"/>
          <w:snapToGrid w:val="0"/>
          <w:color w:val="000000" w:themeColor="text1"/>
          <w:sz w:val="28"/>
          <w:szCs w:val="28"/>
        </w:rPr>
        <w:t>) и увеличения безработицы (до 6,7</w:t>
      </w:r>
      <w:r w:rsidR="00D63F8C">
        <w:rPr>
          <w:rFonts w:eastAsia="Malgun Gothic"/>
          <w:snapToGrid w:val="0"/>
          <w:color w:val="000000" w:themeColor="text1"/>
          <w:sz w:val="28"/>
          <w:szCs w:val="28"/>
        </w:rPr>
        <w:t xml:space="preserve"> проц.</w:t>
      </w:r>
      <w:r w:rsidRPr="00661A38">
        <w:rPr>
          <w:rFonts w:eastAsia="Malgun Gothic"/>
          <w:snapToGrid w:val="0"/>
          <w:color w:val="000000" w:themeColor="text1"/>
          <w:sz w:val="28"/>
          <w:szCs w:val="28"/>
        </w:rPr>
        <w:t xml:space="preserve"> от рабочей силы в среднем за год) ожидается сокращение оборота розничной торговли на 8,7</w:t>
      </w:r>
      <w:r w:rsidR="00D63F8C">
        <w:rPr>
          <w:rFonts w:eastAsia="Malgun Gothic"/>
          <w:snapToGrid w:val="0"/>
          <w:color w:val="000000" w:themeColor="text1"/>
          <w:sz w:val="28"/>
          <w:szCs w:val="28"/>
        </w:rPr>
        <w:t xml:space="preserve"> проц.</w:t>
      </w:r>
      <w:r w:rsidRPr="00661A38">
        <w:rPr>
          <w:rFonts w:eastAsia="Malgun Gothic"/>
          <w:snapToGrid w:val="0"/>
          <w:color w:val="000000" w:themeColor="text1"/>
          <w:sz w:val="28"/>
          <w:szCs w:val="28"/>
        </w:rPr>
        <w:t>, объема платных услуг населению – на 7,9</w:t>
      </w:r>
      <w:r w:rsidR="00D63F8C" w:rsidRPr="00D63F8C">
        <w:rPr>
          <w:rFonts w:eastAsia="Malgun Gothic"/>
          <w:snapToGrid w:val="0"/>
          <w:color w:val="000000" w:themeColor="text1"/>
          <w:sz w:val="28"/>
          <w:szCs w:val="28"/>
        </w:rPr>
        <w:t xml:space="preserve"> </w:t>
      </w:r>
      <w:r w:rsidR="00D63F8C">
        <w:rPr>
          <w:rFonts w:eastAsia="Malgun Gothic"/>
          <w:snapToGrid w:val="0"/>
          <w:color w:val="000000" w:themeColor="text1"/>
          <w:sz w:val="28"/>
          <w:szCs w:val="28"/>
        </w:rPr>
        <w:t>проц</w:t>
      </w:r>
      <w:r w:rsidRPr="00661A38">
        <w:rPr>
          <w:rFonts w:eastAsia="Malgun Gothic"/>
          <w:snapToGrid w:val="0"/>
          <w:color w:val="000000" w:themeColor="text1"/>
          <w:sz w:val="28"/>
          <w:szCs w:val="28"/>
        </w:rPr>
        <w:t>. Снижение инвестиций в основной капитал составит 19,4</w:t>
      </w:r>
      <w:r w:rsidR="00D63F8C" w:rsidRPr="00D63F8C">
        <w:rPr>
          <w:rFonts w:eastAsia="Malgun Gothic"/>
          <w:snapToGrid w:val="0"/>
          <w:color w:val="000000" w:themeColor="text1"/>
          <w:sz w:val="28"/>
          <w:szCs w:val="28"/>
        </w:rPr>
        <w:t xml:space="preserve"> </w:t>
      </w:r>
      <w:r w:rsidR="00D63F8C">
        <w:rPr>
          <w:rFonts w:eastAsia="Malgun Gothic"/>
          <w:snapToGrid w:val="0"/>
          <w:color w:val="000000" w:themeColor="text1"/>
          <w:sz w:val="28"/>
          <w:szCs w:val="28"/>
        </w:rPr>
        <w:t>проц.</w:t>
      </w:r>
      <w:r w:rsidRPr="00661A38">
        <w:rPr>
          <w:rFonts w:eastAsia="Malgun Gothic"/>
          <w:snapToGrid w:val="0"/>
          <w:color w:val="000000" w:themeColor="text1"/>
          <w:sz w:val="28"/>
          <w:szCs w:val="28"/>
        </w:rPr>
        <w:t xml:space="preserve"> с учетом действующих импортных и экспортных ограничений и высокой неопределенности относительно среднесрочных тенденций в</w:t>
      </w:r>
      <w:proofErr w:type="gramEnd"/>
      <w:r w:rsidRPr="00661A38">
        <w:rPr>
          <w:rFonts w:eastAsia="Malgun Gothic"/>
          <w:snapToGrid w:val="0"/>
          <w:color w:val="000000" w:themeColor="text1"/>
          <w:sz w:val="28"/>
          <w:szCs w:val="28"/>
        </w:rPr>
        <w:t xml:space="preserve"> экономике. Инфляция сохранится на повышенном уровне в условиях импортных ограничений и продолжающейся перестройки производственно-логистических цепочек и на конец года ожидается на уровне 17,5</w:t>
      </w:r>
      <w:r w:rsidR="00D63F8C">
        <w:rPr>
          <w:rFonts w:eastAsia="Malgun Gothic"/>
          <w:snapToGrid w:val="0"/>
          <w:color w:val="000000" w:themeColor="text1"/>
          <w:sz w:val="28"/>
          <w:szCs w:val="28"/>
        </w:rPr>
        <w:t xml:space="preserve"> проц</w:t>
      </w:r>
      <w:r w:rsidRPr="00661A38">
        <w:rPr>
          <w:rFonts w:eastAsia="Malgun Gothic"/>
          <w:snapToGrid w:val="0"/>
          <w:color w:val="000000" w:themeColor="text1"/>
          <w:sz w:val="28"/>
          <w:szCs w:val="28"/>
        </w:rPr>
        <w:t xml:space="preserve">. </w:t>
      </w:r>
    </w:p>
    <w:p w:rsidR="00661A38" w:rsidRPr="00084118" w:rsidRDefault="00E8222C" w:rsidP="00E8222C">
      <w:pPr>
        <w:ind w:firstLine="709"/>
        <w:jc w:val="both"/>
        <w:rPr>
          <w:sz w:val="28"/>
          <w:szCs w:val="28"/>
        </w:rPr>
      </w:pPr>
      <w:r>
        <w:rPr>
          <w:sz w:val="28"/>
          <w:szCs w:val="28"/>
        </w:rPr>
        <w:t xml:space="preserve">По базовому варианту прогноза начиная с 2023 года </w:t>
      </w:r>
      <w:r w:rsidRPr="00661A38">
        <w:rPr>
          <w:sz w:val="28"/>
          <w:szCs w:val="28"/>
        </w:rPr>
        <w:t xml:space="preserve">ВВП </w:t>
      </w:r>
      <w:r>
        <w:rPr>
          <w:sz w:val="28"/>
          <w:szCs w:val="28"/>
        </w:rPr>
        <w:t xml:space="preserve">России будет медленно восстанавливаться, при этом по итогам 2023 года ожидается падение  </w:t>
      </w:r>
      <w:r>
        <w:rPr>
          <w:sz w:val="28"/>
          <w:szCs w:val="28"/>
        </w:rPr>
        <w:br/>
        <w:t>(-0,7</w:t>
      </w:r>
      <w:r w:rsidR="00D63F8C">
        <w:rPr>
          <w:sz w:val="28"/>
          <w:szCs w:val="28"/>
        </w:rPr>
        <w:t xml:space="preserve"> </w:t>
      </w:r>
      <w:r w:rsidR="00D63F8C">
        <w:rPr>
          <w:rFonts w:eastAsia="Malgun Gothic"/>
          <w:snapToGrid w:val="0"/>
          <w:color w:val="000000" w:themeColor="text1"/>
          <w:sz w:val="28"/>
          <w:szCs w:val="28"/>
        </w:rPr>
        <w:t>проц.</w:t>
      </w:r>
      <w:r>
        <w:rPr>
          <w:sz w:val="28"/>
          <w:szCs w:val="28"/>
        </w:rPr>
        <w:t xml:space="preserve"> в целом за год). Основной восстановительный рост происходит в 2024 и 2025 годах (3,2</w:t>
      </w:r>
      <w:r w:rsidR="00D63F8C" w:rsidRPr="00D63F8C">
        <w:rPr>
          <w:rFonts w:eastAsia="Malgun Gothic"/>
          <w:snapToGrid w:val="0"/>
          <w:color w:val="000000" w:themeColor="text1"/>
          <w:sz w:val="28"/>
          <w:szCs w:val="28"/>
        </w:rPr>
        <w:t xml:space="preserve"> </w:t>
      </w:r>
      <w:r w:rsidR="00D63F8C">
        <w:rPr>
          <w:rFonts w:eastAsia="Malgun Gothic"/>
          <w:snapToGrid w:val="0"/>
          <w:color w:val="000000" w:themeColor="text1"/>
          <w:sz w:val="28"/>
          <w:szCs w:val="28"/>
        </w:rPr>
        <w:t>проц.</w:t>
      </w:r>
      <w:r>
        <w:rPr>
          <w:sz w:val="28"/>
          <w:szCs w:val="28"/>
        </w:rPr>
        <w:t xml:space="preserve"> и 2,6</w:t>
      </w:r>
      <w:r w:rsidR="00D63F8C" w:rsidRPr="00D63F8C">
        <w:rPr>
          <w:rFonts w:eastAsia="Malgun Gothic"/>
          <w:snapToGrid w:val="0"/>
          <w:color w:val="000000" w:themeColor="text1"/>
          <w:sz w:val="28"/>
          <w:szCs w:val="28"/>
        </w:rPr>
        <w:t xml:space="preserve"> </w:t>
      </w:r>
      <w:r w:rsidR="00D63F8C">
        <w:rPr>
          <w:rFonts w:eastAsia="Malgun Gothic"/>
          <w:snapToGrid w:val="0"/>
          <w:color w:val="000000" w:themeColor="text1"/>
          <w:sz w:val="28"/>
          <w:szCs w:val="28"/>
        </w:rPr>
        <w:t>проц.</w:t>
      </w:r>
      <w:r>
        <w:rPr>
          <w:sz w:val="28"/>
          <w:szCs w:val="28"/>
        </w:rPr>
        <w:t xml:space="preserve"> соответственно), при этом к концу </w:t>
      </w:r>
      <w:r w:rsidRPr="00084118">
        <w:rPr>
          <w:sz w:val="28"/>
          <w:szCs w:val="28"/>
        </w:rPr>
        <w:t xml:space="preserve">среднесрочного периода экономика не выходит на докризисный уровень. </w:t>
      </w:r>
      <w:r w:rsidRPr="00084118">
        <w:rPr>
          <w:rFonts w:eastAsia="Malgun Gothic"/>
          <w:snapToGrid w:val="0"/>
          <w:color w:val="000000" w:themeColor="text1"/>
          <w:sz w:val="28"/>
          <w:szCs w:val="28"/>
        </w:rPr>
        <w:t>Основной вклад в восстановление экономики внесет потребительский спрос (потребление товаров и услуг и реальные располагаемые доходы населения в 2025 году на 1–2</w:t>
      </w:r>
      <w:r w:rsidR="00D63F8C" w:rsidRPr="00D63F8C">
        <w:rPr>
          <w:rFonts w:eastAsia="Malgun Gothic"/>
          <w:snapToGrid w:val="0"/>
          <w:color w:val="000000" w:themeColor="text1"/>
          <w:sz w:val="28"/>
          <w:szCs w:val="28"/>
        </w:rPr>
        <w:t xml:space="preserve"> </w:t>
      </w:r>
      <w:r w:rsidR="00D63F8C">
        <w:rPr>
          <w:rFonts w:eastAsia="Malgun Gothic"/>
          <w:snapToGrid w:val="0"/>
          <w:color w:val="000000" w:themeColor="text1"/>
          <w:sz w:val="28"/>
          <w:szCs w:val="28"/>
        </w:rPr>
        <w:t>проц.</w:t>
      </w:r>
      <w:r w:rsidRPr="00084118">
        <w:rPr>
          <w:rFonts w:eastAsia="Malgun Gothic"/>
          <w:snapToGrid w:val="0"/>
          <w:color w:val="000000" w:themeColor="text1"/>
          <w:sz w:val="28"/>
          <w:szCs w:val="28"/>
        </w:rPr>
        <w:t xml:space="preserve"> выше уровней 2021 года). Инвестиции также демонстрируют восстановительный рост, но полностью не отыгрывают падение (2025 год к 2021 году: -7,3</w:t>
      </w:r>
      <w:r w:rsidR="00D63F8C" w:rsidRPr="00D63F8C">
        <w:rPr>
          <w:rFonts w:eastAsia="Malgun Gothic"/>
          <w:snapToGrid w:val="0"/>
          <w:color w:val="000000" w:themeColor="text1"/>
          <w:sz w:val="28"/>
          <w:szCs w:val="28"/>
        </w:rPr>
        <w:t xml:space="preserve"> </w:t>
      </w:r>
      <w:r w:rsidR="00D63F8C">
        <w:rPr>
          <w:rFonts w:eastAsia="Malgun Gothic"/>
          <w:snapToGrid w:val="0"/>
          <w:color w:val="000000" w:themeColor="text1"/>
          <w:sz w:val="28"/>
          <w:szCs w:val="28"/>
        </w:rPr>
        <w:t>проц.</w:t>
      </w:r>
      <w:r w:rsidRPr="00084118">
        <w:rPr>
          <w:rFonts w:eastAsia="Malgun Gothic"/>
          <w:snapToGrid w:val="0"/>
          <w:color w:val="000000" w:themeColor="text1"/>
          <w:sz w:val="28"/>
          <w:szCs w:val="28"/>
        </w:rPr>
        <w:t xml:space="preserve">), в том числе, из-за технологических ограничений и </w:t>
      </w:r>
      <w:proofErr w:type="gramStart"/>
      <w:r w:rsidRPr="00084118">
        <w:rPr>
          <w:rFonts w:eastAsia="Malgun Gothic"/>
          <w:snapToGrid w:val="0"/>
          <w:color w:val="000000" w:themeColor="text1"/>
          <w:sz w:val="28"/>
          <w:szCs w:val="28"/>
        </w:rPr>
        <w:t>сворачивания</w:t>
      </w:r>
      <w:proofErr w:type="gramEnd"/>
      <w:r w:rsidRPr="00084118">
        <w:rPr>
          <w:rFonts w:eastAsia="Malgun Gothic"/>
          <w:snapToGrid w:val="0"/>
          <w:color w:val="000000" w:themeColor="text1"/>
          <w:sz w:val="28"/>
          <w:szCs w:val="28"/>
        </w:rPr>
        <w:t xml:space="preserve"> крупных </w:t>
      </w:r>
      <w:proofErr w:type="spellStart"/>
      <w:r w:rsidRPr="00084118">
        <w:rPr>
          <w:rFonts w:eastAsia="Malgun Gothic"/>
          <w:snapToGrid w:val="0"/>
          <w:color w:val="000000" w:themeColor="text1"/>
          <w:sz w:val="28"/>
          <w:szCs w:val="28"/>
        </w:rPr>
        <w:t>экспортно</w:t>
      </w:r>
      <w:proofErr w:type="spellEnd"/>
      <w:r w:rsidRPr="00084118">
        <w:rPr>
          <w:rFonts w:eastAsia="Malgun Gothic"/>
          <w:snapToGrid w:val="0"/>
          <w:color w:val="000000" w:themeColor="text1"/>
          <w:sz w:val="28"/>
          <w:szCs w:val="28"/>
        </w:rPr>
        <w:t xml:space="preserve"> ориентированных проектов, что лишь отчасти компенсируется менее масштабными по объемам инвестициями в импортозамещающие производства. </w:t>
      </w:r>
      <w:r w:rsidR="00661A38" w:rsidRPr="00084118">
        <w:rPr>
          <w:sz w:val="28"/>
          <w:szCs w:val="28"/>
        </w:rPr>
        <w:t xml:space="preserve">Инфляция после ускорения </w:t>
      </w:r>
      <w:r w:rsidRPr="00084118">
        <w:rPr>
          <w:sz w:val="28"/>
          <w:szCs w:val="28"/>
        </w:rPr>
        <w:t xml:space="preserve">в 2022 </w:t>
      </w:r>
      <w:r w:rsidR="00661A38" w:rsidRPr="00084118">
        <w:rPr>
          <w:sz w:val="28"/>
          <w:szCs w:val="28"/>
        </w:rPr>
        <w:t>году сохран</w:t>
      </w:r>
      <w:r w:rsidRPr="00084118">
        <w:rPr>
          <w:sz w:val="28"/>
          <w:szCs w:val="28"/>
        </w:rPr>
        <w:t xml:space="preserve">ится </w:t>
      </w:r>
      <w:r w:rsidR="00661A38" w:rsidRPr="00084118">
        <w:rPr>
          <w:sz w:val="28"/>
          <w:szCs w:val="28"/>
        </w:rPr>
        <w:t>на повышенном уровне в 2023 г</w:t>
      </w:r>
      <w:r w:rsidRPr="00084118">
        <w:rPr>
          <w:sz w:val="28"/>
          <w:szCs w:val="28"/>
        </w:rPr>
        <w:t>оду</w:t>
      </w:r>
      <w:r w:rsidR="00661A38" w:rsidRPr="00084118">
        <w:rPr>
          <w:sz w:val="28"/>
          <w:szCs w:val="28"/>
        </w:rPr>
        <w:t xml:space="preserve"> (6,1</w:t>
      </w:r>
      <w:r w:rsidR="00D63F8C" w:rsidRPr="00D63F8C">
        <w:rPr>
          <w:rFonts w:eastAsia="Malgun Gothic"/>
          <w:snapToGrid w:val="0"/>
          <w:color w:val="000000" w:themeColor="text1"/>
          <w:sz w:val="28"/>
          <w:szCs w:val="28"/>
        </w:rPr>
        <w:t xml:space="preserve"> </w:t>
      </w:r>
      <w:r w:rsidR="00D63F8C">
        <w:rPr>
          <w:rFonts w:eastAsia="Malgun Gothic"/>
          <w:snapToGrid w:val="0"/>
          <w:color w:val="000000" w:themeColor="text1"/>
          <w:sz w:val="28"/>
          <w:szCs w:val="28"/>
        </w:rPr>
        <w:t>проц.</w:t>
      </w:r>
      <w:r w:rsidR="00661A38" w:rsidRPr="00084118">
        <w:rPr>
          <w:sz w:val="28"/>
          <w:szCs w:val="28"/>
        </w:rPr>
        <w:t xml:space="preserve"> на конец года) в условиях завершения подстройки производственно-логистических цепочек. К концу 2024 г</w:t>
      </w:r>
      <w:r w:rsidRPr="00084118">
        <w:rPr>
          <w:sz w:val="28"/>
          <w:szCs w:val="28"/>
        </w:rPr>
        <w:t xml:space="preserve">ода </w:t>
      </w:r>
      <w:r w:rsidR="00661A38" w:rsidRPr="00084118">
        <w:rPr>
          <w:sz w:val="28"/>
          <w:szCs w:val="28"/>
        </w:rPr>
        <w:t>инфляция выходит на целевой уровень Банка России 4</w:t>
      </w:r>
      <w:r w:rsidR="00D63F8C" w:rsidRPr="00D63F8C">
        <w:rPr>
          <w:rFonts w:eastAsia="Malgun Gothic"/>
          <w:snapToGrid w:val="0"/>
          <w:color w:val="000000" w:themeColor="text1"/>
          <w:sz w:val="28"/>
          <w:szCs w:val="28"/>
        </w:rPr>
        <w:t xml:space="preserve"> </w:t>
      </w:r>
      <w:r w:rsidR="00D63F8C">
        <w:rPr>
          <w:rFonts w:eastAsia="Malgun Gothic"/>
          <w:snapToGrid w:val="0"/>
          <w:color w:val="000000" w:themeColor="text1"/>
          <w:sz w:val="28"/>
          <w:szCs w:val="28"/>
        </w:rPr>
        <w:t>проц</w:t>
      </w:r>
      <w:r w:rsidR="00661A38" w:rsidRPr="00084118">
        <w:rPr>
          <w:sz w:val="28"/>
          <w:szCs w:val="28"/>
        </w:rPr>
        <w:t xml:space="preserve">. </w:t>
      </w:r>
    </w:p>
    <w:p w:rsidR="00F345B5" w:rsidRPr="00084118" w:rsidRDefault="00E8222C" w:rsidP="00F345B5">
      <w:pPr>
        <w:ind w:firstLine="709"/>
        <w:jc w:val="both"/>
        <w:rPr>
          <w:rFonts w:eastAsia="Malgun Gothic"/>
          <w:snapToGrid w:val="0"/>
          <w:color w:val="000000" w:themeColor="text1"/>
          <w:sz w:val="28"/>
          <w:szCs w:val="28"/>
        </w:rPr>
      </w:pPr>
      <w:r w:rsidRPr="00084118">
        <w:rPr>
          <w:rFonts w:eastAsia="Malgun Gothic"/>
          <w:snapToGrid w:val="0"/>
          <w:color w:val="000000" w:themeColor="text1"/>
          <w:sz w:val="28"/>
          <w:szCs w:val="28"/>
        </w:rPr>
        <w:t>По консервативному варианту ВВП в 2023 году снизится сильнее, чем в базовом варианте (-2,9</w:t>
      </w:r>
      <w:r w:rsidR="00D63F8C" w:rsidRPr="00D63F8C">
        <w:rPr>
          <w:rFonts w:eastAsia="Malgun Gothic"/>
          <w:snapToGrid w:val="0"/>
          <w:color w:val="000000" w:themeColor="text1"/>
          <w:sz w:val="28"/>
          <w:szCs w:val="28"/>
        </w:rPr>
        <w:t xml:space="preserve"> </w:t>
      </w:r>
      <w:r w:rsidR="00D63F8C">
        <w:rPr>
          <w:rFonts w:eastAsia="Malgun Gothic"/>
          <w:snapToGrid w:val="0"/>
          <w:color w:val="000000" w:themeColor="text1"/>
          <w:sz w:val="28"/>
          <w:szCs w:val="28"/>
        </w:rPr>
        <w:t>проц.</w:t>
      </w:r>
      <w:r w:rsidRPr="00084118">
        <w:rPr>
          <w:rFonts w:eastAsia="Malgun Gothic"/>
          <w:snapToGrid w:val="0"/>
          <w:color w:val="000000" w:themeColor="text1"/>
          <w:sz w:val="28"/>
          <w:szCs w:val="28"/>
        </w:rPr>
        <w:t>), а восстановление в 2024–2025 годах прогнозируется меньшими темпами. В результате к концу прогнозного периода ВВП примерно на 7</w:t>
      </w:r>
      <w:r w:rsidR="00D63F8C" w:rsidRPr="00D63F8C">
        <w:rPr>
          <w:rFonts w:eastAsia="Malgun Gothic"/>
          <w:snapToGrid w:val="0"/>
          <w:color w:val="000000" w:themeColor="text1"/>
          <w:sz w:val="28"/>
          <w:szCs w:val="28"/>
        </w:rPr>
        <w:t xml:space="preserve"> </w:t>
      </w:r>
      <w:r w:rsidR="00D63F8C">
        <w:rPr>
          <w:rFonts w:eastAsia="Malgun Gothic"/>
          <w:snapToGrid w:val="0"/>
          <w:color w:val="000000" w:themeColor="text1"/>
          <w:sz w:val="28"/>
          <w:szCs w:val="28"/>
        </w:rPr>
        <w:t>проц.</w:t>
      </w:r>
      <w:r w:rsidRPr="00084118">
        <w:rPr>
          <w:rFonts w:eastAsia="Malgun Gothic"/>
          <w:snapToGrid w:val="0"/>
          <w:color w:val="000000" w:themeColor="text1"/>
          <w:sz w:val="28"/>
          <w:szCs w:val="28"/>
        </w:rPr>
        <w:t xml:space="preserve"> ниже, чем в 2021 году. Основной фактор – структурное снижение доходов и потребительского спроса, а также более глубокое падение экспорта и инвестиций</w:t>
      </w:r>
      <w:r w:rsidR="00F345B5" w:rsidRPr="00084118">
        <w:rPr>
          <w:rFonts w:eastAsia="Malgun Gothic"/>
          <w:snapToGrid w:val="0"/>
          <w:color w:val="000000" w:themeColor="text1"/>
          <w:sz w:val="28"/>
          <w:szCs w:val="28"/>
        </w:rPr>
        <w:t xml:space="preserve">. Инфляция прогнозируется на более </w:t>
      </w:r>
      <w:r w:rsidR="00041B5A" w:rsidRPr="00084118">
        <w:rPr>
          <w:rFonts w:eastAsia="Malgun Gothic"/>
          <w:snapToGrid w:val="0"/>
          <w:color w:val="000000" w:themeColor="text1"/>
          <w:sz w:val="28"/>
          <w:szCs w:val="28"/>
        </w:rPr>
        <w:t>низком</w:t>
      </w:r>
      <w:r w:rsidR="00F345B5" w:rsidRPr="00084118">
        <w:rPr>
          <w:rFonts w:eastAsia="Malgun Gothic"/>
          <w:snapToGrid w:val="0"/>
          <w:color w:val="000000" w:themeColor="text1"/>
          <w:sz w:val="28"/>
          <w:szCs w:val="28"/>
        </w:rPr>
        <w:t xml:space="preserve"> (чем в базовом варианте) уровне в 2023–2024 годах (5,4</w:t>
      </w:r>
      <w:r w:rsidR="00D63F8C" w:rsidRPr="00D63F8C">
        <w:rPr>
          <w:rFonts w:eastAsia="Malgun Gothic"/>
          <w:snapToGrid w:val="0"/>
          <w:color w:val="000000" w:themeColor="text1"/>
          <w:sz w:val="28"/>
          <w:szCs w:val="28"/>
        </w:rPr>
        <w:t xml:space="preserve"> </w:t>
      </w:r>
      <w:r w:rsidR="00D63F8C">
        <w:rPr>
          <w:rFonts w:eastAsia="Malgun Gothic"/>
          <w:snapToGrid w:val="0"/>
          <w:color w:val="000000" w:themeColor="text1"/>
          <w:sz w:val="28"/>
          <w:szCs w:val="28"/>
        </w:rPr>
        <w:t>проц.</w:t>
      </w:r>
      <w:r w:rsidR="00F345B5" w:rsidRPr="00084118">
        <w:rPr>
          <w:rFonts w:eastAsia="Malgun Gothic"/>
          <w:snapToGrid w:val="0"/>
          <w:color w:val="000000" w:themeColor="text1"/>
          <w:sz w:val="28"/>
          <w:szCs w:val="28"/>
        </w:rPr>
        <w:t xml:space="preserve"> и 3,7</w:t>
      </w:r>
      <w:r w:rsidR="00D63F8C" w:rsidRPr="00D63F8C">
        <w:rPr>
          <w:rFonts w:eastAsia="Malgun Gothic"/>
          <w:snapToGrid w:val="0"/>
          <w:color w:val="000000" w:themeColor="text1"/>
          <w:sz w:val="28"/>
          <w:szCs w:val="28"/>
        </w:rPr>
        <w:t xml:space="preserve"> </w:t>
      </w:r>
      <w:r w:rsidR="00D63F8C">
        <w:rPr>
          <w:rFonts w:eastAsia="Malgun Gothic"/>
          <w:snapToGrid w:val="0"/>
          <w:color w:val="000000" w:themeColor="text1"/>
          <w:sz w:val="28"/>
          <w:szCs w:val="28"/>
        </w:rPr>
        <w:t>проц.</w:t>
      </w:r>
      <w:r w:rsidR="00F345B5" w:rsidRPr="00084118">
        <w:rPr>
          <w:rFonts w:eastAsia="Malgun Gothic"/>
          <w:snapToGrid w:val="0"/>
          <w:color w:val="000000" w:themeColor="text1"/>
          <w:sz w:val="28"/>
          <w:szCs w:val="28"/>
        </w:rPr>
        <w:t xml:space="preserve"> на конец года соответственно), выход на целевой уровень ожидается только к концу 2025 года. </w:t>
      </w:r>
    </w:p>
    <w:p w:rsidR="00084118" w:rsidRPr="00084118" w:rsidRDefault="00D63F8C" w:rsidP="0027760C">
      <w:pPr>
        <w:ind w:firstLine="709"/>
        <w:jc w:val="both"/>
        <w:rPr>
          <w:rFonts w:eastAsia="Malgun Gothic"/>
          <w:snapToGrid w:val="0"/>
          <w:color w:val="000000" w:themeColor="text1"/>
          <w:sz w:val="28"/>
          <w:szCs w:val="28"/>
        </w:rPr>
      </w:pPr>
      <w:r>
        <w:rPr>
          <w:rFonts w:eastAsia="Malgun Gothic"/>
          <w:snapToGrid w:val="0"/>
          <w:color w:val="000000" w:themeColor="text1"/>
          <w:sz w:val="28"/>
          <w:szCs w:val="28"/>
        </w:rPr>
        <w:t xml:space="preserve">Однако </w:t>
      </w:r>
      <w:r w:rsidR="00041B5A" w:rsidRPr="00084118">
        <w:rPr>
          <w:rFonts w:eastAsia="Malgun Gothic"/>
          <w:snapToGrid w:val="0"/>
          <w:color w:val="000000" w:themeColor="text1"/>
          <w:sz w:val="28"/>
          <w:szCs w:val="28"/>
        </w:rPr>
        <w:t xml:space="preserve">в июле 2022 года Центральный банк России и Министерство экономического развития Российской Федерации заявили о пересмотре основных параметров прогноза в сторону улучшения. </w:t>
      </w:r>
    </w:p>
    <w:p w:rsidR="00084118" w:rsidRPr="00084118" w:rsidRDefault="00041B5A" w:rsidP="0027760C">
      <w:pPr>
        <w:ind w:firstLine="709"/>
        <w:jc w:val="both"/>
        <w:rPr>
          <w:rFonts w:eastAsia="Malgun Gothic"/>
          <w:snapToGrid w:val="0"/>
          <w:color w:val="000000" w:themeColor="text1"/>
          <w:sz w:val="28"/>
          <w:szCs w:val="28"/>
        </w:rPr>
      </w:pPr>
      <w:r w:rsidRPr="00084118">
        <w:rPr>
          <w:rFonts w:eastAsia="Malgun Gothic"/>
          <w:snapToGrid w:val="0"/>
          <w:color w:val="000000" w:themeColor="text1"/>
          <w:sz w:val="28"/>
          <w:szCs w:val="28"/>
        </w:rPr>
        <w:t xml:space="preserve">Это связано с замедлением текущих темпов прироста инфляции и сдержанной динамикой потребительского спроса. Инфляционные ожидания населения и бизнеса заметно уменьшились, достигнув уровней весны 2021 года. </w:t>
      </w:r>
      <w:r w:rsidR="00084118" w:rsidRPr="00084118">
        <w:rPr>
          <w:rFonts w:eastAsia="Malgun Gothic"/>
          <w:snapToGrid w:val="0"/>
          <w:color w:val="000000" w:themeColor="text1"/>
          <w:sz w:val="28"/>
          <w:szCs w:val="28"/>
        </w:rPr>
        <w:t xml:space="preserve">Курс рубля к доллару США по состоянию на 23 июля 2022 года составил 57,4 рубля, что в 2,1 раза ниже уровня 11 марта 2022 года. </w:t>
      </w:r>
    </w:p>
    <w:p w:rsidR="00084118" w:rsidRPr="00084118" w:rsidRDefault="00041B5A" w:rsidP="00084118">
      <w:pPr>
        <w:shd w:val="clear" w:color="auto" w:fill="FFFFFF" w:themeFill="background1"/>
        <w:ind w:firstLine="709"/>
        <w:jc w:val="both"/>
        <w:rPr>
          <w:sz w:val="28"/>
          <w:szCs w:val="28"/>
        </w:rPr>
      </w:pPr>
      <w:r w:rsidRPr="00084118">
        <w:rPr>
          <w:rFonts w:eastAsia="Malgun Gothic"/>
          <w:snapToGrid w:val="0"/>
          <w:color w:val="000000" w:themeColor="text1"/>
          <w:sz w:val="28"/>
          <w:szCs w:val="28"/>
        </w:rPr>
        <w:t>Снижение деловой активности происходит ме</w:t>
      </w:r>
      <w:r w:rsidR="00D63F8C">
        <w:rPr>
          <w:rFonts w:eastAsia="Malgun Gothic"/>
          <w:snapToGrid w:val="0"/>
          <w:color w:val="000000" w:themeColor="text1"/>
          <w:sz w:val="28"/>
          <w:szCs w:val="28"/>
        </w:rPr>
        <w:t>дленнее, чем предполагал ранее, х</w:t>
      </w:r>
      <w:r w:rsidR="00084118" w:rsidRPr="00084118">
        <w:rPr>
          <w:rFonts w:eastAsia="Malgun Gothic"/>
          <w:snapToGrid w:val="0"/>
          <w:color w:val="000000" w:themeColor="text1"/>
          <w:sz w:val="28"/>
          <w:szCs w:val="28"/>
        </w:rPr>
        <w:t>отя б</w:t>
      </w:r>
      <w:r w:rsidR="00084118" w:rsidRPr="00084118">
        <w:rPr>
          <w:sz w:val="28"/>
          <w:szCs w:val="28"/>
        </w:rPr>
        <w:t xml:space="preserve">изнес по-прежнему испытывает затруднения в производстве и логистике. Однако деловые настроения постепенно улучшаются по мере </w:t>
      </w:r>
      <w:r w:rsidR="00084118" w:rsidRPr="00084118">
        <w:rPr>
          <w:sz w:val="28"/>
          <w:szCs w:val="28"/>
        </w:rPr>
        <w:lastRenderedPageBreak/>
        <w:t>диверсификации поставщиков готовой продукции, сырья и комплектующих, а также рынков сбыта. Потребительская активность остается сдержанной, но начинает восстанавливаться, в том числе в условиях постепенного роста импорта потребительских товаров. При этом сокращение импорта в целом из-за введения внешних торговых и финансовых ограничений по-прежнему существенно опережает снижение экспорта</w:t>
      </w:r>
      <w:r w:rsidR="00084118" w:rsidRPr="00084118">
        <w:rPr>
          <w:rStyle w:val="af1"/>
          <w:rFonts w:eastAsia="Malgun Gothic"/>
          <w:snapToGrid w:val="0"/>
          <w:color w:val="000000" w:themeColor="text1"/>
          <w:sz w:val="28"/>
          <w:szCs w:val="28"/>
        </w:rPr>
        <w:footnoteReference w:id="1"/>
      </w:r>
      <w:r w:rsidR="00084118" w:rsidRPr="00084118">
        <w:rPr>
          <w:sz w:val="28"/>
          <w:szCs w:val="28"/>
        </w:rPr>
        <w:t xml:space="preserve">. </w:t>
      </w:r>
    </w:p>
    <w:p w:rsidR="0027760C" w:rsidRPr="00E8222C" w:rsidRDefault="00084118" w:rsidP="0027760C">
      <w:pPr>
        <w:ind w:firstLine="709"/>
        <w:jc w:val="both"/>
        <w:rPr>
          <w:rFonts w:eastAsia="Malgun Gothic"/>
          <w:snapToGrid w:val="0"/>
          <w:color w:val="000000" w:themeColor="text1"/>
          <w:sz w:val="28"/>
          <w:szCs w:val="28"/>
        </w:rPr>
      </w:pPr>
      <w:r w:rsidRPr="00084118">
        <w:rPr>
          <w:rFonts w:eastAsia="Malgun Gothic"/>
          <w:snapToGrid w:val="0"/>
          <w:color w:val="000000" w:themeColor="text1"/>
          <w:sz w:val="28"/>
          <w:szCs w:val="28"/>
        </w:rPr>
        <w:t>В</w:t>
      </w:r>
      <w:r w:rsidR="00041B5A" w:rsidRPr="00084118">
        <w:rPr>
          <w:rFonts w:eastAsia="Malgun Gothic"/>
          <w:snapToGrid w:val="0"/>
          <w:color w:val="000000" w:themeColor="text1"/>
          <w:sz w:val="28"/>
          <w:szCs w:val="28"/>
        </w:rPr>
        <w:t xml:space="preserve">нешние условия для российской экономики остаются сложными и по-прежнему значительно ограничивают экономическую деятельность. </w:t>
      </w:r>
      <w:r w:rsidR="0027760C" w:rsidRPr="00084118">
        <w:rPr>
          <w:rFonts w:eastAsia="Malgun Gothic"/>
          <w:snapToGrid w:val="0"/>
          <w:color w:val="000000" w:themeColor="text1"/>
          <w:sz w:val="28"/>
          <w:szCs w:val="28"/>
        </w:rPr>
        <w:t>В этих условиях Центральный банк России в июле 2022 года снизил ключевую ставку до 8%, что будет способствовать увеличению доступности кредитных ресурсов в экономике</w:t>
      </w:r>
      <w:r w:rsidR="0027760C" w:rsidRPr="0027760C">
        <w:rPr>
          <w:rFonts w:eastAsia="Malgun Gothic"/>
          <w:snapToGrid w:val="0"/>
          <w:color w:val="000000" w:themeColor="text1"/>
          <w:sz w:val="28"/>
          <w:szCs w:val="28"/>
        </w:rPr>
        <w:t xml:space="preserve"> и</w:t>
      </w:r>
      <w:r w:rsidR="0027760C">
        <w:rPr>
          <w:rFonts w:eastAsia="Malgun Gothic"/>
          <w:snapToGrid w:val="0"/>
          <w:color w:val="000000" w:themeColor="text1"/>
          <w:sz w:val="28"/>
          <w:szCs w:val="28"/>
        </w:rPr>
        <w:t xml:space="preserve"> </w:t>
      </w:r>
      <w:r w:rsidR="0027760C" w:rsidRPr="0027760C">
        <w:rPr>
          <w:rFonts w:eastAsia="Malgun Gothic"/>
          <w:snapToGrid w:val="0"/>
          <w:color w:val="000000" w:themeColor="text1"/>
          <w:sz w:val="28"/>
          <w:szCs w:val="28"/>
        </w:rPr>
        <w:t>ограничит масштаб снижения экономической активности.</w:t>
      </w:r>
    </w:p>
    <w:p w:rsidR="00B902F2" w:rsidRDefault="0027760C" w:rsidP="0027760C">
      <w:pPr>
        <w:ind w:firstLine="709"/>
        <w:jc w:val="both"/>
        <w:rPr>
          <w:rFonts w:eastAsia="Malgun Gothic"/>
          <w:snapToGrid w:val="0"/>
          <w:color w:val="000000" w:themeColor="text1"/>
          <w:sz w:val="28"/>
          <w:szCs w:val="28"/>
        </w:rPr>
      </w:pPr>
      <w:r>
        <w:rPr>
          <w:rFonts w:eastAsia="Malgun Gothic"/>
          <w:snapToGrid w:val="0"/>
          <w:color w:val="000000" w:themeColor="text1"/>
          <w:sz w:val="28"/>
          <w:szCs w:val="28"/>
        </w:rPr>
        <w:t>О</w:t>
      </w:r>
      <w:r w:rsidR="00041B5A" w:rsidRPr="0027760C">
        <w:rPr>
          <w:rFonts w:eastAsia="Malgun Gothic"/>
          <w:snapToGrid w:val="0"/>
          <w:color w:val="000000" w:themeColor="text1"/>
          <w:sz w:val="28"/>
          <w:szCs w:val="28"/>
        </w:rPr>
        <w:t>жидает, что</w:t>
      </w:r>
      <w:r>
        <w:rPr>
          <w:rFonts w:eastAsia="Malgun Gothic"/>
          <w:snapToGrid w:val="0"/>
          <w:color w:val="000000" w:themeColor="text1"/>
          <w:sz w:val="28"/>
          <w:szCs w:val="28"/>
        </w:rPr>
        <w:t xml:space="preserve"> </w:t>
      </w:r>
      <w:r w:rsidR="00041B5A" w:rsidRPr="0027760C">
        <w:rPr>
          <w:rFonts w:eastAsia="Malgun Gothic"/>
          <w:snapToGrid w:val="0"/>
          <w:color w:val="000000" w:themeColor="text1"/>
          <w:sz w:val="28"/>
          <w:szCs w:val="28"/>
        </w:rPr>
        <w:t>к</w:t>
      </w:r>
      <w:r>
        <w:rPr>
          <w:rFonts w:eastAsia="Malgun Gothic"/>
          <w:snapToGrid w:val="0"/>
          <w:color w:val="000000" w:themeColor="text1"/>
          <w:sz w:val="28"/>
          <w:szCs w:val="28"/>
        </w:rPr>
        <w:t xml:space="preserve"> </w:t>
      </w:r>
      <w:r w:rsidR="00041B5A" w:rsidRPr="0027760C">
        <w:rPr>
          <w:rFonts w:eastAsia="Malgun Gothic"/>
          <w:snapToGrid w:val="0"/>
          <w:color w:val="000000" w:themeColor="text1"/>
          <w:sz w:val="28"/>
          <w:szCs w:val="28"/>
        </w:rPr>
        <w:t xml:space="preserve">концу 2022 года годовая инфляция </w:t>
      </w:r>
      <w:r>
        <w:rPr>
          <w:rFonts w:eastAsia="Malgun Gothic"/>
          <w:snapToGrid w:val="0"/>
          <w:color w:val="000000" w:themeColor="text1"/>
          <w:sz w:val="28"/>
          <w:szCs w:val="28"/>
        </w:rPr>
        <w:t xml:space="preserve">замедлится </w:t>
      </w:r>
      <w:r w:rsidR="00041B5A" w:rsidRPr="0027760C">
        <w:rPr>
          <w:rFonts w:eastAsia="Malgun Gothic"/>
          <w:snapToGrid w:val="0"/>
          <w:color w:val="000000" w:themeColor="text1"/>
          <w:sz w:val="28"/>
          <w:szCs w:val="28"/>
        </w:rPr>
        <w:t>до</w:t>
      </w:r>
      <w:r>
        <w:rPr>
          <w:rFonts w:eastAsia="Malgun Gothic"/>
          <w:snapToGrid w:val="0"/>
          <w:color w:val="000000" w:themeColor="text1"/>
          <w:sz w:val="28"/>
          <w:szCs w:val="28"/>
        </w:rPr>
        <w:t xml:space="preserve"> </w:t>
      </w:r>
      <w:r w:rsidR="00041B5A" w:rsidRPr="0027760C">
        <w:rPr>
          <w:rFonts w:eastAsia="Malgun Gothic"/>
          <w:snapToGrid w:val="0"/>
          <w:color w:val="000000" w:themeColor="text1"/>
          <w:sz w:val="28"/>
          <w:szCs w:val="28"/>
        </w:rPr>
        <w:t>12,0–15,0%</w:t>
      </w:r>
      <w:r>
        <w:rPr>
          <w:rFonts w:eastAsia="Malgun Gothic"/>
          <w:snapToGrid w:val="0"/>
          <w:color w:val="000000" w:themeColor="text1"/>
          <w:sz w:val="28"/>
          <w:szCs w:val="28"/>
        </w:rPr>
        <w:t xml:space="preserve"> в годовом исчислении</w:t>
      </w:r>
      <w:r w:rsidR="00041B5A" w:rsidRPr="0027760C">
        <w:rPr>
          <w:rFonts w:eastAsia="Malgun Gothic"/>
          <w:snapToGrid w:val="0"/>
          <w:color w:val="000000" w:themeColor="text1"/>
          <w:sz w:val="28"/>
          <w:szCs w:val="28"/>
        </w:rPr>
        <w:t>.</w:t>
      </w:r>
      <w:r>
        <w:rPr>
          <w:rFonts w:eastAsia="Malgun Gothic"/>
          <w:snapToGrid w:val="0"/>
          <w:color w:val="000000" w:themeColor="text1"/>
          <w:sz w:val="28"/>
          <w:szCs w:val="28"/>
        </w:rPr>
        <w:t xml:space="preserve"> </w:t>
      </w:r>
      <w:r w:rsidR="00041B5A" w:rsidRPr="0027760C">
        <w:rPr>
          <w:rFonts w:eastAsia="Malgun Gothic"/>
          <w:snapToGrid w:val="0"/>
          <w:color w:val="000000" w:themeColor="text1"/>
          <w:sz w:val="28"/>
          <w:szCs w:val="28"/>
        </w:rPr>
        <w:t>Важными факторами для</w:t>
      </w:r>
      <w:r>
        <w:rPr>
          <w:rFonts w:eastAsia="Malgun Gothic"/>
          <w:snapToGrid w:val="0"/>
          <w:color w:val="000000" w:themeColor="text1"/>
          <w:sz w:val="28"/>
          <w:szCs w:val="28"/>
        </w:rPr>
        <w:t xml:space="preserve"> </w:t>
      </w:r>
      <w:r w:rsidR="00041B5A" w:rsidRPr="0027760C">
        <w:rPr>
          <w:rFonts w:eastAsia="Malgun Gothic"/>
          <w:snapToGrid w:val="0"/>
          <w:color w:val="000000" w:themeColor="text1"/>
          <w:sz w:val="28"/>
          <w:szCs w:val="28"/>
        </w:rPr>
        <w:t xml:space="preserve">дальнейшей динамики инфляции станут динамика обменного курса рубля, эффективность процессов </w:t>
      </w:r>
      <w:proofErr w:type="spellStart"/>
      <w:r w:rsidR="00041B5A" w:rsidRPr="0027760C">
        <w:rPr>
          <w:rFonts w:eastAsia="Malgun Gothic"/>
          <w:snapToGrid w:val="0"/>
          <w:color w:val="000000" w:themeColor="text1"/>
          <w:sz w:val="28"/>
          <w:szCs w:val="28"/>
        </w:rPr>
        <w:t>импортозамещения</w:t>
      </w:r>
      <w:proofErr w:type="spellEnd"/>
      <w:r w:rsidR="00041B5A" w:rsidRPr="0027760C">
        <w:rPr>
          <w:rFonts w:eastAsia="Malgun Gothic"/>
          <w:snapToGrid w:val="0"/>
          <w:color w:val="000000" w:themeColor="text1"/>
          <w:sz w:val="28"/>
          <w:szCs w:val="28"/>
        </w:rPr>
        <w:t>, а</w:t>
      </w:r>
      <w:r>
        <w:rPr>
          <w:rFonts w:eastAsia="Malgun Gothic"/>
          <w:snapToGrid w:val="0"/>
          <w:color w:val="000000" w:themeColor="text1"/>
          <w:sz w:val="28"/>
          <w:szCs w:val="28"/>
        </w:rPr>
        <w:t xml:space="preserve"> </w:t>
      </w:r>
      <w:r w:rsidR="00041B5A" w:rsidRPr="0027760C">
        <w:rPr>
          <w:rFonts w:eastAsia="Malgun Gothic"/>
          <w:snapToGrid w:val="0"/>
          <w:color w:val="000000" w:themeColor="text1"/>
          <w:sz w:val="28"/>
          <w:szCs w:val="28"/>
        </w:rPr>
        <w:t>также масштаб и</w:t>
      </w:r>
      <w:r>
        <w:rPr>
          <w:rFonts w:eastAsia="Malgun Gothic"/>
          <w:snapToGrid w:val="0"/>
          <w:color w:val="000000" w:themeColor="text1"/>
          <w:sz w:val="28"/>
          <w:szCs w:val="28"/>
        </w:rPr>
        <w:t xml:space="preserve"> </w:t>
      </w:r>
      <w:r w:rsidR="00041B5A" w:rsidRPr="0027760C">
        <w:rPr>
          <w:rFonts w:eastAsia="Malgun Gothic"/>
          <w:snapToGrid w:val="0"/>
          <w:color w:val="000000" w:themeColor="text1"/>
          <w:sz w:val="28"/>
          <w:szCs w:val="28"/>
        </w:rPr>
        <w:t>скорость восстановления импорта готовых товаров, сырья и</w:t>
      </w:r>
      <w:r>
        <w:rPr>
          <w:rFonts w:eastAsia="Malgun Gothic"/>
          <w:snapToGrid w:val="0"/>
          <w:color w:val="000000" w:themeColor="text1"/>
          <w:sz w:val="28"/>
          <w:szCs w:val="28"/>
        </w:rPr>
        <w:t xml:space="preserve"> </w:t>
      </w:r>
      <w:r w:rsidR="00041B5A" w:rsidRPr="0027760C">
        <w:rPr>
          <w:rFonts w:eastAsia="Malgun Gothic"/>
          <w:snapToGrid w:val="0"/>
          <w:color w:val="000000" w:themeColor="text1"/>
          <w:sz w:val="28"/>
          <w:szCs w:val="28"/>
        </w:rPr>
        <w:t>комплектующих.</w:t>
      </w:r>
      <w:r>
        <w:rPr>
          <w:rFonts w:eastAsia="Malgun Gothic"/>
          <w:snapToGrid w:val="0"/>
          <w:color w:val="000000" w:themeColor="text1"/>
          <w:sz w:val="28"/>
          <w:szCs w:val="28"/>
        </w:rPr>
        <w:t xml:space="preserve"> С</w:t>
      </w:r>
      <w:r w:rsidRPr="0027760C">
        <w:rPr>
          <w:rFonts w:eastAsia="Malgun Gothic"/>
          <w:snapToGrid w:val="0"/>
          <w:color w:val="000000" w:themeColor="text1"/>
          <w:sz w:val="28"/>
          <w:szCs w:val="28"/>
        </w:rPr>
        <w:t>окращение ВВП в 2022 году</w:t>
      </w:r>
      <w:r>
        <w:rPr>
          <w:rFonts w:eastAsia="Malgun Gothic"/>
          <w:snapToGrid w:val="0"/>
          <w:color w:val="000000" w:themeColor="text1"/>
          <w:sz w:val="28"/>
          <w:szCs w:val="28"/>
        </w:rPr>
        <w:t xml:space="preserve"> ожидается на уровне </w:t>
      </w:r>
      <w:r w:rsidRPr="0027760C">
        <w:rPr>
          <w:rFonts w:eastAsia="Malgun Gothic"/>
          <w:snapToGrid w:val="0"/>
          <w:color w:val="000000" w:themeColor="text1"/>
          <w:sz w:val="28"/>
          <w:szCs w:val="28"/>
        </w:rPr>
        <w:t>4,0–6,0%</w:t>
      </w:r>
      <w:r>
        <w:rPr>
          <w:rFonts w:eastAsia="Malgun Gothic"/>
          <w:snapToGrid w:val="0"/>
          <w:color w:val="000000" w:themeColor="text1"/>
          <w:sz w:val="28"/>
          <w:szCs w:val="28"/>
        </w:rPr>
        <w:t xml:space="preserve"> к 2021 году</w:t>
      </w:r>
      <w:proofErr w:type="gramStart"/>
      <w:r w:rsidR="00084118" w:rsidRPr="00084118">
        <w:rPr>
          <w:rFonts w:eastAsia="Malgun Gothic"/>
          <w:snapToGrid w:val="0"/>
          <w:color w:val="000000" w:themeColor="text1"/>
          <w:sz w:val="28"/>
          <w:szCs w:val="28"/>
          <w:vertAlign w:val="superscript"/>
        </w:rPr>
        <w:t>1</w:t>
      </w:r>
      <w:proofErr w:type="gramEnd"/>
      <w:r w:rsidRPr="0027760C">
        <w:rPr>
          <w:rFonts w:eastAsia="Malgun Gothic"/>
          <w:snapToGrid w:val="0"/>
          <w:color w:val="000000" w:themeColor="text1"/>
          <w:sz w:val="28"/>
          <w:szCs w:val="28"/>
        </w:rPr>
        <w:t>.</w:t>
      </w:r>
    </w:p>
    <w:p w:rsidR="000223E2" w:rsidRPr="00966323" w:rsidRDefault="000223E2" w:rsidP="000223E2">
      <w:pPr>
        <w:ind w:firstLine="709"/>
        <w:jc w:val="both"/>
        <w:rPr>
          <w:color w:val="000000" w:themeColor="text1"/>
          <w:sz w:val="28"/>
          <w:szCs w:val="28"/>
        </w:rPr>
      </w:pPr>
      <w:proofErr w:type="gramStart"/>
      <w:r w:rsidRPr="00966323">
        <w:rPr>
          <w:color w:val="000000" w:themeColor="text1"/>
          <w:sz w:val="28"/>
          <w:szCs w:val="28"/>
        </w:rPr>
        <w:t>При прогнозировании макроэкономических индикаторов социально-экономического развития Лени</w:t>
      </w:r>
      <w:r w:rsidR="00966323" w:rsidRPr="00966323">
        <w:rPr>
          <w:color w:val="000000" w:themeColor="text1"/>
          <w:sz w:val="28"/>
          <w:szCs w:val="28"/>
        </w:rPr>
        <w:t>нградской области на период 2023</w:t>
      </w:r>
      <w:r w:rsidRPr="00966323">
        <w:rPr>
          <w:color w:val="000000" w:themeColor="text1"/>
          <w:sz w:val="28"/>
          <w:szCs w:val="28"/>
        </w:rPr>
        <w:t xml:space="preserve"> – 202</w:t>
      </w:r>
      <w:r w:rsidR="00966323" w:rsidRPr="00966323">
        <w:rPr>
          <w:color w:val="000000" w:themeColor="text1"/>
          <w:sz w:val="28"/>
          <w:szCs w:val="28"/>
        </w:rPr>
        <w:t>5</w:t>
      </w:r>
      <w:r w:rsidRPr="00966323">
        <w:rPr>
          <w:color w:val="000000" w:themeColor="text1"/>
          <w:sz w:val="28"/>
          <w:szCs w:val="28"/>
        </w:rPr>
        <w:t xml:space="preserve"> годов было учтено влияние как традиционных, так и новых сформировавшихся </w:t>
      </w:r>
      <w:r w:rsidRPr="00966323">
        <w:rPr>
          <w:color w:val="000000" w:themeColor="text1"/>
          <w:sz w:val="28"/>
          <w:szCs w:val="28"/>
        </w:rPr>
        <w:br/>
        <w:t>в 202</w:t>
      </w:r>
      <w:r w:rsidR="00966323" w:rsidRPr="00966323">
        <w:rPr>
          <w:color w:val="000000" w:themeColor="text1"/>
          <w:sz w:val="28"/>
          <w:szCs w:val="28"/>
        </w:rPr>
        <w:t>2</w:t>
      </w:r>
      <w:r w:rsidRPr="00966323">
        <w:rPr>
          <w:color w:val="000000" w:themeColor="text1"/>
          <w:sz w:val="28"/>
          <w:szCs w:val="28"/>
        </w:rPr>
        <w:t xml:space="preserve"> году внешних и внутренних факторов и ограничений, связанных </w:t>
      </w:r>
      <w:r w:rsidRPr="00966323">
        <w:rPr>
          <w:color w:val="000000" w:themeColor="text1"/>
          <w:sz w:val="28"/>
          <w:szCs w:val="28"/>
        </w:rPr>
        <w:br/>
        <w:t xml:space="preserve">с </w:t>
      </w:r>
      <w:r w:rsidR="00966323" w:rsidRPr="00966323">
        <w:rPr>
          <w:color w:val="000000" w:themeColor="text1"/>
          <w:sz w:val="28"/>
          <w:szCs w:val="28"/>
        </w:rPr>
        <w:t>введением антироссийских санкций</w:t>
      </w:r>
      <w:r w:rsidRPr="00966323">
        <w:rPr>
          <w:color w:val="000000" w:themeColor="text1"/>
          <w:sz w:val="28"/>
          <w:szCs w:val="28"/>
        </w:rPr>
        <w:t xml:space="preserve">, на преодоление которых направлены совместные действия Правительства Ленинградской области, органов исполнительной власти и местного самоуправления Ленинградской области, участников бизнес-сообщества и общественных организаций. </w:t>
      </w:r>
      <w:proofErr w:type="gramEnd"/>
    </w:p>
    <w:p w:rsidR="00966323" w:rsidRDefault="00966323" w:rsidP="00966323">
      <w:pPr>
        <w:shd w:val="clear" w:color="auto" w:fill="FFFFFF" w:themeFill="background1"/>
        <w:ind w:firstLine="709"/>
        <w:jc w:val="both"/>
        <w:rPr>
          <w:bCs/>
          <w:sz w:val="28"/>
          <w:szCs w:val="28"/>
        </w:rPr>
      </w:pPr>
      <w:r w:rsidRPr="00F72216">
        <w:rPr>
          <w:bCs/>
          <w:sz w:val="28"/>
          <w:szCs w:val="28"/>
        </w:rPr>
        <w:t xml:space="preserve">В целях обеспечения социально-экономической стабильности и </w:t>
      </w:r>
      <w:r>
        <w:rPr>
          <w:bCs/>
          <w:sz w:val="28"/>
          <w:szCs w:val="28"/>
        </w:rPr>
        <w:t xml:space="preserve">поддержки бизнеса </w:t>
      </w:r>
      <w:r w:rsidRPr="00F72216">
        <w:rPr>
          <w:bCs/>
          <w:sz w:val="28"/>
          <w:szCs w:val="28"/>
        </w:rPr>
        <w:t>в Ленинградской области</w:t>
      </w:r>
      <w:r>
        <w:rPr>
          <w:bCs/>
          <w:sz w:val="28"/>
          <w:szCs w:val="28"/>
        </w:rPr>
        <w:t>:</w:t>
      </w:r>
    </w:p>
    <w:p w:rsidR="00966323" w:rsidRDefault="00966323" w:rsidP="00966323">
      <w:pPr>
        <w:shd w:val="clear" w:color="auto" w:fill="FFFFFF" w:themeFill="background1"/>
        <w:ind w:firstLine="709"/>
        <w:jc w:val="both"/>
        <w:rPr>
          <w:bCs/>
          <w:sz w:val="28"/>
          <w:szCs w:val="28"/>
        </w:rPr>
      </w:pPr>
      <w:r>
        <w:rPr>
          <w:bCs/>
          <w:sz w:val="28"/>
          <w:szCs w:val="28"/>
        </w:rPr>
        <w:t xml:space="preserve">– действует </w:t>
      </w:r>
      <w:r w:rsidRPr="00F72216">
        <w:rPr>
          <w:bCs/>
          <w:sz w:val="28"/>
          <w:szCs w:val="28"/>
        </w:rPr>
        <w:t>оперативный штаб под председательством Губернатора Ленинградской области А.Ю. Дрозденко</w:t>
      </w:r>
      <w:r>
        <w:rPr>
          <w:bCs/>
          <w:sz w:val="28"/>
          <w:szCs w:val="28"/>
        </w:rPr>
        <w:t>, образованный в соответствии с п</w:t>
      </w:r>
      <w:r w:rsidRPr="00F72216">
        <w:rPr>
          <w:bCs/>
          <w:sz w:val="28"/>
          <w:szCs w:val="28"/>
        </w:rPr>
        <w:t>остановление</w:t>
      </w:r>
      <w:r>
        <w:rPr>
          <w:bCs/>
          <w:sz w:val="28"/>
          <w:szCs w:val="28"/>
        </w:rPr>
        <w:t>м</w:t>
      </w:r>
      <w:r w:rsidRPr="00F72216">
        <w:rPr>
          <w:bCs/>
          <w:sz w:val="28"/>
          <w:szCs w:val="28"/>
        </w:rPr>
        <w:t xml:space="preserve"> Губернатора Ленинградской области от </w:t>
      </w:r>
      <w:r w:rsidR="00D63F8C">
        <w:rPr>
          <w:bCs/>
          <w:sz w:val="28"/>
          <w:szCs w:val="28"/>
        </w:rPr>
        <w:t>0</w:t>
      </w:r>
      <w:r w:rsidRPr="00F72216">
        <w:rPr>
          <w:bCs/>
          <w:sz w:val="28"/>
          <w:szCs w:val="28"/>
        </w:rPr>
        <w:t>3</w:t>
      </w:r>
      <w:r>
        <w:rPr>
          <w:bCs/>
          <w:sz w:val="28"/>
          <w:szCs w:val="28"/>
        </w:rPr>
        <w:t>.03.2022 № 16-пг;</w:t>
      </w:r>
    </w:p>
    <w:p w:rsidR="00966323" w:rsidRPr="00F72216" w:rsidRDefault="00966323" w:rsidP="00966323">
      <w:pPr>
        <w:shd w:val="clear" w:color="auto" w:fill="FFFFFF" w:themeFill="background1"/>
        <w:ind w:firstLine="709"/>
        <w:jc w:val="both"/>
        <w:rPr>
          <w:bCs/>
          <w:sz w:val="28"/>
          <w:szCs w:val="28"/>
        </w:rPr>
      </w:pPr>
      <w:r>
        <w:rPr>
          <w:bCs/>
          <w:sz w:val="28"/>
          <w:szCs w:val="28"/>
        </w:rPr>
        <w:t xml:space="preserve">– разработан и утвержден </w:t>
      </w:r>
      <w:r w:rsidRPr="00F72216">
        <w:rPr>
          <w:bCs/>
          <w:sz w:val="28"/>
          <w:szCs w:val="28"/>
        </w:rPr>
        <w:t>План реализации региональных первоочередных мер по обеспечению устойчивого развития экономики и социальной сферы Ленинградской области</w:t>
      </w:r>
      <w:r>
        <w:rPr>
          <w:bCs/>
          <w:sz w:val="28"/>
          <w:szCs w:val="28"/>
        </w:rPr>
        <w:t xml:space="preserve"> (</w:t>
      </w:r>
      <w:r w:rsidRPr="00F72216">
        <w:rPr>
          <w:bCs/>
          <w:sz w:val="28"/>
          <w:szCs w:val="28"/>
        </w:rPr>
        <w:t>распоряжение Губернатора Ленинградской области от 15 апреля 2022 года № 244-рг</w:t>
      </w:r>
      <w:r>
        <w:rPr>
          <w:bCs/>
          <w:sz w:val="28"/>
          <w:szCs w:val="28"/>
        </w:rPr>
        <w:t>).</w:t>
      </w:r>
    </w:p>
    <w:p w:rsidR="00DA0E31" w:rsidRPr="00DA0E31" w:rsidRDefault="00DA0E31" w:rsidP="00DA0E31">
      <w:pPr>
        <w:ind w:firstLine="709"/>
        <w:jc w:val="both"/>
        <w:rPr>
          <w:color w:val="000000" w:themeColor="text1"/>
          <w:sz w:val="28"/>
          <w:szCs w:val="28"/>
        </w:rPr>
      </w:pPr>
      <w:r w:rsidRPr="00DA0E31">
        <w:rPr>
          <w:color w:val="000000" w:themeColor="text1"/>
          <w:sz w:val="28"/>
          <w:szCs w:val="28"/>
        </w:rPr>
        <w:t>На период 2023 – 2025 годов сохранится влияние традиционных внешних факторов развития Ленинградской области:</w:t>
      </w:r>
    </w:p>
    <w:p w:rsidR="00DA0E31" w:rsidRPr="00DA0E31" w:rsidRDefault="00D63F8C" w:rsidP="00DA0E31">
      <w:pPr>
        <w:ind w:firstLine="709"/>
        <w:jc w:val="both"/>
        <w:rPr>
          <w:color w:val="000000" w:themeColor="text1"/>
          <w:sz w:val="28"/>
          <w:szCs w:val="28"/>
        </w:rPr>
      </w:pPr>
      <w:r>
        <w:rPr>
          <w:bCs/>
          <w:sz w:val="28"/>
          <w:szCs w:val="28"/>
        </w:rPr>
        <w:t xml:space="preserve">– </w:t>
      </w:r>
      <w:r w:rsidR="00DA0E31" w:rsidRPr="00DA0E31">
        <w:rPr>
          <w:color w:val="000000" w:themeColor="text1"/>
          <w:sz w:val="28"/>
          <w:szCs w:val="28"/>
        </w:rPr>
        <w:t>несбалансированность системы расселения и мест приложения труда на территории Санкт-Петербурга и Ленинградской области;</w:t>
      </w:r>
    </w:p>
    <w:p w:rsidR="00DA0E31" w:rsidRPr="00DA0E31" w:rsidRDefault="00D63F8C" w:rsidP="00DA0E31">
      <w:pPr>
        <w:ind w:firstLine="709"/>
        <w:jc w:val="both"/>
        <w:rPr>
          <w:color w:val="000000" w:themeColor="text1"/>
          <w:sz w:val="28"/>
          <w:szCs w:val="28"/>
        </w:rPr>
      </w:pPr>
      <w:r>
        <w:rPr>
          <w:bCs/>
          <w:sz w:val="28"/>
          <w:szCs w:val="28"/>
        </w:rPr>
        <w:t xml:space="preserve">– </w:t>
      </w:r>
      <w:r w:rsidR="00DA0E31" w:rsidRPr="00DA0E31">
        <w:rPr>
          <w:color w:val="000000" w:themeColor="text1"/>
          <w:sz w:val="28"/>
          <w:szCs w:val="28"/>
        </w:rPr>
        <w:t>сохранение высокой доли инвестиционных вложений в инфраструктурные отрасли экономики.</w:t>
      </w:r>
    </w:p>
    <w:p w:rsidR="000223E2" w:rsidRPr="00DA0E31" w:rsidRDefault="00D63F8C" w:rsidP="000223E2">
      <w:pPr>
        <w:ind w:firstLine="709"/>
        <w:jc w:val="both"/>
        <w:rPr>
          <w:color w:val="000000" w:themeColor="text1"/>
          <w:sz w:val="28"/>
          <w:szCs w:val="28"/>
        </w:rPr>
      </w:pPr>
      <w:r>
        <w:rPr>
          <w:color w:val="000000" w:themeColor="text1"/>
          <w:sz w:val="28"/>
          <w:szCs w:val="28"/>
        </w:rPr>
        <w:t>Так</w:t>
      </w:r>
      <w:r w:rsidR="00DA0E31">
        <w:rPr>
          <w:color w:val="000000" w:themeColor="text1"/>
          <w:sz w:val="28"/>
          <w:szCs w:val="28"/>
        </w:rPr>
        <w:t>же к уже</w:t>
      </w:r>
      <w:r w:rsidR="00DA0E31" w:rsidRPr="00DA0E31">
        <w:rPr>
          <w:color w:val="000000" w:themeColor="text1"/>
          <w:sz w:val="28"/>
          <w:szCs w:val="28"/>
        </w:rPr>
        <w:t xml:space="preserve"> традиционным факторам </w:t>
      </w:r>
      <w:r w:rsidR="00DA0E31">
        <w:rPr>
          <w:color w:val="000000" w:themeColor="text1"/>
          <w:sz w:val="28"/>
          <w:szCs w:val="28"/>
        </w:rPr>
        <w:t>внешнего влияния можно отнести эпидемиологические рис</w:t>
      </w:r>
      <w:r w:rsidR="00344FE9">
        <w:rPr>
          <w:color w:val="000000" w:themeColor="text1"/>
          <w:sz w:val="28"/>
          <w:szCs w:val="28"/>
        </w:rPr>
        <w:t xml:space="preserve">ки распространения новых штаммов коронавирусной </w:t>
      </w:r>
      <w:r w:rsidR="00344FE9">
        <w:rPr>
          <w:color w:val="000000" w:themeColor="text1"/>
          <w:sz w:val="28"/>
          <w:szCs w:val="28"/>
        </w:rPr>
        <w:lastRenderedPageBreak/>
        <w:t>инфекции, которые могут привести к необходимости принятия и введения ограничений по предотвращению их распространения.</w:t>
      </w:r>
    </w:p>
    <w:p w:rsidR="00440F00" w:rsidRDefault="000223E2" w:rsidP="000223E2">
      <w:pPr>
        <w:ind w:firstLine="709"/>
        <w:jc w:val="both"/>
        <w:rPr>
          <w:rFonts w:eastAsia="Malgun Gothic"/>
          <w:snapToGrid w:val="0"/>
          <w:color w:val="000000" w:themeColor="text1"/>
          <w:sz w:val="28"/>
          <w:szCs w:val="28"/>
        </w:rPr>
      </w:pPr>
      <w:r w:rsidRPr="00440F00">
        <w:rPr>
          <w:rFonts w:eastAsia="Malgun Gothic"/>
          <w:snapToGrid w:val="0"/>
          <w:color w:val="000000" w:themeColor="text1"/>
          <w:sz w:val="28"/>
          <w:szCs w:val="28"/>
        </w:rPr>
        <w:t xml:space="preserve">К внутренним факторам развития Ленинградской области </w:t>
      </w:r>
      <w:r w:rsidR="00440F00" w:rsidRPr="00440F00">
        <w:rPr>
          <w:rFonts w:eastAsia="Malgun Gothic"/>
          <w:snapToGrid w:val="0"/>
          <w:color w:val="000000" w:themeColor="text1"/>
          <w:sz w:val="28"/>
          <w:szCs w:val="28"/>
        </w:rPr>
        <w:t>после введения антироссийских санкций относится</w:t>
      </w:r>
      <w:r w:rsidR="00344FE9" w:rsidRPr="00440F00">
        <w:rPr>
          <w:rFonts w:eastAsia="Malgun Gothic"/>
          <w:snapToGrid w:val="0"/>
          <w:color w:val="000000" w:themeColor="text1"/>
          <w:sz w:val="28"/>
          <w:szCs w:val="28"/>
        </w:rPr>
        <w:t xml:space="preserve"> необходимость реализации в полном объеме запланированных мер поддержки крупного и среднего бизнеса, инвесторов, малого и индивидуального предпринимательства, </w:t>
      </w:r>
      <w:proofErr w:type="spellStart"/>
      <w:r w:rsidR="00440F00" w:rsidRPr="00440F00">
        <w:rPr>
          <w:rFonts w:eastAsia="Malgun Gothic"/>
          <w:snapToGrid w:val="0"/>
          <w:color w:val="000000" w:themeColor="text1"/>
          <w:sz w:val="28"/>
          <w:szCs w:val="28"/>
        </w:rPr>
        <w:t>самозанятых</w:t>
      </w:r>
      <w:proofErr w:type="spellEnd"/>
      <w:r w:rsidR="00440F00" w:rsidRPr="00440F00">
        <w:rPr>
          <w:rFonts w:eastAsia="Malgun Gothic"/>
          <w:snapToGrid w:val="0"/>
          <w:color w:val="000000" w:themeColor="text1"/>
          <w:sz w:val="28"/>
          <w:szCs w:val="28"/>
        </w:rPr>
        <w:t xml:space="preserve"> и жителей Ленинградской области.  </w:t>
      </w:r>
    </w:p>
    <w:p w:rsidR="00344FE9" w:rsidRPr="00440F00" w:rsidRDefault="00440F00" w:rsidP="000223E2">
      <w:pPr>
        <w:ind w:firstLine="709"/>
        <w:jc w:val="both"/>
        <w:rPr>
          <w:rFonts w:eastAsia="Malgun Gothic"/>
          <w:snapToGrid w:val="0"/>
          <w:color w:val="000000" w:themeColor="text1"/>
          <w:sz w:val="28"/>
          <w:szCs w:val="28"/>
        </w:rPr>
      </w:pPr>
      <w:r>
        <w:rPr>
          <w:rFonts w:eastAsia="Malgun Gothic"/>
          <w:snapToGrid w:val="0"/>
          <w:color w:val="000000" w:themeColor="text1"/>
          <w:sz w:val="28"/>
          <w:szCs w:val="28"/>
        </w:rPr>
        <w:t xml:space="preserve">В условиях снижения объемов производства, вызванных разрывом (или приостановкой) производственных процессов и транспортно-логистических цепочек, происходит сжимание доходной части бюджета, что приводит к необходимости пересмотра расходной части с условием полного </w:t>
      </w:r>
      <w:r w:rsidRPr="00440F00">
        <w:rPr>
          <w:rFonts w:eastAsia="Malgun Gothic"/>
          <w:snapToGrid w:val="0"/>
          <w:color w:val="000000" w:themeColor="text1"/>
          <w:sz w:val="28"/>
          <w:szCs w:val="28"/>
        </w:rPr>
        <w:t>выполнения социальных обязательств перед жителями Ленинградской области и обеспечени</w:t>
      </w:r>
      <w:r w:rsidR="0054252B">
        <w:rPr>
          <w:rFonts w:eastAsia="Malgun Gothic"/>
          <w:snapToGrid w:val="0"/>
          <w:color w:val="000000" w:themeColor="text1"/>
          <w:sz w:val="28"/>
          <w:szCs w:val="28"/>
        </w:rPr>
        <w:t>я</w:t>
      </w:r>
      <w:r w:rsidRPr="00440F00">
        <w:rPr>
          <w:rFonts w:eastAsia="Malgun Gothic"/>
          <w:snapToGrid w:val="0"/>
          <w:color w:val="000000" w:themeColor="text1"/>
          <w:sz w:val="28"/>
          <w:szCs w:val="28"/>
        </w:rPr>
        <w:t xml:space="preserve"> расходов по мерам поддержки льготных категорий населения.</w:t>
      </w:r>
    </w:p>
    <w:p w:rsidR="000223E2" w:rsidRPr="004A2399" w:rsidRDefault="000223E2" w:rsidP="000223E2">
      <w:pPr>
        <w:ind w:firstLine="709"/>
        <w:jc w:val="both"/>
        <w:rPr>
          <w:rFonts w:eastAsia="Malgun Gothic"/>
          <w:snapToGrid w:val="0"/>
          <w:color w:val="000000" w:themeColor="text1"/>
          <w:sz w:val="28"/>
          <w:szCs w:val="28"/>
        </w:rPr>
      </w:pPr>
      <w:r w:rsidRPr="004A2399">
        <w:rPr>
          <w:rFonts w:eastAsia="Malgun Gothic"/>
          <w:snapToGrid w:val="0"/>
          <w:color w:val="000000" w:themeColor="text1"/>
          <w:sz w:val="28"/>
          <w:szCs w:val="28"/>
        </w:rPr>
        <w:t>На территории Ленинградской области сохраняется дисбаланс системы расселения</w:t>
      </w:r>
      <w:r w:rsidR="004A2399" w:rsidRPr="004A2399">
        <w:rPr>
          <w:rFonts w:eastAsia="Malgun Gothic"/>
          <w:snapToGrid w:val="0"/>
          <w:color w:val="000000" w:themeColor="text1"/>
          <w:sz w:val="28"/>
          <w:szCs w:val="28"/>
        </w:rPr>
        <w:t xml:space="preserve"> населения и размещения производства</w:t>
      </w:r>
      <w:r w:rsidRPr="004A2399">
        <w:rPr>
          <w:rFonts w:eastAsia="Malgun Gothic"/>
          <w:snapToGrid w:val="0"/>
          <w:color w:val="000000" w:themeColor="text1"/>
          <w:sz w:val="28"/>
          <w:szCs w:val="28"/>
        </w:rPr>
        <w:t>, неравномерное развитие муниципальных образований. В муниципальных районах</w:t>
      </w:r>
      <w:r w:rsidR="004A2399" w:rsidRPr="004A2399">
        <w:rPr>
          <w:rFonts w:eastAsia="Malgun Gothic"/>
          <w:snapToGrid w:val="0"/>
          <w:color w:val="000000" w:themeColor="text1"/>
          <w:sz w:val="28"/>
          <w:szCs w:val="28"/>
        </w:rPr>
        <w:t xml:space="preserve"> с низким производственным потенциалом</w:t>
      </w:r>
      <w:r w:rsidRPr="004A2399">
        <w:rPr>
          <w:rFonts w:eastAsia="Malgun Gothic"/>
          <w:snapToGrid w:val="0"/>
          <w:color w:val="000000" w:themeColor="text1"/>
          <w:sz w:val="28"/>
          <w:szCs w:val="28"/>
        </w:rPr>
        <w:t>, где происходит убыль населения</w:t>
      </w:r>
      <w:r w:rsidR="004A2399" w:rsidRPr="004A2399">
        <w:rPr>
          <w:rFonts w:eastAsia="Malgun Gothic"/>
          <w:snapToGrid w:val="0"/>
          <w:color w:val="000000" w:themeColor="text1"/>
          <w:sz w:val="28"/>
          <w:szCs w:val="28"/>
        </w:rPr>
        <w:t>,</w:t>
      </w:r>
      <w:r w:rsidRPr="004A2399">
        <w:rPr>
          <w:rFonts w:eastAsia="Malgun Gothic"/>
          <w:snapToGrid w:val="0"/>
          <w:color w:val="000000" w:themeColor="text1"/>
          <w:sz w:val="28"/>
          <w:szCs w:val="28"/>
        </w:rPr>
        <w:t xml:space="preserve"> рост бюджетного дефицита, существуют риски снижения экономической и социальной устойчивости, инвестиционной активности, показателей качества жизни населения.</w:t>
      </w:r>
    </w:p>
    <w:p w:rsidR="004A2399" w:rsidRDefault="004A2399" w:rsidP="000223E2">
      <w:pPr>
        <w:ind w:firstLine="709"/>
        <w:jc w:val="both"/>
        <w:rPr>
          <w:rFonts w:eastAsia="Malgun Gothic"/>
          <w:snapToGrid w:val="0"/>
          <w:color w:val="000000" w:themeColor="text1"/>
          <w:sz w:val="28"/>
          <w:szCs w:val="28"/>
        </w:rPr>
      </w:pPr>
      <w:r w:rsidRPr="004A2399">
        <w:rPr>
          <w:rFonts w:eastAsia="Malgun Gothic"/>
          <w:snapToGrid w:val="0"/>
          <w:color w:val="000000" w:themeColor="text1"/>
          <w:sz w:val="28"/>
          <w:szCs w:val="28"/>
        </w:rPr>
        <w:t xml:space="preserve">Несмотря на новые и традиционные </w:t>
      </w:r>
      <w:r w:rsidR="000223E2" w:rsidRPr="004A2399">
        <w:rPr>
          <w:rFonts w:eastAsia="Malgun Gothic"/>
          <w:snapToGrid w:val="0"/>
          <w:color w:val="000000" w:themeColor="text1"/>
          <w:sz w:val="28"/>
          <w:szCs w:val="28"/>
        </w:rPr>
        <w:t>системны</w:t>
      </w:r>
      <w:r w:rsidRPr="004A2399">
        <w:rPr>
          <w:rFonts w:eastAsia="Malgun Gothic"/>
          <w:snapToGrid w:val="0"/>
          <w:color w:val="000000" w:themeColor="text1"/>
          <w:sz w:val="28"/>
          <w:szCs w:val="28"/>
        </w:rPr>
        <w:t>е</w:t>
      </w:r>
      <w:r w:rsidR="000223E2" w:rsidRPr="004A2399">
        <w:rPr>
          <w:rFonts w:eastAsia="Malgun Gothic"/>
          <w:snapToGrid w:val="0"/>
          <w:color w:val="000000" w:themeColor="text1"/>
          <w:sz w:val="28"/>
          <w:szCs w:val="28"/>
        </w:rPr>
        <w:t xml:space="preserve"> внешни</w:t>
      </w:r>
      <w:r w:rsidRPr="004A2399">
        <w:rPr>
          <w:rFonts w:eastAsia="Malgun Gothic"/>
          <w:snapToGrid w:val="0"/>
          <w:color w:val="000000" w:themeColor="text1"/>
          <w:sz w:val="28"/>
          <w:szCs w:val="28"/>
        </w:rPr>
        <w:t>е</w:t>
      </w:r>
      <w:r w:rsidR="000223E2" w:rsidRPr="004A2399">
        <w:rPr>
          <w:rFonts w:eastAsia="Malgun Gothic"/>
          <w:snapToGrid w:val="0"/>
          <w:color w:val="000000" w:themeColor="text1"/>
          <w:sz w:val="28"/>
          <w:szCs w:val="28"/>
        </w:rPr>
        <w:t xml:space="preserve"> и внутренни</w:t>
      </w:r>
      <w:r w:rsidRPr="004A2399">
        <w:rPr>
          <w:rFonts w:eastAsia="Malgun Gothic"/>
          <w:snapToGrid w:val="0"/>
          <w:color w:val="000000" w:themeColor="text1"/>
          <w:sz w:val="28"/>
          <w:szCs w:val="28"/>
        </w:rPr>
        <w:t>е</w:t>
      </w:r>
      <w:r w:rsidR="000223E2" w:rsidRPr="004A2399">
        <w:rPr>
          <w:rFonts w:eastAsia="Malgun Gothic"/>
          <w:snapToGrid w:val="0"/>
          <w:color w:val="000000" w:themeColor="text1"/>
          <w:sz w:val="28"/>
          <w:szCs w:val="28"/>
        </w:rPr>
        <w:t xml:space="preserve"> </w:t>
      </w:r>
      <w:r w:rsidRPr="004A2399">
        <w:rPr>
          <w:rFonts w:eastAsia="Malgun Gothic"/>
          <w:snapToGrid w:val="0"/>
          <w:color w:val="000000" w:themeColor="text1"/>
          <w:sz w:val="28"/>
          <w:szCs w:val="28"/>
        </w:rPr>
        <w:t xml:space="preserve">риски, главная цель развития Ленинградской области остается неизменной </w:t>
      </w:r>
      <w:proofErr w:type="gramStart"/>
      <w:r w:rsidRPr="004A2399">
        <w:rPr>
          <w:rFonts w:eastAsia="Malgun Gothic"/>
          <w:snapToGrid w:val="0"/>
          <w:color w:val="000000" w:themeColor="text1"/>
          <w:sz w:val="28"/>
          <w:szCs w:val="28"/>
        </w:rPr>
        <w:t>–о</w:t>
      </w:r>
      <w:proofErr w:type="gramEnd"/>
      <w:r w:rsidRPr="004A2399">
        <w:rPr>
          <w:rFonts w:eastAsia="Malgun Gothic"/>
          <w:snapToGrid w:val="0"/>
          <w:color w:val="000000" w:themeColor="text1"/>
          <w:sz w:val="28"/>
          <w:szCs w:val="28"/>
        </w:rPr>
        <w:t>беспечение устойчивого экономического роста и улучшение качества жизни населения региона</w:t>
      </w:r>
      <w:r w:rsidR="009A08E0">
        <w:rPr>
          <w:rStyle w:val="af1"/>
          <w:rFonts w:eastAsia="Malgun Gothic"/>
          <w:snapToGrid w:val="0"/>
          <w:color w:val="000000" w:themeColor="text1"/>
          <w:sz w:val="28"/>
          <w:szCs w:val="28"/>
        </w:rPr>
        <w:footnoteReference w:id="2"/>
      </w:r>
      <w:r w:rsidRPr="004A2399">
        <w:rPr>
          <w:rFonts w:eastAsia="Malgun Gothic"/>
          <w:snapToGrid w:val="0"/>
          <w:color w:val="000000" w:themeColor="text1"/>
          <w:sz w:val="28"/>
          <w:szCs w:val="28"/>
        </w:rPr>
        <w:t>.</w:t>
      </w:r>
      <w:r w:rsidR="009A08E0">
        <w:rPr>
          <w:rFonts w:eastAsia="Malgun Gothic"/>
          <w:snapToGrid w:val="0"/>
          <w:color w:val="000000" w:themeColor="text1"/>
          <w:sz w:val="28"/>
          <w:szCs w:val="28"/>
        </w:rPr>
        <w:t xml:space="preserve"> </w:t>
      </w:r>
    </w:p>
    <w:p w:rsidR="008337D8" w:rsidRPr="008337D8" w:rsidRDefault="008337D8" w:rsidP="004A2399">
      <w:pPr>
        <w:ind w:firstLine="709"/>
        <w:jc w:val="both"/>
        <w:rPr>
          <w:color w:val="000000" w:themeColor="text1"/>
          <w:sz w:val="28"/>
          <w:szCs w:val="28"/>
        </w:rPr>
      </w:pPr>
      <w:proofErr w:type="gramStart"/>
      <w:r w:rsidRPr="004A2399">
        <w:rPr>
          <w:rFonts w:eastAsia="Malgun Gothic"/>
          <w:snapToGrid w:val="0"/>
          <w:color w:val="000000" w:themeColor="text1"/>
          <w:sz w:val="28"/>
          <w:szCs w:val="28"/>
        </w:rPr>
        <w:t xml:space="preserve">Изменение сценарных условий функционирования экономики России </w:t>
      </w:r>
      <w:r w:rsidRPr="004A2399">
        <w:rPr>
          <w:rFonts w:eastAsia="Malgun Gothic"/>
          <w:snapToGrid w:val="0"/>
          <w:color w:val="000000" w:themeColor="text1"/>
          <w:sz w:val="28"/>
          <w:szCs w:val="28"/>
        </w:rPr>
        <w:br/>
        <w:t xml:space="preserve">в зависимости от внешних и внутренних условий развития, экономических </w:t>
      </w:r>
      <w:r w:rsidRPr="004A2399">
        <w:rPr>
          <w:rFonts w:eastAsia="Malgun Gothic"/>
          <w:snapToGrid w:val="0"/>
          <w:color w:val="000000" w:themeColor="text1"/>
          <w:sz w:val="28"/>
          <w:szCs w:val="28"/>
        </w:rPr>
        <w:br/>
        <w:t>и эпидемиологических факторов, сложившаяся текущая социально-экономическая ситуация</w:t>
      </w:r>
      <w:r w:rsidRPr="008337D8">
        <w:rPr>
          <w:color w:val="000000" w:themeColor="text1"/>
          <w:sz w:val="28"/>
          <w:szCs w:val="28"/>
        </w:rPr>
        <w:t xml:space="preserve"> в Ленинградской области и результаты мониторинга ключевых показателей социально-экономического развития Ленинградской области привели к необходимости значительного уточнения и актуализации прогнозных показателей социально-экономического развития Ленинградской области на 2022</w:t>
      </w:r>
      <w:r>
        <w:rPr>
          <w:color w:val="000000" w:themeColor="text1"/>
          <w:sz w:val="28"/>
          <w:szCs w:val="28"/>
        </w:rPr>
        <w:t>-</w:t>
      </w:r>
      <w:r w:rsidRPr="008337D8">
        <w:rPr>
          <w:color w:val="000000" w:themeColor="text1"/>
          <w:sz w:val="28"/>
          <w:szCs w:val="28"/>
        </w:rPr>
        <w:t>2024 год</w:t>
      </w:r>
      <w:r>
        <w:rPr>
          <w:color w:val="000000" w:themeColor="text1"/>
          <w:sz w:val="28"/>
          <w:szCs w:val="28"/>
        </w:rPr>
        <w:t>ы</w:t>
      </w:r>
      <w:r w:rsidRPr="008337D8">
        <w:rPr>
          <w:color w:val="000000" w:themeColor="text1"/>
          <w:sz w:val="28"/>
          <w:szCs w:val="28"/>
        </w:rPr>
        <w:t>, разработанных в 202</w:t>
      </w:r>
      <w:r>
        <w:rPr>
          <w:color w:val="000000" w:themeColor="text1"/>
          <w:sz w:val="28"/>
          <w:szCs w:val="28"/>
        </w:rPr>
        <w:t>1</w:t>
      </w:r>
      <w:r w:rsidRPr="008337D8">
        <w:rPr>
          <w:color w:val="000000" w:themeColor="text1"/>
          <w:sz w:val="28"/>
          <w:szCs w:val="28"/>
        </w:rPr>
        <w:t xml:space="preserve"> году в рамках прогноза социально-экономического развития Ленинградской</w:t>
      </w:r>
      <w:proofErr w:type="gramEnd"/>
      <w:r w:rsidRPr="008337D8">
        <w:rPr>
          <w:color w:val="000000" w:themeColor="text1"/>
          <w:sz w:val="28"/>
          <w:szCs w:val="28"/>
        </w:rPr>
        <w:t xml:space="preserve"> области на 202</w:t>
      </w:r>
      <w:r>
        <w:rPr>
          <w:color w:val="000000" w:themeColor="text1"/>
          <w:sz w:val="28"/>
          <w:szCs w:val="28"/>
        </w:rPr>
        <w:t>2</w:t>
      </w:r>
      <w:r w:rsidRPr="008337D8">
        <w:rPr>
          <w:color w:val="000000" w:themeColor="text1"/>
          <w:sz w:val="28"/>
          <w:szCs w:val="28"/>
        </w:rPr>
        <w:t>-202</w:t>
      </w:r>
      <w:r>
        <w:rPr>
          <w:color w:val="000000" w:themeColor="text1"/>
          <w:sz w:val="28"/>
          <w:szCs w:val="28"/>
        </w:rPr>
        <w:t>4</w:t>
      </w:r>
      <w:r w:rsidRPr="008337D8">
        <w:rPr>
          <w:color w:val="000000" w:themeColor="text1"/>
          <w:sz w:val="28"/>
          <w:szCs w:val="28"/>
        </w:rPr>
        <w:t xml:space="preserve"> годы (распоряжение Правительства Ленинградской области от 11.10.2021 № 600-р). </w:t>
      </w:r>
    </w:p>
    <w:p w:rsidR="008337D8" w:rsidRPr="008337D8" w:rsidRDefault="008337D8" w:rsidP="008337D8">
      <w:pPr>
        <w:shd w:val="clear" w:color="auto" w:fill="FFFFFF" w:themeFill="background1"/>
        <w:ind w:firstLine="709"/>
        <w:jc w:val="both"/>
        <w:rPr>
          <w:color w:val="000000" w:themeColor="text1"/>
          <w:sz w:val="28"/>
          <w:szCs w:val="28"/>
        </w:rPr>
      </w:pPr>
      <w:r w:rsidRPr="008337D8">
        <w:rPr>
          <w:color w:val="000000" w:themeColor="text1"/>
          <w:sz w:val="28"/>
          <w:szCs w:val="28"/>
        </w:rPr>
        <w:t xml:space="preserve">Актуальные параметры прогноза социально-экономического развития Ленинградской области на среднесрочный период позволяют адекватно отразить складывающиеся в 2022 году тенденции и оценивать перспективы, динамику </w:t>
      </w:r>
      <w:r w:rsidRPr="008337D8">
        <w:rPr>
          <w:color w:val="000000" w:themeColor="text1"/>
          <w:sz w:val="28"/>
          <w:szCs w:val="28"/>
        </w:rPr>
        <w:br/>
        <w:t>и направления развития региона на среднесрочный период.</w:t>
      </w:r>
    </w:p>
    <w:p w:rsidR="00191FBA" w:rsidRPr="008B5E95" w:rsidRDefault="00191FBA" w:rsidP="00191FBA">
      <w:pPr>
        <w:shd w:val="clear" w:color="auto" w:fill="FFFFFF" w:themeFill="background1"/>
        <w:ind w:firstLine="709"/>
        <w:jc w:val="both"/>
        <w:rPr>
          <w:sz w:val="28"/>
          <w:szCs w:val="28"/>
        </w:rPr>
      </w:pPr>
      <w:r w:rsidRPr="008B5E95">
        <w:rPr>
          <w:sz w:val="28"/>
          <w:szCs w:val="28"/>
        </w:rPr>
        <w:t xml:space="preserve">Прогноз социально-экономического развития Ленинградской области </w:t>
      </w:r>
      <w:r w:rsidRPr="008B5E95">
        <w:rPr>
          <w:sz w:val="28"/>
          <w:szCs w:val="28"/>
        </w:rPr>
        <w:br/>
        <w:t xml:space="preserve">на 2023-2025 годы разработан в 2-х сопоставимых </w:t>
      </w:r>
      <w:r w:rsidR="008337D8">
        <w:rPr>
          <w:sz w:val="28"/>
          <w:szCs w:val="28"/>
        </w:rPr>
        <w:t xml:space="preserve">с Российской Федерацией </w:t>
      </w:r>
      <w:r w:rsidRPr="008B5E95">
        <w:rPr>
          <w:sz w:val="28"/>
          <w:szCs w:val="28"/>
        </w:rPr>
        <w:t>вариантах.</w:t>
      </w:r>
    </w:p>
    <w:p w:rsidR="00191FBA" w:rsidRPr="00191FBA" w:rsidRDefault="00191FBA" w:rsidP="00191FBA">
      <w:pPr>
        <w:shd w:val="clear" w:color="auto" w:fill="FFFFFF" w:themeFill="background1"/>
        <w:ind w:firstLine="709"/>
        <w:jc w:val="both"/>
        <w:rPr>
          <w:b/>
          <w:sz w:val="20"/>
          <w:szCs w:val="28"/>
        </w:rPr>
      </w:pPr>
    </w:p>
    <w:p w:rsidR="00191FBA" w:rsidRPr="00191FBA" w:rsidRDefault="00191FBA" w:rsidP="0050653D">
      <w:pPr>
        <w:shd w:val="clear" w:color="auto" w:fill="FFFFFF" w:themeFill="background1"/>
        <w:ind w:right="-5"/>
        <w:jc w:val="center"/>
        <w:rPr>
          <w:sz w:val="28"/>
          <w:szCs w:val="28"/>
        </w:rPr>
      </w:pPr>
      <w:r w:rsidRPr="00191FBA">
        <w:rPr>
          <w:sz w:val="28"/>
          <w:szCs w:val="28"/>
        </w:rPr>
        <w:lastRenderedPageBreak/>
        <w:t>Основные показатели прогноза социально-экономического развития Ленинградской области на 2023-2025 годы</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1469"/>
        <w:gridCol w:w="1303"/>
        <w:gridCol w:w="1140"/>
        <w:gridCol w:w="1105"/>
        <w:gridCol w:w="1121"/>
      </w:tblGrid>
      <w:tr w:rsidR="00191FBA" w:rsidRPr="00191FBA" w:rsidTr="00191FBA">
        <w:trPr>
          <w:trHeight w:val="170"/>
          <w:tblHeader/>
          <w:jc w:val="center"/>
        </w:trPr>
        <w:tc>
          <w:tcPr>
            <w:tcW w:w="4075" w:type="dxa"/>
            <w:vMerge w:val="restart"/>
            <w:shd w:val="clear" w:color="auto" w:fill="auto"/>
            <w:vAlign w:val="center"/>
          </w:tcPr>
          <w:p w:rsidR="00191FBA" w:rsidRPr="008B5E95" w:rsidRDefault="00191FBA" w:rsidP="00191FBA">
            <w:pPr>
              <w:shd w:val="clear" w:color="auto" w:fill="FFFFFF" w:themeFill="background1"/>
              <w:jc w:val="center"/>
              <w:rPr>
                <w:bCs/>
              </w:rPr>
            </w:pPr>
            <w:r w:rsidRPr="008B5E95">
              <w:rPr>
                <w:bCs/>
              </w:rPr>
              <w:t>Наименование показателя</w:t>
            </w:r>
          </w:p>
        </w:tc>
        <w:tc>
          <w:tcPr>
            <w:tcW w:w="1469" w:type="dxa"/>
            <w:vMerge w:val="restart"/>
            <w:shd w:val="clear" w:color="auto" w:fill="auto"/>
            <w:vAlign w:val="center"/>
          </w:tcPr>
          <w:p w:rsidR="00191FBA" w:rsidRPr="008B5E95" w:rsidRDefault="00191FBA" w:rsidP="00191FBA">
            <w:pPr>
              <w:shd w:val="clear" w:color="auto" w:fill="FFFFFF" w:themeFill="background1"/>
              <w:jc w:val="center"/>
            </w:pPr>
            <w:r w:rsidRPr="008B5E95">
              <w:t>2021</w:t>
            </w:r>
          </w:p>
          <w:p w:rsidR="00191FBA" w:rsidRPr="008B5E95" w:rsidRDefault="00191FBA" w:rsidP="00191FBA">
            <w:pPr>
              <w:shd w:val="clear" w:color="auto" w:fill="FFFFFF" w:themeFill="background1"/>
              <w:jc w:val="center"/>
            </w:pPr>
            <w:r w:rsidRPr="008B5E95">
              <w:t>отчет</w:t>
            </w:r>
          </w:p>
        </w:tc>
        <w:tc>
          <w:tcPr>
            <w:tcW w:w="1303" w:type="dxa"/>
            <w:vMerge w:val="restart"/>
            <w:shd w:val="clear" w:color="auto" w:fill="auto"/>
            <w:vAlign w:val="center"/>
          </w:tcPr>
          <w:p w:rsidR="00191FBA" w:rsidRPr="008B5E95" w:rsidRDefault="00191FBA" w:rsidP="00191FBA">
            <w:pPr>
              <w:shd w:val="clear" w:color="auto" w:fill="FFFFFF" w:themeFill="background1"/>
              <w:jc w:val="center"/>
            </w:pPr>
            <w:r w:rsidRPr="008B5E95">
              <w:t>2022</w:t>
            </w:r>
          </w:p>
          <w:p w:rsidR="00191FBA" w:rsidRPr="008B5E95" w:rsidRDefault="00191FBA" w:rsidP="00191FBA">
            <w:pPr>
              <w:shd w:val="clear" w:color="auto" w:fill="FFFFFF" w:themeFill="background1"/>
              <w:jc w:val="center"/>
            </w:pPr>
            <w:r w:rsidRPr="008B5E95">
              <w:t>оценка</w:t>
            </w:r>
          </w:p>
        </w:tc>
        <w:tc>
          <w:tcPr>
            <w:tcW w:w="1140" w:type="dxa"/>
            <w:shd w:val="clear" w:color="auto" w:fill="auto"/>
            <w:vAlign w:val="center"/>
          </w:tcPr>
          <w:p w:rsidR="00191FBA" w:rsidRPr="008B5E95" w:rsidRDefault="00191FBA" w:rsidP="00191FBA">
            <w:pPr>
              <w:shd w:val="clear" w:color="auto" w:fill="FFFFFF" w:themeFill="background1"/>
              <w:jc w:val="center"/>
            </w:pPr>
            <w:r w:rsidRPr="008B5E95">
              <w:t>2023</w:t>
            </w:r>
          </w:p>
        </w:tc>
        <w:tc>
          <w:tcPr>
            <w:tcW w:w="1105" w:type="dxa"/>
            <w:shd w:val="clear" w:color="auto" w:fill="auto"/>
          </w:tcPr>
          <w:p w:rsidR="00191FBA" w:rsidRPr="008B5E95" w:rsidRDefault="00191FBA" w:rsidP="00191FBA">
            <w:pPr>
              <w:shd w:val="clear" w:color="auto" w:fill="FFFFFF" w:themeFill="background1"/>
              <w:jc w:val="center"/>
              <w:rPr>
                <w:lang w:val="en-US"/>
              </w:rPr>
            </w:pPr>
            <w:r w:rsidRPr="008B5E95">
              <w:rPr>
                <w:lang w:val="en-US"/>
              </w:rPr>
              <w:t>20</w:t>
            </w:r>
            <w:r w:rsidRPr="008B5E95">
              <w:t>24</w:t>
            </w:r>
          </w:p>
        </w:tc>
        <w:tc>
          <w:tcPr>
            <w:tcW w:w="1121" w:type="dxa"/>
            <w:shd w:val="clear" w:color="auto" w:fill="auto"/>
          </w:tcPr>
          <w:p w:rsidR="00191FBA" w:rsidRPr="008B5E95" w:rsidRDefault="00191FBA" w:rsidP="00191FBA">
            <w:pPr>
              <w:shd w:val="clear" w:color="auto" w:fill="FFFFFF" w:themeFill="background1"/>
              <w:jc w:val="center"/>
              <w:rPr>
                <w:lang w:val="en-US"/>
              </w:rPr>
            </w:pPr>
            <w:r w:rsidRPr="008B5E95">
              <w:rPr>
                <w:lang w:val="en-US"/>
              </w:rPr>
              <w:t>20</w:t>
            </w:r>
            <w:r w:rsidRPr="008B5E95">
              <w:t>25</w:t>
            </w:r>
          </w:p>
        </w:tc>
      </w:tr>
      <w:tr w:rsidR="00191FBA" w:rsidRPr="00191FBA" w:rsidTr="00191FBA">
        <w:trPr>
          <w:trHeight w:val="170"/>
          <w:tblHeader/>
          <w:jc w:val="center"/>
        </w:trPr>
        <w:tc>
          <w:tcPr>
            <w:tcW w:w="4075" w:type="dxa"/>
            <w:vMerge/>
            <w:shd w:val="clear" w:color="auto" w:fill="auto"/>
            <w:vAlign w:val="center"/>
          </w:tcPr>
          <w:p w:rsidR="00191FBA" w:rsidRPr="008B5E95" w:rsidRDefault="00191FBA" w:rsidP="00191FBA">
            <w:pPr>
              <w:shd w:val="clear" w:color="auto" w:fill="FFFFFF" w:themeFill="background1"/>
              <w:rPr>
                <w:bCs/>
              </w:rPr>
            </w:pPr>
          </w:p>
        </w:tc>
        <w:tc>
          <w:tcPr>
            <w:tcW w:w="1469" w:type="dxa"/>
            <w:vMerge/>
            <w:shd w:val="clear" w:color="auto" w:fill="auto"/>
            <w:vAlign w:val="center"/>
          </w:tcPr>
          <w:p w:rsidR="00191FBA" w:rsidRPr="008B5E95" w:rsidRDefault="00191FBA" w:rsidP="00191FBA">
            <w:pPr>
              <w:shd w:val="clear" w:color="auto" w:fill="FFFFFF" w:themeFill="background1"/>
              <w:jc w:val="center"/>
            </w:pPr>
          </w:p>
        </w:tc>
        <w:tc>
          <w:tcPr>
            <w:tcW w:w="1303" w:type="dxa"/>
            <w:vMerge/>
            <w:shd w:val="clear" w:color="auto" w:fill="auto"/>
            <w:vAlign w:val="center"/>
          </w:tcPr>
          <w:p w:rsidR="00191FBA" w:rsidRPr="008B5E95" w:rsidRDefault="00191FBA" w:rsidP="00191FBA">
            <w:pPr>
              <w:shd w:val="clear" w:color="auto" w:fill="FFFFFF" w:themeFill="background1"/>
              <w:jc w:val="center"/>
            </w:pPr>
          </w:p>
        </w:tc>
        <w:tc>
          <w:tcPr>
            <w:tcW w:w="3366" w:type="dxa"/>
            <w:gridSpan w:val="3"/>
            <w:shd w:val="clear" w:color="auto" w:fill="auto"/>
          </w:tcPr>
          <w:p w:rsidR="00191FBA" w:rsidRPr="008B5E95" w:rsidRDefault="00191FBA" w:rsidP="00191FBA">
            <w:pPr>
              <w:shd w:val="clear" w:color="auto" w:fill="FFFFFF" w:themeFill="background1"/>
              <w:jc w:val="center"/>
            </w:pPr>
            <w:r w:rsidRPr="008B5E95">
              <w:t>прогноз</w:t>
            </w:r>
          </w:p>
        </w:tc>
      </w:tr>
      <w:tr w:rsidR="00191FBA" w:rsidRPr="00191FBA" w:rsidTr="00191FBA">
        <w:trPr>
          <w:trHeight w:val="283"/>
          <w:jc w:val="center"/>
        </w:trPr>
        <w:tc>
          <w:tcPr>
            <w:tcW w:w="10213" w:type="dxa"/>
            <w:gridSpan w:val="6"/>
            <w:shd w:val="clear" w:color="auto" w:fill="auto"/>
          </w:tcPr>
          <w:p w:rsidR="00191FBA" w:rsidRPr="008B5E95" w:rsidRDefault="00191FBA" w:rsidP="008B5E95">
            <w:pPr>
              <w:shd w:val="clear" w:color="auto" w:fill="FFFFFF" w:themeFill="background1"/>
              <w:rPr>
                <w:bCs/>
                <w:color w:val="FF0000"/>
              </w:rPr>
            </w:pPr>
            <w:r w:rsidRPr="008B5E95">
              <w:rPr>
                <w:bCs/>
              </w:rPr>
              <w:t xml:space="preserve">Валовой региональный продукт, </w:t>
            </w:r>
            <w:r w:rsidR="008B5E95">
              <w:rPr>
                <w:bCs/>
              </w:rPr>
              <w:t>индекс,</w:t>
            </w:r>
            <w:r w:rsidR="00955FDE">
              <w:rPr>
                <w:bCs/>
              </w:rPr>
              <w:t xml:space="preserve"> </w:t>
            </w:r>
            <w:r w:rsidR="00EA1742">
              <w:rPr>
                <w:bCs/>
              </w:rPr>
              <w:t>проц.</w:t>
            </w:r>
            <w:r w:rsidR="008B5E95">
              <w:rPr>
                <w:bCs/>
              </w:rPr>
              <w:t xml:space="preserve"> к пред</w:t>
            </w:r>
            <w:proofErr w:type="gramStart"/>
            <w:r w:rsidR="008B5E95">
              <w:rPr>
                <w:bCs/>
              </w:rPr>
              <w:t>.</w:t>
            </w:r>
            <w:proofErr w:type="gramEnd"/>
            <w:r w:rsidR="008B5E95">
              <w:rPr>
                <w:bCs/>
              </w:rPr>
              <w:t xml:space="preserve"> </w:t>
            </w:r>
            <w:proofErr w:type="gramStart"/>
            <w:r w:rsidR="008B5E95">
              <w:rPr>
                <w:bCs/>
              </w:rPr>
              <w:t>г</w:t>
            </w:r>
            <w:proofErr w:type="gramEnd"/>
            <w:r w:rsidR="008B5E95">
              <w:rPr>
                <w:bCs/>
              </w:rPr>
              <w:t>оду</w:t>
            </w:r>
          </w:p>
        </w:tc>
      </w:tr>
      <w:tr w:rsidR="00191FBA" w:rsidRPr="00191FBA" w:rsidTr="00191FBA">
        <w:trPr>
          <w:trHeight w:val="283"/>
          <w:jc w:val="center"/>
        </w:trPr>
        <w:tc>
          <w:tcPr>
            <w:tcW w:w="4075" w:type="dxa"/>
            <w:shd w:val="clear" w:color="auto" w:fill="auto"/>
            <w:vAlign w:val="center"/>
          </w:tcPr>
          <w:p w:rsidR="00191FBA" w:rsidRPr="008B5E95" w:rsidRDefault="00191FBA" w:rsidP="00191FBA">
            <w:pPr>
              <w:shd w:val="clear" w:color="auto" w:fill="FFFFFF" w:themeFill="background1"/>
              <w:jc w:val="center"/>
              <w:rPr>
                <w:bCs/>
              </w:rPr>
            </w:pPr>
            <w:r w:rsidRPr="008B5E95">
              <w:rPr>
                <w:bCs/>
              </w:rPr>
              <w:t>консервативный вариант</w:t>
            </w:r>
          </w:p>
        </w:tc>
        <w:tc>
          <w:tcPr>
            <w:tcW w:w="1469" w:type="dxa"/>
            <w:vMerge w:val="restart"/>
            <w:shd w:val="clear" w:color="auto" w:fill="auto"/>
            <w:vAlign w:val="center"/>
          </w:tcPr>
          <w:p w:rsidR="00191FBA" w:rsidRPr="008B5E95" w:rsidRDefault="00191FBA" w:rsidP="00191FBA">
            <w:pPr>
              <w:shd w:val="clear" w:color="auto" w:fill="FFFFFF" w:themeFill="background1"/>
              <w:jc w:val="center"/>
            </w:pPr>
            <w:r w:rsidRPr="008B5E95">
              <w:t>103,1</w:t>
            </w:r>
          </w:p>
        </w:tc>
        <w:tc>
          <w:tcPr>
            <w:tcW w:w="1303" w:type="dxa"/>
            <w:vMerge w:val="restart"/>
            <w:shd w:val="clear" w:color="auto" w:fill="auto"/>
            <w:vAlign w:val="center"/>
          </w:tcPr>
          <w:p w:rsidR="00191FBA" w:rsidRPr="008B5E95" w:rsidRDefault="00191FBA" w:rsidP="00191FBA">
            <w:pPr>
              <w:shd w:val="clear" w:color="auto" w:fill="FFFFFF" w:themeFill="background1"/>
              <w:jc w:val="center"/>
            </w:pPr>
            <w:r w:rsidRPr="008B5E95">
              <w:t>94,0</w:t>
            </w:r>
          </w:p>
        </w:tc>
        <w:tc>
          <w:tcPr>
            <w:tcW w:w="1140" w:type="dxa"/>
            <w:shd w:val="clear" w:color="auto" w:fill="auto"/>
            <w:vAlign w:val="center"/>
          </w:tcPr>
          <w:p w:rsidR="00191FBA" w:rsidRPr="008B5E95" w:rsidRDefault="00191FBA" w:rsidP="00191FBA">
            <w:pPr>
              <w:shd w:val="clear" w:color="auto" w:fill="FFFFFF" w:themeFill="background1"/>
              <w:autoSpaceDE w:val="0"/>
              <w:autoSpaceDN w:val="0"/>
              <w:adjustRightInd w:val="0"/>
              <w:jc w:val="center"/>
            </w:pPr>
            <w:r w:rsidRPr="008B5E95">
              <w:t>99,0</w:t>
            </w:r>
          </w:p>
        </w:tc>
        <w:tc>
          <w:tcPr>
            <w:tcW w:w="1105" w:type="dxa"/>
            <w:shd w:val="clear" w:color="auto" w:fill="auto"/>
          </w:tcPr>
          <w:p w:rsidR="00191FBA" w:rsidRPr="008B5E95" w:rsidRDefault="00191FBA" w:rsidP="00191FBA">
            <w:pPr>
              <w:shd w:val="clear" w:color="auto" w:fill="FFFFFF" w:themeFill="background1"/>
              <w:autoSpaceDE w:val="0"/>
              <w:autoSpaceDN w:val="0"/>
              <w:adjustRightInd w:val="0"/>
              <w:jc w:val="center"/>
            </w:pPr>
            <w:r w:rsidRPr="008B5E95">
              <w:t>101,6</w:t>
            </w:r>
          </w:p>
        </w:tc>
        <w:tc>
          <w:tcPr>
            <w:tcW w:w="1121" w:type="dxa"/>
            <w:shd w:val="clear" w:color="auto" w:fill="auto"/>
          </w:tcPr>
          <w:p w:rsidR="00191FBA" w:rsidRPr="008B5E95" w:rsidRDefault="00191FBA" w:rsidP="00191FBA">
            <w:pPr>
              <w:shd w:val="clear" w:color="auto" w:fill="FFFFFF" w:themeFill="background1"/>
              <w:autoSpaceDE w:val="0"/>
              <w:autoSpaceDN w:val="0"/>
              <w:adjustRightInd w:val="0"/>
              <w:jc w:val="center"/>
            </w:pPr>
            <w:r w:rsidRPr="008B5E95">
              <w:t>102,0</w:t>
            </w:r>
          </w:p>
        </w:tc>
      </w:tr>
      <w:tr w:rsidR="00191FBA" w:rsidRPr="00191FBA" w:rsidTr="00191FBA">
        <w:trPr>
          <w:trHeight w:val="283"/>
          <w:jc w:val="center"/>
        </w:trPr>
        <w:tc>
          <w:tcPr>
            <w:tcW w:w="4075" w:type="dxa"/>
            <w:shd w:val="clear" w:color="auto" w:fill="auto"/>
            <w:vAlign w:val="center"/>
          </w:tcPr>
          <w:p w:rsidR="00191FBA" w:rsidRPr="008B5E95" w:rsidRDefault="00191FBA" w:rsidP="00191FBA">
            <w:pPr>
              <w:shd w:val="clear" w:color="auto" w:fill="FFFFFF" w:themeFill="background1"/>
              <w:jc w:val="center"/>
              <w:rPr>
                <w:bCs/>
              </w:rPr>
            </w:pPr>
            <w:r w:rsidRPr="008B5E95">
              <w:rPr>
                <w:bCs/>
              </w:rPr>
              <w:t>базовый вариант</w:t>
            </w:r>
          </w:p>
        </w:tc>
        <w:tc>
          <w:tcPr>
            <w:tcW w:w="1469" w:type="dxa"/>
            <w:vMerge/>
            <w:shd w:val="clear" w:color="auto" w:fill="auto"/>
            <w:vAlign w:val="center"/>
          </w:tcPr>
          <w:p w:rsidR="00191FBA" w:rsidRPr="008B5E95" w:rsidRDefault="00191FBA" w:rsidP="00191FBA">
            <w:pPr>
              <w:shd w:val="clear" w:color="auto" w:fill="FFFFFF" w:themeFill="background1"/>
              <w:jc w:val="center"/>
              <w:rPr>
                <w:bCs/>
              </w:rPr>
            </w:pPr>
          </w:p>
        </w:tc>
        <w:tc>
          <w:tcPr>
            <w:tcW w:w="1303" w:type="dxa"/>
            <w:vMerge/>
            <w:shd w:val="clear" w:color="auto" w:fill="auto"/>
            <w:vAlign w:val="center"/>
          </w:tcPr>
          <w:p w:rsidR="00191FBA" w:rsidRPr="008B5E95" w:rsidRDefault="00191FBA" w:rsidP="00191FBA">
            <w:pPr>
              <w:shd w:val="clear" w:color="auto" w:fill="FFFFFF" w:themeFill="background1"/>
              <w:jc w:val="center"/>
            </w:pPr>
          </w:p>
        </w:tc>
        <w:tc>
          <w:tcPr>
            <w:tcW w:w="1140" w:type="dxa"/>
            <w:shd w:val="clear" w:color="auto" w:fill="auto"/>
            <w:vAlign w:val="center"/>
          </w:tcPr>
          <w:p w:rsidR="00191FBA" w:rsidRPr="008B5E95" w:rsidRDefault="00191FBA" w:rsidP="00191FBA">
            <w:pPr>
              <w:shd w:val="clear" w:color="auto" w:fill="FFFFFF" w:themeFill="background1"/>
              <w:autoSpaceDE w:val="0"/>
              <w:autoSpaceDN w:val="0"/>
              <w:adjustRightInd w:val="0"/>
              <w:jc w:val="center"/>
            </w:pPr>
            <w:r w:rsidRPr="008B5E95">
              <w:t>101,0</w:t>
            </w:r>
          </w:p>
        </w:tc>
        <w:tc>
          <w:tcPr>
            <w:tcW w:w="1105" w:type="dxa"/>
            <w:shd w:val="clear" w:color="auto" w:fill="auto"/>
          </w:tcPr>
          <w:p w:rsidR="00191FBA" w:rsidRPr="008B5E95" w:rsidRDefault="00191FBA" w:rsidP="00191FBA">
            <w:pPr>
              <w:shd w:val="clear" w:color="auto" w:fill="FFFFFF" w:themeFill="background1"/>
              <w:autoSpaceDE w:val="0"/>
              <w:autoSpaceDN w:val="0"/>
              <w:adjustRightInd w:val="0"/>
              <w:jc w:val="center"/>
            </w:pPr>
            <w:r w:rsidRPr="008B5E95">
              <w:t>103,0</w:t>
            </w:r>
          </w:p>
        </w:tc>
        <w:tc>
          <w:tcPr>
            <w:tcW w:w="1121" w:type="dxa"/>
            <w:shd w:val="clear" w:color="auto" w:fill="auto"/>
          </w:tcPr>
          <w:p w:rsidR="00191FBA" w:rsidRPr="008B5E95" w:rsidRDefault="00191FBA" w:rsidP="00191FBA">
            <w:pPr>
              <w:shd w:val="clear" w:color="auto" w:fill="FFFFFF" w:themeFill="background1"/>
              <w:autoSpaceDE w:val="0"/>
              <w:autoSpaceDN w:val="0"/>
              <w:adjustRightInd w:val="0"/>
              <w:jc w:val="center"/>
            </w:pPr>
            <w:r w:rsidRPr="008B5E95">
              <w:t>103,0</w:t>
            </w:r>
          </w:p>
        </w:tc>
      </w:tr>
      <w:tr w:rsidR="00191FBA" w:rsidRPr="00191FBA" w:rsidTr="00191FBA">
        <w:trPr>
          <w:trHeight w:val="283"/>
          <w:jc w:val="center"/>
        </w:trPr>
        <w:tc>
          <w:tcPr>
            <w:tcW w:w="10213" w:type="dxa"/>
            <w:gridSpan w:val="6"/>
            <w:shd w:val="clear" w:color="auto" w:fill="auto"/>
          </w:tcPr>
          <w:p w:rsidR="00191FBA" w:rsidRPr="008B5E95" w:rsidRDefault="00191FBA" w:rsidP="00191FBA">
            <w:pPr>
              <w:shd w:val="clear" w:color="auto" w:fill="FFFFFF" w:themeFill="background1"/>
              <w:rPr>
                <w:bCs/>
                <w:color w:val="FF0000"/>
              </w:rPr>
            </w:pPr>
            <w:r w:rsidRPr="008B5E95">
              <w:rPr>
                <w:bCs/>
              </w:rPr>
              <w:t xml:space="preserve">Промышленность, </w:t>
            </w:r>
            <w:r w:rsidR="008B5E95">
              <w:rPr>
                <w:bCs/>
              </w:rPr>
              <w:t>индекс,</w:t>
            </w:r>
            <w:r w:rsidR="00955FDE">
              <w:rPr>
                <w:bCs/>
              </w:rPr>
              <w:t xml:space="preserve"> </w:t>
            </w:r>
            <w:r w:rsidR="00EA1742">
              <w:rPr>
                <w:bCs/>
              </w:rPr>
              <w:t>проц.</w:t>
            </w:r>
            <w:r w:rsidR="008B5E95">
              <w:rPr>
                <w:bCs/>
              </w:rPr>
              <w:t xml:space="preserve"> к пред</w:t>
            </w:r>
            <w:proofErr w:type="gramStart"/>
            <w:r w:rsidR="008B5E95">
              <w:rPr>
                <w:bCs/>
              </w:rPr>
              <w:t>.</w:t>
            </w:r>
            <w:proofErr w:type="gramEnd"/>
            <w:r w:rsidR="008B5E95">
              <w:rPr>
                <w:bCs/>
              </w:rPr>
              <w:t xml:space="preserve"> </w:t>
            </w:r>
            <w:proofErr w:type="gramStart"/>
            <w:r w:rsidR="008B5E95">
              <w:rPr>
                <w:bCs/>
              </w:rPr>
              <w:t>г</w:t>
            </w:r>
            <w:proofErr w:type="gramEnd"/>
            <w:r w:rsidR="008B5E95">
              <w:rPr>
                <w:bCs/>
              </w:rPr>
              <w:t>оду</w:t>
            </w:r>
          </w:p>
        </w:tc>
      </w:tr>
      <w:tr w:rsidR="00191FBA" w:rsidRPr="00191FBA" w:rsidTr="00191FBA">
        <w:trPr>
          <w:trHeight w:val="283"/>
          <w:jc w:val="center"/>
        </w:trPr>
        <w:tc>
          <w:tcPr>
            <w:tcW w:w="4075" w:type="dxa"/>
            <w:shd w:val="clear" w:color="auto" w:fill="auto"/>
            <w:vAlign w:val="center"/>
          </w:tcPr>
          <w:p w:rsidR="00191FBA" w:rsidRPr="00191FBA" w:rsidRDefault="00191FBA" w:rsidP="00191FBA">
            <w:pPr>
              <w:shd w:val="clear" w:color="auto" w:fill="FFFFFF" w:themeFill="background1"/>
              <w:jc w:val="center"/>
              <w:rPr>
                <w:bCs/>
                <w:color w:val="FF0000"/>
              </w:rPr>
            </w:pPr>
            <w:r w:rsidRPr="00191FBA">
              <w:rPr>
                <w:bCs/>
              </w:rPr>
              <w:t>консервативный вариант</w:t>
            </w:r>
          </w:p>
        </w:tc>
        <w:tc>
          <w:tcPr>
            <w:tcW w:w="1469" w:type="dxa"/>
            <w:vMerge w:val="restart"/>
            <w:shd w:val="clear" w:color="auto" w:fill="auto"/>
            <w:vAlign w:val="center"/>
          </w:tcPr>
          <w:p w:rsidR="00191FBA" w:rsidRPr="00191FBA" w:rsidRDefault="00191FBA" w:rsidP="00191FBA">
            <w:pPr>
              <w:shd w:val="clear" w:color="auto" w:fill="FFFFFF" w:themeFill="background1"/>
              <w:jc w:val="center"/>
              <w:rPr>
                <w:bCs/>
              </w:rPr>
            </w:pPr>
            <w:r w:rsidRPr="00191FBA">
              <w:rPr>
                <w:bCs/>
              </w:rPr>
              <w:t>107,6</w:t>
            </w:r>
          </w:p>
        </w:tc>
        <w:tc>
          <w:tcPr>
            <w:tcW w:w="1303" w:type="dxa"/>
            <w:vMerge w:val="restart"/>
            <w:shd w:val="clear" w:color="auto" w:fill="auto"/>
            <w:vAlign w:val="center"/>
          </w:tcPr>
          <w:p w:rsidR="00191FBA" w:rsidRPr="00191FBA" w:rsidRDefault="00191FBA" w:rsidP="00191FBA">
            <w:pPr>
              <w:shd w:val="clear" w:color="auto" w:fill="FFFFFF" w:themeFill="background1"/>
              <w:jc w:val="center"/>
            </w:pPr>
            <w:r w:rsidRPr="00191FBA">
              <w:t>92,5</w:t>
            </w:r>
          </w:p>
        </w:tc>
        <w:tc>
          <w:tcPr>
            <w:tcW w:w="1140"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99,3</w:t>
            </w:r>
          </w:p>
        </w:tc>
        <w:tc>
          <w:tcPr>
            <w:tcW w:w="1105"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103,7</w:t>
            </w:r>
          </w:p>
        </w:tc>
        <w:tc>
          <w:tcPr>
            <w:tcW w:w="1121"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103,5</w:t>
            </w:r>
          </w:p>
        </w:tc>
      </w:tr>
      <w:tr w:rsidR="00191FBA" w:rsidRPr="00191FBA" w:rsidTr="00191FBA">
        <w:trPr>
          <w:trHeight w:val="283"/>
          <w:jc w:val="center"/>
        </w:trPr>
        <w:tc>
          <w:tcPr>
            <w:tcW w:w="4075" w:type="dxa"/>
            <w:shd w:val="clear" w:color="auto" w:fill="auto"/>
            <w:vAlign w:val="center"/>
          </w:tcPr>
          <w:p w:rsidR="00191FBA" w:rsidRPr="00191FBA" w:rsidRDefault="00191FBA" w:rsidP="00191FBA">
            <w:pPr>
              <w:shd w:val="clear" w:color="auto" w:fill="FFFFFF" w:themeFill="background1"/>
              <w:jc w:val="center"/>
              <w:rPr>
                <w:bCs/>
                <w:color w:val="FF0000"/>
              </w:rPr>
            </w:pPr>
            <w:r w:rsidRPr="00191FBA">
              <w:rPr>
                <w:bCs/>
              </w:rPr>
              <w:t>базовый вариант</w:t>
            </w:r>
          </w:p>
        </w:tc>
        <w:tc>
          <w:tcPr>
            <w:tcW w:w="1469" w:type="dxa"/>
            <w:vMerge/>
            <w:shd w:val="clear" w:color="auto" w:fill="auto"/>
            <w:vAlign w:val="center"/>
          </w:tcPr>
          <w:p w:rsidR="00191FBA" w:rsidRPr="00191FBA" w:rsidRDefault="00191FBA" w:rsidP="00191FBA">
            <w:pPr>
              <w:shd w:val="clear" w:color="auto" w:fill="FFFFFF" w:themeFill="background1"/>
              <w:jc w:val="center"/>
              <w:rPr>
                <w:bCs/>
              </w:rPr>
            </w:pPr>
          </w:p>
        </w:tc>
        <w:tc>
          <w:tcPr>
            <w:tcW w:w="1303" w:type="dxa"/>
            <w:vMerge/>
            <w:shd w:val="clear" w:color="auto" w:fill="auto"/>
            <w:vAlign w:val="center"/>
          </w:tcPr>
          <w:p w:rsidR="00191FBA" w:rsidRPr="00191FBA" w:rsidRDefault="00191FBA" w:rsidP="00191FBA">
            <w:pPr>
              <w:shd w:val="clear" w:color="auto" w:fill="FFFFFF" w:themeFill="background1"/>
              <w:jc w:val="center"/>
              <w:rPr>
                <w:lang w:val="en-US"/>
              </w:rPr>
            </w:pPr>
          </w:p>
        </w:tc>
        <w:tc>
          <w:tcPr>
            <w:tcW w:w="1140"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102,4</w:t>
            </w:r>
          </w:p>
        </w:tc>
        <w:tc>
          <w:tcPr>
            <w:tcW w:w="1105"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103,7</w:t>
            </w:r>
          </w:p>
        </w:tc>
        <w:tc>
          <w:tcPr>
            <w:tcW w:w="1121"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104,1</w:t>
            </w:r>
          </w:p>
        </w:tc>
      </w:tr>
      <w:tr w:rsidR="00191FBA" w:rsidRPr="00191FBA" w:rsidTr="00191FBA">
        <w:trPr>
          <w:trHeight w:val="283"/>
          <w:jc w:val="center"/>
        </w:trPr>
        <w:tc>
          <w:tcPr>
            <w:tcW w:w="10213" w:type="dxa"/>
            <w:gridSpan w:val="6"/>
            <w:shd w:val="clear" w:color="auto" w:fill="auto"/>
          </w:tcPr>
          <w:p w:rsidR="00191FBA" w:rsidRPr="00191FBA" w:rsidRDefault="00191FBA" w:rsidP="00191FBA">
            <w:pPr>
              <w:shd w:val="clear" w:color="auto" w:fill="FFFFFF" w:themeFill="background1"/>
              <w:rPr>
                <w:bCs/>
              </w:rPr>
            </w:pPr>
            <w:r w:rsidRPr="00191FBA">
              <w:rPr>
                <w:bCs/>
              </w:rPr>
              <w:t xml:space="preserve">Сельское хозяйство, </w:t>
            </w:r>
            <w:r w:rsidR="008B5E95">
              <w:rPr>
                <w:bCs/>
              </w:rPr>
              <w:t>индекс,</w:t>
            </w:r>
            <w:r w:rsidR="00955FDE">
              <w:rPr>
                <w:bCs/>
              </w:rPr>
              <w:t xml:space="preserve"> </w:t>
            </w:r>
            <w:r w:rsidR="00EA1742">
              <w:rPr>
                <w:bCs/>
              </w:rPr>
              <w:t>проц.</w:t>
            </w:r>
            <w:r w:rsidR="008B5E95">
              <w:rPr>
                <w:bCs/>
              </w:rPr>
              <w:t xml:space="preserve"> к пред</w:t>
            </w:r>
            <w:proofErr w:type="gramStart"/>
            <w:r w:rsidR="008B5E95">
              <w:rPr>
                <w:bCs/>
              </w:rPr>
              <w:t>.</w:t>
            </w:r>
            <w:proofErr w:type="gramEnd"/>
            <w:r w:rsidR="008B5E95">
              <w:rPr>
                <w:bCs/>
              </w:rPr>
              <w:t xml:space="preserve"> </w:t>
            </w:r>
            <w:proofErr w:type="gramStart"/>
            <w:r w:rsidR="008B5E95">
              <w:rPr>
                <w:bCs/>
              </w:rPr>
              <w:t>г</w:t>
            </w:r>
            <w:proofErr w:type="gramEnd"/>
            <w:r w:rsidR="008B5E95">
              <w:rPr>
                <w:bCs/>
              </w:rPr>
              <w:t>оду</w:t>
            </w:r>
          </w:p>
        </w:tc>
      </w:tr>
      <w:tr w:rsidR="00191FBA" w:rsidRPr="00191FBA" w:rsidTr="00191FBA">
        <w:trPr>
          <w:trHeight w:val="283"/>
          <w:jc w:val="center"/>
        </w:trPr>
        <w:tc>
          <w:tcPr>
            <w:tcW w:w="4075" w:type="dxa"/>
            <w:shd w:val="clear" w:color="auto" w:fill="auto"/>
            <w:vAlign w:val="center"/>
          </w:tcPr>
          <w:p w:rsidR="00191FBA" w:rsidRPr="00191FBA" w:rsidRDefault="00191FBA" w:rsidP="00191FBA">
            <w:pPr>
              <w:shd w:val="clear" w:color="auto" w:fill="FFFFFF" w:themeFill="background1"/>
              <w:jc w:val="center"/>
              <w:rPr>
                <w:bCs/>
              </w:rPr>
            </w:pPr>
            <w:r w:rsidRPr="00191FBA">
              <w:rPr>
                <w:bCs/>
              </w:rPr>
              <w:t>консервативный вариант</w:t>
            </w:r>
          </w:p>
        </w:tc>
        <w:tc>
          <w:tcPr>
            <w:tcW w:w="1469" w:type="dxa"/>
            <w:vMerge w:val="restart"/>
            <w:shd w:val="clear" w:color="auto" w:fill="auto"/>
            <w:vAlign w:val="center"/>
          </w:tcPr>
          <w:p w:rsidR="00191FBA" w:rsidRPr="00191FBA" w:rsidRDefault="00191FBA" w:rsidP="00191FBA">
            <w:pPr>
              <w:shd w:val="clear" w:color="auto" w:fill="FFFFFF" w:themeFill="background1"/>
              <w:jc w:val="center"/>
              <w:rPr>
                <w:color w:val="FF0000"/>
              </w:rPr>
            </w:pPr>
            <w:r w:rsidRPr="00191FBA">
              <w:t>100,7</w:t>
            </w:r>
          </w:p>
        </w:tc>
        <w:tc>
          <w:tcPr>
            <w:tcW w:w="1303" w:type="dxa"/>
            <w:vMerge w:val="restart"/>
            <w:shd w:val="clear" w:color="auto" w:fill="auto"/>
            <w:vAlign w:val="center"/>
          </w:tcPr>
          <w:p w:rsidR="00191FBA" w:rsidRPr="00191FBA" w:rsidRDefault="00191FBA" w:rsidP="00191FBA">
            <w:pPr>
              <w:shd w:val="clear" w:color="auto" w:fill="FFFFFF" w:themeFill="background1"/>
              <w:jc w:val="center"/>
              <w:rPr>
                <w:color w:val="FF0000"/>
              </w:rPr>
            </w:pPr>
            <w:r w:rsidRPr="00191FBA">
              <w:t>100,8</w:t>
            </w:r>
          </w:p>
        </w:tc>
        <w:tc>
          <w:tcPr>
            <w:tcW w:w="1140" w:type="dxa"/>
            <w:shd w:val="clear" w:color="auto" w:fill="auto"/>
            <w:vAlign w:val="center"/>
          </w:tcPr>
          <w:p w:rsidR="00191FBA" w:rsidRPr="00191FBA" w:rsidRDefault="00191FBA" w:rsidP="00191FBA">
            <w:pPr>
              <w:shd w:val="clear" w:color="auto" w:fill="FFFFFF" w:themeFill="background1"/>
              <w:autoSpaceDE w:val="0"/>
              <w:autoSpaceDN w:val="0"/>
              <w:adjustRightInd w:val="0"/>
              <w:jc w:val="center"/>
            </w:pPr>
            <w:r w:rsidRPr="008B5E95">
              <w:rPr>
                <w:shd w:val="clear" w:color="auto" w:fill="EAF1DD" w:themeFill="accent3" w:themeFillTint="33"/>
              </w:rPr>
              <w:t>99</w:t>
            </w:r>
            <w:r w:rsidRPr="008B5E95">
              <w:t>,5</w:t>
            </w:r>
          </w:p>
        </w:tc>
        <w:tc>
          <w:tcPr>
            <w:tcW w:w="1105" w:type="dxa"/>
            <w:shd w:val="clear" w:color="auto" w:fill="auto"/>
            <w:vAlign w:val="center"/>
          </w:tcPr>
          <w:p w:rsidR="00191FBA" w:rsidRPr="00191FBA" w:rsidRDefault="00191FBA" w:rsidP="00191FBA">
            <w:pPr>
              <w:shd w:val="clear" w:color="auto" w:fill="FFFFFF" w:themeFill="background1"/>
              <w:autoSpaceDE w:val="0"/>
              <w:autoSpaceDN w:val="0"/>
              <w:adjustRightInd w:val="0"/>
              <w:jc w:val="center"/>
            </w:pPr>
            <w:r w:rsidRPr="00191FBA">
              <w:t>100,3</w:t>
            </w:r>
          </w:p>
        </w:tc>
        <w:tc>
          <w:tcPr>
            <w:tcW w:w="1121" w:type="dxa"/>
            <w:shd w:val="clear" w:color="auto" w:fill="auto"/>
            <w:vAlign w:val="center"/>
          </w:tcPr>
          <w:p w:rsidR="00191FBA" w:rsidRPr="00191FBA" w:rsidRDefault="00191FBA" w:rsidP="00191FBA">
            <w:pPr>
              <w:shd w:val="clear" w:color="auto" w:fill="FFFFFF" w:themeFill="background1"/>
              <w:autoSpaceDE w:val="0"/>
              <w:autoSpaceDN w:val="0"/>
              <w:adjustRightInd w:val="0"/>
              <w:jc w:val="center"/>
            </w:pPr>
            <w:r w:rsidRPr="00191FBA">
              <w:t>100,5</w:t>
            </w:r>
          </w:p>
        </w:tc>
      </w:tr>
      <w:tr w:rsidR="00191FBA" w:rsidRPr="00191FBA" w:rsidTr="00191FBA">
        <w:trPr>
          <w:trHeight w:val="283"/>
          <w:jc w:val="center"/>
        </w:trPr>
        <w:tc>
          <w:tcPr>
            <w:tcW w:w="4075" w:type="dxa"/>
            <w:shd w:val="clear" w:color="auto" w:fill="auto"/>
            <w:vAlign w:val="center"/>
          </w:tcPr>
          <w:p w:rsidR="00191FBA" w:rsidRPr="00191FBA" w:rsidRDefault="00191FBA" w:rsidP="00191FBA">
            <w:pPr>
              <w:shd w:val="clear" w:color="auto" w:fill="FFFFFF" w:themeFill="background1"/>
              <w:jc w:val="center"/>
              <w:rPr>
                <w:bCs/>
              </w:rPr>
            </w:pPr>
            <w:r w:rsidRPr="00191FBA">
              <w:rPr>
                <w:bCs/>
              </w:rPr>
              <w:t>базовый вариант</w:t>
            </w:r>
          </w:p>
        </w:tc>
        <w:tc>
          <w:tcPr>
            <w:tcW w:w="1469" w:type="dxa"/>
            <w:vMerge/>
            <w:shd w:val="clear" w:color="auto" w:fill="auto"/>
            <w:vAlign w:val="center"/>
          </w:tcPr>
          <w:p w:rsidR="00191FBA" w:rsidRPr="00191FBA" w:rsidRDefault="00191FBA" w:rsidP="00191FBA">
            <w:pPr>
              <w:shd w:val="clear" w:color="auto" w:fill="FFFFFF" w:themeFill="background1"/>
              <w:jc w:val="center"/>
              <w:rPr>
                <w:bCs/>
                <w:color w:val="FF0000"/>
              </w:rPr>
            </w:pPr>
          </w:p>
        </w:tc>
        <w:tc>
          <w:tcPr>
            <w:tcW w:w="1303" w:type="dxa"/>
            <w:vMerge/>
            <w:shd w:val="clear" w:color="auto" w:fill="auto"/>
            <w:vAlign w:val="center"/>
          </w:tcPr>
          <w:p w:rsidR="00191FBA" w:rsidRPr="00191FBA" w:rsidRDefault="00191FBA" w:rsidP="00191FBA">
            <w:pPr>
              <w:shd w:val="clear" w:color="auto" w:fill="FFFFFF" w:themeFill="background1"/>
              <w:jc w:val="center"/>
              <w:rPr>
                <w:color w:val="FF0000"/>
                <w:lang w:val="en-US"/>
              </w:rPr>
            </w:pPr>
          </w:p>
        </w:tc>
        <w:tc>
          <w:tcPr>
            <w:tcW w:w="1140" w:type="dxa"/>
            <w:shd w:val="clear" w:color="auto" w:fill="auto"/>
            <w:vAlign w:val="center"/>
          </w:tcPr>
          <w:p w:rsidR="00191FBA" w:rsidRPr="00191FBA" w:rsidRDefault="00191FBA" w:rsidP="00191FBA">
            <w:pPr>
              <w:shd w:val="clear" w:color="auto" w:fill="FFFFFF" w:themeFill="background1"/>
              <w:autoSpaceDE w:val="0"/>
              <w:autoSpaceDN w:val="0"/>
              <w:adjustRightInd w:val="0"/>
              <w:jc w:val="center"/>
            </w:pPr>
            <w:r w:rsidRPr="00191FBA">
              <w:t>101,0</w:t>
            </w:r>
          </w:p>
        </w:tc>
        <w:tc>
          <w:tcPr>
            <w:tcW w:w="1105" w:type="dxa"/>
            <w:shd w:val="clear" w:color="auto" w:fill="auto"/>
            <w:vAlign w:val="center"/>
          </w:tcPr>
          <w:p w:rsidR="00191FBA" w:rsidRPr="00191FBA" w:rsidRDefault="00191FBA" w:rsidP="00191FBA">
            <w:pPr>
              <w:shd w:val="clear" w:color="auto" w:fill="FFFFFF" w:themeFill="background1"/>
              <w:autoSpaceDE w:val="0"/>
              <w:autoSpaceDN w:val="0"/>
              <w:adjustRightInd w:val="0"/>
              <w:jc w:val="center"/>
            </w:pPr>
            <w:r w:rsidRPr="00191FBA">
              <w:t>101,1</w:t>
            </w:r>
          </w:p>
        </w:tc>
        <w:tc>
          <w:tcPr>
            <w:tcW w:w="1121" w:type="dxa"/>
            <w:shd w:val="clear" w:color="auto" w:fill="auto"/>
            <w:vAlign w:val="center"/>
          </w:tcPr>
          <w:p w:rsidR="00191FBA" w:rsidRPr="00191FBA" w:rsidRDefault="00191FBA" w:rsidP="00191FBA">
            <w:pPr>
              <w:shd w:val="clear" w:color="auto" w:fill="FFFFFF" w:themeFill="background1"/>
              <w:autoSpaceDE w:val="0"/>
              <w:autoSpaceDN w:val="0"/>
              <w:adjustRightInd w:val="0"/>
              <w:jc w:val="center"/>
            </w:pPr>
            <w:r w:rsidRPr="00191FBA">
              <w:t>101,0</w:t>
            </w:r>
          </w:p>
        </w:tc>
      </w:tr>
      <w:tr w:rsidR="00191FBA" w:rsidRPr="00191FBA" w:rsidTr="00191FBA">
        <w:trPr>
          <w:trHeight w:val="283"/>
          <w:jc w:val="center"/>
        </w:trPr>
        <w:tc>
          <w:tcPr>
            <w:tcW w:w="10213" w:type="dxa"/>
            <w:gridSpan w:val="6"/>
            <w:shd w:val="clear" w:color="auto" w:fill="auto"/>
          </w:tcPr>
          <w:p w:rsidR="00191FBA" w:rsidRPr="00191FBA" w:rsidRDefault="00191FBA" w:rsidP="008B5E95">
            <w:pPr>
              <w:shd w:val="clear" w:color="auto" w:fill="FFFFFF" w:themeFill="background1"/>
              <w:rPr>
                <w:bCs/>
                <w:color w:val="FF0000"/>
              </w:rPr>
            </w:pPr>
            <w:r w:rsidRPr="00191FBA">
              <w:rPr>
                <w:bCs/>
              </w:rPr>
              <w:t xml:space="preserve">Инвестиции в основной капитал, </w:t>
            </w:r>
            <w:r w:rsidR="00F72216">
              <w:rPr>
                <w:bCs/>
              </w:rPr>
              <w:t>индекс,</w:t>
            </w:r>
            <w:r w:rsidR="00955FDE">
              <w:rPr>
                <w:bCs/>
              </w:rPr>
              <w:t xml:space="preserve"> </w:t>
            </w:r>
            <w:r w:rsidR="00EA1742">
              <w:rPr>
                <w:bCs/>
              </w:rPr>
              <w:t>проц.</w:t>
            </w:r>
            <w:r w:rsidR="00F72216">
              <w:rPr>
                <w:bCs/>
              </w:rPr>
              <w:t xml:space="preserve"> к пред</w:t>
            </w:r>
            <w:proofErr w:type="gramStart"/>
            <w:r w:rsidR="00F72216">
              <w:rPr>
                <w:bCs/>
              </w:rPr>
              <w:t>.</w:t>
            </w:r>
            <w:proofErr w:type="gramEnd"/>
            <w:r w:rsidR="00F72216">
              <w:rPr>
                <w:bCs/>
              </w:rPr>
              <w:t xml:space="preserve"> </w:t>
            </w:r>
            <w:proofErr w:type="gramStart"/>
            <w:r w:rsidR="00F72216">
              <w:rPr>
                <w:bCs/>
              </w:rPr>
              <w:t>г</w:t>
            </w:r>
            <w:proofErr w:type="gramEnd"/>
            <w:r w:rsidR="00F72216">
              <w:rPr>
                <w:bCs/>
              </w:rPr>
              <w:t>оду</w:t>
            </w:r>
          </w:p>
        </w:tc>
      </w:tr>
      <w:tr w:rsidR="00191FBA" w:rsidRPr="00191FBA" w:rsidTr="00191FBA">
        <w:trPr>
          <w:trHeight w:val="283"/>
          <w:jc w:val="center"/>
        </w:trPr>
        <w:tc>
          <w:tcPr>
            <w:tcW w:w="4075" w:type="dxa"/>
            <w:shd w:val="clear" w:color="auto" w:fill="auto"/>
            <w:vAlign w:val="center"/>
          </w:tcPr>
          <w:p w:rsidR="00191FBA" w:rsidRPr="00191FBA" w:rsidRDefault="00191FBA" w:rsidP="00191FBA">
            <w:pPr>
              <w:shd w:val="clear" w:color="auto" w:fill="FFFFFF" w:themeFill="background1"/>
              <w:jc w:val="center"/>
              <w:rPr>
                <w:bCs/>
              </w:rPr>
            </w:pPr>
            <w:r w:rsidRPr="00191FBA">
              <w:rPr>
                <w:bCs/>
              </w:rPr>
              <w:t>консервативный вариант</w:t>
            </w:r>
          </w:p>
        </w:tc>
        <w:tc>
          <w:tcPr>
            <w:tcW w:w="1469" w:type="dxa"/>
            <w:vMerge w:val="restart"/>
            <w:shd w:val="clear" w:color="auto" w:fill="auto"/>
            <w:vAlign w:val="center"/>
          </w:tcPr>
          <w:p w:rsidR="00191FBA" w:rsidRPr="00191FBA" w:rsidRDefault="00191FBA" w:rsidP="00191FBA">
            <w:pPr>
              <w:shd w:val="clear" w:color="auto" w:fill="FFFFFF" w:themeFill="background1"/>
              <w:jc w:val="center"/>
              <w:rPr>
                <w:bCs/>
              </w:rPr>
            </w:pPr>
            <w:r w:rsidRPr="00191FBA">
              <w:rPr>
                <w:bCs/>
              </w:rPr>
              <w:t>105,6</w:t>
            </w:r>
          </w:p>
        </w:tc>
        <w:tc>
          <w:tcPr>
            <w:tcW w:w="1303" w:type="dxa"/>
            <w:vMerge w:val="restart"/>
            <w:shd w:val="clear" w:color="auto" w:fill="auto"/>
            <w:vAlign w:val="center"/>
          </w:tcPr>
          <w:p w:rsidR="00191FBA" w:rsidRPr="00191FBA" w:rsidRDefault="00191FBA" w:rsidP="00191FBA">
            <w:pPr>
              <w:shd w:val="clear" w:color="auto" w:fill="FFFFFF" w:themeFill="background1"/>
              <w:jc w:val="center"/>
            </w:pPr>
            <w:r w:rsidRPr="00191FBA">
              <w:t>96,1</w:t>
            </w:r>
          </w:p>
        </w:tc>
        <w:tc>
          <w:tcPr>
            <w:tcW w:w="1140"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98,2</w:t>
            </w:r>
          </w:p>
        </w:tc>
        <w:tc>
          <w:tcPr>
            <w:tcW w:w="1105"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105,2</w:t>
            </w:r>
          </w:p>
        </w:tc>
        <w:tc>
          <w:tcPr>
            <w:tcW w:w="1121"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106,7</w:t>
            </w:r>
          </w:p>
        </w:tc>
      </w:tr>
      <w:tr w:rsidR="00191FBA" w:rsidRPr="00191FBA" w:rsidTr="00191FBA">
        <w:trPr>
          <w:trHeight w:val="283"/>
          <w:jc w:val="center"/>
        </w:trPr>
        <w:tc>
          <w:tcPr>
            <w:tcW w:w="4075" w:type="dxa"/>
            <w:shd w:val="clear" w:color="auto" w:fill="auto"/>
            <w:vAlign w:val="center"/>
          </w:tcPr>
          <w:p w:rsidR="00191FBA" w:rsidRPr="00191FBA" w:rsidRDefault="00191FBA" w:rsidP="00191FBA">
            <w:pPr>
              <w:shd w:val="clear" w:color="auto" w:fill="FFFFFF" w:themeFill="background1"/>
              <w:jc w:val="center"/>
              <w:rPr>
                <w:bCs/>
              </w:rPr>
            </w:pPr>
            <w:r w:rsidRPr="00191FBA">
              <w:rPr>
                <w:bCs/>
              </w:rPr>
              <w:t>базовый вариант</w:t>
            </w:r>
          </w:p>
        </w:tc>
        <w:tc>
          <w:tcPr>
            <w:tcW w:w="1469" w:type="dxa"/>
            <w:vMerge/>
            <w:shd w:val="clear" w:color="auto" w:fill="auto"/>
            <w:vAlign w:val="center"/>
          </w:tcPr>
          <w:p w:rsidR="00191FBA" w:rsidRPr="00191FBA" w:rsidRDefault="00191FBA" w:rsidP="00191FBA">
            <w:pPr>
              <w:shd w:val="clear" w:color="auto" w:fill="FFFFFF" w:themeFill="background1"/>
              <w:jc w:val="center"/>
              <w:rPr>
                <w:bCs/>
              </w:rPr>
            </w:pPr>
          </w:p>
        </w:tc>
        <w:tc>
          <w:tcPr>
            <w:tcW w:w="1303" w:type="dxa"/>
            <w:vMerge/>
            <w:shd w:val="clear" w:color="auto" w:fill="auto"/>
            <w:vAlign w:val="center"/>
          </w:tcPr>
          <w:p w:rsidR="00191FBA" w:rsidRPr="00191FBA" w:rsidRDefault="00191FBA" w:rsidP="00191FBA">
            <w:pPr>
              <w:shd w:val="clear" w:color="auto" w:fill="FFFFFF" w:themeFill="background1"/>
              <w:jc w:val="center"/>
            </w:pPr>
          </w:p>
        </w:tc>
        <w:tc>
          <w:tcPr>
            <w:tcW w:w="1140"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101,1</w:t>
            </w:r>
          </w:p>
        </w:tc>
        <w:tc>
          <w:tcPr>
            <w:tcW w:w="1105"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109,6</w:t>
            </w:r>
          </w:p>
        </w:tc>
        <w:tc>
          <w:tcPr>
            <w:tcW w:w="1121"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109,4</w:t>
            </w:r>
          </w:p>
        </w:tc>
      </w:tr>
      <w:tr w:rsidR="00191FBA" w:rsidRPr="00191FBA" w:rsidTr="00191FBA">
        <w:trPr>
          <w:trHeight w:val="283"/>
          <w:jc w:val="center"/>
        </w:trPr>
        <w:tc>
          <w:tcPr>
            <w:tcW w:w="10213" w:type="dxa"/>
            <w:gridSpan w:val="6"/>
            <w:shd w:val="clear" w:color="auto" w:fill="auto"/>
          </w:tcPr>
          <w:p w:rsidR="00191FBA" w:rsidRPr="00191FBA" w:rsidRDefault="00191FBA" w:rsidP="00F72216">
            <w:pPr>
              <w:shd w:val="clear" w:color="auto" w:fill="FFFFFF" w:themeFill="background1"/>
              <w:rPr>
                <w:bCs/>
                <w:color w:val="FF0000"/>
              </w:rPr>
            </w:pPr>
            <w:r w:rsidRPr="00191FBA">
              <w:rPr>
                <w:bCs/>
              </w:rPr>
              <w:t>Реальная заработная плата,</w:t>
            </w:r>
            <w:r w:rsidR="00955FDE">
              <w:rPr>
                <w:bCs/>
              </w:rPr>
              <w:t xml:space="preserve"> </w:t>
            </w:r>
            <w:r w:rsidR="00EA1742">
              <w:rPr>
                <w:bCs/>
              </w:rPr>
              <w:t>проц.</w:t>
            </w:r>
            <w:r w:rsidR="00F72216">
              <w:rPr>
                <w:bCs/>
              </w:rPr>
              <w:t xml:space="preserve"> к пред</w:t>
            </w:r>
            <w:proofErr w:type="gramStart"/>
            <w:r w:rsidR="00F72216">
              <w:rPr>
                <w:bCs/>
              </w:rPr>
              <w:t>.</w:t>
            </w:r>
            <w:proofErr w:type="gramEnd"/>
            <w:r w:rsidR="00F72216">
              <w:rPr>
                <w:bCs/>
              </w:rPr>
              <w:t xml:space="preserve"> </w:t>
            </w:r>
            <w:proofErr w:type="gramStart"/>
            <w:r w:rsidR="00F72216">
              <w:rPr>
                <w:bCs/>
              </w:rPr>
              <w:t>г</w:t>
            </w:r>
            <w:proofErr w:type="gramEnd"/>
            <w:r w:rsidR="00F72216">
              <w:rPr>
                <w:bCs/>
              </w:rPr>
              <w:t>оду</w:t>
            </w:r>
          </w:p>
        </w:tc>
      </w:tr>
      <w:tr w:rsidR="00191FBA" w:rsidRPr="00191FBA" w:rsidTr="00191FBA">
        <w:trPr>
          <w:trHeight w:val="283"/>
          <w:jc w:val="center"/>
        </w:trPr>
        <w:tc>
          <w:tcPr>
            <w:tcW w:w="4075" w:type="dxa"/>
            <w:shd w:val="clear" w:color="auto" w:fill="auto"/>
            <w:vAlign w:val="center"/>
          </w:tcPr>
          <w:p w:rsidR="00191FBA" w:rsidRPr="00191FBA" w:rsidRDefault="00191FBA" w:rsidP="00191FBA">
            <w:pPr>
              <w:shd w:val="clear" w:color="auto" w:fill="FFFFFF" w:themeFill="background1"/>
              <w:jc w:val="center"/>
              <w:rPr>
                <w:bCs/>
              </w:rPr>
            </w:pPr>
            <w:r w:rsidRPr="00191FBA">
              <w:rPr>
                <w:bCs/>
              </w:rPr>
              <w:t>консервативный вариант</w:t>
            </w:r>
          </w:p>
        </w:tc>
        <w:tc>
          <w:tcPr>
            <w:tcW w:w="1469" w:type="dxa"/>
            <w:vMerge w:val="restart"/>
            <w:shd w:val="clear" w:color="auto" w:fill="auto"/>
            <w:vAlign w:val="center"/>
          </w:tcPr>
          <w:p w:rsidR="00191FBA" w:rsidRPr="00191FBA" w:rsidRDefault="00191FBA" w:rsidP="00191FBA">
            <w:pPr>
              <w:shd w:val="clear" w:color="auto" w:fill="FFFFFF" w:themeFill="background1"/>
              <w:jc w:val="center"/>
              <w:rPr>
                <w:bCs/>
                <w:lang w:val="en-US"/>
              </w:rPr>
            </w:pPr>
            <w:r w:rsidRPr="00191FBA">
              <w:rPr>
                <w:bCs/>
              </w:rPr>
              <w:t>102,9</w:t>
            </w:r>
          </w:p>
        </w:tc>
        <w:tc>
          <w:tcPr>
            <w:tcW w:w="1303" w:type="dxa"/>
            <w:vMerge w:val="restart"/>
            <w:shd w:val="clear" w:color="auto" w:fill="auto"/>
            <w:vAlign w:val="center"/>
          </w:tcPr>
          <w:p w:rsidR="00191FBA" w:rsidRPr="00191FBA" w:rsidRDefault="00191FBA" w:rsidP="00191FBA">
            <w:pPr>
              <w:shd w:val="clear" w:color="auto" w:fill="FFFFFF" w:themeFill="background1"/>
              <w:jc w:val="center"/>
            </w:pPr>
            <w:r w:rsidRPr="00191FBA">
              <w:t>96,0</w:t>
            </w:r>
          </w:p>
        </w:tc>
        <w:tc>
          <w:tcPr>
            <w:tcW w:w="1140"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97,0</w:t>
            </w:r>
          </w:p>
        </w:tc>
        <w:tc>
          <w:tcPr>
            <w:tcW w:w="1105"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100,5</w:t>
            </w:r>
          </w:p>
        </w:tc>
        <w:tc>
          <w:tcPr>
            <w:tcW w:w="1121"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101,0</w:t>
            </w:r>
          </w:p>
        </w:tc>
      </w:tr>
      <w:tr w:rsidR="00191FBA" w:rsidRPr="00191FBA" w:rsidTr="00191FBA">
        <w:trPr>
          <w:trHeight w:val="283"/>
          <w:jc w:val="center"/>
        </w:trPr>
        <w:tc>
          <w:tcPr>
            <w:tcW w:w="4075" w:type="dxa"/>
            <w:shd w:val="clear" w:color="auto" w:fill="auto"/>
            <w:vAlign w:val="center"/>
          </w:tcPr>
          <w:p w:rsidR="00191FBA" w:rsidRPr="00191FBA" w:rsidRDefault="00191FBA" w:rsidP="00191FBA">
            <w:pPr>
              <w:shd w:val="clear" w:color="auto" w:fill="FFFFFF" w:themeFill="background1"/>
              <w:jc w:val="center"/>
              <w:rPr>
                <w:bCs/>
              </w:rPr>
            </w:pPr>
            <w:r w:rsidRPr="00191FBA">
              <w:rPr>
                <w:bCs/>
              </w:rPr>
              <w:t>базовый вариант</w:t>
            </w:r>
          </w:p>
        </w:tc>
        <w:tc>
          <w:tcPr>
            <w:tcW w:w="1469" w:type="dxa"/>
            <w:vMerge/>
            <w:shd w:val="clear" w:color="auto" w:fill="auto"/>
            <w:vAlign w:val="center"/>
          </w:tcPr>
          <w:p w:rsidR="00191FBA" w:rsidRPr="00191FBA" w:rsidRDefault="00191FBA" w:rsidP="00191FBA">
            <w:pPr>
              <w:shd w:val="clear" w:color="auto" w:fill="FFFFFF" w:themeFill="background1"/>
              <w:jc w:val="center"/>
              <w:rPr>
                <w:bCs/>
              </w:rPr>
            </w:pPr>
          </w:p>
        </w:tc>
        <w:tc>
          <w:tcPr>
            <w:tcW w:w="1303" w:type="dxa"/>
            <w:vMerge/>
            <w:shd w:val="clear" w:color="auto" w:fill="auto"/>
            <w:vAlign w:val="center"/>
          </w:tcPr>
          <w:p w:rsidR="00191FBA" w:rsidRPr="00191FBA" w:rsidRDefault="00191FBA" w:rsidP="00191FBA">
            <w:pPr>
              <w:shd w:val="clear" w:color="auto" w:fill="FFFFFF" w:themeFill="background1"/>
              <w:jc w:val="center"/>
              <w:rPr>
                <w:lang w:val="en-US"/>
              </w:rPr>
            </w:pPr>
          </w:p>
        </w:tc>
        <w:tc>
          <w:tcPr>
            <w:tcW w:w="1140" w:type="dxa"/>
            <w:shd w:val="clear" w:color="auto" w:fill="auto"/>
            <w:vAlign w:val="center"/>
          </w:tcPr>
          <w:p w:rsidR="00191FBA" w:rsidRPr="00191FBA" w:rsidRDefault="00191FBA" w:rsidP="00191FBA">
            <w:pPr>
              <w:shd w:val="clear" w:color="auto" w:fill="FFFFFF" w:themeFill="background1"/>
              <w:autoSpaceDE w:val="0"/>
              <w:autoSpaceDN w:val="0"/>
              <w:adjustRightInd w:val="0"/>
              <w:jc w:val="center"/>
            </w:pPr>
            <w:r w:rsidRPr="00191FBA">
              <w:t>100,2</w:t>
            </w:r>
          </w:p>
        </w:tc>
        <w:tc>
          <w:tcPr>
            <w:tcW w:w="1105"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102,4</w:t>
            </w:r>
          </w:p>
        </w:tc>
        <w:tc>
          <w:tcPr>
            <w:tcW w:w="1121" w:type="dxa"/>
            <w:shd w:val="clear" w:color="auto" w:fill="auto"/>
          </w:tcPr>
          <w:p w:rsidR="00191FBA" w:rsidRPr="00191FBA" w:rsidRDefault="00191FBA" w:rsidP="00191FBA">
            <w:pPr>
              <w:shd w:val="clear" w:color="auto" w:fill="FFFFFF" w:themeFill="background1"/>
              <w:autoSpaceDE w:val="0"/>
              <w:autoSpaceDN w:val="0"/>
              <w:adjustRightInd w:val="0"/>
              <w:jc w:val="center"/>
            </w:pPr>
            <w:r w:rsidRPr="00191FBA">
              <w:t>102,5</w:t>
            </w:r>
          </w:p>
        </w:tc>
      </w:tr>
      <w:tr w:rsidR="00191FBA" w:rsidRPr="00191FBA" w:rsidTr="00191FBA">
        <w:trPr>
          <w:trHeight w:val="283"/>
          <w:jc w:val="center"/>
        </w:trPr>
        <w:tc>
          <w:tcPr>
            <w:tcW w:w="10213" w:type="dxa"/>
            <w:gridSpan w:val="6"/>
            <w:shd w:val="clear" w:color="auto" w:fill="auto"/>
          </w:tcPr>
          <w:p w:rsidR="00191FBA" w:rsidRPr="00191FBA" w:rsidRDefault="00191FBA" w:rsidP="00191FBA">
            <w:pPr>
              <w:shd w:val="clear" w:color="auto" w:fill="FFFFFF" w:themeFill="background1"/>
              <w:rPr>
                <w:bCs/>
                <w:color w:val="FF0000"/>
              </w:rPr>
            </w:pPr>
            <w:r w:rsidRPr="00191FBA">
              <w:rPr>
                <w:bCs/>
              </w:rPr>
              <w:t xml:space="preserve">Оборот розничной торговли, </w:t>
            </w:r>
            <w:r w:rsidR="00F72216">
              <w:rPr>
                <w:bCs/>
              </w:rPr>
              <w:t>индекс,</w:t>
            </w:r>
            <w:r w:rsidR="00955FDE">
              <w:rPr>
                <w:bCs/>
              </w:rPr>
              <w:t xml:space="preserve"> </w:t>
            </w:r>
            <w:r w:rsidR="00EA1742">
              <w:rPr>
                <w:bCs/>
              </w:rPr>
              <w:t>проц.</w:t>
            </w:r>
            <w:r w:rsidR="00F72216">
              <w:rPr>
                <w:bCs/>
              </w:rPr>
              <w:t xml:space="preserve"> к пред</w:t>
            </w:r>
            <w:proofErr w:type="gramStart"/>
            <w:r w:rsidR="00F72216">
              <w:rPr>
                <w:bCs/>
              </w:rPr>
              <w:t>.</w:t>
            </w:r>
            <w:proofErr w:type="gramEnd"/>
            <w:r w:rsidR="00F72216">
              <w:rPr>
                <w:bCs/>
              </w:rPr>
              <w:t xml:space="preserve"> </w:t>
            </w:r>
            <w:proofErr w:type="gramStart"/>
            <w:r w:rsidR="00F72216">
              <w:rPr>
                <w:bCs/>
              </w:rPr>
              <w:t>г</w:t>
            </w:r>
            <w:proofErr w:type="gramEnd"/>
            <w:r w:rsidR="00F72216">
              <w:rPr>
                <w:bCs/>
              </w:rPr>
              <w:t>оду</w:t>
            </w:r>
          </w:p>
        </w:tc>
      </w:tr>
      <w:tr w:rsidR="00191FBA" w:rsidRPr="00191FBA" w:rsidTr="00191FBA">
        <w:trPr>
          <w:trHeight w:val="283"/>
          <w:jc w:val="center"/>
        </w:trPr>
        <w:tc>
          <w:tcPr>
            <w:tcW w:w="4075" w:type="dxa"/>
            <w:shd w:val="clear" w:color="auto" w:fill="auto"/>
            <w:vAlign w:val="center"/>
          </w:tcPr>
          <w:p w:rsidR="00191FBA" w:rsidRPr="00191FBA" w:rsidRDefault="00191FBA" w:rsidP="00191FBA">
            <w:pPr>
              <w:shd w:val="clear" w:color="auto" w:fill="FFFFFF" w:themeFill="background1"/>
              <w:jc w:val="center"/>
              <w:rPr>
                <w:bCs/>
              </w:rPr>
            </w:pPr>
            <w:r w:rsidRPr="00191FBA">
              <w:rPr>
                <w:bCs/>
              </w:rPr>
              <w:t>консервативный вариант</w:t>
            </w:r>
          </w:p>
        </w:tc>
        <w:tc>
          <w:tcPr>
            <w:tcW w:w="1469" w:type="dxa"/>
            <w:vMerge w:val="restart"/>
            <w:shd w:val="clear" w:color="auto" w:fill="auto"/>
            <w:vAlign w:val="center"/>
          </w:tcPr>
          <w:p w:rsidR="00191FBA" w:rsidRPr="00191FBA" w:rsidRDefault="00191FBA" w:rsidP="00191FBA">
            <w:pPr>
              <w:shd w:val="clear" w:color="auto" w:fill="FFFFFF" w:themeFill="background1"/>
              <w:jc w:val="center"/>
            </w:pPr>
            <w:r w:rsidRPr="00191FBA">
              <w:t>110,7</w:t>
            </w:r>
          </w:p>
        </w:tc>
        <w:tc>
          <w:tcPr>
            <w:tcW w:w="1303" w:type="dxa"/>
            <w:vMerge w:val="restart"/>
            <w:shd w:val="clear" w:color="auto" w:fill="auto"/>
            <w:vAlign w:val="center"/>
          </w:tcPr>
          <w:p w:rsidR="00191FBA" w:rsidRPr="00191FBA" w:rsidRDefault="00191FBA" w:rsidP="00191FBA">
            <w:pPr>
              <w:shd w:val="clear" w:color="auto" w:fill="FFFFFF" w:themeFill="background1"/>
              <w:jc w:val="center"/>
            </w:pPr>
            <w:r w:rsidRPr="00191FBA">
              <w:t>93,0</w:t>
            </w:r>
          </w:p>
        </w:tc>
        <w:tc>
          <w:tcPr>
            <w:tcW w:w="1140" w:type="dxa"/>
            <w:shd w:val="clear" w:color="auto" w:fill="auto"/>
            <w:vAlign w:val="center"/>
          </w:tcPr>
          <w:p w:rsidR="00191FBA" w:rsidRPr="00191FBA" w:rsidRDefault="00191FBA" w:rsidP="00191FBA">
            <w:pPr>
              <w:shd w:val="clear" w:color="auto" w:fill="FFFFFF" w:themeFill="background1"/>
              <w:autoSpaceDE w:val="0"/>
              <w:autoSpaceDN w:val="0"/>
              <w:adjustRightInd w:val="0"/>
              <w:jc w:val="center"/>
            </w:pPr>
            <w:r w:rsidRPr="00191FBA">
              <w:t>100,3</w:t>
            </w:r>
          </w:p>
        </w:tc>
        <w:tc>
          <w:tcPr>
            <w:tcW w:w="1105" w:type="dxa"/>
            <w:shd w:val="clear" w:color="auto" w:fill="auto"/>
            <w:vAlign w:val="center"/>
          </w:tcPr>
          <w:p w:rsidR="00191FBA" w:rsidRPr="00191FBA" w:rsidRDefault="00191FBA" w:rsidP="00191FBA">
            <w:pPr>
              <w:shd w:val="clear" w:color="auto" w:fill="FFFFFF" w:themeFill="background1"/>
              <w:autoSpaceDE w:val="0"/>
              <w:autoSpaceDN w:val="0"/>
              <w:adjustRightInd w:val="0"/>
              <w:jc w:val="center"/>
            </w:pPr>
            <w:r w:rsidRPr="00191FBA">
              <w:t>104,9</w:t>
            </w:r>
          </w:p>
        </w:tc>
        <w:tc>
          <w:tcPr>
            <w:tcW w:w="1121" w:type="dxa"/>
            <w:shd w:val="clear" w:color="auto" w:fill="auto"/>
            <w:vAlign w:val="center"/>
          </w:tcPr>
          <w:p w:rsidR="00191FBA" w:rsidRPr="00191FBA" w:rsidRDefault="00191FBA" w:rsidP="00191FBA">
            <w:pPr>
              <w:shd w:val="clear" w:color="auto" w:fill="FFFFFF" w:themeFill="background1"/>
              <w:autoSpaceDE w:val="0"/>
              <w:autoSpaceDN w:val="0"/>
              <w:adjustRightInd w:val="0"/>
              <w:jc w:val="center"/>
            </w:pPr>
            <w:r w:rsidRPr="00191FBA">
              <w:t>101,9</w:t>
            </w:r>
          </w:p>
        </w:tc>
      </w:tr>
      <w:tr w:rsidR="00191FBA" w:rsidRPr="00191FBA" w:rsidTr="00191FBA">
        <w:trPr>
          <w:trHeight w:val="283"/>
          <w:jc w:val="center"/>
        </w:trPr>
        <w:tc>
          <w:tcPr>
            <w:tcW w:w="4075" w:type="dxa"/>
            <w:shd w:val="clear" w:color="auto" w:fill="auto"/>
            <w:vAlign w:val="center"/>
          </w:tcPr>
          <w:p w:rsidR="00191FBA" w:rsidRPr="00191FBA" w:rsidRDefault="00191FBA" w:rsidP="00191FBA">
            <w:pPr>
              <w:shd w:val="clear" w:color="auto" w:fill="FFFFFF" w:themeFill="background1"/>
              <w:jc w:val="center"/>
              <w:rPr>
                <w:bCs/>
              </w:rPr>
            </w:pPr>
            <w:r w:rsidRPr="00191FBA">
              <w:rPr>
                <w:bCs/>
              </w:rPr>
              <w:t>базовый вариант</w:t>
            </w:r>
          </w:p>
        </w:tc>
        <w:tc>
          <w:tcPr>
            <w:tcW w:w="1469" w:type="dxa"/>
            <w:vMerge/>
            <w:shd w:val="clear" w:color="auto" w:fill="auto"/>
            <w:vAlign w:val="center"/>
          </w:tcPr>
          <w:p w:rsidR="00191FBA" w:rsidRPr="00191FBA" w:rsidRDefault="00191FBA" w:rsidP="00191FBA">
            <w:pPr>
              <w:shd w:val="clear" w:color="auto" w:fill="FFFFFF" w:themeFill="background1"/>
              <w:jc w:val="center"/>
              <w:rPr>
                <w:bCs/>
                <w:color w:val="FF0000"/>
              </w:rPr>
            </w:pPr>
          </w:p>
        </w:tc>
        <w:tc>
          <w:tcPr>
            <w:tcW w:w="1303" w:type="dxa"/>
            <w:vMerge/>
            <w:shd w:val="clear" w:color="auto" w:fill="auto"/>
            <w:vAlign w:val="center"/>
          </w:tcPr>
          <w:p w:rsidR="00191FBA" w:rsidRPr="00191FBA" w:rsidRDefault="00191FBA" w:rsidP="00191FBA">
            <w:pPr>
              <w:shd w:val="clear" w:color="auto" w:fill="FFFFFF" w:themeFill="background1"/>
              <w:jc w:val="center"/>
              <w:rPr>
                <w:color w:val="FF0000"/>
                <w:lang w:val="en-US"/>
              </w:rPr>
            </w:pPr>
          </w:p>
        </w:tc>
        <w:tc>
          <w:tcPr>
            <w:tcW w:w="1140" w:type="dxa"/>
            <w:shd w:val="clear" w:color="auto" w:fill="auto"/>
            <w:vAlign w:val="center"/>
          </w:tcPr>
          <w:p w:rsidR="00191FBA" w:rsidRPr="00191FBA" w:rsidRDefault="00191FBA" w:rsidP="00191FBA">
            <w:pPr>
              <w:shd w:val="clear" w:color="auto" w:fill="FFFFFF" w:themeFill="background1"/>
              <w:autoSpaceDE w:val="0"/>
              <w:autoSpaceDN w:val="0"/>
              <w:adjustRightInd w:val="0"/>
              <w:jc w:val="center"/>
            </w:pPr>
            <w:r w:rsidRPr="00191FBA">
              <w:t>102,5</w:t>
            </w:r>
          </w:p>
        </w:tc>
        <w:tc>
          <w:tcPr>
            <w:tcW w:w="1105" w:type="dxa"/>
            <w:shd w:val="clear" w:color="auto" w:fill="auto"/>
            <w:vAlign w:val="center"/>
          </w:tcPr>
          <w:p w:rsidR="00191FBA" w:rsidRPr="00191FBA" w:rsidRDefault="00191FBA" w:rsidP="00191FBA">
            <w:pPr>
              <w:shd w:val="clear" w:color="auto" w:fill="FFFFFF" w:themeFill="background1"/>
              <w:autoSpaceDE w:val="0"/>
              <w:autoSpaceDN w:val="0"/>
              <w:adjustRightInd w:val="0"/>
              <w:jc w:val="center"/>
            </w:pPr>
            <w:r w:rsidRPr="00191FBA">
              <w:t>104,9</w:t>
            </w:r>
          </w:p>
        </w:tc>
        <w:tc>
          <w:tcPr>
            <w:tcW w:w="1121" w:type="dxa"/>
            <w:shd w:val="clear" w:color="auto" w:fill="auto"/>
            <w:vAlign w:val="center"/>
          </w:tcPr>
          <w:p w:rsidR="00191FBA" w:rsidRPr="00191FBA" w:rsidRDefault="00191FBA" w:rsidP="00191FBA">
            <w:pPr>
              <w:shd w:val="clear" w:color="auto" w:fill="FFFFFF" w:themeFill="background1"/>
              <w:autoSpaceDE w:val="0"/>
              <w:autoSpaceDN w:val="0"/>
              <w:adjustRightInd w:val="0"/>
              <w:jc w:val="center"/>
            </w:pPr>
            <w:r w:rsidRPr="00191FBA">
              <w:t>103,8</w:t>
            </w:r>
          </w:p>
        </w:tc>
      </w:tr>
      <w:tr w:rsidR="00191FBA" w:rsidRPr="00191FBA" w:rsidTr="00191FBA">
        <w:trPr>
          <w:trHeight w:val="283"/>
          <w:jc w:val="center"/>
        </w:trPr>
        <w:tc>
          <w:tcPr>
            <w:tcW w:w="10213" w:type="dxa"/>
            <w:gridSpan w:val="6"/>
            <w:shd w:val="clear" w:color="auto" w:fill="auto"/>
          </w:tcPr>
          <w:p w:rsidR="00191FBA" w:rsidRPr="00191FBA" w:rsidRDefault="00191FBA" w:rsidP="00F72216">
            <w:pPr>
              <w:shd w:val="clear" w:color="auto" w:fill="FFFFFF" w:themeFill="background1"/>
              <w:rPr>
                <w:bCs/>
                <w:color w:val="FF0000"/>
              </w:rPr>
            </w:pPr>
            <w:r w:rsidRPr="00191FBA">
              <w:rPr>
                <w:bCs/>
              </w:rPr>
              <w:t>Индекс потребительских цен,</w:t>
            </w:r>
            <w:r w:rsidR="00955FDE">
              <w:rPr>
                <w:bCs/>
              </w:rPr>
              <w:t xml:space="preserve"> </w:t>
            </w:r>
            <w:r w:rsidR="00EA1742">
              <w:rPr>
                <w:bCs/>
              </w:rPr>
              <w:t>проц.</w:t>
            </w:r>
            <w:r w:rsidR="00F72216">
              <w:rPr>
                <w:bCs/>
              </w:rPr>
              <w:t xml:space="preserve"> к пред</w:t>
            </w:r>
            <w:proofErr w:type="gramStart"/>
            <w:r w:rsidR="00F72216">
              <w:rPr>
                <w:bCs/>
              </w:rPr>
              <w:t>.</w:t>
            </w:r>
            <w:proofErr w:type="gramEnd"/>
            <w:r w:rsidR="00F72216">
              <w:rPr>
                <w:bCs/>
              </w:rPr>
              <w:t xml:space="preserve"> </w:t>
            </w:r>
            <w:proofErr w:type="gramStart"/>
            <w:r w:rsidR="00F72216">
              <w:rPr>
                <w:bCs/>
              </w:rPr>
              <w:t>г</w:t>
            </w:r>
            <w:proofErr w:type="gramEnd"/>
            <w:r w:rsidR="00F72216">
              <w:rPr>
                <w:bCs/>
              </w:rPr>
              <w:t>оду</w:t>
            </w:r>
          </w:p>
        </w:tc>
      </w:tr>
      <w:tr w:rsidR="00191FBA" w:rsidRPr="00191FBA" w:rsidTr="00191FBA">
        <w:trPr>
          <w:trHeight w:val="283"/>
          <w:jc w:val="center"/>
        </w:trPr>
        <w:tc>
          <w:tcPr>
            <w:tcW w:w="4075" w:type="dxa"/>
            <w:shd w:val="clear" w:color="auto" w:fill="auto"/>
            <w:vAlign w:val="center"/>
          </w:tcPr>
          <w:p w:rsidR="00191FBA" w:rsidRPr="00191FBA" w:rsidRDefault="00191FBA" w:rsidP="00191FBA">
            <w:pPr>
              <w:shd w:val="clear" w:color="auto" w:fill="FFFFFF" w:themeFill="background1"/>
              <w:jc w:val="center"/>
              <w:rPr>
                <w:bCs/>
              </w:rPr>
            </w:pPr>
            <w:r w:rsidRPr="00191FBA">
              <w:rPr>
                <w:bCs/>
              </w:rPr>
              <w:t>консервативный вариант</w:t>
            </w:r>
          </w:p>
        </w:tc>
        <w:tc>
          <w:tcPr>
            <w:tcW w:w="1469" w:type="dxa"/>
            <w:vMerge w:val="restart"/>
            <w:shd w:val="clear" w:color="auto" w:fill="auto"/>
            <w:vAlign w:val="center"/>
          </w:tcPr>
          <w:p w:rsidR="00191FBA" w:rsidRPr="00EA1742" w:rsidRDefault="00EA1742" w:rsidP="00191FBA">
            <w:pPr>
              <w:shd w:val="clear" w:color="auto" w:fill="FFFFFF" w:themeFill="background1"/>
              <w:jc w:val="center"/>
              <w:rPr>
                <w:bCs/>
                <w:color w:val="000000" w:themeColor="text1"/>
              </w:rPr>
            </w:pPr>
            <w:r w:rsidRPr="00EA1742">
              <w:rPr>
                <w:bCs/>
                <w:color w:val="000000" w:themeColor="text1"/>
              </w:rPr>
              <w:t>106,2</w:t>
            </w:r>
          </w:p>
        </w:tc>
        <w:tc>
          <w:tcPr>
            <w:tcW w:w="1303" w:type="dxa"/>
            <w:vMerge w:val="restart"/>
            <w:shd w:val="clear" w:color="auto" w:fill="auto"/>
            <w:vAlign w:val="center"/>
          </w:tcPr>
          <w:p w:rsidR="00191FBA" w:rsidRPr="00EA1742" w:rsidRDefault="00EA1742" w:rsidP="00191FBA">
            <w:pPr>
              <w:shd w:val="clear" w:color="auto" w:fill="FFFFFF" w:themeFill="background1"/>
              <w:jc w:val="center"/>
              <w:rPr>
                <w:color w:val="000000" w:themeColor="text1"/>
              </w:rPr>
            </w:pPr>
            <w:r w:rsidRPr="00EA1742">
              <w:rPr>
                <w:color w:val="000000" w:themeColor="text1"/>
              </w:rPr>
              <w:t>115,5</w:t>
            </w:r>
          </w:p>
        </w:tc>
        <w:tc>
          <w:tcPr>
            <w:tcW w:w="1140" w:type="dxa"/>
            <w:shd w:val="clear" w:color="auto" w:fill="auto"/>
          </w:tcPr>
          <w:p w:rsidR="00191FBA" w:rsidRPr="00EA1742" w:rsidRDefault="00EA1742" w:rsidP="00191FBA">
            <w:pPr>
              <w:shd w:val="clear" w:color="auto" w:fill="FFFFFF" w:themeFill="background1"/>
              <w:autoSpaceDE w:val="0"/>
              <w:autoSpaceDN w:val="0"/>
              <w:adjustRightInd w:val="0"/>
              <w:jc w:val="center"/>
              <w:rPr>
                <w:color w:val="000000" w:themeColor="text1"/>
              </w:rPr>
            </w:pPr>
            <w:r w:rsidRPr="00EA1742">
              <w:rPr>
                <w:color w:val="000000" w:themeColor="text1"/>
              </w:rPr>
              <w:t>107,8</w:t>
            </w:r>
          </w:p>
        </w:tc>
        <w:tc>
          <w:tcPr>
            <w:tcW w:w="1105" w:type="dxa"/>
            <w:shd w:val="clear" w:color="auto" w:fill="auto"/>
          </w:tcPr>
          <w:p w:rsidR="00191FBA" w:rsidRPr="00EA1742" w:rsidRDefault="00EA1742" w:rsidP="00191FBA">
            <w:pPr>
              <w:shd w:val="clear" w:color="auto" w:fill="FFFFFF" w:themeFill="background1"/>
              <w:autoSpaceDE w:val="0"/>
              <w:autoSpaceDN w:val="0"/>
              <w:adjustRightInd w:val="0"/>
              <w:jc w:val="center"/>
              <w:rPr>
                <w:color w:val="000000" w:themeColor="text1"/>
              </w:rPr>
            </w:pPr>
            <w:r w:rsidRPr="00EA1742">
              <w:rPr>
                <w:color w:val="000000" w:themeColor="text1"/>
              </w:rPr>
              <w:t>104,2</w:t>
            </w:r>
          </w:p>
        </w:tc>
        <w:tc>
          <w:tcPr>
            <w:tcW w:w="1121" w:type="dxa"/>
            <w:shd w:val="clear" w:color="auto" w:fill="auto"/>
          </w:tcPr>
          <w:p w:rsidR="00191FBA" w:rsidRPr="00EA1742" w:rsidRDefault="00EA1742" w:rsidP="00191FBA">
            <w:pPr>
              <w:shd w:val="clear" w:color="auto" w:fill="FFFFFF" w:themeFill="background1"/>
              <w:autoSpaceDE w:val="0"/>
              <w:autoSpaceDN w:val="0"/>
              <w:adjustRightInd w:val="0"/>
              <w:jc w:val="center"/>
              <w:rPr>
                <w:color w:val="000000" w:themeColor="text1"/>
              </w:rPr>
            </w:pPr>
            <w:r w:rsidRPr="00EA1742">
              <w:rPr>
                <w:color w:val="000000" w:themeColor="text1"/>
              </w:rPr>
              <w:t>104,0</w:t>
            </w:r>
          </w:p>
        </w:tc>
      </w:tr>
      <w:tr w:rsidR="00191FBA" w:rsidRPr="00191FBA" w:rsidTr="00191FBA">
        <w:trPr>
          <w:trHeight w:val="283"/>
          <w:jc w:val="center"/>
        </w:trPr>
        <w:tc>
          <w:tcPr>
            <w:tcW w:w="4075" w:type="dxa"/>
            <w:shd w:val="clear" w:color="auto" w:fill="auto"/>
            <w:vAlign w:val="center"/>
          </w:tcPr>
          <w:p w:rsidR="00191FBA" w:rsidRPr="00191FBA" w:rsidRDefault="00191FBA" w:rsidP="00191FBA">
            <w:pPr>
              <w:shd w:val="clear" w:color="auto" w:fill="FFFFFF" w:themeFill="background1"/>
              <w:jc w:val="center"/>
              <w:rPr>
                <w:bCs/>
              </w:rPr>
            </w:pPr>
            <w:r w:rsidRPr="00191FBA">
              <w:rPr>
                <w:bCs/>
              </w:rPr>
              <w:t>базовый вариант</w:t>
            </w:r>
          </w:p>
        </w:tc>
        <w:tc>
          <w:tcPr>
            <w:tcW w:w="1469" w:type="dxa"/>
            <w:vMerge/>
            <w:shd w:val="clear" w:color="auto" w:fill="auto"/>
            <w:vAlign w:val="center"/>
          </w:tcPr>
          <w:p w:rsidR="00191FBA" w:rsidRPr="00EA1742" w:rsidRDefault="00191FBA" w:rsidP="00191FBA">
            <w:pPr>
              <w:shd w:val="clear" w:color="auto" w:fill="FFFFFF" w:themeFill="background1"/>
              <w:jc w:val="center"/>
              <w:rPr>
                <w:bCs/>
                <w:color w:val="000000" w:themeColor="text1"/>
              </w:rPr>
            </w:pPr>
          </w:p>
        </w:tc>
        <w:tc>
          <w:tcPr>
            <w:tcW w:w="1303" w:type="dxa"/>
            <w:vMerge/>
            <w:shd w:val="clear" w:color="auto" w:fill="auto"/>
            <w:vAlign w:val="center"/>
          </w:tcPr>
          <w:p w:rsidR="00191FBA" w:rsidRPr="00EA1742" w:rsidRDefault="00191FBA" w:rsidP="00191FBA">
            <w:pPr>
              <w:shd w:val="clear" w:color="auto" w:fill="FFFFFF" w:themeFill="background1"/>
              <w:jc w:val="center"/>
              <w:rPr>
                <w:color w:val="000000" w:themeColor="text1"/>
              </w:rPr>
            </w:pPr>
          </w:p>
        </w:tc>
        <w:tc>
          <w:tcPr>
            <w:tcW w:w="1140" w:type="dxa"/>
            <w:shd w:val="clear" w:color="auto" w:fill="auto"/>
          </w:tcPr>
          <w:p w:rsidR="00191FBA" w:rsidRPr="00EA1742" w:rsidRDefault="00EA1742" w:rsidP="00191FBA">
            <w:pPr>
              <w:shd w:val="clear" w:color="auto" w:fill="FFFFFF" w:themeFill="background1"/>
              <w:autoSpaceDE w:val="0"/>
              <w:autoSpaceDN w:val="0"/>
              <w:adjustRightInd w:val="0"/>
              <w:jc w:val="center"/>
              <w:rPr>
                <w:color w:val="000000" w:themeColor="text1"/>
              </w:rPr>
            </w:pPr>
            <w:r w:rsidRPr="00EA1742">
              <w:rPr>
                <w:color w:val="000000" w:themeColor="text1"/>
              </w:rPr>
              <w:t>109,0</w:t>
            </w:r>
          </w:p>
        </w:tc>
        <w:tc>
          <w:tcPr>
            <w:tcW w:w="1105" w:type="dxa"/>
            <w:shd w:val="clear" w:color="auto" w:fill="auto"/>
          </w:tcPr>
          <w:p w:rsidR="00191FBA" w:rsidRPr="00EA1742" w:rsidRDefault="00EA1742" w:rsidP="00191FBA">
            <w:pPr>
              <w:shd w:val="clear" w:color="auto" w:fill="FFFFFF" w:themeFill="background1"/>
              <w:autoSpaceDE w:val="0"/>
              <w:autoSpaceDN w:val="0"/>
              <w:adjustRightInd w:val="0"/>
              <w:jc w:val="center"/>
              <w:rPr>
                <w:color w:val="000000" w:themeColor="text1"/>
              </w:rPr>
            </w:pPr>
            <w:r w:rsidRPr="00EA1742">
              <w:rPr>
                <w:color w:val="000000" w:themeColor="text1"/>
              </w:rPr>
              <w:t>104,6</w:t>
            </w:r>
          </w:p>
        </w:tc>
        <w:tc>
          <w:tcPr>
            <w:tcW w:w="1121" w:type="dxa"/>
            <w:shd w:val="clear" w:color="auto" w:fill="auto"/>
          </w:tcPr>
          <w:p w:rsidR="00191FBA" w:rsidRPr="00EA1742" w:rsidRDefault="00EA1742" w:rsidP="00191FBA">
            <w:pPr>
              <w:shd w:val="clear" w:color="auto" w:fill="FFFFFF" w:themeFill="background1"/>
              <w:autoSpaceDE w:val="0"/>
              <w:autoSpaceDN w:val="0"/>
              <w:adjustRightInd w:val="0"/>
              <w:jc w:val="center"/>
              <w:rPr>
                <w:color w:val="000000" w:themeColor="text1"/>
              </w:rPr>
            </w:pPr>
            <w:r w:rsidRPr="00EA1742">
              <w:rPr>
                <w:color w:val="000000" w:themeColor="text1"/>
              </w:rPr>
              <w:t>104,0</w:t>
            </w:r>
          </w:p>
        </w:tc>
      </w:tr>
    </w:tbl>
    <w:p w:rsidR="00191FBA" w:rsidRPr="00191FBA" w:rsidRDefault="00191FBA" w:rsidP="00191FBA">
      <w:pPr>
        <w:shd w:val="clear" w:color="auto" w:fill="FFFFFF" w:themeFill="background1"/>
        <w:ind w:right="-5" w:firstLine="709"/>
        <w:jc w:val="both"/>
        <w:rPr>
          <w:color w:val="FF0000"/>
          <w:sz w:val="28"/>
          <w:szCs w:val="28"/>
        </w:rPr>
      </w:pPr>
    </w:p>
    <w:p w:rsidR="00191FBA" w:rsidRPr="00191FBA" w:rsidRDefault="00191FBA" w:rsidP="00191FBA">
      <w:pPr>
        <w:shd w:val="clear" w:color="auto" w:fill="FFFFFF" w:themeFill="background1"/>
        <w:ind w:firstLine="709"/>
        <w:jc w:val="both"/>
        <w:rPr>
          <w:rFonts w:eastAsia="Calibri"/>
          <w:color w:val="000000" w:themeColor="text1"/>
          <w:sz w:val="28"/>
          <w:szCs w:val="28"/>
        </w:rPr>
      </w:pPr>
      <w:r w:rsidRPr="00191FBA">
        <w:rPr>
          <w:sz w:val="28"/>
          <w:szCs w:val="28"/>
          <w:lang w:eastAsia="en-US"/>
        </w:rPr>
        <w:t xml:space="preserve">Для формирования </w:t>
      </w:r>
      <w:r w:rsidRPr="00191FBA">
        <w:rPr>
          <w:sz w:val="28"/>
          <w:szCs w:val="28"/>
        </w:rPr>
        <w:t>параметров консолидированного бюджета Ленинградской области на среднесрочный период</w:t>
      </w:r>
      <w:r w:rsidRPr="00191FBA">
        <w:rPr>
          <w:sz w:val="28"/>
          <w:szCs w:val="28"/>
          <w:lang w:eastAsia="en-US"/>
        </w:rPr>
        <w:t xml:space="preserve">, в качестве основного </w:t>
      </w:r>
      <w:r w:rsidRPr="00F72216">
        <w:rPr>
          <w:b/>
          <w:sz w:val="28"/>
          <w:szCs w:val="28"/>
          <w:lang w:eastAsia="en-US"/>
        </w:rPr>
        <w:t xml:space="preserve">рекомендован базовый </w:t>
      </w:r>
      <w:r w:rsidRPr="00F72216">
        <w:rPr>
          <w:b/>
          <w:color w:val="000000" w:themeColor="text1"/>
          <w:sz w:val="28"/>
          <w:szCs w:val="28"/>
          <w:lang w:eastAsia="en-US"/>
        </w:rPr>
        <w:t>вариант</w:t>
      </w:r>
      <w:r w:rsidRPr="00F72216">
        <w:rPr>
          <w:rFonts w:eastAsia="Calibri"/>
          <w:b/>
          <w:color w:val="000000" w:themeColor="text1"/>
          <w:sz w:val="28"/>
          <w:szCs w:val="28"/>
        </w:rPr>
        <w:t>.</w:t>
      </w:r>
      <w:r w:rsidRPr="00191FBA">
        <w:rPr>
          <w:rFonts w:eastAsia="Calibri"/>
          <w:color w:val="000000" w:themeColor="text1"/>
          <w:sz w:val="28"/>
          <w:szCs w:val="28"/>
        </w:rPr>
        <w:t xml:space="preserve"> </w:t>
      </w:r>
    </w:p>
    <w:p w:rsidR="00EA1742" w:rsidRPr="000D7061" w:rsidRDefault="00EA1742" w:rsidP="004D2468">
      <w:pPr>
        <w:ind w:firstLine="709"/>
        <w:jc w:val="both"/>
        <w:rPr>
          <w:color w:val="000000" w:themeColor="text1"/>
          <w:sz w:val="28"/>
          <w:szCs w:val="28"/>
        </w:rPr>
      </w:pPr>
    </w:p>
    <w:p w:rsidR="00C505B3" w:rsidRPr="0050653D" w:rsidRDefault="00C505B3" w:rsidP="007A48FA">
      <w:pPr>
        <w:ind w:right="-5" w:firstLine="709"/>
        <w:jc w:val="both"/>
        <w:rPr>
          <w:color w:val="000000" w:themeColor="text1"/>
          <w:sz w:val="16"/>
          <w:szCs w:val="16"/>
        </w:rPr>
      </w:pPr>
    </w:p>
    <w:p w:rsidR="00C505B3" w:rsidRPr="0050653D" w:rsidRDefault="007A48FA" w:rsidP="00C505B3">
      <w:pPr>
        <w:widowControl w:val="0"/>
        <w:jc w:val="center"/>
        <w:rPr>
          <w:color w:val="000000" w:themeColor="text1"/>
          <w:sz w:val="28"/>
          <w:szCs w:val="28"/>
        </w:rPr>
      </w:pPr>
      <w:r w:rsidRPr="0050653D">
        <w:rPr>
          <w:color w:val="000000" w:themeColor="text1"/>
          <w:sz w:val="28"/>
          <w:szCs w:val="28"/>
        </w:rPr>
        <w:t>Оценка социально-экономического развития Ленинградской области</w:t>
      </w:r>
      <w:r w:rsidR="00283993" w:rsidRPr="0050653D">
        <w:rPr>
          <w:color w:val="000000" w:themeColor="text1"/>
          <w:sz w:val="28"/>
          <w:szCs w:val="28"/>
        </w:rPr>
        <w:t xml:space="preserve"> </w:t>
      </w:r>
      <w:r w:rsidR="00B50C97" w:rsidRPr="0050653D">
        <w:rPr>
          <w:color w:val="000000" w:themeColor="text1"/>
          <w:sz w:val="28"/>
          <w:szCs w:val="28"/>
        </w:rPr>
        <w:br/>
      </w:r>
      <w:r w:rsidRPr="0050653D">
        <w:rPr>
          <w:color w:val="000000" w:themeColor="text1"/>
          <w:sz w:val="28"/>
          <w:szCs w:val="28"/>
        </w:rPr>
        <w:t>за 20</w:t>
      </w:r>
      <w:r w:rsidR="00AD6753" w:rsidRPr="0050653D">
        <w:rPr>
          <w:color w:val="000000" w:themeColor="text1"/>
          <w:sz w:val="28"/>
          <w:szCs w:val="28"/>
        </w:rPr>
        <w:t>21</w:t>
      </w:r>
      <w:r w:rsidRPr="0050653D">
        <w:rPr>
          <w:color w:val="000000" w:themeColor="text1"/>
          <w:sz w:val="28"/>
          <w:szCs w:val="28"/>
        </w:rPr>
        <w:t xml:space="preserve"> год</w:t>
      </w:r>
    </w:p>
    <w:p w:rsidR="00C505B3" w:rsidRPr="0050653D" w:rsidRDefault="00C505B3" w:rsidP="00C505B3">
      <w:pPr>
        <w:widowControl w:val="0"/>
        <w:jc w:val="center"/>
        <w:rPr>
          <w:b/>
          <w:i/>
          <w:color w:val="000000" w:themeColor="text1"/>
          <w:sz w:val="16"/>
          <w:szCs w:val="16"/>
        </w:rPr>
      </w:pPr>
    </w:p>
    <w:p w:rsidR="00191FBA" w:rsidRPr="0050653D" w:rsidRDefault="00191FBA" w:rsidP="00191FBA">
      <w:pPr>
        <w:shd w:val="clear" w:color="auto" w:fill="FFFFFF" w:themeFill="background1"/>
        <w:ind w:firstLine="709"/>
        <w:jc w:val="both"/>
        <w:rPr>
          <w:bCs/>
          <w:sz w:val="28"/>
          <w:szCs w:val="28"/>
        </w:rPr>
      </w:pPr>
      <w:r w:rsidRPr="0050653D">
        <w:rPr>
          <w:bCs/>
          <w:sz w:val="28"/>
          <w:szCs w:val="28"/>
        </w:rPr>
        <w:t xml:space="preserve">В 2021 году Ленинградская область адаптировалась к условиям жизни в пандемию </w:t>
      </w:r>
      <w:proofErr w:type="spellStart"/>
      <w:r w:rsidRPr="0050653D">
        <w:rPr>
          <w:bCs/>
          <w:sz w:val="28"/>
          <w:szCs w:val="28"/>
        </w:rPr>
        <w:t>коронавируса</w:t>
      </w:r>
      <w:proofErr w:type="spellEnd"/>
      <w:r w:rsidRPr="0050653D">
        <w:rPr>
          <w:bCs/>
          <w:sz w:val="28"/>
          <w:szCs w:val="28"/>
        </w:rPr>
        <w:t>, в течение года укрепился тренд на стабилизацию экономических условий, улучшение социальной ситуации и ускорение положительной динамики развития.</w:t>
      </w:r>
    </w:p>
    <w:p w:rsidR="00191FBA" w:rsidRPr="0050653D" w:rsidRDefault="00191FBA" w:rsidP="00191FBA">
      <w:pPr>
        <w:shd w:val="clear" w:color="auto" w:fill="FFFFFF" w:themeFill="background1"/>
        <w:ind w:firstLine="709"/>
        <w:jc w:val="both"/>
        <w:rPr>
          <w:rFonts w:eastAsiaTheme="minorHAnsi"/>
          <w:sz w:val="28"/>
          <w:szCs w:val="28"/>
          <w:lang w:eastAsia="en-US"/>
        </w:rPr>
      </w:pPr>
      <w:r w:rsidRPr="0050653D">
        <w:rPr>
          <w:rFonts w:eastAsiaTheme="minorHAnsi"/>
          <w:sz w:val="28"/>
          <w:szCs w:val="28"/>
          <w:lang w:eastAsia="en-US"/>
        </w:rPr>
        <w:t>На фоне снижения заболеваемости и возвращения к привычной жизни в 2021 году в регионе были созданы все условия для обеспечения режима наибольшего благоприятствования для восстановления экономического роста.</w:t>
      </w:r>
    </w:p>
    <w:p w:rsidR="00191FBA" w:rsidRPr="0050653D" w:rsidRDefault="00191FBA" w:rsidP="00191FBA">
      <w:pPr>
        <w:shd w:val="clear" w:color="auto" w:fill="FFFFFF" w:themeFill="background1"/>
        <w:ind w:firstLine="709"/>
        <w:jc w:val="both"/>
        <w:rPr>
          <w:sz w:val="28"/>
          <w:szCs w:val="28"/>
        </w:rPr>
      </w:pPr>
      <w:r w:rsidRPr="0050653D">
        <w:rPr>
          <w:sz w:val="28"/>
          <w:szCs w:val="28"/>
        </w:rPr>
        <w:t xml:space="preserve">По </w:t>
      </w:r>
      <w:r w:rsidRPr="0050653D">
        <w:rPr>
          <w:b/>
          <w:sz w:val="28"/>
          <w:szCs w:val="28"/>
        </w:rPr>
        <w:t>итогам 2021 года</w:t>
      </w:r>
      <w:r w:rsidRPr="0050653D">
        <w:rPr>
          <w:sz w:val="28"/>
          <w:szCs w:val="28"/>
        </w:rPr>
        <w:t xml:space="preserve"> Ленинградская область укрепила свои позиции в ТОП-20 субъектов Российской Федерации по объемам промышленного производства, инвестициям, сельскому хозяйству и обороту розничной торговли. </w:t>
      </w:r>
      <w:r w:rsidRPr="0050653D">
        <w:rPr>
          <w:bCs/>
          <w:sz w:val="28"/>
          <w:szCs w:val="28"/>
        </w:rPr>
        <w:t>Это подтверждается ключевыми показателями развития:</w:t>
      </w:r>
    </w:p>
    <w:p w:rsidR="00191FBA" w:rsidRPr="0050653D" w:rsidRDefault="00191FBA" w:rsidP="00191FBA">
      <w:pPr>
        <w:tabs>
          <w:tab w:val="left" w:pos="1134"/>
        </w:tabs>
        <w:ind w:firstLine="709"/>
        <w:jc w:val="both"/>
        <w:rPr>
          <w:sz w:val="28"/>
          <w:szCs w:val="28"/>
        </w:rPr>
      </w:pPr>
      <w:r w:rsidRPr="0050653D">
        <w:rPr>
          <w:sz w:val="28"/>
          <w:szCs w:val="28"/>
        </w:rPr>
        <w:t xml:space="preserve">1. </w:t>
      </w:r>
      <w:r w:rsidRPr="0050653D">
        <w:rPr>
          <w:rFonts w:eastAsiaTheme="minorHAnsi"/>
          <w:sz w:val="28"/>
          <w:szCs w:val="28"/>
          <w:lang w:eastAsia="en-US"/>
        </w:rPr>
        <w:t xml:space="preserve">По результатам 2021 года индекс промышленного производства </w:t>
      </w:r>
      <w:r w:rsidRPr="0050653D">
        <w:rPr>
          <w:rFonts w:eastAsiaTheme="minorHAnsi"/>
          <w:sz w:val="28"/>
          <w:szCs w:val="28"/>
          <w:lang w:eastAsia="en-US"/>
        </w:rPr>
        <w:br/>
        <w:t>в Ленинградской области составил 107,6</w:t>
      </w:r>
      <w:r w:rsidR="00EA1742" w:rsidRPr="0050653D">
        <w:rPr>
          <w:rFonts w:eastAsiaTheme="minorHAnsi"/>
          <w:sz w:val="28"/>
          <w:szCs w:val="28"/>
          <w:lang w:eastAsia="en-US"/>
        </w:rPr>
        <w:t xml:space="preserve"> проц.</w:t>
      </w:r>
      <w:r w:rsidRPr="0050653D">
        <w:rPr>
          <w:rFonts w:eastAsiaTheme="minorHAnsi"/>
          <w:sz w:val="28"/>
          <w:szCs w:val="28"/>
          <w:lang w:eastAsia="en-US"/>
        </w:rPr>
        <w:t xml:space="preserve"> (по Российской Федерации данный </w:t>
      </w:r>
      <w:r w:rsidRPr="0050653D">
        <w:rPr>
          <w:rFonts w:eastAsiaTheme="minorHAnsi"/>
          <w:sz w:val="28"/>
          <w:szCs w:val="28"/>
          <w:lang w:eastAsia="en-US"/>
        </w:rPr>
        <w:lastRenderedPageBreak/>
        <w:t>показатель составил 105,3</w:t>
      </w:r>
      <w:r w:rsidR="00EA1742" w:rsidRPr="0050653D">
        <w:rPr>
          <w:rFonts w:eastAsiaTheme="minorHAnsi"/>
          <w:sz w:val="28"/>
          <w:szCs w:val="28"/>
          <w:lang w:eastAsia="en-US"/>
        </w:rPr>
        <w:t xml:space="preserve"> проц.</w:t>
      </w:r>
      <w:r w:rsidRPr="0050653D">
        <w:rPr>
          <w:rFonts w:eastAsiaTheme="minorHAnsi"/>
          <w:sz w:val="28"/>
          <w:szCs w:val="28"/>
          <w:lang w:eastAsia="en-US"/>
        </w:rPr>
        <w:t>)</w:t>
      </w:r>
      <w:proofErr w:type="gramStart"/>
      <w:r w:rsidRPr="0050653D">
        <w:rPr>
          <w:rFonts w:eastAsiaTheme="minorHAnsi"/>
          <w:sz w:val="28"/>
          <w:szCs w:val="28"/>
          <w:lang w:eastAsia="en-US"/>
        </w:rPr>
        <w:t>,в</w:t>
      </w:r>
      <w:proofErr w:type="gramEnd"/>
      <w:r w:rsidRPr="0050653D">
        <w:rPr>
          <w:rFonts w:eastAsiaTheme="minorHAnsi"/>
          <w:sz w:val="28"/>
          <w:szCs w:val="28"/>
          <w:lang w:eastAsia="en-US"/>
        </w:rPr>
        <w:t xml:space="preserve"> обрабатывающей промышленности – 107,6</w:t>
      </w:r>
      <w:r w:rsidR="00EA1742" w:rsidRPr="0050653D">
        <w:rPr>
          <w:rFonts w:eastAsiaTheme="minorHAnsi"/>
          <w:sz w:val="28"/>
          <w:szCs w:val="28"/>
          <w:lang w:eastAsia="en-US"/>
        </w:rPr>
        <w:t xml:space="preserve"> проц.</w:t>
      </w:r>
      <w:r w:rsidRPr="0050653D">
        <w:rPr>
          <w:rFonts w:eastAsiaTheme="minorHAnsi"/>
          <w:sz w:val="28"/>
          <w:szCs w:val="28"/>
          <w:lang w:eastAsia="en-US"/>
        </w:rPr>
        <w:t xml:space="preserve"> (по Российской Федерации – 105,0</w:t>
      </w:r>
      <w:r w:rsidR="00EA1742" w:rsidRPr="0050653D">
        <w:rPr>
          <w:rFonts w:eastAsiaTheme="minorHAnsi"/>
          <w:sz w:val="28"/>
          <w:szCs w:val="28"/>
          <w:lang w:eastAsia="en-US"/>
        </w:rPr>
        <w:t xml:space="preserve"> проц.</w:t>
      </w:r>
      <w:r w:rsidRPr="0050653D">
        <w:rPr>
          <w:rFonts w:eastAsiaTheme="minorHAnsi"/>
          <w:sz w:val="28"/>
          <w:szCs w:val="28"/>
          <w:lang w:eastAsia="en-US"/>
        </w:rPr>
        <w:t>).</w:t>
      </w:r>
    </w:p>
    <w:p w:rsidR="00191FBA" w:rsidRPr="0050653D" w:rsidRDefault="00191FBA" w:rsidP="00191FBA">
      <w:pPr>
        <w:shd w:val="clear" w:color="auto" w:fill="FFFFFF" w:themeFill="background1"/>
        <w:ind w:firstLine="709"/>
        <w:jc w:val="both"/>
        <w:rPr>
          <w:rFonts w:eastAsiaTheme="minorHAnsi"/>
          <w:sz w:val="28"/>
          <w:szCs w:val="28"/>
          <w:lang w:eastAsia="en-US"/>
        </w:rPr>
      </w:pPr>
      <w:r w:rsidRPr="0050653D">
        <w:rPr>
          <w:rFonts w:eastAsia="Calibri"/>
          <w:sz w:val="28"/>
          <w:szCs w:val="28"/>
        </w:rPr>
        <w:t xml:space="preserve">2. </w:t>
      </w:r>
      <w:r w:rsidRPr="0050653D">
        <w:rPr>
          <w:rFonts w:eastAsiaTheme="minorHAnsi"/>
          <w:sz w:val="28"/>
          <w:szCs w:val="28"/>
          <w:lang w:eastAsia="en-US"/>
        </w:rPr>
        <w:t xml:space="preserve">Ленинградская область в очередной раз подтвердила лидирующие позиции среди </w:t>
      </w:r>
      <w:proofErr w:type="spellStart"/>
      <w:r w:rsidRPr="0050653D">
        <w:rPr>
          <w:rFonts w:eastAsiaTheme="minorHAnsi"/>
          <w:sz w:val="28"/>
          <w:szCs w:val="28"/>
          <w:lang w:eastAsia="en-US"/>
        </w:rPr>
        <w:t>инвестиционно</w:t>
      </w:r>
      <w:proofErr w:type="spellEnd"/>
      <w:r w:rsidRPr="0050653D">
        <w:rPr>
          <w:rFonts w:eastAsiaTheme="minorHAnsi"/>
          <w:sz w:val="28"/>
          <w:szCs w:val="28"/>
          <w:lang w:eastAsia="en-US"/>
        </w:rPr>
        <w:t xml:space="preserve"> привлекательных</w:t>
      </w:r>
      <w:r w:rsidRPr="0050653D">
        <w:rPr>
          <w:rFonts w:eastAsiaTheme="minorHAnsi"/>
          <w:b/>
          <w:sz w:val="28"/>
          <w:szCs w:val="28"/>
          <w:lang w:eastAsia="en-US"/>
        </w:rPr>
        <w:t xml:space="preserve"> </w:t>
      </w:r>
      <w:r w:rsidRPr="0050653D">
        <w:rPr>
          <w:rFonts w:eastAsiaTheme="minorHAnsi"/>
          <w:sz w:val="28"/>
          <w:szCs w:val="28"/>
          <w:lang w:eastAsia="en-US"/>
        </w:rPr>
        <w:t xml:space="preserve">субъектов Российской Федерации. По итогам Национального рейтинга состояния инвестиционного климата область заняла 9 место (плюс 1 позиция относительно 2020 года) и вошла в перечень регионов-лидеров с наиболее благоприятными условиями для ведения бизнеса. </w:t>
      </w:r>
    </w:p>
    <w:p w:rsidR="00191FBA" w:rsidRPr="0050653D" w:rsidRDefault="00191FBA" w:rsidP="00191FBA">
      <w:pPr>
        <w:shd w:val="clear" w:color="auto" w:fill="FFFFFF" w:themeFill="background1"/>
        <w:ind w:firstLine="709"/>
        <w:jc w:val="both"/>
        <w:rPr>
          <w:rFonts w:eastAsiaTheme="minorHAnsi"/>
          <w:sz w:val="28"/>
          <w:szCs w:val="28"/>
          <w:lang w:eastAsia="en-US"/>
        </w:rPr>
      </w:pPr>
      <w:r w:rsidRPr="0050653D">
        <w:rPr>
          <w:rFonts w:eastAsiaTheme="minorHAnsi"/>
          <w:sz w:val="28"/>
          <w:szCs w:val="28"/>
          <w:lang w:eastAsia="en-US"/>
        </w:rPr>
        <w:t xml:space="preserve">Всего в прошлом году в экономику региона было инвестировано почти 443 </w:t>
      </w:r>
      <w:proofErr w:type="gramStart"/>
      <w:r w:rsidRPr="0050653D">
        <w:rPr>
          <w:rFonts w:eastAsiaTheme="minorHAnsi"/>
          <w:sz w:val="28"/>
          <w:szCs w:val="28"/>
          <w:lang w:eastAsia="en-US"/>
        </w:rPr>
        <w:t>млрд</w:t>
      </w:r>
      <w:proofErr w:type="gramEnd"/>
      <w:r w:rsidRPr="0050653D">
        <w:rPr>
          <w:rFonts w:eastAsiaTheme="minorHAnsi"/>
          <w:sz w:val="28"/>
          <w:szCs w:val="28"/>
          <w:lang w:eastAsia="en-US"/>
        </w:rPr>
        <w:t xml:space="preserve"> руб., </w:t>
      </w:r>
      <w:r w:rsidR="00B52272">
        <w:rPr>
          <w:rFonts w:eastAsiaTheme="minorHAnsi"/>
          <w:sz w:val="28"/>
          <w:szCs w:val="28"/>
          <w:lang w:eastAsia="en-US"/>
        </w:rPr>
        <w:t>при</w:t>
      </w:r>
      <w:r w:rsidRPr="0050653D">
        <w:rPr>
          <w:rFonts w:eastAsiaTheme="minorHAnsi"/>
          <w:sz w:val="28"/>
          <w:szCs w:val="28"/>
          <w:lang w:eastAsia="en-US"/>
        </w:rPr>
        <w:t>рост на 5,6</w:t>
      </w:r>
      <w:r w:rsidR="00EA1742" w:rsidRPr="0050653D">
        <w:rPr>
          <w:rFonts w:eastAsiaTheme="minorHAnsi"/>
          <w:sz w:val="28"/>
          <w:szCs w:val="28"/>
          <w:lang w:eastAsia="en-US"/>
        </w:rPr>
        <w:t xml:space="preserve"> проц.</w:t>
      </w:r>
      <w:r w:rsidRPr="0050653D">
        <w:rPr>
          <w:rFonts w:eastAsiaTheme="minorHAnsi"/>
          <w:sz w:val="28"/>
          <w:szCs w:val="28"/>
          <w:lang w:eastAsia="en-US"/>
        </w:rPr>
        <w:t xml:space="preserve"> к уровню 2020 года.</w:t>
      </w:r>
    </w:p>
    <w:p w:rsidR="00191FBA" w:rsidRPr="0050653D" w:rsidRDefault="00191FBA" w:rsidP="00191FBA">
      <w:pPr>
        <w:shd w:val="clear" w:color="auto" w:fill="FFFFFF" w:themeFill="background1"/>
        <w:ind w:firstLine="709"/>
        <w:jc w:val="both"/>
        <w:rPr>
          <w:rFonts w:eastAsiaTheme="minorHAnsi"/>
          <w:sz w:val="28"/>
          <w:szCs w:val="28"/>
          <w:lang w:eastAsia="en-US"/>
        </w:rPr>
      </w:pPr>
      <w:r w:rsidRPr="0050653D">
        <w:rPr>
          <w:rFonts w:eastAsia="Calibri"/>
          <w:sz w:val="28"/>
          <w:szCs w:val="28"/>
        </w:rPr>
        <w:t xml:space="preserve">3. </w:t>
      </w:r>
      <w:r w:rsidRPr="0050653D">
        <w:rPr>
          <w:rFonts w:eastAsiaTheme="minorHAnsi"/>
          <w:sz w:val="28"/>
          <w:szCs w:val="28"/>
          <w:lang w:eastAsia="en-US"/>
        </w:rPr>
        <w:t xml:space="preserve">Положительный </w:t>
      </w:r>
      <w:proofErr w:type="gramStart"/>
      <w:r w:rsidRPr="0050653D">
        <w:rPr>
          <w:rFonts w:eastAsiaTheme="minorHAnsi"/>
          <w:sz w:val="28"/>
          <w:szCs w:val="28"/>
          <w:lang w:eastAsia="en-US"/>
        </w:rPr>
        <w:t>результат</w:t>
      </w:r>
      <w:proofErr w:type="gramEnd"/>
      <w:r w:rsidRPr="0050653D">
        <w:rPr>
          <w:rFonts w:eastAsiaTheme="minorHAnsi"/>
          <w:sz w:val="28"/>
          <w:szCs w:val="28"/>
          <w:lang w:eastAsia="en-US"/>
        </w:rPr>
        <w:t xml:space="preserve"> достигнут</w:t>
      </w:r>
      <w:r w:rsidRPr="0050653D">
        <w:rPr>
          <w:rFonts w:eastAsiaTheme="minorHAnsi"/>
          <w:b/>
          <w:sz w:val="28"/>
          <w:szCs w:val="28"/>
          <w:lang w:eastAsia="en-US"/>
        </w:rPr>
        <w:t xml:space="preserve"> </w:t>
      </w:r>
      <w:r w:rsidRPr="0050653D">
        <w:rPr>
          <w:rFonts w:eastAsiaTheme="minorHAnsi"/>
          <w:sz w:val="28"/>
          <w:szCs w:val="28"/>
          <w:lang w:eastAsia="en-US"/>
        </w:rPr>
        <w:t>в сельском хозяйстве</w:t>
      </w:r>
      <w:r w:rsidRPr="0050653D">
        <w:rPr>
          <w:rFonts w:eastAsiaTheme="minorHAnsi"/>
          <w:b/>
          <w:sz w:val="28"/>
          <w:szCs w:val="28"/>
          <w:lang w:eastAsia="en-US"/>
        </w:rPr>
        <w:t>.</w:t>
      </w:r>
      <w:r w:rsidRPr="0050653D">
        <w:rPr>
          <w:rFonts w:eastAsiaTheme="minorHAnsi"/>
          <w:sz w:val="28"/>
          <w:szCs w:val="28"/>
          <w:lang w:eastAsia="en-US"/>
        </w:rPr>
        <w:t xml:space="preserve"> Рост производства валовой продукции </w:t>
      </w:r>
      <w:r w:rsidR="00B52272">
        <w:rPr>
          <w:rFonts w:eastAsiaTheme="minorHAnsi"/>
          <w:sz w:val="28"/>
          <w:szCs w:val="28"/>
          <w:lang w:eastAsia="en-US"/>
        </w:rPr>
        <w:t>агропромышленного комплекса</w:t>
      </w:r>
      <w:r w:rsidRPr="0050653D">
        <w:rPr>
          <w:rFonts w:eastAsiaTheme="minorHAnsi"/>
          <w:sz w:val="28"/>
          <w:szCs w:val="28"/>
          <w:lang w:eastAsia="en-US"/>
        </w:rPr>
        <w:t xml:space="preserve"> достиг 322,9 </w:t>
      </w:r>
      <w:proofErr w:type="gramStart"/>
      <w:r w:rsidRPr="0050653D">
        <w:rPr>
          <w:rFonts w:eastAsiaTheme="minorHAnsi"/>
          <w:sz w:val="28"/>
          <w:szCs w:val="28"/>
          <w:lang w:eastAsia="en-US"/>
        </w:rPr>
        <w:t>млрд</w:t>
      </w:r>
      <w:proofErr w:type="gramEnd"/>
      <w:r w:rsidRPr="0050653D">
        <w:rPr>
          <w:rFonts w:eastAsiaTheme="minorHAnsi"/>
          <w:sz w:val="28"/>
          <w:szCs w:val="28"/>
          <w:lang w:eastAsia="en-US"/>
        </w:rPr>
        <w:t xml:space="preserve"> руб. (16,6</w:t>
      </w:r>
      <w:r w:rsidR="00EA1742" w:rsidRPr="0050653D">
        <w:rPr>
          <w:rFonts w:eastAsiaTheme="minorHAnsi"/>
          <w:sz w:val="28"/>
          <w:szCs w:val="28"/>
          <w:lang w:eastAsia="en-US"/>
        </w:rPr>
        <w:t xml:space="preserve"> проц.</w:t>
      </w:r>
      <w:r w:rsidRPr="0050653D">
        <w:rPr>
          <w:rFonts w:eastAsiaTheme="minorHAnsi"/>
          <w:sz w:val="28"/>
          <w:szCs w:val="28"/>
          <w:lang w:eastAsia="en-US"/>
        </w:rPr>
        <w:t xml:space="preserve"> к 2020 году). </w:t>
      </w:r>
    </w:p>
    <w:p w:rsidR="00191FBA" w:rsidRPr="0050653D" w:rsidRDefault="00191FBA" w:rsidP="00191FBA">
      <w:pPr>
        <w:shd w:val="clear" w:color="auto" w:fill="FFFFFF" w:themeFill="background1"/>
        <w:ind w:firstLine="709"/>
        <w:jc w:val="both"/>
        <w:rPr>
          <w:rFonts w:eastAsiaTheme="minorHAnsi"/>
          <w:sz w:val="28"/>
          <w:szCs w:val="28"/>
          <w:lang w:eastAsia="en-US"/>
        </w:rPr>
      </w:pPr>
      <w:proofErr w:type="gramStart"/>
      <w:r w:rsidRPr="0050653D">
        <w:rPr>
          <w:rFonts w:eastAsiaTheme="minorHAnsi"/>
          <w:sz w:val="28"/>
          <w:szCs w:val="28"/>
          <w:lang w:eastAsia="en-US"/>
        </w:rPr>
        <w:t>Область по-прежнему занимает лидирующие позиции среди всех субъектов Российской Федерации по производству яиц и зеленого салата (1 место), по поголовью птицы и по молочной продуктивности коров (2 место), и выращиванию форели, семенного картофеля и цветов (3 место), по производству мяса птицы и грибов (5 место) и по производству молока (9 место).</w:t>
      </w:r>
      <w:proofErr w:type="gramEnd"/>
    </w:p>
    <w:p w:rsidR="00191FBA" w:rsidRPr="0050653D" w:rsidRDefault="00191FBA" w:rsidP="00191FBA">
      <w:pPr>
        <w:shd w:val="clear" w:color="auto" w:fill="FFFFFF" w:themeFill="background1"/>
        <w:ind w:firstLine="709"/>
        <w:jc w:val="both"/>
        <w:rPr>
          <w:rFonts w:eastAsiaTheme="minorHAnsi"/>
          <w:sz w:val="28"/>
          <w:szCs w:val="28"/>
          <w:lang w:eastAsia="en-US"/>
        </w:rPr>
      </w:pPr>
      <w:r w:rsidRPr="0050653D">
        <w:rPr>
          <w:rFonts w:eastAsiaTheme="minorHAnsi"/>
          <w:sz w:val="28"/>
          <w:szCs w:val="28"/>
          <w:lang w:eastAsia="en-US"/>
        </w:rPr>
        <w:t xml:space="preserve">4. </w:t>
      </w:r>
      <w:r w:rsidRPr="0050653D">
        <w:rPr>
          <w:rFonts w:eastAsiaTheme="minorHAnsi"/>
          <w:iCs/>
          <w:sz w:val="28"/>
          <w:szCs w:val="28"/>
          <w:lang w:eastAsia="en-US"/>
        </w:rPr>
        <w:t>Снятие жестких «</w:t>
      </w:r>
      <w:proofErr w:type="spellStart"/>
      <w:r w:rsidRPr="0050653D">
        <w:rPr>
          <w:rFonts w:eastAsiaTheme="minorHAnsi"/>
          <w:iCs/>
          <w:sz w:val="28"/>
          <w:szCs w:val="28"/>
          <w:lang w:eastAsia="en-US"/>
        </w:rPr>
        <w:t>коронавирусных</w:t>
      </w:r>
      <w:proofErr w:type="spellEnd"/>
      <w:r w:rsidRPr="0050653D">
        <w:rPr>
          <w:rFonts w:eastAsiaTheme="minorHAnsi"/>
          <w:iCs/>
          <w:sz w:val="28"/>
          <w:szCs w:val="28"/>
          <w:lang w:eastAsia="en-US"/>
        </w:rPr>
        <w:t xml:space="preserve">» ограничений, восстановление потребительской активности способствовало развитию малого и среднего предпринимательства, восстановлению потребительского рынка: </w:t>
      </w:r>
      <w:r w:rsidRPr="0050653D">
        <w:rPr>
          <w:rFonts w:eastAsiaTheme="minorHAnsi"/>
          <w:sz w:val="28"/>
          <w:szCs w:val="28"/>
          <w:lang w:eastAsia="en-US"/>
        </w:rPr>
        <w:t xml:space="preserve">оборот розничной торговли за 2021 год составил </w:t>
      </w:r>
      <w:r w:rsidR="00B52272">
        <w:rPr>
          <w:rFonts w:eastAsiaTheme="minorHAnsi"/>
          <w:sz w:val="28"/>
          <w:szCs w:val="28"/>
          <w:lang w:eastAsia="en-US"/>
        </w:rPr>
        <w:t>567,7</w:t>
      </w:r>
      <w:r w:rsidRPr="0050653D">
        <w:rPr>
          <w:rFonts w:eastAsiaTheme="minorHAnsi"/>
          <w:sz w:val="28"/>
          <w:szCs w:val="28"/>
          <w:lang w:eastAsia="en-US"/>
        </w:rPr>
        <w:t> </w:t>
      </w:r>
      <w:proofErr w:type="gramStart"/>
      <w:r w:rsidRPr="0050653D">
        <w:rPr>
          <w:rFonts w:eastAsiaTheme="minorHAnsi"/>
          <w:sz w:val="28"/>
          <w:szCs w:val="28"/>
          <w:lang w:eastAsia="en-US"/>
        </w:rPr>
        <w:t>млрд</w:t>
      </w:r>
      <w:proofErr w:type="gramEnd"/>
      <w:r w:rsidRPr="0050653D">
        <w:rPr>
          <w:rFonts w:eastAsiaTheme="minorHAnsi"/>
          <w:sz w:val="28"/>
          <w:szCs w:val="28"/>
          <w:lang w:eastAsia="en-US"/>
        </w:rPr>
        <w:t xml:space="preserve"> руб., прирост в сопоставимых ценах на </w:t>
      </w:r>
      <w:r w:rsidR="00B52272">
        <w:rPr>
          <w:rFonts w:eastAsiaTheme="minorHAnsi"/>
          <w:sz w:val="28"/>
          <w:szCs w:val="28"/>
          <w:lang w:eastAsia="en-US"/>
        </w:rPr>
        <w:t>10,7</w:t>
      </w:r>
      <w:r w:rsidR="00EA1742" w:rsidRPr="0050653D">
        <w:rPr>
          <w:rFonts w:eastAsiaTheme="minorHAnsi"/>
          <w:sz w:val="28"/>
          <w:szCs w:val="28"/>
          <w:lang w:eastAsia="en-US"/>
        </w:rPr>
        <w:t xml:space="preserve"> проц.</w:t>
      </w:r>
      <w:r w:rsidRPr="0050653D">
        <w:rPr>
          <w:rFonts w:eastAsiaTheme="minorHAnsi"/>
          <w:sz w:val="28"/>
          <w:szCs w:val="28"/>
          <w:lang w:eastAsia="en-US"/>
        </w:rPr>
        <w:t xml:space="preserve"> к 2020 году (по России – 7,3</w:t>
      </w:r>
      <w:r w:rsidR="00EA1742" w:rsidRPr="0050653D">
        <w:rPr>
          <w:rFonts w:eastAsiaTheme="minorHAnsi"/>
          <w:sz w:val="28"/>
          <w:szCs w:val="28"/>
          <w:lang w:eastAsia="en-US"/>
        </w:rPr>
        <w:t xml:space="preserve"> проц.</w:t>
      </w:r>
      <w:r w:rsidRPr="0050653D">
        <w:rPr>
          <w:rFonts w:eastAsiaTheme="minorHAnsi"/>
          <w:sz w:val="28"/>
          <w:szCs w:val="28"/>
          <w:lang w:eastAsia="en-US"/>
        </w:rPr>
        <w:t>).</w:t>
      </w:r>
    </w:p>
    <w:p w:rsidR="00191FBA" w:rsidRPr="0050653D" w:rsidRDefault="00191FBA" w:rsidP="00191FBA">
      <w:pPr>
        <w:shd w:val="clear" w:color="auto" w:fill="FFFFFF" w:themeFill="background1"/>
        <w:tabs>
          <w:tab w:val="left" w:pos="1134"/>
        </w:tabs>
        <w:ind w:firstLine="709"/>
        <w:jc w:val="both"/>
        <w:rPr>
          <w:sz w:val="28"/>
          <w:szCs w:val="28"/>
        </w:rPr>
      </w:pPr>
      <w:r w:rsidRPr="0050653D">
        <w:rPr>
          <w:sz w:val="28"/>
          <w:szCs w:val="28"/>
        </w:rPr>
        <w:t xml:space="preserve">Достижения и успехи Ленинградской области в 2021 году подтверждаются </w:t>
      </w:r>
      <w:r w:rsidRPr="0050653D">
        <w:rPr>
          <w:b/>
          <w:sz w:val="28"/>
          <w:szCs w:val="28"/>
        </w:rPr>
        <w:t>независимыми рейтингами</w:t>
      </w:r>
      <w:r w:rsidRPr="0050653D">
        <w:rPr>
          <w:sz w:val="28"/>
          <w:szCs w:val="28"/>
        </w:rPr>
        <w:t>:</w:t>
      </w:r>
    </w:p>
    <w:p w:rsidR="00191FBA" w:rsidRPr="0050653D" w:rsidRDefault="00191FBA" w:rsidP="00191FBA">
      <w:pPr>
        <w:shd w:val="clear" w:color="auto" w:fill="FFFFFF" w:themeFill="background1"/>
        <w:tabs>
          <w:tab w:val="left" w:pos="1134"/>
        </w:tabs>
        <w:ind w:firstLine="709"/>
        <w:jc w:val="both"/>
        <w:rPr>
          <w:sz w:val="28"/>
          <w:szCs w:val="28"/>
          <w:u w:val="single"/>
        </w:rPr>
      </w:pPr>
      <w:r w:rsidRPr="0050653D">
        <w:rPr>
          <w:sz w:val="28"/>
          <w:szCs w:val="28"/>
          <w:u w:val="single"/>
        </w:rPr>
        <w:t>1 место</w:t>
      </w:r>
      <w:r w:rsidRPr="0050653D">
        <w:rPr>
          <w:sz w:val="28"/>
          <w:szCs w:val="28"/>
        </w:rPr>
        <w:t xml:space="preserve"> в </w:t>
      </w:r>
      <w:r w:rsidRPr="0050653D">
        <w:rPr>
          <w:color w:val="000000"/>
          <w:sz w:val="28"/>
          <w:szCs w:val="28"/>
        </w:rPr>
        <w:t xml:space="preserve">рейтинге по уровню управления ESG-рисками </w:t>
      </w:r>
      <w:r w:rsidRPr="0050653D">
        <w:rPr>
          <w:sz w:val="28"/>
          <w:szCs w:val="28"/>
        </w:rPr>
        <w:t>по верс</w:t>
      </w:r>
      <w:proofErr w:type="gramStart"/>
      <w:r w:rsidRPr="0050653D">
        <w:rPr>
          <w:sz w:val="28"/>
          <w:szCs w:val="28"/>
        </w:rPr>
        <w:t xml:space="preserve">ии </w:t>
      </w:r>
      <w:r w:rsidRPr="0050653D">
        <w:rPr>
          <w:sz w:val="28"/>
          <w:szCs w:val="28"/>
        </w:rPr>
        <w:br/>
        <w:t>ООО</w:t>
      </w:r>
      <w:proofErr w:type="gramEnd"/>
      <w:r w:rsidRPr="0050653D">
        <w:rPr>
          <w:sz w:val="28"/>
          <w:szCs w:val="28"/>
        </w:rPr>
        <w:t xml:space="preserve"> «РАЭКС-Аналитика»</w:t>
      </w:r>
    </w:p>
    <w:p w:rsidR="00191FBA" w:rsidRPr="0050653D" w:rsidRDefault="00191FBA" w:rsidP="00191FBA">
      <w:pPr>
        <w:shd w:val="clear" w:color="auto" w:fill="FFFFFF" w:themeFill="background1"/>
        <w:tabs>
          <w:tab w:val="left" w:pos="1134"/>
        </w:tabs>
        <w:ind w:firstLine="709"/>
        <w:jc w:val="both"/>
        <w:rPr>
          <w:sz w:val="28"/>
          <w:szCs w:val="28"/>
        </w:rPr>
      </w:pPr>
      <w:r w:rsidRPr="0050653D">
        <w:rPr>
          <w:sz w:val="28"/>
          <w:szCs w:val="28"/>
          <w:u w:val="single"/>
        </w:rPr>
        <w:t>7 место</w:t>
      </w:r>
      <w:r w:rsidRPr="0050653D">
        <w:rPr>
          <w:sz w:val="28"/>
          <w:szCs w:val="28"/>
        </w:rPr>
        <w:t xml:space="preserve"> в рейтинге агентства «РИА Рейтинг» по качеству жизни населения;</w:t>
      </w:r>
    </w:p>
    <w:p w:rsidR="00191FBA" w:rsidRPr="0050653D" w:rsidRDefault="00191FBA" w:rsidP="00191FBA">
      <w:pPr>
        <w:shd w:val="clear" w:color="auto" w:fill="FFFFFF" w:themeFill="background1"/>
        <w:tabs>
          <w:tab w:val="left" w:pos="1134"/>
        </w:tabs>
        <w:ind w:firstLine="709"/>
        <w:jc w:val="both"/>
        <w:rPr>
          <w:sz w:val="28"/>
          <w:szCs w:val="28"/>
        </w:rPr>
      </w:pPr>
      <w:r w:rsidRPr="0050653D">
        <w:rPr>
          <w:sz w:val="28"/>
          <w:szCs w:val="28"/>
          <w:u w:val="single"/>
        </w:rPr>
        <w:t>9 место</w:t>
      </w:r>
      <w:r w:rsidRPr="0050653D">
        <w:rPr>
          <w:sz w:val="28"/>
          <w:szCs w:val="28"/>
        </w:rPr>
        <w:t xml:space="preserve"> в Национальном рейтинге состояния инвестиционного климата </w:t>
      </w:r>
      <w:r w:rsidRPr="0050653D">
        <w:rPr>
          <w:sz w:val="28"/>
          <w:szCs w:val="28"/>
        </w:rPr>
        <w:br/>
        <w:t>АНО «Агентство стратегических инициатив»;</w:t>
      </w:r>
    </w:p>
    <w:p w:rsidR="002D5568" w:rsidRPr="0050653D" w:rsidRDefault="00191FBA" w:rsidP="00191FBA">
      <w:pPr>
        <w:shd w:val="clear" w:color="auto" w:fill="FFFFFF"/>
        <w:tabs>
          <w:tab w:val="left" w:pos="1134"/>
        </w:tabs>
        <w:ind w:firstLine="709"/>
        <w:jc w:val="both"/>
        <w:rPr>
          <w:sz w:val="28"/>
          <w:szCs w:val="28"/>
        </w:rPr>
      </w:pPr>
      <w:r w:rsidRPr="0050653D">
        <w:rPr>
          <w:sz w:val="28"/>
          <w:szCs w:val="28"/>
          <w:u w:val="single"/>
        </w:rPr>
        <w:t>10 место</w:t>
      </w:r>
      <w:r w:rsidRPr="0050653D">
        <w:rPr>
          <w:sz w:val="28"/>
          <w:szCs w:val="28"/>
        </w:rPr>
        <w:t xml:space="preserve"> в рейтинге агентства «РИА Рейтинг» социально-экономического положения субъектов Российской Федерации.</w:t>
      </w:r>
    </w:p>
    <w:p w:rsidR="00191FBA" w:rsidRPr="0050653D" w:rsidRDefault="00191FBA" w:rsidP="009863F9">
      <w:pPr>
        <w:pStyle w:val="24"/>
        <w:shd w:val="clear" w:color="auto" w:fill="FFFFFF"/>
        <w:spacing w:after="0"/>
        <w:ind w:firstLine="709"/>
        <w:rPr>
          <w:color w:val="000000" w:themeColor="text1"/>
          <w:sz w:val="16"/>
          <w:szCs w:val="16"/>
        </w:rPr>
      </w:pPr>
    </w:p>
    <w:p w:rsidR="00B90E3A" w:rsidRPr="0050653D" w:rsidRDefault="00B90E3A" w:rsidP="00B90E3A">
      <w:pPr>
        <w:pStyle w:val="24"/>
        <w:shd w:val="clear" w:color="auto" w:fill="FFFFFF"/>
        <w:spacing w:after="0"/>
        <w:ind w:firstLine="0"/>
        <w:jc w:val="center"/>
        <w:rPr>
          <w:color w:val="000000" w:themeColor="text1"/>
          <w:szCs w:val="28"/>
        </w:rPr>
      </w:pPr>
      <w:r w:rsidRPr="0050653D">
        <w:rPr>
          <w:color w:val="000000" w:themeColor="text1"/>
          <w:szCs w:val="28"/>
        </w:rPr>
        <w:t>Население</w:t>
      </w:r>
    </w:p>
    <w:p w:rsidR="00B90E3A" w:rsidRPr="0050653D" w:rsidRDefault="00B90E3A" w:rsidP="009863F9">
      <w:pPr>
        <w:pStyle w:val="24"/>
        <w:shd w:val="clear" w:color="auto" w:fill="FFFFFF"/>
        <w:spacing w:after="0"/>
        <w:ind w:firstLine="709"/>
        <w:rPr>
          <w:color w:val="000000" w:themeColor="text1"/>
          <w:sz w:val="16"/>
          <w:szCs w:val="16"/>
        </w:rPr>
      </w:pPr>
    </w:p>
    <w:p w:rsidR="00191FBA" w:rsidRPr="0050653D" w:rsidRDefault="00191FBA" w:rsidP="00191FBA">
      <w:pPr>
        <w:pStyle w:val="24"/>
        <w:shd w:val="clear" w:color="auto" w:fill="FFFFFF" w:themeFill="background1"/>
        <w:spacing w:after="0"/>
        <w:ind w:firstLine="709"/>
      </w:pPr>
      <w:r w:rsidRPr="0050653D">
        <w:rPr>
          <w:szCs w:val="28"/>
        </w:rPr>
        <w:t>В 2021 году ср</w:t>
      </w:r>
      <w:r w:rsidRPr="0050653D">
        <w:rPr>
          <w:bCs/>
          <w:iCs/>
        </w:rPr>
        <w:t>еднегодовая численность постоянного населения</w:t>
      </w:r>
      <w:r w:rsidRPr="0050653D">
        <w:t xml:space="preserve"> </w:t>
      </w:r>
      <w:r w:rsidRPr="0050653D">
        <w:br/>
        <w:t>в Ленинградской области увеличилась по сравнению с 2020 годом на 1,0</w:t>
      </w:r>
      <w:r w:rsidR="00EA1742" w:rsidRPr="0050653D">
        <w:t xml:space="preserve"> проц.</w:t>
      </w:r>
      <w:r w:rsidRPr="0050653D">
        <w:t xml:space="preserve"> </w:t>
      </w:r>
      <w:r w:rsidRPr="0050653D">
        <w:br/>
        <w:t>и составила 1902,1 тыс. человек.</w:t>
      </w:r>
    </w:p>
    <w:p w:rsidR="00191FBA" w:rsidRPr="0050653D" w:rsidRDefault="00191FBA" w:rsidP="00191FBA">
      <w:pPr>
        <w:shd w:val="clear" w:color="auto" w:fill="FFFFFF" w:themeFill="background1"/>
        <w:tabs>
          <w:tab w:val="left" w:pos="1418"/>
        </w:tabs>
        <w:ind w:firstLine="709"/>
        <w:jc w:val="both"/>
        <w:rPr>
          <w:sz w:val="28"/>
          <w:szCs w:val="28"/>
        </w:rPr>
      </w:pPr>
      <w:r w:rsidRPr="0050653D">
        <w:rPr>
          <w:sz w:val="28"/>
          <w:szCs w:val="28"/>
        </w:rPr>
        <w:t xml:space="preserve">Численность постоянного населения Ленинградской области на 1 января </w:t>
      </w:r>
      <w:r w:rsidRPr="0050653D">
        <w:rPr>
          <w:sz w:val="28"/>
          <w:szCs w:val="28"/>
        </w:rPr>
        <w:br/>
        <w:t>2022 года составила 1911,6 тыс. человек (в том числе городское – 1283,8 тыс. человек, сельское – 627,8 тыс. человек) и с начала 2021 года увеличилась на 18,9 тыс. человек или на 1,0</w:t>
      </w:r>
      <w:r w:rsidR="00EA1742" w:rsidRPr="0050653D">
        <w:rPr>
          <w:sz w:val="28"/>
          <w:szCs w:val="28"/>
        </w:rPr>
        <w:t xml:space="preserve"> проц</w:t>
      </w:r>
      <w:proofErr w:type="gramStart"/>
      <w:r w:rsidR="00EA1742" w:rsidRPr="0050653D">
        <w:rPr>
          <w:sz w:val="28"/>
          <w:szCs w:val="28"/>
        </w:rPr>
        <w:t>.</w:t>
      </w:r>
      <w:r w:rsidRPr="0050653D">
        <w:rPr>
          <w:sz w:val="28"/>
          <w:szCs w:val="28"/>
        </w:rPr>
        <w:t>.</w:t>
      </w:r>
      <w:proofErr w:type="gramEnd"/>
    </w:p>
    <w:p w:rsidR="00191FBA" w:rsidRPr="0050653D" w:rsidRDefault="00191FBA" w:rsidP="00191FBA">
      <w:pPr>
        <w:shd w:val="clear" w:color="auto" w:fill="FFFFFF" w:themeFill="background1"/>
        <w:tabs>
          <w:tab w:val="left" w:pos="1418"/>
        </w:tabs>
        <w:ind w:firstLine="709"/>
        <w:jc w:val="both"/>
        <w:rPr>
          <w:sz w:val="28"/>
          <w:szCs w:val="28"/>
        </w:rPr>
      </w:pPr>
      <w:r w:rsidRPr="0050653D">
        <w:rPr>
          <w:sz w:val="28"/>
          <w:szCs w:val="28"/>
        </w:rPr>
        <w:t>Родилось 13079 детей. Коэффициент рождаемости составил 6,9 человек на 1000 населения.</w:t>
      </w:r>
    </w:p>
    <w:p w:rsidR="00191FBA" w:rsidRPr="0050653D" w:rsidRDefault="00191FBA" w:rsidP="00191FBA">
      <w:pPr>
        <w:shd w:val="clear" w:color="auto" w:fill="FFFFFF" w:themeFill="background1"/>
        <w:tabs>
          <w:tab w:val="left" w:pos="1418"/>
        </w:tabs>
        <w:ind w:firstLine="709"/>
        <w:jc w:val="both"/>
        <w:rPr>
          <w:sz w:val="28"/>
          <w:szCs w:val="28"/>
        </w:rPr>
      </w:pPr>
      <w:r w:rsidRPr="0050653D">
        <w:rPr>
          <w:sz w:val="28"/>
          <w:szCs w:val="28"/>
        </w:rPr>
        <w:lastRenderedPageBreak/>
        <w:t xml:space="preserve">Умерло 32202 человек. Коэффициент смертности составил 17,1 человек на 1000 населения. </w:t>
      </w:r>
    </w:p>
    <w:p w:rsidR="00191FBA" w:rsidRPr="0050653D" w:rsidRDefault="00191FBA" w:rsidP="00191FBA">
      <w:pPr>
        <w:shd w:val="clear" w:color="auto" w:fill="FFFFFF" w:themeFill="background1"/>
        <w:tabs>
          <w:tab w:val="left" w:pos="1418"/>
        </w:tabs>
        <w:ind w:firstLine="709"/>
        <w:jc w:val="both"/>
        <w:rPr>
          <w:sz w:val="28"/>
          <w:szCs w:val="28"/>
        </w:rPr>
      </w:pPr>
      <w:r w:rsidRPr="0050653D">
        <w:rPr>
          <w:sz w:val="28"/>
          <w:szCs w:val="28"/>
        </w:rPr>
        <w:t xml:space="preserve">Уровень младенческой смертности составил 3,7 на 1000 </w:t>
      </w:r>
      <w:proofErr w:type="gramStart"/>
      <w:r w:rsidRPr="0050653D">
        <w:rPr>
          <w:sz w:val="28"/>
          <w:szCs w:val="28"/>
        </w:rPr>
        <w:t>родившихся</w:t>
      </w:r>
      <w:proofErr w:type="gramEnd"/>
      <w:r w:rsidRPr="0050653D">
        <w:rPr>
          <w:sz w:val="28"/>
          <w:szCs w:val="28"/>
        </w:rPr>
        <w:t>. Число умерших детей до года на территории Ленинградской области за 2021 год составило 48 человек. Коэффициент естественной убыли населения составил 10,2 человек на 1000 населения.</w:t>
      </w:r>
    </w:p>
    <w:p w:rsidR="00191FBA" w:rsidRPr="0050653D" w:rsidRDefault="00191FBA" w:rsidP="00191FBA">
      <w:pPr>
        <w:shd w:val="clear" w:color="auto" w:fill="FFFFFF" w:themeFill="background1"/>
        <w:tabs>
          <w:tab w:val="left" w:pos="1418"/>
        </w:tabs>
        <w:ind w:firstLine="709"/>
        <w:jc w:val="both"/>
        <w:rPr>
          <w:color w:val="000000"/>
          <w:sz w:val="10"/>
          <w:szCs w:val="28"/>
        </w:rPr>
      </w:pPr>
      <w:r w:rsidRPr="0050653D">
        <w:rPr>
          <w:sz w:val="28"/>
          <w:szCs w:val="28"/>
        </w:rPr>
        <w:t>Рост численности населения в 2021 году произошел за счет миграционного прироста. Миграционный прирост полностью компенсировал естественную убыль населения и превысил ее на 99</w:t>
      </w:r>
      <w:r w:rsidR="00EA1742" w:rsidRPr="0050653D">
        <w:rPr>
          <w:sz w:val="28"/>
          <w:szCs w:val="28"/>
        </w:rPr>
        <w:t xml:space="preserve"> проц</w:t>
      </w:r>
      <w:proofErr w:type="gramStart"/>
      <w:r w:rsidR="00EA1742" w:rsidRPr="0050653D">
        <w:rPr>
          <w:sz w:val="28"/>
          <w:szCs w:val="28"/>
        </w:rPr>
        <w:t>.</w:t>
      </w:r>
      <w:r w:rsidRPr="0050653D">
        <w:rPr>
          <w:sz w:val="28"/>
          <w:szCs w:val="28"/>
        </w:rPr>
        <w:t>.</w:t>
      </w:r>
      <w:proofErr w:type="gramEnd"/>
    </w:p>
    <w:p w:rsidR="00191FBA" w:rsidRPr="0050653D" w:rsidRDefault="00191FBA" w:rsidP="00191FBA">
      <w:pPr>
        <w:pStyle w:val="24"/>
        <w:shd w:val="clear" w:color="auto" w:fill="FFFFFF" w:themeFill="background1"/>
        <w:spacing w:after="0"/>
        <w:ind w:firstLine="709"/>
      </w:pPr>
      <w:r w:rsidRPr="0050653D">
        <w:rPr>
          <w:rFonts w:ascii="Times New Roman CYR" w:hAnsi="Times New Roman CYR" w:cs="Times New Roman CYR"/>
          <w:szCs w:val="28"/>
        </w:rPr>
        <w:t xml:space="preserve">С 15 октября по 14 ноября 2021 года была </w:t>
      </w:r>
      <w:r w:rsidRPr="0050653D">
        <w:t xml:space="preserve">проведена </w:t>
      </w:r>
      <w:r w:rsidRPr="0050653D">
        <w:rPr>
          <w:rFonts w:ascii="Times New Roman CYR" w:hAnsi="Times New Roman CYR" w:cs="Times New Roman CYR"/>
          <w:szCs w:val="28"/>
        </w:rPr>
        <w:t xml:space="preserve">Всероссийская перепись населения 2020 года (далее – ВПН-2020). </w:t>
      </w:r>
      <w:r w:rsidRPr="0050653D">
        <w:t>Учет населения осуществлялся по состоянию на 00:00 часов 01 октября 2021 года</w:t>
      </w:r>
      <w:r w:rsidR="00B52272">
        <w:t>, л</w:t>
      </w:r>
      <w:r w:rsidRPr="0050653D">
        <w:t>ица, родившиеся после этого момента и умершие до этого момента, не учитывались.</w:t>
      </w:r>
    </w:p>
    <w:p w:rsidR="00191FBA" w:rsidRPr="0050653D" w:rsidRDefault="00191FBA" w:rsidP="00191FBA">
      <w:pPr>
        <w:pStyle w:val="24"/>
        <w:shd w:val="clear" w:color="auto" w:fill="FFFFFF" w:themeFill="background1"/>
        <w:spacing w:after="0"/>
        <w:ind w:firstLine="709"/>
      </w:pPr>
      <w:r w:rsidRPr="0050653D">
        <w:t>По предварительным данным, опубликованным Росстатом 30 мая 2022 года, численность населения Ленинградской области на 01.10.2021 составила 2001 тыс. чел. При разработке прогноза был проведен ретроспективный пересчет численности населения с учетом предварительных итогов ВПН-2020.</w:t>
      </w:r>
    </w:p>
    <w:p w:rsidR="00191FBA" w:rsidRPr="0050653D" w:rsidRDefault="00191FBA" w:rsidP="00191FBA">
      <w:pPr>
        <w:pStyle w:val="24"/>
        <w:shd w:val="clear" w:color="auto" w:fill="FFFFFF" w:themeFill="background1"/>
        <w:spacing w:after="0"/>
        <w:ind w:firstLine="709"/>
      </w:pPr>
      <w:r w:rsidRPr="0050653D">
        <w:rPr>
          <w:szCs w:val="28"/>
        </w:rPr>
        <w:t>По оценке в 2022 году ср</w:t>
      </w:r>
      <w:r w:rsidRPr="0050653D">
        <w:rPr>
          <w:bCs/>
          <w:iCs/>
        </w:rPr>
        <w:t>еднегодовая численность постоянного населения</w:t>
      </w:r>
      <w:r w:rsidRPr="0050653D">
        <w:t xml:space="preserve"> </w:t>
      </w:r>
      <w:r w:rsidRPr="0050653D">
        <w:br/>
        <w:t>в Ленинградской области увеличится по сравнению с 2021 годом на 5,9</w:t>
      </w:r>
      <w:r w:rsidR="00EA1742" w:rsidRPr="0050653D">
        <w:t xml:space="preserve"> проц.</w:t>
      </w:r>
      <w:r w:rsidRPr="0050653D">
        <w:t xml:space="preserve"> и составит 2014,1 тыс. человек. </w:t>
      </w:r>
    </w:p>
    <w:p w:rsidR="00191FBA" w:rsidRPr="0050653D" w:rsidRDefault="00191FBA" w:rsidP="00191FBA">
      <w:pPr>
        <w:pStyle w:val="24"/>
        <w:shd w:val="clear" w:color="auto" w:fill="FFFFFF" w:themeFill="background1"/>
        <w:spacing w:after="0"/>
        <w:ind w:firstLine="709"/>
      </w:pPr>
      <w:r w:rsidRPr="0050653D">
        <w:rPr>
          <w:bCs/>
          <w:iCs/>
        </w:rPr>
        <w:t>Уровень естественной убыли</w:t>
      </w:r>
      <w:r w:rsidRPr="0050653D">
        <w:t xml:space="preserve"> снизится до 8,6 чел. на 1000 населения (2021 год – 10,2 чел.), что обусловлено снижением уровня рождаемости до </w:t>
      </w:r>
      <w:r w:rsidRPr="0050653D">
        <w:br/>
        <w:t xml:space="preserve">6,2 родившихся на 1000 населения и снижением уровня смертности </w:t>
      </w:r>
      <w:r w:rsidRPr="0050653D">
        <w:br/>
        <w:t>до 14,8 умерших на 1000 населения.</w:t>
      </w:r>
    </w:p>
    <w:p w:rsidR="00191FBA" w:rsidRPr="0050653D" w:rsidRDefault="00191FBA" w:rsidP="00191FBA">
      <w:pPr>
        <w:pStyle w:val="24"/>
        <w:shd w:val="clear" w:color="auto" w:fill="FFFFFF" w:themeFill="background1"/>
        <w:spacing w:after="0"/>
        <w:ind w:firstLine="709"/>
        <w:rPr>
          <w:color w:val="FF0000"/>
        </w:rPr>
      </w:pPr>
      <w:r w:rsidRPr="0050653D">
        <w:t xml:space="preserve">Интенсивность </w:t>
      </w:r>
      <w:r w:rsidRPr="0050653D">
        <w:rPr>
          <w:bCs/>
          <w:iCs/>
        </w:rPr>
        <w:t>миграционного прироста</w:t>
      </w:r>
      <w:r w:rsidRPr="0050653D">
        <w:t xml:space="preserve"> умеренно снизится до 33,6 тыс. человек на фоне сложной геополитической обстановки, трудностей с переводом денежных сре</w:t>
      </w:r>
      <w:proofErr w:type="gramStart"/>
      <w:r w:rsidRPr="0050653D">
        <w:t>дств в в</w:t>
      </w:r>
      <w:proofErr w:type="gramEnd"/>
      <w:r w:rsidRPr="0050653D">
        <w:t xml:space="preserve">алюте за пределы Российской Федерации. 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санкций. </w:t>
      </w:r>
    </w:p>
    <w:p w:rsidR="00191FBA" w:rsidRPr="0050653D" w:rsidRDefault="00191FBA" w:rsidP="00191FBA">
      <w:pPr>
        <w:pStyle w:val="24"/>
        <w:shd w:val="clear" w:color="auto" w:fill="FFFFFF" w:themeFill="background1"/>
        <w:spacing w:after="0"/>
        <w:ind w:firstLine="709"/>
        <w:rPr>
          <w:szCs w:val="28"/>
        </w:rPr>
      </w:pPr>
      <w:r w:rsidRPr="0050653D">
        <w:rPr>
          <w:szCs w:val="28"/>
        </w:rPr>
        <w:t>Демографический прогноз по Ленинградской области на 2023-2025 годы разработан с учетом предварительных итогов ВПН-2020 и складывающейся общероссийской</w:t>
      </w:r>
      <w:r w:rsidR="00955FDE" w:rsidRPr="0050653D">
        <w:rPr>
          <w:szCs w:val="28"/>
        </w:rPr>
        <w:t xml:space="preserve"> </w:t>
      </w:r>
      <w:r w:rsidRPr="0050653D">
        <w:rPr>
          <w:szCs w:val="28"/>
        </w:rPr>
        <w:t>экономической ситуацией.</w:t>
      </w:r>
    </w:p>
    <w:p w:rsidR="00191FBA" w:rsidRPr="0050653D" w:rsidRDefault="00191FBA" w:rsidP="00191FBA">
      <w:pPr>
        <w:pStyle w:val="24"/>
        <w:shd w:val="clear" w:color="auto" w:fill="FFFFFF" w:themeFill="background1"/>
        <w:spacing w:after="0"/>
        <w:ind w:firstLine="709"/>
        <w:rPr>
          <w:color w:val="FF0000"/>
          <w:szCs w:val="28"/>
        </w:rPr>
      </w:pPr>
      <w:proofErr w:type="gramStart"/>
      <w:r w:rsidRPr="0050653D">
        <w:rPr>
          <w:szCs w:val="28"/>
        </w:rPr>
        <w:t xml:space="preserve">В 2023-2025 годах в результате реализации запланированных мероприятий демографической политики прогнозируется постепенное сокращение коэффициента естественной убыли населения с 6,3 человек на 1000 населения в 2023 году до 6,0 человек на 1000 населения в 2025 году по базовому варианту </w:t>
      </w:r>
      <w:r w:rsidRPr="0050653D">
        <w:rPr>
          <w:szCs w:val="28"/>
        </w:rPr>
        <w:br/>
        <w:t>(с 8,6 до 8,3 человек на 1000 населения соответственно по консервативному варианту).</w:t>
      </w:r>
      <w:proofErr w:type="gramEnd"/>
      <w:r w:rsidRPr="0050653D">
        <w:rPr>
          <w:szCs w:val="28"/>
        </w:rPr>
        <w:t xml:space="preserve"> При этом динамика суммарного коэффициента рождаемости сохранит стабильность без существенных колебаний (в 2025 году до 1,111 чел. на 1000 населения в базовом варианте, а также до 0,990 - в консервативном). </w:t>
      </w:r>
      <w:proofErr w:type="gramStart"/>
      <w:r w:rsidRPr="0050653D">
        <w:rPr>
          <w:szCs w:val="28"/>
        </w:rPr>
        <w:t xml:space="preserve">Миграционный прирост в 2025 году по базовому варианту прогноза составит 23,4 тыс. человек, по консервативному – 19,5 тыс. человек. </w:t>
      </w:r>
      <w:proofErr w:type="gramEnd"/>
    </w:p>
    <w:p w:rsidR="00191FBA" w:rsidRPr="0050653D" w:rsidRDefault="00191FBA" w:rsidP="00191FBA">
      <w:pPr>
        <w:pStyle w:val="24"/>
        <w:shd w:val="clear" w:color="auto" w:fill="FFFFFF" w:themeFill="background1"/>
        <w:spacing w:after="0"/>
        <w:ind w:firstLine="709"/>
        <w:rPr>
          <w:szCs w:val="28"/>
        </w:rPr>
      </w:pPr>
      <w:proofErr w:type="gramStart"/>
      <w:r w:rsidRPr="0050653D">
        <w:rPr>
          <w:rFonts w:eastAsia="Calibri"/>
          <w:szCs w:val="28"/>
        </w:rPr>
        <w:t xml:space="preserve">Тенденция постепенного снижения общего коэффициента рождаемости </w:t>
      </w:r>
      <w:r w:rsidRPr="0050653D">
        <w:rPr>
          <w:rFonts w:eastAsia="Calibri"/>
          <w:szCs w:val="28"/>
        </w:rPr>
        <w:lastRenderedPageBreak/>
        <w:t xml:space="preserve">связана с уменьшением числа рождаемости в </w:t>
      </w:r>
      <w:r w:rsidRPr="0050653D">
        <w:rPr>
          <w:szCs w:val="28"/>
        </w:rPr>
        <w:t>1990-х годах в Российской Федерации и в Ленинградской области</w:t>
      </w:r>
      <w:r w:rsidRPr="0050653D">
        <w:rPr>
          <w:rFonts w:eastAsia="Calibri"/>
          <w:szCs w:val="28"/>
        </w:rPr>
        <w:t xml:space="preserve">, в том числе женщин в </w:t>
      </w:r>
      <w:r w:rsidRPr="0050653D">
        <w:rPr>
          <w:szCs w:val="28"/>
        </w:rPr>
        <w:t xml:space="preserve">возрастах наибольшей рождаемости (20-29 лет), </w:t>
      </w:r>
      <w:r w:rsidRPr="0050653D">
        <w:rPr>
          <w:rFonts w:eastAsia="Calibri"/>
          <w:szCs w:val="28"/>
        </w:rPr>
        <w:t>а такж</w:t>
      </w:r>
      <w:r w:rsidRPr="0050653D">
        <w:rPr>
          <w:rStyle w:val="ae"/>
          <w:szCs w:val="28"/>
        </w:rPr>
        <w:t>е</w:t>
      </w:r>
      <w:r w:rsidRPr="0050653D">
        <w:rPr>
          <w:rFonts w:eastAsia="Calibri"/>
          <w:szCs w:val="28"/>
        </w:rPr>
        <w:t xml:space="preserve"> региональными особенностями формирования статистической отчетности по территориальному признаку, а именно: </w:t>
      </w:r>
      <w:proofErr w:type="spellStart"/>
      <w:r w:rsidRPr="0050653D">
        <w:rPr>
          <w:rFonts w:eastAsia="Calibri"/>
          <w:szCs w:val="28"/>
        </w:rPr>
        <w:t>родоразрешение</w:t>
      </w:r>
      <w:proofErr w:type="spellEnd"/>
      <w:r w:rsidRPr="0050653D">
        <w:rPr>
          <w:rFonts w:eastAsia="Calibri"/>
          <w:szCs w:val="28"/>
        </w:rPr>
        <w:t xml:space="preserve"> значительного числа женщин – жителей Ленинградской области и регистрация рожденных детей на территории Санкт-Петербурга.</w:t>
      </w:r>
      <w:proofErr w:type="gramEnd"/>
    </w:p>
    <w:p w:rsidR="00191FBA" w:rsidRPr="0050653D" w:rsidRDefault="00191FBA" w:rsidP="00191FBA">
      <w:pPr>
        <w:pStyle w:val="24"/>
        <w:shd w:val="clear" w:color="auto" w:fill="FFFFFF" w:themeFill="background1"/>
        <w:spacing w:after="0"/>
        <w:ind w:firstLine="709"/>
      </w:pPr>
      <w:r w:rsidRPr="0050653D">
        <w:t>Важнейшей задачей для региона по-прежнему остается улучшение демографической ситуации за счет снижения смертности, ввиду чего продолжается реализация мероприятий, направленных на усиление социальной защищенности отдельных категорий граждан, а также мероприятий, направленных на вовлечение старшего поколения в процессы активного долголетия и увеличение ожидаемой продолжительности здоровой жизни.</w:t>
      </w:r>
    </w:p>
    <w:p w:rsidR="00191FBA" w:rsidRPr="0050653D" w:rsidRDefault="00191FBA" w:rsidP="00191FBA">
      <w:pPr>
        <w:pStyle w:val="24"/>
        <w:shd w:val="clear" w:color="auto" w:fill="FFFFFF" w:themeFill="background1"/>
        <w:spacing w:after="0"/>
        <w:ind w:firstLine="709"/>
        <w:rPr>
          <w:szCs w:val="28"/>
        </w:rPr>
      </w:pPr>
      <w:r w:rsidRPr="0050653D">
        <w:rPr>
          <w:szCs w:val="28"/>
        </w:rPr>
        <w:t>В Ленинградской области ожидается рост численности населения в 2023-2025 годах (в среднем ежегодно на 0,6</w:t>
      </w:r>
      <w:r w:rsidR="00EA1742" w:rsidRPr="0050653D">
        <w:rPr>
          <w:szCs w:val="28"/>
        </w:rPr>
        <w:t xml:space="preserve"> проц.</w:t>
      </w:r>
      <w:r w:rsidRPr="0050653D">
        <w:rPr>
          <w:szCs w:val="28"/>
        </w:rPr>
        <w:t xml:space="preserve"> по базовому варианту, на 0,2</w:t>
      </w:r>
      <w:r w:rsidR="00EA1742" w:rsidRPr="0050653D">
        <w:rPr>
          <w:szCs w:val="28"/>
        </w:rPr>
        <w:t xml:space="preserve"> проц.</w:t>
      </w:r>
      <w:r w:rsidRPr="0050653D">
        <w:rPr>
          <w:szCs w:val="28"/>
        </w:rPr>
        <w:t xml:space="preserve"> по консервативному), среднегодовая численность постоянного населения в 2025 году составит 2048,2 тыс. человек по базовому варианту (2028,7 тыс. человек - по консервативному варианту). </w:t>
      </w:r>
    </w:p>
    <w:p w:rsidR="00191FBA" w:rsidRPr="0050653D" w:rsidRDefault="00191FBA" w:rsidP="00191FBA">
      <w:pPr>
        <w:pStyle w:val="24"/>
        <w:shd w:val="clear" w:color="auto" w:fill="FFFFFF" w:themeFill="background1"/>
        <w:spacing w:after="0"/>
        <w:ind w:firstLine="709"/>
        <w:rPr>
          <w:szCs w:val="28"/>
        </w:rPr>
      </w:pPr>
      <w:proofErr w:type="gramStart"/>
      <w:r w:rsidRPr="0050653D">
        <w:rPr>
          <w:szCs w:val="28"/>
        </w:rPr>
        <w:t xml:space="preserve">В результате реализации запланированных мероприятий демографической политики и при положительной динамике снижения смертности населения </w:t>
      </w:r>
      <w:r w:rsidRPr="0050653D">
        <w:rPr>
          <w:szCs w:val="28"/>
        </w:rPr>
        <w:br/>
        <w:t xml:space="preserve">в Ленинградской области прогнозируется тенденция к постепенному росту ожидаемой продолжительности жизни при рождении: в 2025 году по базовому варианту до 74,2 года, по консервативному – до 72,5 года. </w:t>
      </w:r>
      <w:proofErr w:type="gramEnd"/>
    </w:p>
    <w:p w:rsidR="009863F9" w:rsidRPr="0050653D" w:rsidRDefault="009863F9" w:rsidP="009863F9">
      <w:pPr>
        <w:pStyle w:val="24"/>
        <w:shd w:val="clear" w:color="auto" w:fill="FFFFFF"/>
        <w:spacing w:after="0"/>
        <w:ind w:firstLine="709"/>
        <w:rPr>
          <w:color w:val="000000" w:themeColor="text1"/>
          <w:sz w:val="16"/>
          <w:szCs w:val="16"/>
        </w:rPr>
      </w:pPr>
      <w:r w:rsidRPr="0050653D">
        <w:rPr>
          <w:color w:val="000000" w:themeColor="text1"/>
          <w:szCs w:val="28"/>
        </w:rPr>
        <w:t xml:space="preserve"> </w:t>
      </w:r>
    </w:p>
    <w:p w:rsidR="00F83B3D" w:rsidRPr="0050653D" w:rsidRDefault="007A48FA" w:rsidP="00F83B3D">
      <w:pPr>
        <w:shd w:val="clear" w:color="auto" w:fill="FFFFFF"/>
        <w:tabs>
          <w:tab w:val="left" w:pos="1210"/>
        </w:tabs>
        <w:jc w:val="center"/>
        <w:rPr>
          <w:sz w:val="28"/>
          <w:szCs w:val="28"/>
        </w:rPr>
      </w:pPr>
      <w:r w:rsidRPr="0050653D">
        <w:rPr>
          <w:sz w:val="28"/>
          <w:szCs w:val="28"/>
        </w:rPr>
        <w:t>Валовой региональный продукт</w:t>
      </w:r>
    </w:p>
    <w:p w:rsidR="00F83B3D" w:rsidRPr="0050653D" w:rsidRDefault="00F83B3D" w:rsidP="00B50C97">
      <w:pPr>
        <w:shd w:val="clear" w:color="auto" w:fill="FFFFFF"/>
        <w:tabs>
          <w:tab w:val="left" w:pos="1210"/>
        </w:tabs>
        <w:ind w:firstLine="709"/>
        <w:jc w:val="both"/>
        <w:rPr>
          <w:sz w:val="16"/>
          <w:szCs w:val="16"/>
        </w:rPr>
      </w:pPr>
    </w:p>
    <w:p w:rsidR="00191FBA" w:rsidRPr="0050653D" w:rsidRDefault="00191FBA" w:rsidP="00191FBA">
      <w:pPr>
        <w:shd w:val="clear" w:color="auto" w:fill="FFFFFF" w:themeFill="background1"/>
        <w:tabs>
          <w:tab w:val="left" w:pos="1210"/>
        </w:tabs>
        <w:ind w:firstLine="709"/>
        <w:jc w:val="both"/>
        <w:rPr>
          <w:sz w:val="28"/>
          <w:szCs w:val="28"/>
        </w:rPr>
      </w:pPr>
      <w:r w:rsidRPr="0050653D">
        <w:rPr>
          <w:sz w:val="28"/>
          <w:szCs w:val="28"/>
        </w:rPr>
        <w:t xml:space="preserve">В 2020 году объем валового регионального продукта Ленинградской области (далее - ВРП) составил 1 246,1 </w:t>
      </w:r>
      <w:proofErr w:type="gramStart"/>
      <w:r w:rsidRPr="0050653D">
        <w:rPr>
          <w:sz w:val="28"/>
          <w:szCs w:val="28"/>
        </w:rPr>
        <w:t>млрд</w:t>
      </w:r>
      <w:proofErr w:type="gramEnd"/>
      <w:r w:rsidRPr="0050653D">
        <w:rPr>
          <w:sz w:val="28"/>
          <w:szCs w:val="28"/>
        </w:rPr>
        <w:t xml:space="preserve"> руб., что на 0,5</w:t>
      </w:r>
      <w:r w:rsidR="00EA1742" w:rsidRPr="0050653D">
        <w:rPr>
          <w:sz w:val="28"/>
          <w:szCs w:val="28"/>
        </w:rPr>
        <w:t xml:space="preserve"> проц.</w:t>
      </w:r>
      <w:r w:rsidRPr="0050653D">
        <w:rPr>
          <w:sz w:val="28"/>
          <w:szCs w:val="28"/>
        </w:rPr>
        <w:t xml:space="preserve"> ниже уровня 2019 года в сопоставимых ценах. </w:t>
      </w:r>
    </w:p>
    <w:p w:rsidR="00191FBA" w:rsidRPr="0050653D" w:rsidRDefault="00191FBA" w:rsidP="00191FBA">
      <w:pPr>
        <w:shd w:val="clear" w:color="auto" w:fill="FFFFFF" w:themeFill="background1"/>
        <w:tabs>
          <w:tab w:val="left" w:pos="1210"/>
        </w:tabs>
        <w:ind w:firstLine="709"/>
        <w:jc w:val="both"/>
        <w:rPr>
          <w:sz w:val="28"/>
          <w:szCs w:val="28"/>
        </w:rPr>
      </w:pPr>
      <w:r w:rsidRPr="0050653D">
        <w:rPr>
          <w:sz w:val="28"/>
          <w:szCs w:val="28"/>
        </w:rPr>
        <w:t xml:space="preserve">По оценке 2021 года объем ВРП вырастет до 1366,2 </w:t>
      </w:r>
      <w:proofErr w:type="gramStart"/>
      <w:r w:rsidRPr="0050653D">
        <w:rPr>
          <w:sz w:val="28"/>
          <w:szCs w:val="28"/>
        </w:rPr>
        <w:t>млрд</w:t>
      </w:r>
      <w:proofErr w:type="gramEnd"/>
      <w:r w:rsidRPr="0050653D">
        <w:rPr>
          <w:sz w:val="28"/>
          <w:szCs w:val="28"/>
        </w:rPr>
        <w:t xml:space="preserve"> руб., рост составит 103,1</w:t>
      </w:r>
      <w:r w:rsidR="00955FDE" w:rsidRPr="0050653D">
        <w:rPr>
          <w:sz w:val="28"/>
          <w:szCs w:val="28"/>
        </w:rPr>
        <w:t xml:space="preserve"> </w:t>
      </w:r>
      <w:r w:rsidR="00EA1742" w:rsidRPr="0050653D">
        <w:rPr>
          <w:sz w:val="28"/>
          <w:szCs w:val="28"/>
        </w:rPr>
        <w:t>проц.</w:t>
      </w:r>
      <w:r w:rsidRPr="0050653D">
        <w:rPr>
          <w:sz w:val="28"/>
          <w:szCs w:val="28"/>
        </w:rPr>
        <w:t xml:space="preserve"> к уровню 2020 года в сопоставимых ценах. </w:t>
      </w:r>
    </w:p>
    <w:p w:rsidR="00191FBA" w:rsidRPr="0050653D" w:rsidRDefault="00191FBA" w:rsidP="00191FBA">
      <w:pPr>
        <w:ind w:firstLine="709"/>
        <w:jc w:val="both"/>
        <w:rPr>
          <w:sz w:val="28"/>
          <w:szCs w:val="28"/>
        </w:rPr>
      </w:pPr>
      <w:r w:rsidRPr="0050653D">
        <w:rPr>
          <w:sz w:val="28"/>
          <w:szCs w:val="28"/>
        </w:rPr>
        <w:t xml:space="preserve">В 2022 году объем ВРП прогнозируется на уровне 1464,0 </w:t>
      </w:r>
      <w:proofErr w:type="gramStart"/>
      <w:r w:rsidRPr="0050653D">
        <w:rPr>
          <w:sz w:val="28"/>
          <w:szCs w:val="28"/>
        </w:rPr>
        <w:t>млрд</w:t>
      </w:r>
      <w:proofErr w:type="gramEnd"/>
      <w:r w:rsidRPr="0050653D">
        <w:rPr>
          <w:sz w:val="28"/>
          <w:szCs w:val="28"/>
        </w:rPr>
        <w:t xml:space="preserve"> руб. </w:t>
      </w:r>
      <w:r w:rsidRPr="0050653D">
        <w:rPr>
          <w:sz w:val="28"/>
          <w:szCs w:val="28"/>
        </w:rPr>
        <w:br/>
        <w:t>(94,0</w:t>
      </w:r>
      <w:r w:rsidR="00955FDE" w:rsidRPr="0050653D">
        <w:rPr>
          <w:sz w:val="28"/>
          <w:szCs w:val="28"/>
        </w:rPr>
        <w:t xml:space="preserve"> </w:t>
      </w:r>
      <w:r w:rsidR="00EA1742" w:rsidRPr="0050653D">
        <w:rPr>
          <w:sz w:val="28"/>
          <w:szCs w:val="28"/>
        </w:rPr>
        <w:t>проц.</w:t>
      </w:r>
      <w:r w:rsidRPr="0050653D">
        <w:rPr>
          <w:sz w:val="28"/>
          <w:szCs w:val="28"/>
        </w:rPr>
        <w:t xml:space="preserve"> к 2021 году). Снижение связано со спадом промышленности, сферы потребительских услуг и инвестиционных вложений на фоне иностранных санкций.</w:t>
      </w:r>
    </w:p>
    <w:p w:rsidR="00191FBA" w:rsidRPr="0050653D" w:rsidRDefault="00191FBA" w:rsidP="00191FBA">
      <w:pPr>
        <w:ind w:firstLine="709"/>
        <w:jc w:val="both"/>
        <w:rPr>
          <w:sz w:val="28"/>
          <w:szCs w:val="28"/>
        </w:rPr>
      </w:pPr>
      <w:r w:rsidRPr="0050653D">
        <w:rPr>
          <w:sz w:val="28"/>
          <w:szCs w:val="28"/>
        </w:rPr>
        <w:t>Основная часть валового регионального продукта (около 75</w:t>
      </w:r>
      <w:r w:rsidR="00955FDE" w:rsidRPr="0050653D">
        <w:rPr>
          <w:sz w:val="28"/>
          <w:szCs w:val="28"/>
        </w:rPr>
        <w:t xml:space="preserve"> </w:t>
      </w:r>
      <w:r w:rsidR="00EA1742" w:rsidRPr="0050653D">
        <w:rPr>
          <w:sz w:val="28"/>
          <w:szCs w:val="28"/>
        </w:rPr>
        <w:t>проц.</w:t>
      </w:r>
      <w:r w:rsidRPr="0050653D">
        <w:rPr>
          <w:sz w:val="28"/>
          <w:szCs w:val="28"/>
        </w:rPr>
        <w:t xml:space="preserve"> от общего объема) создается в реальном секторе экономики: промышленном производстве, строительстве, на транспорте и связи, в оптовой и розничной торговле и сельском хозяйстве. </w:t>
      </w:r>
    </w:p>
    <w:p w:rsidR="00191FBA" w:rsidRPr="0050653D" w:rsidRDefault="00191FBA" w:rsidP="00191FBA">
      <w:pPr>
        <w:shd w:val="clear" w:color="auto" w:fill="FFFFFF" w:themeFill="background1"/>
        <w:ind w:firstLine="709"/>
        <w:jc w:val="both"/>
        <w:rPr>
          <w:sz w:val="28"/>
          <w:szCs w:val="28"/>
        </w:rPr>
      </w:pPr>
      <w:r w:rsidRPr="0050653D">
        <w:rPr>
          <w:sz w:val="28"/>
          <w:szCs w:val="28"/>
        </w:rPr>
        <w:t>В 2023 году прогнозируется стабилизация экономической ситуации в регионе и в 2024</w:t>
      </w:r>
      <w:r w:rsidR="00F72216" w:rsidRPr="0050653D">
        <w:rPr>
          <w:sz w:val="28"/>
          <w:szCs w:val="28"/>
        </w:rPr>
        <w:t>-</w:t>
      </w:r>
      <w:r w:rsidRPr="0050653D">
        <w:rPr>
          <w:sz w:val="28"/>
          <w:szCs w:val="28"/>
        </w:rPr>
        <w:t>2025 годах формирование восстановительной динамики экономического роста с учетом прогнозируемого позитивн</w:t>
      </w:r>
      <w:r w:rsidR="00F72216" w:rsidRPr="0050653D">
        <w:rPr>
          <w:sz w:val="28"/>
          <w:szCs w:val="28"/>
        </w:rPr>
        <w:t xml:space="preserve">ых </w:t>
      </w:r>
      <w:r w:rsidRPr="0050653D">
        <w:rPr>
          <w:sz w:val="28"/>
          <w:szCs w:val="28"/>
        </w:rPr>
        <w:t>результатов деятельности по важнейшим отраслям экономики, а также тенденций изменения структуры В</w:t>
      </w:r>
      <w:proofErr w:type="gramStart"/>
      <w:r w:rsidRPr="0050653D">
        <w:rPr>
          <w:sz w:val="28"/>
          <w:szCs w:val="28"/>
        </w:rPr>
        <w:t>РП</w:t>
      </w:r>
      <w:r w:rsidR="00F72216" w:rsidRPr="0050653D">
        <w:rPr>
          <w:sz w:val="28"/>
          <w:szCs w:val="28"/>
        </w:rPr>
        <w:t xml:space="preserve"> в ст</w:t>
      </w:r>
      <w:proofErr w:type="gramEnd"/>
      <w:r w:rsidR="00F72216" w:rsidRPr="0050653D">
        <w:rPr>
          <w:sz w:val="28"/>
          <w:szCs w:val="28"/>
        </w:rPr>
        <w:t>орону сервисных отраслей</w:t>
      </w:r>
      <w:r w:rsidRPr="0050653D">
        <w:rPr>
          <w:sz w:val="28"/>
          <w:szCs w:val="28"/>
        </w:rPr>
        <w:t xml:space="preserve">. </w:t>
      </w:r>
    </w:p>
    <w:p w:rsidR="00191FBA" w:rsidRPr="0050653D" w:rsidRDefault="00191FBA" w:rsidP="00191FBA">
      <w:pPr>
        <w:shd w:val="clear" w:color="auto" w:fill="FFFFFF" w:themeFill="background1"/>
        <w:tabs>
          <w:tab w:val="left" w:pos="1210"/>
        </w:tabs>
        <w:ind w:firstLine="709"/>
        <w:jc w:val="both"/>
        <w:rPr>
          <w:sz w:val="28"/>
          <w:szCs w:val="28"/>
        </w:rPr>
      </w:pPr>
      <w:r w:rsidRPr="0050653D">
        <w:rPr>
          <w:sz w:val="28"/>
          <w:szCs w:val="28"/>
        </w:rPr>
        <w:t xml:space="preserve">По прогнозу, средний ежегодный прирост промышленного производства </w:t>
      </w:r>
      <w:r w:rsidRPr="0050653D">
        <w:rPr>
          <w:sz w:val="28"/>
          <w:szCs w:val="28"/>
        </w:rPr>
        <w:br/>
        <w:t>в 2023-2025 годах прогнозируется на уровне до 2,1</w:t>
      </w:r>
      <w:r w:rsidR="00955FDE" w:rsidRPr="0050653D">
        <w:rPr>
          <w:sz w:val="28"/>
          <w:szCs w:val="28"/>
        </w:rPr>
        <w:t xml:space="preserve"> </w:t>
      </w:r>
      <w:r w:rsidR="00EA1742" w:rsidRPr="0050653D">
        <w:rPr>
          <w:sz w:val="28"/>
          <w:szCs w:val="28"/>
        </w:rPr>
        <w:t>проц.</w:t>
      </w:r>
      <w:r w:rsidRPr="0050653D">
        <w:rPr>
          <w:sz w:val="28"/>
          <w:szCs w:val="28"/>
        </w:rPr>
        <w:t xml:space="preserve"> (по консервативному </w:t>
      </w:r>
      <w:r w:rsidRPr="0050653D">
        <w:rPr>
          <w:sz w:val="28"/>
          <w:szCs w:val="28"/>
        </w:rPr>
        <w:lastRenderedPageBreak/>
        <w:t>варианту) и до 3,4</w:t>
      </w:r>
      <w:r w:rsidR="00955FDE" w:rsidRPr="0050653D">
        <w:rPr>
          <w:sz w:val="28"/>
          <w:szCs w:val="28"/>
        </w:rPr>
        <w:t xml:space="preserve"> </w:t>
      </w:r>
      <w:r w:rsidR="00EA1742" w:rsidRPr="0050653D">
        <w:rPr>
          <w:sz w:val="28"/>
          <w:szCs w:val="28"/>
        </w:rPr>
        <w:t>проц.</w:t>
      </w:r>
      <w:r w:rsidRPr="0050653D">
        <w:rPr>
          <w:sz w:val="28"/>
          <w:szCs w:val="28"/>
        </w:rPr>
        <w:t xml:space="preserve"> (по базовому варианту), объема работ по виду деятельности «строительство» – от 1,1</w:t>
      </w:r>
      <w:r w:rsidR="00832A83" w:rsidRPr="0050653D">
        <w:rPr>
          <w:sz w:val="28"/>
          <w:szCs w:val="28"/>
        </w:rPr>
        <w:t xml:space="preserve"> д</w:t>
      </w:r>
      <w:r w:rsidRPr="0050653D">
        <w:rPr>
          <w:sz w:val="28"/>
          <w:szCs w:val="28"/>
        </w:rPr>
        <w:t>о 2,3</w:t>
      </w:r>
      <w:r w:rsidR="00955FDE" w:rsidRPr="0050653D">
        <w:rPr>
          <w:sz w:val="28"/>
          <w:szCs w:val="28"/>
        </w:rPr>
        <w:t xml:space="preserve"> </w:t>
      </w:r>
      <w:r w:rsidR="00EA1742" w:rsidRPr="0050653D">
        <w:rPr>
          <w:sz w:val="28"/>
          <w:szCs w:val="28"/>
        </w:rPr>
        <w:t>проц.</w:t>
      </w:r>
      <w:r w:rsidRPr="0050653D">
        <w:rPr>
          <w:sz w:val="28"/>
          <w:szCs w:val="28"/>
        </w:rPr>
        <w:t xml:space="preserve">, оборота розничной торговли – </w:t>
      </w:r>
      <w:proofErr w:type="gramStart"/>
      <w:r w:rsidRPr="0050653D">
        <w:rPr>
          <w:sz w:val="28"/>
          <w:szCs w:val="28"/>
        </w:rPr>
        <w:t>от</w:t>
      </w:r>
      <w:proofErr w:type="gramEnd"/>
      <w:r w:rsidRPr="0050653D">
        <w:rPr>
          <w:sz w:val="28"/>
          <w:szCs w:val="28"/>
        </w:rPr>
        <w:t xml:space="preserve"> 2,3</w:t>
      </w:r>
      <w:r w:rsidR="00832A83" w:rsidRPr="0050653D">
        <w:rPr>
          <w:sz w:val="28"/>
          <w:szCs w:val="28"/>
        </w:rPr>
        <w:t xml:space="preserve"> </w:t>
      </w:r>
      <w:r w:rsidRPr="0050653D">
        <w:rPr>
          <w:sz w:val="28"/>
          <w:szCs w:val="28"/>
        </w:rPr>
        <w:t>до 3,7</w:t>
      </w:r>
      <w:r w:rsidR="00955FDE" w:rsidRPr="0050653D">
        <w:rPr>
          <w:sz w:val="28"/>
          <w:szCs w:val="28"/>
        </w:rPr>
        <w:t xml:space="preserve"> </w:t>
      </w:r>
      <w:r w:rsidR="00EA1742" w:rsidRPr="0050653D">
        <w:rPr>
          <w:sz w:val="28"/>
          <w:szCs w:val="28"/>
        </w:rPr>
        <w:t>проц.</w:t>
      </w:r>
      <w:r w:rsidRPr="0050653D">
        <w:rPr>
          <w:sz w:val="28"/>
          <w:szCs w:val="28"/>
        </w:rPr>
        <w:t xml:space="preserve"> соответственно.</w:t>
      </w:r>
    </w:p>
    <w:p w:rsidR="00191FBA" w:rsidRPr="0050653D" w:rsidRDefault="00191FBA" w:rsidP="00191FBA">
      <w:pPr>
        <w:shd w:val="clear" w:color="auto" w:fill="FFFFFF" w:themeFill="background1"/>
        <w:tabs>
          <w:tab w:val="left" w:pos="1210"/>
        </w:tabs>
        <w:ind w:firstLine="709"/>
        <w:jc w:val="both"/>
        <w:rPr>
          <w:sz w:val="28"/>
          <w:szCs w:val="28"/>
        </w:rPr>
      </w:pPr>
      <w:r w:rsidRPr="0050653D">
        <w:rPr>
          <w:sz w:val="28"/>
          <w:szCs w:val="28"/>
        </w:rPr>
        <w:t xml:space="preserve">Важным фактором формирования роста ВРП в 2023-2025 годах станет реализация крупных инвестиционных проектов, и, как следствие, </w:t>
      </w:r>
      <w:r w:rsidR="00832A83" w:rsidRPr="0050653D">
        <w:rPr>
          <w:sz w:val="28"/>
          <w:szCs w:val="28"/>
        </w:rPr>
        <w:t>при</w:t>
      </w:r>
      <w:r w:rsidRPr="0050653D">
        <w:rPr>
          <w:sz w:val="28"/>
          <w:szCs w:val="28"/>
        </w:rPr>
        <w:t>рост объема инвестиционных вложений в Ленинградской области (в среднем ежегодно на 3,3</w:t>
      </w:r>
      <w:r w:rsidR="00955FDE" w:rsidRPr="0050653D">
        <w:rPr>
          <w:sz w:val="28"/>
          <w:szCs w:val="28"/>
        </w:rPr>
        <w:t xml:space="preserve"> </w:t>
      </w:r>
      <w:r w:rsidR="00EA1742" w:rsidRPr="0050653D">
        <w:rPr>
          <w:sz w:val="28"/>
          <w:szCs w:val="28"/>
        </w:rPr>
        <w:t>проц.</w:t>
      </w:r>
      <w:r w:rsidRPr="0050653D">
        <w:rPr>
          <w:sz w:val="28"/>
          <w:szCs w:val="28"/>
        </w:rPr>
        <w:t xml:space="preserve"> по консервативному варианту и 6,6</w:t>
      </w:r>
      <w:r w:rsidR="00955FDE" w:rsidRPr="0050653D">
        <w:rPr>
          <w:sz w:val="28"/>
          <w:szCs w:val="28"/>
        </w:rPr>
        <w:t xml:space="preserve"> </w:t>
      </w:r>
      <w:r w:rsidR="00EA1742" w:rsidRPr="0050653D">
        <w:rPr>
          <w:sz w:val="28"/>
          <w:szCs w:val="28"/>
        </w:rPr>
        <w:t>проц.</w:t>
      </w:r>
      <w:r w:rsidRPr="0050653D">
        <w:rPr>
          <w:sz w:val="28"/>
          <w:szCs w:val="28"/>
        </w:rPr>
        <w:t xml:space="preserve"> по базовому). </w:t>
      </w:r>
    </w:p>
    <w:p w:rsidR="00191FBA" w:rsidRPr="0050653D" w:rsidRDefault="00191FBA" w:rsidP="00191FBA">
      <w:pPr>
        <w:shd w:val="clear" w:color="auto" w:fill="FFFFFF" w:themeFill="background1"/>
        <w:tabs>
          <w:tab w:val="left" w:pos="1210"/>
        </w:tabs>
        <w:ind w:firstLine="709"/>
        <w:jc w:val="both"/>
        <w:rPr>
          <w:sz w:val="28"/>
          <w:szCs w:val="28"/>
        </w:rPr>
      </w:pPr>
      <w:r w:rsidRPr="0050653D">
        <w:rPr>
          <w:sz w:val="28"/>
          <w:szCs w:val="28"/>
        </w:rPr>
        <w:t xml:space="preserve">В среднесрочной перспективе до 2025 года важными факторами роста ВРП Ленинградской области станут реализация проектов в сфере промышленности, транспорта и логистики (развитие морских торговых портов и проекты строительства отдельных терминалов), рост производства в отдельных отраслях обрабатывающей промышленности, высокие объемы жилищного строительства. </w:t>
      </w:r>
    </w:p>
    <w:p w:rsidR="00B50C97" w:rsidRPr="0050653D" w:rsidRDefault="00191FBA" w:rsidP="00191FBA">
      <w:pPr>
        <w:shd w:val="clear" w:color="auto" w:fill="FFFFFF" w:themeFill="background1"/>
        <w:tabs>
          <w:tab w:val="left" w:pos="1210"/>
        </w:tabs>
        <w:ind w:firstLine="709"/>
        <w:jc w:val="both"/>
        <w:rPr>
          <w:sz w:val="28"/>
          <w:szCs w:val="28"/>
        </w:rPr>
      </w:pPr>
      <w:r w:rsidRPr="0050653D">
        <w:rPr>
          <w:sz w:val="28"/>
          <w:szCs w:val="28"/>
        </w:rPr>
        <w:t xml:space="preserve">В результате, в соответствии с базовым вариантом прогноза, ВРП в 2025 году составит 1767,8 </w:t>
      </w:r>
      <w:proofErr w:type="gramStart"/>
      <w:r w:rsidRPr="0050653D">
        <w:rPr>
          <w:sz w:val="28"/>
          <w:szCs w:val="28"/>
        </w:rPr>
        <w:t>млрд</w:t>
      </w:r>
      <w:proofErr w:type="gramEnd"/>
      <w:r w:rsidRPr="0050653D">
        <w:rPr>
          <w:sz w:val="28"/>
          <w:szCs w:val="28"/>
        </w:rPr>
        <w:t xml:space="preserve"> руб. (прирост на 7,2</w:t>
      </w:r>
      <w:r w:rsidR="00955FDE" w:rsidRPr="0050653D">
        <w:rPr>
          <w:sz w:val="28"/>
          <w:szCs w:val="28"/>
        </w:rPr>
        <w:t xml:space="preserve"> </w:t>
      </w:r>
      <w:r w:rsidR="00EA1742" w:rsidRPr="0050653D">
        <w:rPr>
          <w:sz w:val="28"/>
          <w:szCs w:val="28"/>
        </w:rPr>
        <w:t>проц.</w:t>
      </w:r>
      <w:r w:rsidRPr="0050653D">
        <w:rPr>
          <w:sz w:val="28"/>
          <w:szCs w:val="28"/>
        </w:rPr>
        <w:t xml:space="preserve"> к уровню 2022 года в сопоставимых ценах), по консервативному варианту – 1699,1 млрд руб. (на 2,6</w:t>
      </w:r>
      <w:r w:rsidR="00955FDE" w:rsidRPr="0050653D">
        <w:rPr>
          <w:sz w:val="28"/>
          <w:szCs w:val="28"/>
        </w:rPr>
        <w:t xml:space="preserve"> </w:t>
      </w:r>
      <w:r w:rsidR="00EA1742" w:rsidRPr="0050653D">
        <w:rPr>
          <w:sz w:val="28"/>
          <w:szCs w:val="28"/>
        </w:rPr>
        <w:t>проц.</w:t>
      </w:r>
      <w:r w:rsidRPr="0050653D">
        <w:rPr>
          <w:sz w:val="28"/>
          <w:szCs w:val="28"/>
        </w:rPr>
        <w:t xml:space="preserve"> к 2022 году).</w:t>
      </w:r>
    </w:p>
    <w:p w:rsidR="00770FBF" w:rsidRPr="0050653D" w:rsidRDefault="00770FBF" w:rsidP="00B50C97">
      <w:pPr>
        <w:ind w:firstLine="709"/>
        <w:jc w:val="both"/>
        <w:rPr>
          <w:color w:val="000000" w:themeColor="text1"/>
          <w:sz w:val="16"/>
          <w:szCs w:val="16"/>
        </w:rPr>
      </w:pPr>
    </w:p>
    <w:p w:rsidR="00770FBF" w:rsidRPr="0050653D" w:rsidRDefault="007A48FA" w:rsidP="00770FBF">
      <w:pPr>
        <w:jc w:val="center"/>
        <w:rPr>
          <w:sz w:val="28"/>
          <w:szCs w:val="28"/>
        </w:rPr>
      </w:pPr>
      <w:r w:rsidRPr="0050653D">
        <w:rPr>
          <w:sz w:val="28"/>
          <w:szCs w:val="28"/>
        </w:rPr>
        <w:t>Промышленное производство</w:t>
      </w:r>
    </w:p>
    <w:p w:rsidR="00770FBF" w:rsidRPr="0050653D" w:rsidRDefault="00770FBF" w:rsidP="008E790E">
      <w:pPr>
        <w:ind w:firstLine="709"/>
        <w:jc w:val="both"/>
        <w:rPr>
          <w:sz w:val="16"/>
          <w:szCs w:val="16"/>
        </w:rPr>
      </w:pPr>
    </w:p>
    <w:p w:rsidR="00191FBA" w:rsidRPr="0050653D" w:rsidRDefault="00191FBA" w:rsidP="00191FBA">
      <w:pPr>
        <w:shd w:val="clear" w:color="auto" w:fill="FFFFFF" w:themeFill="background1"/>
        <w:tabs>
          <w:tab w:val="left" w:pos="708"/>
          <w:tab w:val="left" w:pos="1418"/>
        </w:tabs>
        <w:ind w:firstLine="709"/>
        <w:jc w:val="both"/>
        <w:rPr>
          <w:sz w:val="28"/>
          <w:szCs w:val="28"/>
        </w:rPr>
      </w:pPr>
      <w:r w:rsidRPr="0050653D">
        <w:rPr>
          <w:bCs/>
          <w:sz w:val="28"/>
          <w:szCs w:val="28"/>
        </w:rPr>
        <w:t xml:space="preserve">В 2021 году </w:t>
      </w:r>
      <w:r w:rsidRPr="0050653D">
        <w:rPr>
          <w:b/>
          <w:iCs/>
          <w:sz w:val="28"/>
          <w:szCs w:val="28"/>
        </w:rPr>
        <w:t>индекс промышленного производства</w:t>
      </w:r>
      <w:r w:rsidRPr="0050653D">
        <w:rPr>
          <w:iCs/>
          <w:sz w:val="28"/>
          <w:szCs w:val="28"/>
        </w:rPr>
        <w:t xml:space="preserve"> по полному кругу предприятий</w:t>
      </w:r>
      <w:r w:rsidRPr="0050653D">
        <w:rPr>
          <w:sz w:val="28"/>
          <w:szCs w:val="28"/>
        </w:rPr>
        <w:t xml:space="preserve"> составил 107,6</w:t>
      </w:r>
      <w:r w:rsidR="00955FDE" w:rsidRPr="0050653D">
        <w:rPr>
          <w:sz w:val="28"/>
          <w:szCs w:val="28"/>
        </w:rPr>
        <w:t xml:space="preserve"> </w:t>
      </w:r>
      <w:r w:rsidR="00EA1742" w:rsidRPr="0050653D">
        <w:rPr>
          <w:sz w:val="28"/>
          <w:szCs w:val="28"/>
        </w:rPr>
        <w:t>проц.</w:t>
      </w:r>
      <w:r w:rsidRPr="0050653D">
        <w:rPr>
          <w:sz w:val="28"/>
          <w:szCs w:val="28"/>
        </w:rPr>
        <w:t xml:space="preserve"> к 2020 году, в том числе</w:t>
      </w:r>
      <w:bookmarkStart w:id="2" w:name="_Toc521483834"/>
      <w:r w:rsidRPr="0050653D">
        <w:rPr>
          <w:sz w:val="28"/>
          <w:szCs w:val="28"/>
        </w:rPr>
        <w:t>:</w:t>
      </w:r>
    </w:p>
    <w:p w:rsidR="00191FBA" w:rsidRPr="0050653D" w:rsidRDefault="00191FBA" w:rsidP="00191FBA">
      <w:pPr>
        <w:shd w:val="clear" w:color="auto" w:fill="FFFFFF" w:themeFill="background1"/>
        <w:ind w:firstLine="709"/>
        <w:jc w:val="both"/>
        <w:rPr>
          <w:sz w:val="28"/>
          <w:szCs w:val="28"/>
        </w:rPr>
      </w:pPr>
      <w:r w:rsidRPr="0050653D">
        <w:rPr>
          <w:sz w:val="28"/>
          <w:szCs w:val="28"/>
        </w:rPr>
        <w:t>- обрабатывающие производства – 107,6</w:t>
      </w:r>
      <w:r w:rsidR="00955FDE" w:rsidRPr="0050653D">
        <w:rPr>
          <w:sz w:val="28"/>
          <w:szCs w:val="28"/>
        </w:rPr>
        <w:t xml:space="preserve"> </w:t>
      </w:r>
      <w:r w:rsidR="00EA1742" w:rsidRPr="0050653D">
        <w:rPr>
          <w:sz w:val="28"/>
          <w:szCs w:val="28"/>
        </w:rPr>
        <w:t>проц.</w:t>
      </w:r>
      <w:r w:rsidRPr="0050653D">
        <w:rPr>
          <w:sz w:val="28"/>
          <w:szCs w:val="28"/>
        </w:rPr>
        <w:t>,</w:t>
      </w:r>
    </w:p>
    <w:p w:rsidR="00191FBA" w:rsidRPr="0050653D" w:rsidRDefault="00191FBA" w:rsidP="00191FBA">
      <w:pPr>
        <w:shd w:val="clear" w:color="auto" w:fill="FFFFFF" w:themeFill="background1"/>
        <w:ind w:firstLine="709"/>
        <w:jc w:val="both"/>
        <w:rPr>
          <w:sz w:val="28"/>
          <w:szCs w:val="28"/>
        </w:rPr>
      </w:pPr>
      <w:r w:rsidRPr="0050653D">
        <w:rPr>
          <w:sz w:val="28"/>
          <w:szCs w:val="28"/>
        </w:rPr>
        <w:t>- обеспечение электрической энергией, газом и паром; кондиционирование воздуха – 108,2</w:t>
      </w:r>
      <w:r w:rsidR="00955FDE" w:rsidRPr="0050653D">
        <w:rPr>
          <w:sz w:val="28"/>
          <w:szCs w:val="28"/>
        </w:rPr>
        <w:t xml:space="preserve"> </w:t>
      </w:r>
      <w:r w:rsidR="00EA1742" w:rsidRPr="0050653D">
        <w:rPr>
          <w:sz w:val="28"/>
          <w:szCs w:val="28"/>
        </w:rPr>
        <w:t>проц.</w:t>
      </w:r>
      <w:r w:rsidRPr="0050653D">
        <w:rPr>
          <w:sz w:val="28"/>
          <w:szCs w:val="28"/>
        </w:rPr>
        <w:t>,</w:t>
      </w:r>
    </w:p>
    <w:p w:rsidR="00191FBA" w:rsidRPr="0050653D" w:rsidRDefault="00191FBA" w:rsidP="00191FBA">
      <w:pPr>
        <w:shd w:val="clear" w:color="auto" w:fill="FFFFFF" w:themeFill="background1"/>
        <w:ind w:firstLine="709"/>
        <w:jc w:val="both"/>
        <w:rPr>
          <w:sz w:val="28"/>
          <w:szCs w:val="28"/>
        </w:rPr>
      </w:pPr>
      <w:r w:rsidRPr="0050653D">
        <w:rPr>
          <w:sz w:val="28"/>
          <w:szCs w:val="28"/>
        </w:rPr>
        <w:t>- водоснабжение, водоотведение – 107,1</w:t>
      </w:r>
      <w:r w:rsidR="00955FDE" w:rsidRPr="0050653D">
        <w:rPr>
          <w:sz w:val="28"/>
          <w:szCs w:val="28"/>
        </w:rPr>
        <w:t xml:space="preserve"> </w:t>
      </w:r>
      <w:r w:rsidR="00EA1742" w:rsidRPr="0050653D">
        <w:rPr>
          <w:sz w:val="28"/>
          <w:szCs w:val="28"/>
        </w:rPr>
        <w:t>проц</w:t>
      </w:r>
      <w:proofErr w:type="gramStart"/>
      <w:r w:rsidR="00EA1742" w:rsidRPr="0050653D">
        <w:rPr>
          <w:sz w:val="28"/>
          <w:szCs w:val="28"/>
        </w:rPr>
        <w:t>.</w:t>
      </w:r>
      <w:r w:rsidRPr="0050653D">
        <w:rPr>
          <w:sz w:val="28"/>
          <w:szCs w:val="28"/>
        </w:rPr>
        <w:t>.</w:t>
      </w:r>
      <w:proofErr w:type="gramEnd"/>
    </w:p>
    <w:p w:rsidR="00191FBA" w:rsidRPr="0050653D" w:rsidRDefault="00191FBA" w:rsidP="00191FBA">
      <w:pPr>
        <w:shd w:val="clear" w:color="auto" w:fill="FFFFFF" w:themeFill="background1"/>
        <w:ind w:firstLine="709"/>
        <w:jc w:val="both"/>
        <w:rPr>
          <w:bCs/>
          <w:iCs/>
          <w:sz w:val="28"/>
          <w:szCs w:val="28"/>
        </w:rPr>
      </w:pPr>
      <w:r w:rsidRPr="0050653D">
        <w:rPr>
          <w:sz w:val="28"/>
          <w:szCs w:val="28"/>
        </w:rPr>
        <w:t>С</w:t>
      </w:r>
      <w:r w:rsidRPr="0050653D">
        <w:rPr>
          <w:iCs/>
          <w:sz w:val="28"/>
          <w:szCs w:val="28"/>
        </w:rPr>
        <w:t>нижение производства по виду деятельности «Добыча полезных ископаемых» (на 1,1</w:t>
      </w:r>
      <w:r w:rsidR="00955FDE" w:rsidRPr="0050653D">
        <w:rPr>
          <w:iCs/>
          <w:sz w:val="28"/>
          <w:szCs w:val="28"/>
        </w:rPr>
        <w:t xml:space="preserve"> </w:t>
      </w:r>
      <w:r w:rsidR="00EA1742" w:rsidRPr="0050653D">
        <w:rPr>
          <w:iCs/>
          <w:sz w:val="28"/>
          <w:szCs w:val="28"/>
        </w:rPr>
        <w:t>проц.</w:t>
      </w:r>
      <w:r w:rsidRPr="0050653D">
        <w:rPr>
          <w:iCs/>
          <w:sz w:val="28"/>
          <w:szCs w:val="28"/>
        </w:rPr>
        <w:t xml:space="preserve"> к 2020 году)</w:t>
      </w:r>
      <w:r w:rsidRPr="0050653D">
        <w:rPr>
          <w:sz w:val="28"/>
          <w:szCs w:val="28"/>
        </w:rPr>
        <w:t xml:space="preserve"> </w:t>
      </w:r>
      <w:r w:rsidRPr="0050653D">
        <w:rPr>
          <w:iCs/>
          <w:sz w:val="28"/>
          <w:szCs w:val="28"/>
        </w:rPr>
        <w:t>обусловлено</w:t>
      </w:r>
      <w:r w:rsidRPr="0050653D">
        <w:rPr>
          <w:sz w:val="28"/>
          <w:szCs w:val="28"/>
        </w:rPr>
        <w:t xml:space="preserve"> снижением добычи песка</w:t>
      </w:r>
      <w:r w:rsidR="00955FDE" w:rsidRPr="0050653D">
        <w:rPr>
          <w:sz w:val="28"/>
          <w:szCs w:val="28"/>
        </w:rPr>
        <w:t xml:space="preserve"> </w:t>
      </w:r>
      <w:r w:rsidRPr="0050653D">
        <w:rPr>
          <w:sz w:val="28"/>
          <w:szCs w:val="28"/>
        </w:rPr>
        <w:br/>
        <w:t>на 5-10</w:t>
      </w:r>
      <w:r w:rsidR="00955FDE" w:rsidRPr="0050653D">
        <w:rPr>
          <w:sz w:val="28"/>
          <w:szCs w:val="28"/>
        </w:rPr>
        <w:t xml:space="preserve"> </w:t>
      </w:r>
      <w:r w:rsidR="00EA1742" w:rsidRPr="0050653D">
        <w:rPr>
          <w:sz w:val="28"/>
          <w:szCs w:val="28"/>
        </w:rPr>
        <w:t>проц.</w:t>
      </w:r>
      <w:r w:rsidRPr="0050653D">
        <w:rPr>
          <w:sz w:val="28"/>
          <w:szCs w:val="28"/>
        </w:rPr>
        <w:t>, добычи щебня – на 1-3</w:t>
      </w:r>
      <w:r w:rsidR="00955FDE" w:rsidRPr="0050653D">
        <w:rPr>
          <w:sz w:val="28"/>
          <w:szCs w:val="28"/>
        </w:rPr>
        <w:t xml:space="preserve"> </w:t>
      </w:r>
      <w:r w:rsidR="00EA1742" w:rsidRPr="0050653D">
        <w:rPr>
          <w:sz w:val="28"/>
          <w:szCs w:val="28"/>
        </w:rPr>
        <w:t>проц.</w:t>
      </w:r>
      <w:r w:rsidRPr="0050653D">
        <w:rPr>
          <w:bCs/>
          <w:iCs/>
          <w:sz w:val="28"/>
          <w:szCs w:val="28"/>
        </w:rPr>
        <w:t xml:space="preserve"> и спросом на производимую продукцию.</w:t>
      </w:r>
    </w:p>
    <w:p w:rsidR="00191FBA" w:rsidRPr="0050653D" w:rsidRDefault="00191FBA" w:rsidP="00191FBA">
      <w:pPr>
        <w:shd w:val="clear" w:color="auto" w:fill="FFFFFF" w:themeFill="background1"/>
        <w:ind w:firstLine="709"/>
        <w:jc w:val="both"/>
        <w:rPr>
          <w:sz w:val="28"/>
          <w:szCs w:val="28"/>
        </w:rPr>
      </w:pPr>
      <w:r w:rsidRPr="0050653D">
        <w:rPr>
          <w:sz w:val="28"/>
          <w:szCs w:val="28"/>
        </w:rPr>
        <w:t xml:space="preserve">Рост промышленного производства в обрабатывающих отраслях в 2021 году, в основном, обеспечили </w:t>
      </w:r>
      <w:r w:rsidR="00832A83" w:rsidRPr="0050653D">
        <w:rPr>
          <w:sz w:val="28"/>
          <w:szCs w:val="28"/>
        </w:rPr>
        <w:t xml:space="preserve">следующие </w:t>
      </w:r>
      <w:r w:rsidRPr="0050653D">
        <w:rPr>
          <w:sz w:val="28"/>
          <w:szCs w:val="28"/>
        </w:rPr>
        <w:t xml:space="preserve">шесть отраслей: </w:t>
      </w:r>
    </w:p>
    <w:p w:rsidR="00191FBA" w:rsidRPr="0050653D" w:rsidRDefault="00191FBA" w:rsidP="00191FBA">
      <w:pPr>
        <w:shd w:val="clear" w:color="auto" w:fill="FFFFFF" w:themeFill="background1"/>
        <w:ind w:firstLine="709"/>
        <w:jc w:val="both"/>
        <w:rPr>
          <w:sz w:val="28"/>
          <w:szCs w:val="28"/>
        </w:rPr>
      </w:pPr>
      <w:r w:rsidRPr="0050653D">
        <w:rPr>
          <w:sz w:val="28"/>
          <w:szCs w:val="28"/>
        </w:rPr>
        <w:t>- пищевая промышленность (105,9</w:t>
      </w:r>
      <w:r w:rsidR="00955FDE" w:rsidRPr="0050653D">
        <w:rPr>
          <w:sz w:val="28"/>
          <w:szCs w:val="28"/>
        </w:rPr>
        <w:t xml:space="preserve"> </w:t>
      </w:r>
      <w:r w:rsidR="00EA1742" w:rsidRPr="0050653D">
        <w:rPr>
          <w:sz w:val="28"/>
          <w:szCs w:val="28"/>
        </w:rPr>
        <w:t>проц.</w:t>
      </w:r>
      <w:r w:rsidRPr="0050653D">
        <w:rPr>
          <w:sz w:val="28"/>
          <w:szCs w:val="28"/>
        </w:rPr>
        <w:t>, доля отрасли в общем объеме отгрузки – 13,9</w:t>
      </w:r>
      <w:r w:rsidR="00955FDE" w:rsidRPr="0050653D">
        <w:rPr>
          <w:sz w:val="28"/>
          <w:szCs w:val="28"/>
        </w:rPr>
        <w:t xml:space="preserve"> </w:t>
      </w:r>
      <w:r w:rsidR="00EA1742" w:rsidRPr="0050653D">
        <w:rPr>
          <w:sz w:val="28"/>
          <w:szCs w:val="28"/>
        </w:rPr>
        <w:t>проц.</w:t>
      </w:r>
      <w:r w:rsidRPr="0050653D">
        <w:rPr>
          <w:sz w:val="28"/>
          <w:szCs w:val="28"/>
        </w:rPr>
        <w:t xml:space="preserve">); </w:t>
      </w:r>
    </w:p>
    <w:p w:rsidR="00191FBA" w:rsidRPr="0050653D" w:rsidRDefault="00191FBA" w:rsidP="00191FBA">
      <w:pPr>
        <w:shd w:val="clear" w:color="auto" w:fill="FFFFFF" w:themeFill="background1"/>
        <w:ind w:firstLine="709"/>
        <w:jc w:val="both"/>
        <w:rPr>
          <w:sz w:val="28"/>
          <w:szCs w:val="28"/>
        </w:rPr>
      </w:pPr>
      <w:r w:rsidRPr="0050653D">
        <w:rPr>
          <w:sz w:val="28"/>
          <w:szCs w:val="28"/>
        </w:rPr>
        <w:t>- производство бумаги и бумажных изделий (110,8</w:t>
      </w:r>
      <w:r w:rsidR="00955FDE" w:rsidRPr="0050653D">
        <w:rPr>
          <w:sz w:val="28"/>
          <w:szCs w:val="28"/>
        </w:rPr>
        <w:t xml:space="preserve"> </w:t>
      </w:r>
      <w:r w:rsidR="00EA1742" w:rsidRPr="0050653D">
        <w:rPr>
          <w:sz w:val="28"/>
          <w:szCs w:val="28"/>
        </w:rPr>
        <w:t>проц.</w:t>
      </w:r>
      <w:r w:rsidRPr="0050653D">
        <w:rPr>
          <w:sz w:val="28"/>
          <w:szCs w:val="28"/>
        </w:rPr>
        <w:t>, доля в отгрузке- 8,8</w:t>
      </w:r>
      <w:r w:rsidR="00955FDE" w:rsidRPr="0050653D">
        <w:rPr>
          <w:sz w:val="28"/>
          <w:szCs w:val="28"/>
        </w:rPr>
        <w:t xml:space="preserve"> </w:t>
      </w:r>
      <w:r w:rsidR="00EA1742" w:rsidRPr="0050653D">
        <w:rPr>
          <w:sz w:val="28"/>
          <w:szCs w:val="28"/>
        </w:rPr>
        <w:t>проц.</w:t>
      </w:r>
      <w:r w:rsidRPr="0050653D">
        <w:rPr>
          <w:sz w:val="28"/>
          <w:szCs w:val="28"/>
        </w:rPr>
        <w:t>);</w:t>
      </w:r>
    </w:p>
    <w:p w:rsidR="00191FBA" w:rsidRPr="0050653D" w:rsidRDefault="00191FBA" w:rsidP="00191FBA">
      <w:pPr>
        <w:shd w:val="clear" w:color="auto" w:fill="FFFFFF" w:themeFill="background1"/>
        <w:ind w:firstLine="709"/>
        <w:jc w:val="both"/>
        <w:rPr>
          <w:sz w:val="28"/>
          <w:szCs w:val="28"/>
        </w:rPr>
      </w:pPr>
      <w:r w:rsidRPr="0050653D">
        <w:rPr>
          <w:sz w:val="28"/>
          <w:szCs w:val="28"/>
        </w:rPr>
        <w:t>- табачная промышленность (112,4</w:t>
      </w:r>
      <w:r w:rsidR="00955FDE" w:rsidRPr="0050653D">
        <w:rPr>
          <w:sz w:val="28"/>
          <w:szCs w:val="28"/>
        </w:rPr>
        <w:t xml:space="preserve"> </w:t>
      </w:r>
      <w:r w:rsidR="00EA1742" w:rsidRPr="0050653D">
        <w:rPr>
          <w:sz w:val="28"/>
          <w:szCs w:val="28"/>
        </w:rPr>
        <w:t>проц.</w:t>
      </w:r>
      <w:r w:rsidRPr="0050653D">
        <w:rPr>
          <w:sz w:val="28"/>
          <w:szCs w:val="28"/>
        </w:rPr>
        <w:t>, доля в отгрузке – 7,5</w:t>
      </w:r>
      <w:r w:rsidR="00955FDE" w:rsidRPr="0050653D">
        <w:rPr>
          <w:sz w:val="28"/>
          <w:szCs w:val="28"/>
        </w:rPr>
        <w:t xml:space="preserve"> </w:t>
      </w:r>
      <w:r w:rsidR="00EA1742" w:rsidRPr="0050653D">
        <w:rPr>
          <w:sz w:val="28"/>
          <w:szCs w:val="28"/>
        </w:rPr>
        <w:t>проц.</w:t>
      </w:r>
      <w:r w:rsidRPr="0050653D">
        <w:rPr>
          <w:sz w:val="28"/>
          <w:szCs w:val="28"/>
        </w:rPr>
        <w:t>);</w:t>
      </w:r>
    </w:p>
    <w:p w:rsidR="00191FBA" w:rsidRPr="0050653D" w:rsidRDefault="00191FBA" w:rsidP="00191FBA">
      <w:pPr>
        <w:shd w:val="clear" w:color="auto" w:fill="FFFFFF" w:themeFill="background1"/>
        <w:ind w:firstLine="709"/>
        <w:jc w:val="both"/>
        <w:rPr>
          <w:sz w:val="28"/>
          <w:szCs w:val="28"/>
        </w:rPr>
      </w:pPr>
      <w:r w:rsidRPr="0050653D">
        <w:rPr>
          <w:sz w:val="28"/>
          <w:szCs w:val="28"/>
        </w:rPr>
        <w:t>- производство резиновых и пластмассовых изделий (108,7</w:t>
      </w:r>
      <w:r w:rsidR="00955FDE" w:rsidRPr="0050653D">
        <w:rPr>
          <w:sz w:val="28"/>
          <w:szCs w:val="28"/>
        </w:rPr>
        <w:t xml:space="preserve"> </w:t>
      </w:r>
      <w:r w:rsidR="00EA1742" w:rsidRPr="0050653D">
        <w:rPr>
          <w:sz w:val="28"/>
          <w:szCs w:val="28"/>
        </w:rPr>
        <w:t>проц.</w:t>
      </w:r>
      <w:r w:rsidRPr="0050653D">
        <w:rPr>
          <w:sz w:val="28"/>
          <w:szCs w:val="28"/>
        </w:rPr>
        <w:t>, доля в отгрузке – 4,6</w:t>
      </w:r>
      <w:r w:rsidR="00955FDE" w:rsidRPr="0050653D">
        <w:rPr>
          <w:sz w:val="28"/>
          <w:szCs w:val="28"/>
        </w:rPr>
        <w:t xml:space="preserve"> </w:t>
      </w:r>
      <w:r w:rsidR="00EA1742" w:rsidRPr="0050653D">
        <w:rPr>
          <w:sz w:val="28"/>
          <w:szCs w:val="28"/>
        </w:rPr>
        <w:t>проц.</w:t>
      </w:r>
      <w:r w:rsidRPr="0050653D">
        <w:rPr>
          <w:sz w:val="28"/>
          <w:szCs w:val="28"/>
        </w:rPr>
        <w:t>);</w:t>
      </w:r>
    </w:p>
    <w:p w:rsidR="00191FBA" w:rsidRPr="0050653D" w:rsidRDefault="00191FBA" w:rsidP="00191FBA">
      <w:pPr>
        <w:shd w:val="clear" w:color="auto" w:fill="FFFFFF" w:themeFill="background1"/>
        <w:ind w:firstLine="709"/>
        <w:jc w:val="both"/>
        <w:rPr>
          <w:sz w:val="28"/>
          <w:szCs w:val="28"/>
        </w:rPr>
      </w:pPr>
      <w:r w:rsidRPr="0050653D">
        <w:rPr>
          <w:sz w:val="28"/>
          <w:szCs w:val="28"/>
        </w:rPr>
        <w:t>- производство изделий из дерева и пробки, обработка древесины (139,9</w:t>
      </w:r>
      <w:r w:rsidR="00955FDE" w:rsidRPr="0050653D">
        <w:rPr>
          <w:sz w:val="28"/>
          <w:szCs w:val="28"/>
        </w:rPr>
        <w:t xml:space="preserve"> </w:t>
      </w:r>
      <w:r w:rsidR="00EA1742" w:rsidRPr="0050653D">
        <w:rPr>
          <w:sz w:val="28"/>
          <w:szCs w:val="28"/>
        </w:rPr>
        <w:t>проц.</w:t>
      </w:r>
      <w:r w:rsidRPr="0050653D">
        <w:rPr>
          <w:sz w:val="28"/>
          <w:szCs w:val="28"/>
        </w:rPr>
        <w:t>, доля в отгрузке -2,8</w:t>
      </w:r>
      <w:r w:rsidR="00955FDE" w:rsidRPr="0050653D">
        <w:rPr>
          <w:sz w:val="28"/>
          <w:szCs w:val="28"/>
        </w:rPr>
        <w:t xml:space="preserve"> </w:t>
      </w:r>
      <w:r w:rsidR="00EA1742" w:rsidRPr="0050653D">
        <w:rPr>
          <w:sz w:val="28"/>
          <w:szCs w:val="28"/>
        </w:rPr>
        <w:t>проц.</w:t>
      </w:r>
      <w:r w:rsidRPr="0050653D">
        <w:rPr>
          <w:sz w:val="28"/>
          <w:szCs w:val="28"/>
        </w:rPr>
        <w:t>);</w:t>
      </w:r>
    </w:p>
    <w:p w:rsidR="00191FBA" w:rsidRPr="0050653D" w:rsidRDefault="00191FBA" w:rsidP="00191FBA">
      <w:pPr>
        <w:shd w:val="clear" w:color="auto" w:fill="FFFFFF" w:themeFill="background1"/>
        <w:ind w:firstLine="709"/>
        <w:jc w:val="both"/>
        <w:rPr>
          <w:sz w:val="28"/>
          <w:szCs w:val="28"/>
        </w:rPr>
      </w:pPr>
      <w:r w:rsidRPr="0050653D">
        <w:rPr>
          <w:sz w:val="28"/>
          <w:szCs w:val="28"/>
        </w:rPr>
        <w:t>- производство готовых металлических изделий, кроме машин и оборудования (122,5</w:t>
      </w:r>
      <w:r w:rsidR="00955FDE" w:rsidRPr="0050653D">
        <w:rPr>
          <w:sz w:val="28"/>
          <w:szCs w:val="28"/>
        </w:rPr>
        <w:t xml:space="preserve"> </w:t>
      </w:r>
      <w:r w:rsidR="00EA1742" w:rsidRPr="0050653D">
        <w:rPr>
          <w:sz w:val="28"/>
          <w:szCs w:val="28"/>
        </w:rPr>
        <w:t>проц.</w:t>
      </w:r>
      <w:r w:rsidRPr="0050653D">
        <w:rPr>
          <w:sz w:val="28"/>
          <w:szCs w:val="28"/>
        </w:rPr>
        <w:t>, доля в отгрузке -</w:t>
      </w:r>
      <w:r w:rsidR="00832A83" w:rsidRPr="0050653D">
        <w:rPr>
          <w:sz w:val="28"/>
          <w:szCs w:val="28"/>
        </w:rPr>
        <w:t xml:space="preserve"> </w:t>
      </w:r>
      <w:r w:rsidRPr="0050653D">
        <w:rPr>
          <w:sz w:val="28"/>
          <w:szCs w:val="28"/>
        </w:rPr>
        <w:t>3,1</w:t>
      </w:r>
      <w:r w:rsidR="00955FDE" w:rsidRPr="0050653D">
        <w:rPr>
          <w:sz w:val="28"/>
          <w:szCs w:val="28"/>
        </w:rPr>
        <w:t xml:space="preserve"> </w:t>
      </w:r>
      <w:r w:rsidR="00EA1742" w:rsidRPr="0050653D">
        <w:rPr>
          <w:sz w:val="28"/>
          <w:szCs w:val="28"/>
        </w:rPr>
        <w:t>проц.</w:t>
      </w:r>
      <w:r w:rsidRPr="0050653D">
        <w:rPr>
          <w:sz w:val="28"/>
          <w:szCs w:val="28"/>
        </w:rPr>
        <w:t>);</w:t>
      </w:r>
    </w:p>
    <w:p w:rsidR="00191FBA" w:rsidRPr="0050653D" w:rsidRDefault="00191FBA" w:rsidP="00191FBA">
      <w:pPr>
        <w:shd w:val="clear" w:color="auto" w:fill="FFFFFF" w:themeFill="background1"/>
        <w:ind w:firstLine="709"/>
        <w:jc w:val="both"/>
        <w:rPr>
          <w:sz w:val="28"/>
          <w:szCs w:val="28"/>
        </w:rPr>
      </w:pPr>
      <w:r w:rsidRPr="0050653D">
        <w:rPr>
          <w:sz w:val="28"/>
          <w:szCs w:val="28"/>
        </w:rPr>
        <w:t xml:space="preserve">Также </w:t>
      </w:r>
      <w:r w:rsidR="000C4D0A" w:rsidRPr="0050653D">
        <w:rPr>
          <w:sz w:val="28"/>
          <w:szCs w:val="28"/>
        </w:rPr>
        <w:t>р</w:t>
      </w:r>
      <w:r w:rsidRPr="0050653D">
        <w:rPr>
          <w:sz w:val="28"/>
          <w:szCs w:val="28"/>
        </w:rPr>
        <w:t xml:space="preserve">ост промышленного производства наблюдался в следующих отраслях: полиграфическая деятельность, металлургическое производство, </w:t>
      </w:r>
      <w:r w:rsidRPr="0050653D">
        <w:rPr>
          <w:sz w:val="28"/>
          <w:szCs w:val="28"/>
        </w:rPr>
        <w:lastRenderedPageBreak/>
        <w:t>производство напитков, текстильных изделий, производство лекарственных средств, ремонт и монтаж машин и оборудования.</w:t>
      </w:r>
    </w:p>
    <w:p w:rsidR="00191FBA" w:rsidRPr="0050653D" w:rsidRDefault="00191FBA" w:rsidP="00191FBA">
      <w:pPr>
        <w:shd w:val="clear" w:color="auto" w:fill="FFFFFF" w:themeFill="background1"/>
        <w:ind w:firstLine="709"/>
        <w:jc w:val="both"/>
        <w:rPr>
          <w:bCs/>
          <w:sz w:val="28"/>
          <w:szCs w:val="28"/>
        </w:rPr>
      </w:pPr>
      <w:r w:rsidRPr="0050653D">
        <w:rPr>
          <w:bCs/>
          <w:sz w:val="28"/>
          <w:szCs w:val="28"/>
        </w:rPr>
        <w:t xml:space="preserve">Снижение </w:t>
      </w:r>
      <w:r w:rsidR="000C4D0A" w:rsidRPr="0050653D">
        <w:rPr>
          <w:bCs/>
          <w:sz w:val="28"/>
          <w:szCs w:val="28"/>
        </w:rPr>
        <w:t xml:space="preserve">производства </w:t>
      </w:r>
      <w:r w:rsidRPr="0050653D">
        <w:rPr>
          <w:bCs/>
          <w:sz w:val="28"/>
          <w:szCs w:val="28"/>
        </w:rPr>
        <w:t>отмечалось в следующих отраслях:</w:t>
      </w:r>
    </w:p>
    <w:p w:rsidR="00191FBA" w:rsidRPr="0050653D" w:rsidRDefault="00191FBA" w:rsidP="00191FBA">
      <w:pPr>
        <w:shd w:val="clear" w:color="auto" w:fill="FFFFFF" w:themeFill="background1"/>
        <w:ind w:firstLine="709"/>
        <w:jc w:val="both"/>
        <w:rPr>
          <w:sz w:val="28"/>
          <w:szCs w:val="28"/>
        </w:rPr>
      </w:pPr>
      <w:r w:rsidRPr="0050653D">
        <w:rPr>
          <w:sz w:val="28"/>
          <w:szCs w:val="28"/>
        </w:rPr>
        <w:t>- в производстве кокса и нефтепродуктов, что обусловлено переходом</w:t>
      </w:r>
      <w:r w:rsidR="00955FDE" w:rsidRPr="0050653D">
        <w:rPr>
          <w:sz w:val="28"/>
          <w:szCs w:val="28"/>
        </w:rPr>
        <w:t xml:space="preserve"> </w:t>
      </w:r>
      <w:r w:rsidRPr="0050653D">
        <w:rPr>
          <w:sz w:val="28"/>
          <w:szCs w:val="28"/>
        </w:rPr>
        <w:br/>
        <w:t>ООО «</w:t>
      </w:r>
      <w:proofErr w:type="spellStart"/>
      <w:r w:rsidRPr="0050653D">
        <w:rPr>
          <w:sz w:val="28"/>
          <w:szCs w:val="28"/>
        </w:rPr>
        <w:t>Кинеф</w:t>
      </w:r>
      <w:proofErr w:type="spellEnd"/>
      <w:r w:rsidRPr="0050653D">
        <w:rPr>
          <w:sz w:val="28"/>
          <w:szCs w:val="28"/>
        </w:rPr>
        <w:t>» на 100</w:t>
      </w:r>
      <w:r w:rsidR="00EA1742" w:rsidRPr="0050653D">
        <w:rPr>
          <w:sz w:val="28"/>
          <w:szCs w:val="28"/>
        </w:rPr>
        <w:t xml:space="preserve"> проц.</w:t>
      </w:r>
      <w:r w:rsidRPr="0050653D">
        <w:rPr>
          <w:sz w:val="28"/>
          <w:szCs w:val="28"/>
        </w:rPr>
        <w:t xml:space="preserve"> процессинг (предприятие работает на давальческом сырье, цена реализации услуг по переработке нефти снизилась, что привело к снижению объема произведенной продукции в стоимостном выражении);</w:t>
      </w:r>
    </w:p>
    <w:p w:rsidR="00191FBA" w:rsidRPr="0050653D" w:rsidRDefault="00191FBA" w:rsidP="00191FBA">
      <w:pPr>
        <w:shd w:val="clear" w:color="auto" w:fill="FFFFFF" w:themeFill="background1"/>
        <w:ind w:firstLine="709"/>
        <w:jc w:val="both"/>
        <w:rPr>
          <w:bCs/>
          <w:sz w:val="28"/>
          <w:szCs w:val="28"/>
        </w:rPr>
      </w:pPr>
      <w:r w:rsidRPr="0050653D">
        <w:rPr>
          <w:bCs/>
          <w:sz w:val="28"/>
          <w:szCs w:val="28"/>
        </w:rPr>
        <w:t>- в производстве прочих транспортных средств, что обусловлено снижением производства вагонов для перевозки грузов;</w:t>
      </w:r>
    </w:p>
    <w:p w:rsidR="00191FBA" w:rsidRPr="0050653D" w:rsidRDefault="00191FBA" w:rsidP="00191FBA">
      <w:pPr>
        <w:shd w:val="clear" w:color="auto" w:fill="FFFFFF" w:themeFill="background1"/>
        <w:ind w:firstLine="709"/>
        <w:jc w:val="both"/>
        <w:rPr>
          <w:bCs/>
          <w:sz w:val="28"/>
          <w:szCs w:val="28"/>
        </w:rPr>
      </w:pPr>
      <w:r w:rsidRPr="0050653D">
        <w:rPr>
          <w:bCs/>
          <w:sz w:val="28"/>
          <w:szCs w:val="28"/>
        </w:rPr>
        <w:t>- в производстве прочих готовых изделий, что обусловлено снижением производства прочих пластмассовых изделий;</w:t>
      </w:r>
    </w:p>
    <w:p w:rsidR="00191FBA" w:rsidRPr="0050653D" w:rsidRDefault="00191FBA" w:rsidP="00191FBA">
      <w:pPr>
        <w:shd w:val="clear" w:color="auto" w:fill="FFFFFF" w:themeFill="background1"/>
        <w:ind w:firstLine="709"/>
        <w:jc w:val="both"/>
        <w:rPr>
          <w:sz w:val="28"/>
          <w:szCs w:val="28"/>
        </w:rPr>
      </w:pPr>
      <w:r w:rsidRPr="0050653D">
        <w:rPr>
          <w:sz w:val="28"/>
          <w:szCs w:val="28"/>
        </w:rPr>
        <w:t xml:space="preserve"> - в производстве кожи и изделий из кожи, что связано с сокращением производства, а также по причине неконкурентоспособности производимой продукции по цене и качеству в сравнении с турецкими и китайскими производителями;</w:t>
      </w:r>
    </w:p>
    <w:p w:rsidR="00191FBA" w:rsidRPr="0050653D" w:rsidRDefault="00191FBA" w:rsidP="00191FBA">
      <w:pPr>
        <w:shd w:val="clear" w:color="auto" w:fill="FFFFFF" w:themeFill="background1"/>
        <w:ind w:firstLine="709"/>
        <w:jc w:val="both"/>
        <w:rPr>
          <w:sz w:val="28"/>
          <w:szCs w:val="28"/>
        </w:rPr>
      </w:pPr>
      <w:r w:rsidRPr="0050653D">
        <w:rPr>
          <w:sz w:val="28"/>
          <w:szCs w:val="28"/>
        </w:rPr>
        <w:t>- </w:t>
      </w:r>
      <w:r w:rsidRPr="0050653D">
        <w:rPr>
          <w:bCs/>
          <w:sz w:val="28"/>
          <w:szCs w:val="28"/>
        </w:rPr>
        <w:t>в производстве компьютеров, электронных и оптических изделий, что обусловлено</w:t>
      </w:r>
      <w:r w:rsidRPr="0050653D">
        <w:rPr>
          <w:sz w:val="28"/>
          <w:szCs w:val="28"/>
        </w:rPr>
        <w:t xml:space="preserve"> «высокой» базой 2020 года.</w:t>
      </w:r>
    </w:p>
    <w:p w:rsidR="00191FBA" w:rsidRPr="0050653D" w:rsidRDefault="00191FBA" w:rsidP="00191FBA">
      <w:pPr>
        <w:shd w:val="clear" w:color="auto" w:fill="FFFFFF" w:themeFill="background1"/>
        <w:ind w:firstLine="709"/>
        <w:jc w:val="both"/>
        <w:rPr>
          <w:sz w:val="28"/>
          <w:szCs w:val="28"/>
        </w:rPr>
      </w:pPr>
      <w:r w:rsidRPr="0050653D">
        <w:rPr>
          <w:sz w:val="28"/>
          <w:szCs w:val="28"/>
        </w:rPr>
        <w:t>Объем отгруженных товаров собственного производства, выполненных работ и услуг по всем основным видам промышленной деятельности в 2021 году составил 1 698,</w:t>
      </w:r>
      <w:r w:rsidR="00B52272">
        <w:rPr>
          <w:sz w:val="28"/>
          <w:szCs w:val="28"/>
        </w:rPr>
        <w:t>8</w:t>
      </w:r>
      <w:r w:rsidRPr="0050653D">
        <w:rPr>
          <w:sz w:val="28"/>
          <w:szCs w:val="28"/>
        </w:rPr>
        <w:t xml:space="preserve"> </w:t>
      </w:r>
      <w:proofErr w:type="gramStart"/>
      <w:r w:rsidRPr="0050653D">
        <w:rPr>
          <w:sz w:val="28"/>
          <w:szCs w:val="28"/>
        </w:rPr>
        <w:t>млрд</w:t>
      </w:r>
      <w:proofErr w:type="gramEnd"/>
      <w:r w:rsidRPr="0050653D">
        <w:rPr>
          <w:sz w:val="28"/>
          <w:szCs w:val="28"/>
        </w:rPr>
        <w:t xml:space="preserve"> рублей или 130,9</w:t>
      </w:r>
      <w:r w:rsidR="00955FDE" w:rsidRPr="0050653D">
        <w:rPr>
          <w:sz w:val="28"/>
          <w:szCs w:val="28"/>
        </w:rPr>
        <w:t xml:space="preserve"> </w:t>
      </w:r>
      <w:r w:rsidR="00EA1742" w:rsidRPr="0050653D">
        <w:rPr>
          <w:sz w:val="28"/>
          <w:szCs w:val="28"/>
        </w:rPr>
        <w:t>проц.</w:t>
      </w:r>
      <w:r w:rsidRPr="0050653D">
        <w:rPr>
          <w:sz w:val="28"/>
          <w:szCs w:val="28"/>
        </w:rPr>
        <w:t xml:space="preserve"> к 2020 году.</w:t>
      </w:r>
    </w:p>
    <w:p w:rsidR="00191FBA" w:rsidRPr="0050653D" w:rsidRDefault="00191FBA" w:rsidP="00191FBA">
      <w:pPr>
        <w:shd w:val="clear" w:color="auto" w:fill="FFFFFF" w:themeFill="background1"/>
        <w:ind w:firstLine="709"/>
        <w:jc w:val="both"/>
        <w:rPr>
          <w:bCs/>
          <w:sz w:val="28"/>
          <w:szCs w:val="28"/>
        </w:rPr>
      </w:pPr>
      <w:proofErr w:type="gramStart"/>
      <w:r w:rsidRPr="0050653D">
        <w:rPr>
          <w:bCs/>
          <w:sz w:val="28"/>
          <w:szCs w:val="28"/>
        </w:rPr>
        <w:t>Наибольший прирост объема отгруженной продукции отмечается в металлургическом производстве (в 1,8 раз), в производстве кокса и нефтепродуктов (в 1,7 раз), в полиграфической деятельности и копировании носителей информации (в 1,8 раз), в производстве изделий из дерева и пробки, обработки древесины (в 1,5 раз), в производстве химических веществ и химических продуктов (в 1,9 раз).</w:t>
      </w:r>
      <w:proofErr w:type="gramEnd"/>
    </w:p>
    <w:p w:rsidR="00191FBA" w:rsidRPr="0050653D" w:rsidRDefault="00191FBA" w:rsidP="00191FBA">
      <w:pPr>
        <w:shd w:val="clear" w:color="auto" w:fill="FFFFFF" w:themeFill="background1"/>
        <w:ind w:firstLine="709"/>
        <w:jc w:val="both"/>
        <w:rPr>
          <w:bCs/>
          <w:sz w:val="28"/>
          <w:szCs w:val="28"/>
        </w:rPr>
      </w:pPr>
      <w:r w:rsidRPr="0050653D">
        <w:rPr>
          <w:bCs/>
          <w:sz w:val="28"/>
          <w:szCs w:val="28"/>
        </w:rPr>
        <w:t>В 2022 году ожидается с</w:t>
      </w:r>
      <w:r w:rsidR="000C4D0A" w:rsidRPr="0050653D">
        <w:rPr>
          <w:bCs/>
          <w:sz w:val="28"/>
          <w:szCs w:val="28"/>
        </w:rPr>
        <w:t xml:space="preserve">окращение производства </w:t>
      </w:r>
      <w:r w:rsidRPr="0050653D">
        <w:rPr>
          <w:bCs/>
          <w:sz w:val="28"/>
          <w:szCs w:val="28"/>
        </w:rPr>
        <w:t xml:space="preserve">в основных отраслях промышленности, связанное со сложившейся экономической ситуацией в условиях </w:t>
      </w:r>
      <w:proofErr w:type="spellStart"/>
      <w:r w:rsidR="000C4D0A" w:rsidRPr="0050653D">
        <w:rPr>
          <w:bCs/>
          <w:sz w:val="28"/>
          <w:szCs w:val="28"/>
        </w:rPr>
        <w:t>санкционного</w:t>
      </w:r>
      <w:proofErr w:type="spellEnd"/>
      <w:r w:rsidR="000C4D0A" w:rsidRPr="0050653D">
        <w:rPr>
          <w:bCs/>
          <w:sz w:val="28"/>
          <w:szCs w:val="28"/>
        </w:rPr>
        <w:t xml:space="preserve"> давления.</w:t>
      </w:r>
      <w:r w:rsidRPr="0050653D">
        <w:rPr>
          <w:bCs/>
          <w:sz w:val="28"/>
          <w:szCs w:val="28"/>
        </w:rPr>
        <w:t xml:space="preserve"> </w:t>
      </w:r>
      <w:r w:rsidR="000C4D0A" w:rsidRPr="0050653D">
        <w:rPr>
          <w:bCs/>
          <w:sz w:val="28"/>
          <w:szCs w:val="28"/>
        </w:rPr>
        <w:t>И</w:t>
      </w:r>
      <w:r w:rsidRPr="0050653D">
        <w:rPr>
          <w:bCs/>
          <w:sz w:val="28"/>
          <w:szCs w:val="28"/>
        </w:rPr>
        <w:t xml:space="preserve">ндекс промышленного производства по полному кругу предприятий </w:t>
      </w:r>
      <w:r w:rsidR="000C4D0A" w:rsidRPr="0050653D">
        <w:rPr>
          <w:bCs/>
          <w:sz w:val="28"/>
          <w:szCs w:val="28"/>
        </w:rPr>
        <w:t xml:space="preserve">Ленинградской области </w:t>
      </w:r>
      <w:r w:rsidRPr="0050653D">
        <w:rPr>
          <w:bCs/>
          <w:sz w:val="28"/>
          <w:szCs w:val="28"/>
        </w:rPr>
        <w:t>ожидается по итогам года на уровне 92,5</w:t>
      </w:r>
      <w:r w:rsidR="00955FDE" w:rsidRPr="0050653D">
        <w:rPr>
          <w:bCs/>
          <w:sz w:val="28"/>
          <w:szCs w:val="28"/>
        </w:rPr>
        <w:t xml:space="preserve"> </w:t>
      </w:r>
      <w:r w:rsidR="00EA1742" w:rsidRPr="0050653D">
        <w:rPr>
          <w:bCs/>
          <w:sz w:val="28"/>
          <w:szCs w:val="28"/>
        </w:rPr>
        <w:t>проц</w:t>
      </w:r>
      <w:proofErr w:type="gramStart"/>
      <w:r w:rsidR="00EA1742" w:rsidRPr="0050653D">
        <w:rPr>
          <w:bCs/>
          <w:sz w:val="28"/>
          <w:szCs w:val="28"/>
        </w:rPr>
        <w:t>.</w:t>
      </w:r>
      <w:r w:rsidRPr="0050653D">
        <w:rPr>
          <w:bCs/>
          <w:sz w:val="28"/>
          <w:szCs w:val="28"/>
        </w:rPr>
        <w:t xml:space="preserve">. </w:t>
      </w:r>
      <w:proofErr w:type="gramEnd"/>
    </w:p>
    <w:p w:rsidR="00191FBA" w:rsidRPr="0050653D" w:rsidRDefault="000C4D0A" w:rsidP="00191FBA">
      <w:pPr>
        <w:shd w:val="clear" w:color="auto" w:fill="FFFFFF" w:themeFill="background1"/>
        <w:ind w:firstLine="709"/>
        <w:jc w:val="both"/>
        <w:rPr>
          <w:bCs/>
          <w:sz w:val="28"/>
          <w:szCs w:val="28"/>
        </w:rPr>
      </w:pPr>
      <w:r w:rsidRPr="0050653D">
        <w:rPr>
          <w:bCs/>
          <w:sz w:val="28"/>
          <w:szCs w:val="28"/>
        </w:rPr>
        <w:t>Реальный р</w:t>
      </w:r>
      <w:r w:rsidR="00191FBA" w:rsidRPr="0050653D">
        <w:rPr>
          <w:bCs/>
          <w:sz w:val="28"/>
          <w:szCs w:val="28"/>
        </w:rPr>
        <w:t xml:space="preserve">ост </w:t>
      </w:r>
      <w:r w:rsidRPr="0050653D">
        <w:rPr>
          <w:bCs/>
          <w:sz w:val="28"/>
          <w:szCs w:val="28"/>
        </w:rPr>
        <w:t xml:space="preserve">производства </w:t>
      </w:r>
      <w:r w:rsidR="00191FBA" w:rsidRPr="0050653D">
        <w:rPr>
          <w:bCs/>
          <w:sz w:val="28"/>
          <w:szCs w:val="28"/>
        </w:rPr>
        <w:t>прогнозируется в следующих отраслях:</w:t>
      </w:r>
    </w:p>
    <w:p w:rsidR="00191FBA" w:rsidRPr="0050653D" w:rsidRDefault="00191FBA" w:rsidP="00191FBA">
      <w:pPr>
        <w:shd w:val="clear" w:color="auto" w:fill="FFFFFF" w:themeFill="background1"/>
        <w:ind w:firstLine="709"/>
        <w:jc w:val="both"/>
        <w:rPr>
          <w:bCs/>
          <w:sz w:val="28"/>
          <w:szCs w:val="28"/>
        </w:rPr>
      </w:pPr>
      <w:r w:rsidRPr="0050653D">
        <w:rPr>
          <w:bCs/>
          <w:sz w:val="28"/>
          <w:szCs w:val="28"/>
        </w:rPr>
        <w:t xml:space="preserve">- в добыче полезных ископаемых (прогноз </w:t>
      </w:r>
      <w:r w:rsidR="000C4D0A" w:rsidRPr="0050653D">
        <w:rPr>
          <w:bCs/>
          <w:sz w:val="28"/>
          <w:szCs w:val="28"/>
        </w:rPr>
        <w:t>индекса промышленного производства</w:t>
      </w:r>
      <w:r w:rsidR="00955FDE" w:rsidRPr="0050653D">
        <w:rPr>
          <w:bCs/>
          <w:sz w:val="28"/>
          <w:szCs w:val="28"/>
        </w:rPr>
        <w:t xml:space="preserve"> </w:t>
      </w:r>
      <w:r w:rsidRPr="0050653D">
        <w:rPr>
          <w:bCs/>
          <w:sz w:val="28"/>
          <w:szCs w:val="28"/>
        </w:rPr>
        <w:t>-110</w:t>
      </w:r>
      <w:r w:rsidR="00955FDE" w:rsidRPr="0050653D">
        <w:rPr>
          <w:bCs/>
          <w:sz w:val="28"/>
          <w:szCs w:val="28"/>
        </w:rPr>
        <w:t xml:space="preserve"> </w:t>
      </w:r>
      <w:r w:rsidR="00EA1742" w:rsidRPr="0050653D">
        <w:rPr>
          <w:bCs/>
          <w:sz w:val="28"/>
          <w:szCs w:val="28"/>
        </w:rPr>
        <w:t>проц.</w:t>
      </w:r>
      <w:r w:rsidRPr="0050653D">
        <w:rPr>
          <w:bCs/>
          <w:sz w:val="28"/>
          <w:szCs w:val="28"/>
        </w:rPr>
        <w:t>);</w:t>
      </w:r>
    </w:p>
    <w:p w:rsidR="00191FBA" w:rsidRPr="0050653D" w:rsidRDefault="00191FBA" w:rsidP="00191FBA">
      <w:pPr>
        <w:shd w:val="clear" w:color="auto" w:fill="FFFFFF" w:themeFill="background1"/>
        <w:ind w:firstLine="709"/>
        <w:jc w:val="both"/>
        <w:rPr>
          <w:bCs/>
          <w:sz w:val="28"/>
          <w:szCs w:val="28"/>
        </w:rPr>
      </w:pPr>
      <w:r w:rsidRPr="0050653D">
        <w:rPr>
          <w:bCs/>
          <w:sz w:val="28"/>
          <w:szCs w:val="28"/>
        </w:rPr>
        <w:t>- в производстве напитков (</w:t>
      </w:r>
      <w:r w:rsidR="00832A83" w:rsidRPr="0050653D">
        <w:rPr>
          <w:bCs/>
          <w:sz w:val="28"/>
          <w:szCs w:val="28"/>
        </w:rPr>
        <w:t>в 1,5 р.</w:t>
      </w:r>
      <w:r w:rsidRPr="0050653D">
        <w:rPr>
          <w:bCs/>
          <w:sz w:val="28"/>
          <w:szCs w:val="28"/>
        </w:rPr>
        <w:t>);</w:t>
      </w:r>
    </w:p>
    <w:p w:rsidR="00191FBA" w:rsidRPr="0050653D" w:rsidRDefault="00191FBA" w:rsidP="00191FBA">
      <w:pPr>
        <w:shd w:val="clear" w:color="auto" w:fill="FFFFFF" w:themeFill="background1"/>
        <w:ind w:firstLine="709"/>
        <w:jc w:val="both"/>
        <w:rPr>
          <w:bCs/>
          <w:sz w:val="28"/>
          <w:szCs w:val="28"/>
        </w:rPr>
      </w:pPr>
      <w:r w:rsidRPr="0050653D">
        <w:rPr>
          <w:bCs/>
          <w:sz w:val="28"/>
          <w:szCs w:val="28"/>
        </w:rPr>
        <w:t>- в производстве кожи и изделий из кожи (</w:t>
      </w:r>
      <w:r w:rsidR="00832A83" w:rsidRPr="0050653D">
        <w:rPr>
          <w:bCs/>
          <w:sz w:val="28"/>
          <w:szCs w:val="28"/>
        </w:rPr>
        <w:t xml:space="preserve">в </w:t>
      </w:r>
      <w:r w:rsidRPr="0050653D">
        <w:rPr>
          <w:bCs/>
          <w:sz w:val="28"/>
          <w:szCs w:val="28"/>
        </w:rPr>
        <w:t>2</w:t>
      </w:r>
      <w:r w:rsidR="00832A83" w:rsidRPr="0050653D">
        <w:rPr>
          <w:bCs/>
          <w:sz w:val="28"/>
          <w:szCs w:val="28"/>
        </w:rPr>
        <w:t xml:space="preserve"> р.</w:t>
      </w:r>
      <w:r w:rsidRPr="0050653D">
        <w:rPr>
          <w:bCs/>
          <w:sz w:val="28"/>
          <w:szCs w:val="28"/>
        </w:rPr>
        <w:t>);</w:t>
      </w:r>
    </w:p>
    <w:p w:rsidR="00191FBA" w:rsidRPr="0050653D" w:rsidRDefault="00191FBA" w:rsidP="00191FBA">
      <w:pPr>
        <w:shd w:val="clear" w:color="auto" w:fill="FFFFFF" w:themeFill="background1"/>
        <w:ind w:firstLine="709"/>
        <w:jc w:val="both"/>
        <w:rPr>
          <w:bCs/>
          <w:sz w:val="28"/>
          <w:szCs w:val="28"/>
        </w:rPr>
      </w:pPr>
      <w:r w:rsidRPr="0050653D">
        <w:rPr>
          <w:bCs/>
          <w:sz w:val="28"/>
          <w:szCs w:val="28"/>
        </w:rPr>
        <w:t>- в полиграфической деятельности (</w:t>
      </w:r>
      <w:r w:rsidR="00832A83" w:rsidRPr="0050653D">
        <w:rPr>
          <w:bCs/>
          <w:sz w:val="28"/>
          <w:szCs w:val="28"/>
        </w:rPr>
        <w:t xml:space="preserve">в </w:t>
      </w:r>
      <w:r w:rsidRPr="0050653D">
        <w:rPr>
          <w:bCs/>
          <w:sz w:val="28"/>
          <w:szCs w:val="28"/>
        </w:rPr>
        <w:t>1</w:t>
      </w:r>
      <w:r w:rsidR="00832A83" w:rsidRPr="0050653D">
        <w:rPr>
          <w:bCs/>
          <w:sz w:val="28"/>
          <w:szCs w:val="28"/>
        </w:rPr>
        <w:t>,</w:t>
      </w:r>
      <w:r w:rsidRPr="0050653D">
        <w:rPr>
          <w:bCs/>
          <w:sz w:val="28"/>
          <w:szCs w:val="28"/>
        </w:rPr>
        <w:t>2</w:t>
      </w:r>
      <w:r w:rsidR="00832A83" w:rsidRPr="0050653D">
        <w:rPr>
          <w:bCs/>
          <w:sz w:val="28"/>
          <w:szCs w:val="28"/>
        </w:rPr>
        <w:t xml:space="preserve"> р.</w:t>
      </w:r>
      <w:r w:rsidRPr="0050653D">
        <w:rPr>
          <w:bCs/>
          <w:sz w:val="28"/>
          <w:szCs w:val="28"/>
        </w:rPr>
        <w:t>);</w:t>
      </w:r>
    </w:p>
    <w:p w:rsidR="00191FBA" w:rsidRPr="0050653D" w:rsidRDefault="00191FBA" w:rsidP="00191FBA">
      <w:pPr>
        <w:shd w:val="clear" w:color="auto" w:fill="FFFFFF" w:themeFill="background1"/>
        <w:ind w:firstLine="709"/>
        <w:jc w:val="both"/>
        <w:rPr>
          <w:bCs/>
          <w:sz w:val="28"/>
          <w:szCs w:val="28"/>
        </w:rPr>
      </w:pPr>
      <w:r w:rsidRPr="0050653D">
        <w:rPr>
          <w:bCs/>
          <w:sz w:val="28"/>
          <w:szCs w:val="28"/>
        </w:rPr>
        <w:t>- в производстве лекарственных средств и материалов (110</w:t>
      </w:r>
      <w:r w:rsidR="00EA1742" w:rsidRPr="0050653D">
        <w:rPr>
          <w:bCs/>
          <w:sz w:val="28"/>
          <w:szCs w:val="28"/>
        </w:rPr>
        <w:t xml:space="preserve"> проц.</w:t>
      </w:r>
      <w:r w:rsidRPr="0050653D">
        <w:rPr>
          <w:bCs/>
          <w:sz w:val="28"/>
          <w:szCs w:val="28"/>
        </w:rPr>
        <w:t>);</w:t>
      </w:r>
    </w:p>
    <w:p w:rsidR="00191FBA" w:rsidRPr="0050653D" w:rsidRDefault="00191FBA" w:rsidP="00191FBA">
      <w:pPr>
        <w:shd w:val="clear" w:color="auto" w:fill="FFFFFF" w:themeFill="background1"/>
        <w:ind w:firstLine="709"/>
        <w:jc w:val="both"/>
        <w:rPr>
          <w:bCs/>
          <w:sz w:val="28"/>
          <w:szCs w:val="28"/>
        </w:rPr>
      </w:pPr>
      <w:r w:rsidRPr="0050653D">
        <w:rPr>
          <w:bCs/>
          <w:sz w:val="28"/>
          <w:szCs w:val="28"/>
        </w:rPr>
        <w:t>-</w:t>
      </w:r>
      <w:r w:rsidR="000C4D0A" w:rsidRPr="0050653D">
        <w:rPr>
          <w:bCs/>
          <w:sz w:val="28"/>
          <w:szCs w:val="28"/>
        </w:rPr>
        <w:t> </w:t>
      </w:r>
      <w:r w:rsidRPr="0050653D">
        <w:rPr>
          <w:bCs/>
          <w:sz w:val="28"/>
          <w:szCs w:val="28"/>
        </w:rPr>
        <w:t>в водоснабжении, водоотведении и организации сбора и утилизации отходов (105</w:t>
      </w:r>
      <w:r w:rsidR="00EA1742" w:rsidRPr="0050653D">
        <w:rPr>
          <w:bCs/>
          <w:sz w:val="28"/>
          <w:szCs w:val="28"/>
        </w:rPr>
        <w:t xml:space="preserve"> проц.</w:t>
      </w:r>
      <w:r w:rsidRPr="0050653D">
        <w:rPr>
          <w:bCs/>
          <w:sz w:val="28"/>
          <w:szCs w:val="28"/>
        </w:rPr>
        <w:t>)</w:t>
      </w:r>
    </w:p>
    <w:p w:rsidR="00191FBA" w:rsidRPr="0050653D" w:rsidRDefault="00191FBA" w:rsidP="00191FBA">
      <w:pPr>
        <w:shd w:val="clear" w:color="auto" w:fill="FFFFFF" w:themeFill="background1"/>
        <w:ind w:firstLine="709"/>
        <w:jc w:val="both"/>
        <w:rPr>
          <w:bCs/>
          <w:sz w:val="28"/>
          <w:szCs w:val="28"/>
        </w:rPr>
      </w:pPr>
      <w:r w:rsidRPr="0050653D">
        <w:rPr>
          <w:bCs/>
          <w:sz w:val="28"/>
          <w:szCs w:val="28"/>
        </w:rPr>
        <w:t>Наряду с прогнозируемым ростом по указанным отраслям (</w:t>
      </w:r>
      <w:r w:rsidR="00832A83" w:rsidRPr="0050653D">
        <w:rPr>
          <w:bCs/>
          <w:sz w:val="28"/>
          <w:szCs w:val="28"/>
        </w:rPr>
        <w:t xml:space="preserve">суммарно </w:t>
      </w:r>
      <w:r w:rsidRPr="0050653D">
        <w:rPr>
          <w:bCs/>
          <w:sz w:val="28"/>
          <w:szCs w:val="28"/>
        </w:rPr>
        <w:t>занимающим в структуре промышленного производства</w:t>
      </w:r>
      <w:r w:rsidR="000C4D0A" w:rsidRPr="0050653D">
        <w:rPr>
          <w:bCs/>
          <w:sz w:val="28"/>
          <w:szCs w:val="28"/>
        </w:rPr>
        <w:t xml:space="preserve"> области</w:t>
      </w:r>
      <w:r w:rsidR="00832A83" w:rsidRPr="0050653D">
        <w:rPr>
          <w:bCs/>
          <w:sz w:val="28"/>
          <w:szCs w:val="28"/>
        </w:rPr>
        <w:t xml:space="preserve"> не более 5%</w:t>
      </w:r>
      <w:r w:rsidRPr="0050653D">
        <w:rPr>
          <w:bCs/>
          <w:sz w:val="28"/>
          <w:szCs w:val="28"/>
        </w:rPr>
        <w:t xml:space="preserve">), в прогнозируемом периоде </w:t>
      </w:r>
      <w:r w:rsidR="00832A83" w:rsidRPr="0050653D">
        <w:rPr>
          <w:bCs/>
          <w:sz w:val="28"/>
          <w:szCs w:val="28"/>
        </w:rPr>
        <w:t>ожидается</w:t>
      </w:r>
      <w:r w:rsidRPr="0050653D">
        <w:rPr>
          <w:bCs/>
          <w:sz w:val="28"/>
          <w:szCs w:val="28"/>
        </w:rPr>
        <w:t xml:space="preserve"> снижение уровня производства, обусловленное следующими неблагоприятными факторами:</w:t>
      </w:r>
    </w:p>
    <w:p w:rsidR="00832A83" w:rsidRPr="0050653D" w:rsidRDefault="00191FBA" w:rsidP="00832A83">
      <w:pPr>
        <w:shd w:val="clear" w:color="auto" w:fill="FFFFFF" w:themeFill="background1"/>
        <w:ind w:firstLine="709"/>
        <w:jc w:val="both"/>
        <w:rPr>
          <w:bCs/>
          <w:sz w:val="28"/>
          <w:szCs w:val="28"/>
        </w:rPr>
      </w:pPr>
      <w:r w:rsidRPr="0050653D">
        <w:rPr>
          <w:bCs/>
          <w:sz w:val="28"/>
          <w:szCs w:val="28"/>
        </w:rPr>
        <w:lastRenderedPageBreak/>
        <w:t>- уход или приостановка деятельности международных (иностранных) компаний с российского рынка</w:t>
      </w:r>
      <w:r w:rsidR="00832A83" w:rsidRPr="0050653D">
        <w:rPr>
          <w:bCs/>
          <w:sz w:val="28"/>
          <w:szCs w:val="28"/>
        </w:rPr>
        <w:t>;</w:t>
      </w:r>
    </w:p>
    <w:p w:rsidR="00191FBA" w:rsidRPr="0050653D" w:rsidRDefault="00191FBA" w:rsidP="00832A83">
      <w:pPr>
        <w:shd w:val="clear" w:color="auto" w:fill="FFFFFF" w:themeFill="background1"/>
        <w:ind w:firstLine="709"/>
        <w:jc w:val="both"/>
        <w:rPr>
          <w:bCs/>
          <w:sz w:val="28"/>
          <w:szCs w:val="28"/>
        </w:rPr>
      </w:pPr>
      <w:r w:rsidRPr="0050653D">
        <w:rPr>
          <w:bCs/>
          <w:sz w:val="28"/>
          <w:szCs w:val="28"/>
        </w:rPr>
        <w:t xml:space="preserve"> - риск остановки работы из-за разрыва договорных отношений на поставку сырья и комплектующих</w:t>
      </w:r>
      <w:r w:rsidR="00832A83" w:rsidRPr="0050653D">
        <w:rPr>
          <w:bCs/>
          <w:sz w:val="28"/>
          <w:szCs w:val="28"/>
        </w:rPr>
        <w:t>;</w:t>
      </w:r>
    </w:p>
    <w:p w:rsidR="00191FBA" w:rsidRPr="0050653D" w:rsidRDefault="00191FBA" w:rsidP="00191FBA">
      <w:pPr>
        <w:shd w:val="clear" w:color="auto" w:fill="FFFFFF" w:themeFill="background1"/>
        <w:ind w:firstLine="709"/>
        <w:jc w:val="both"/>
        <w:rPr>
          <w:bCs/>
          <w:sz w:val="28"/>
          <w:szCs w:val="28"/>
        </w:rPr>
      </w:pPr>
      <w:r w:rsidRPr="0050653D">
        <w:rPr>
          <w:bCs/>
          <w:sz w:val="28"/>
          <w:szCs w:val="28"/>
        </w:rPr>
        <w:t>- невозможность реализации товара и отказ иностранных покупателей от приобретения товаров из России</w:t>
      </w:r>
      <w:r w:rsidR="00832A83" w:rsidRPr="0050653D">
        <w:rPr>
          <w:bCs/>
          <w:sz w:val="28"/>
          <w:szCs w:val="28"/>
        </w:rPr>
        <w:t>;</w:t>
      </w:r>
    </w:p>
    <w:p w:rsidR="00191FBA" w:rsidRPr="0050653D" w:rsidRDefault="00191FBA" w:rsidP="00832A83">
      <w:pPr>
        <w:shd w:val="clear" w:color="auto" w:fill="FFFFFF" w:themeFill="background1"/>
        <w:ind w:firstLine="709"/>
        <w:jc w:val="both"/>
        <w:rPr>
          <w:bCs/>
          <w:sz w:val="28"/>
          <w:szCs w:val="28"/>
        </w:rPr>
      </w:pPr>
      <w:r w:rsidRPr="0050653D">
        <w:rPr>
          <w:bCs/>
          <w:sz w:val="28"/>
          <w:szCs w:val="28"/>
        </w:rPr>
        <w:t>- невозможность обеспечить пищевые продукты упаковкой: пленкой для вакуумно</w:t>
      </w:r>
      <w:r w:rsidR="00832A83" w:rsidRPr="0050653D">
        <w:rPr>
          <w:bCs/>
          <w:sz w:val="28"/>
          <w:szCs w:val="28"/>
        </w:rPr>
        <w:t xml:space="preserve">й упаковки, картоном, </w:t>
      </w:r>
      <w:proofErr w:type="spellStart"/>
      <w:r w:rsidR="00832A83" w:rsidRPr="0050653D">
        <w:rPr>
          <w:bCs/>
          <w:sz w:val="28"/>
          <w:szCs w:val="28"/>
        </w:rPr>
        <w:t>пэт</w:t>
      </w:r>
      <w:proofErr w:type="spellEnd"/>
      <w:r w:rsidR="00832A83" w:rsidRPr="0050653D">
        <w:rPr>
          <w:bCs/>
          <w:sz w:val="28"/>
          <w:szCs w:val="28"/>
        </w:rPr>
        <w:t>-тарой.</w:t>
      </w:r>
      <w:r w:rsidRPr="0050653D">
        <w:rPr>
          <w:bCs/>
          <w:sz w:val="28"/>
          <w:szCs w:val="28"/>
        </w:rPr>
        <w:t xml:space="preserve"> </w:t>
      </w:r>
    </w:p>
    <w:p w:rsidR="00191FBA" w:rsidRPr="0050653D" w:rsidRDefault="00191FBA" w:rsidP="00191FBA">
      <w:pPr>
        <w:shd w:val="clear" w:color="auto" w:fill="FFFFFF" w:themeFill="background1"/>
        <w:ind w:firstLine="709"/>
        <w:jc w:val="both"/>
        <w:rPr>
          <w:bCs/>
          <w:sz w:val="28"/>
          <w:szCs w:val="28"/>
        </w:rPr>
      </w:pPr>
      <w:r w:rsidRPr="0050653D">
        <w:rPr>
          <w:bCs/>
          <w:sz w:val="28"/>
          <w:szCs w:val="28"/>
        </w:rPr>
        <w:t xml:space="preserve">Указанные неблагоприятные факторы приведут к снижению </w:t>
      </w:r>
      <w:r w:rsidR="000C4D0A" w:rsidRPr="0050653D">
        <w:rPr>
          <w:bCs/>
          <w:sz w:val="28"/>
          <w:szCs w:val="28"/>
        </w:rPr>
        <w:t xml:space="preserve">производства </w:t>
      </w:r>
      <w:r w:rsidRPr="0050653D">
        <w:rPr>
          <w:bCs/>
          <w:sz w:val="28"/>
          <w:szCs w:val="28"/>
        </w:rPr>
        <w:t>в следующих отраслях:</w:t>
      </w:r>
    </w:p>
    <w:p w:rsidR="00191FBA" w:rsidRPr="0050653D" w:rsidRDefault="00191FBA" w:rsidP="00191FBA">
      <w:pPr>
        <w:shd w:val="clear" w:color="auto" w:fill="FFFFFF" w:themeFill="background1"/>
        <w:ind w:firstLine="709"/>
        <w:jc w:val="both"/>
        <w:rPr>
          <w:sz w:val="28"/>
          <w:szCs w:val="28"/>
        </w:rPr>
      </w:pPr>
      <w:r w:rsidRPr="0050653D">
        <w:rPr>
          <w:sz w:val="28"/>
          <w:szCs w:val="28"/>
        </w:rPr>
        <w:t xml:space="preserve">- в производстве табачных изделий (прогноз </w:t>
      </w:r>
      <w:r w:rsidR="00832A83" w:rsidRPr="0050653D">
        <w:rPr>
          <w:sz w:val="28"/>
          <w:szCs w:val="28"/>
        </w:rPr>
        <w:t xml:space="preserve">индекса промышленного производства </w:t>
      </w:r>
      <w:r w:rsidRPr="0050653D">
        <w:rPr>
          <w:sz w:val="28"/>
          <w:szCs w:val="28"/>
        </w:rPr>
        <w:t>– 94</w:t>
      </w:r>
      <w:r w:rsidR="00955FDE" w:rsidRPr="0050653D">
        <w:rPr>
          <w:sz w:val="28"/>
          <w:szCs w:val="28"/>
        </w:rPr>
        <w:t xml:space="preserve"> </w:t>
      </w:r>
      <w:r w:rsidR="00EA1742" w:rsidRPr="0050653D">
        <w:rPr>
          <w:sz w:val="28"/>
          <w:szCs w:val="28"/>
        </w:rPr>
        <w:t>проц.</w:t>
      </w:r>
      <w:r w:rsidRPr="0050653D">
        <w:rPr>
          <w:sz w:val="28"/>
          <w:szCs w:val="28"/>
        </w:rPr>
        <w:t xml:space="preserve">); </w:t>
      </w:r>
    </w:p>
    <w:p w:rsidR="00191FBA" w:rsidRPr="0050653D" w:rsidRDefault="00191FBA" w:rsidP="00191FBA">
      <w:pPr>
        <w:shd w:val="clear" w:color="auto" w:fill="FFFFFF" w:themeFill="background1"/>
        <w:ind w:firstLine="709"/>
        <w:contextualSpacing/>
        <w:jc w:val="both"/>
        <w:rPr>
          <w:sz w:val="28"/>
          <w:szCs w:val="28"/>
        </w:rPr>
      </w:pPr>
      <w:r w:rsidRPr="0050653D">
        <w:rPr>
          <w:sz w:val="28"/>
          <w:szCs w:val="28"/>
        </w:rPr>
        <w:t xml:space="preserve">- </w:t>
      </w:r>
      <w:r w:rsidRPr="0050653D">
        <w:rPr>
          <w:bCs/>
          <w:sz w:val="28"/>
          <w:szCs w:val="28"/>
        </w:rPr>
        <w:t>в производстве компьютеров, электронных и оптических изделий (95</w:t>
      </w:r>
      <w:r w:rsidR="00955FDE" w:rsidRPr="0050653D">
        <w:rPr>
          <w:bCs/>
          <w:sz w:val="28"/>
          <w:szCs w:val="28"/>
        </w:rPr>
        <w:t xml:space="preserve"> </w:t>
      </w:r>
      <w:r w:rsidR="00EA1742" w:rsidRPr="0050653D">
        <w:rPr>
          <w:bCs/>
          <w:sz w:val="28"/>
          <w:szCs w:val="28"/>
        </w:rPr>
        <w:t>проц.</w:t>
      </w:r>
      <w:r w:rsidRPr="0050653D">
        <w:rPr>
          <w:bCs/>
          <w:sz w:val="28"/>
          <w:szCs w:val="28"/>
        </w:rPr>
        <w:t>)</w:t>
      </w:r>
      <w:r w:rsidRPr="0050653D">
        <w:rPr>
          <w:sz w:val="28"/>
          <w:szCs w:val="28"/>
        </w:rPr>
        <w:t>;</w:t>
      </w:r>
    </w:p>
    <w:p w:rsidR="00191FBA" w:rsidRPr="0050653D" w:rsidRDefault="00191FBA" w:rsidP="00191FBA">
      <w:pPr>
        <w:shd w:val="clear" w:color="auto" w:fill="FFFFFF" w:themeFill="background1"/>
        <w:ind w:firstLine="709"/>
        <w:contextualSpacing/>
        <w:jc w:val="both"/>
        <w:rPr>
          <w:sz w:val="28"/>
          <w:szCs w:val="28"/>
        </w:rPr>
      </w:pPr>
      <w:r w:rsidRPr="0050653D">
        <w:rPr>
          <w:sz w:val="28"/>
          <w:szCs w:val="28"/>
        </w:rPr>
        <w:t xml:space="preserve">- </w:t>
      </w:r>
      <w:r w:rsidRPr="0050653D">
        <w:rPr>
          <w:bCs/>
          <w:sz w:val="28"/>
          <w:szCs w:val="28"/>
        </w:rPr>
        <w:t>в</w:t>
      </w:r>
      <w:r w:rsidR="00955FDE" w:rsidRPr="0050653D">
        <w:rPr>
          <w:sz w:val="28"/>
          <w:szCs w:val="28"/>
        </w:rPr>
        <w:t xml:space="preserve"> </w:t>
      </w:r>
      <w:r w:rsidRPr="0050653D">
        <w:rPr>
          <w:sz w:val="28"/>
          <w:szCs w:val="28"/>
        </w:rPr>
        <w:t>производстве древесины и изделий из дерева и пробки (90</w:t>
      </w:r>
      <w:r w:rsidR="00955FDE" w:rsidRPr="0050653D">
        <w:rPr>
          <w:sz w:val="28"/>
          <w:szCs w:val="28"/>
        </w:rPr>
        <w:t xml:space="preserve"> </w:t>
      </w:r>
      <w:r w:rsidR="00EA1742" w:rsidRPr="0050653D">
        <w:rPr>
          <w:sz w:val="28"/>
          <w:szCs w:val="28"/>
        </w:rPr>
        <w:t>проц.</w:t>
      </w:r>
      <w:r w:rsidRPr="0050653D">
        <w:rPr>
          <w:sz w:val="28"/>
          <w:szCs w:val="28"/>
        </w:rPr>
        <w:t>);</w:t>
      </w:r>
    </w:p>
    <w:p w:rsidR="00191FBA" w:rsidRPr="0050653D" w:rsidRDefault="00191FBA" w:rsidP="00191FBA">
      <w:pPr>
        <w:shd w:val="clear" w:color="auto" w:fill="FFFFFF" w:themeFill="background1"/>
        <w:ind w:firstLine="709"/>
        <w:contextualSpacing/>
        <w:jc w:val="both"/>
        <w:rPr>
          <w:sz w:val="28"/>
          <w:szCs w:val="28"/>
        </w:rPr>
      </w:pPr>
      <w:r w:rsidRPr="0050653D">
        <w:rPr>
          <w:sz w:val="28"/>
          <w:szCs w:val="28"/>
        </w:rPr>
        <w:t>-</w:t>
      </w:r>
      <w:r w:rsidR="000C4D0A" w:rsidRPr="0050653D">
        <w:rPr>
          <w:sz w:val="28"/>
          <w:szCs w:val="28"/>
        </w:rPr>
        <w:t> </w:t>
      </w:r>
      <w:r w:rsidRPr="0050653D">
        <w:rPr>
          <w:sz w:val="28"/>
          <w:szCs w:val="28"/>
        </w:rPr>
        <w:t>в производстве автотранспортных средств, прицепов и полуприцепов (80</w:t>
      </w:r>
      <w:r w:rsidR="00955FDE" w:rsidRPr="0050653D">
        <w:rPr>
          <w:sz w:val="28"/>
          <w:szCs w:val="28"/>
        </w:rPr>
        <w:t xml:space="preserve"> </w:t>
      </w:r>
      <w:r w:rsidR="00EA1742" w:rsidRPr="0050653D">
        <w:rPr>
          <w:sz w:val="28"/>
          <w:szCs w:val="28"/>
        </w:rPr>
        <w:t>проц.</w:t>
      </w:r>
      <w:r w:rsidRPr="0050653D">
        <w:rPr>
          <w:sz w:val="28"/>
          <w:szCs w:val="28"/>
        </w:rPr>
        <w:t>);</w:t>
      </w:r>
    </w:p>
    <w:p w:rsidR="00191FBA" w:rsidRPr="0050653D" w:rsidRDefault="00191FBA" w:rsidP="00191FBA">
      <w:pPr>
        <w:shd w:val="clear" w:color="auto" w:fill="FFFFFF" w:themeFill="background1"/>
        <w:ind w:firstLine="709"/>
        <w:jc w:val="both"/>
        <w:rPr>
          <w:sz w:val="28"/>
          <w:szCs w:val="28"/>
        </w:rPr>
      </w:pPr>
      <w:r w:rsidRPr="0050653D">
        <w:rPr>
          <w:bCs/>
          <w:sz w:val="28"/>
          <w:szCs w:val="28"/>
        </w:rPr>
        <w:t xml:space="preserve">- в производстве </w:t>
      </w:r>
      <w:r w:rsidRPr="0050653D">
        <w:rPr>
          <w:sz w:val="28"/>
          <w:szCs w:val="28"/>
        </w:rPr>
        <w:t>прочих транспортных средств и оборудования (67</w:t>
      </w:r>
      <w:r w:rsidR="00955FDE" w:rsidRPr="0050653D">
        <w:rPr>
          <w:sz w:val="28"/>
          <w:szCs w:val="28"/>
        </w:rPr>
        <w:t xml:space="preserve"> </w:t>
      </w:r>
      <w:r w:rsidR="00EA1742" w:rsidRPr="0050653D">
        <w:rPr>
          <w:sz w:val="28"/>
          <w:szCs w:val="28"/>
        </w:rPr>
        <w:t>проц.</w:t>
      </w:r>
      <w:r w:rsidRPr="0050653D">
        <w:rPr>
          <w:sz w:val="28"/>
          <w:szCs w:val="28"/>
        </w:rPr>
        <w:t>);</w:t>
      </w:r>
    </w:p>
    <w:p w:rsidR="00191FBA" w:rsidRPr="0050653D" w:rsidRDefault="00191FBA" w:rsidP="00191FBA">
      <w:pPr>
        <w:shd w:val="clear" w:color="auto" w:fill="FFFFFF" w:themeFill="background1"/>
        <w:ind w:firstLine="709"/>
        <w:jc w:val="both"/>
        <w:rPr>
          <w:sz w:val="28"/>
          <w:szCs w:val="28"/>
        </w:rPr>
      </w:pPr>
      <w:r w:rsidRPr="0050653D">
        <w:rPr>
          <w:sz w:val="28"/>
          <w:szCs w:val="28"/>
        </w:rPr>
        <w:t>- в производстве прочих готовых изделий (50</w:t>
      </w:r>
      <w:r w:rsidR="00955FDE" w:rsidRPr="0050653D">
        <w:rPr>
          <w:sz w:val="28"/>
          <w:szCs w:val="28"/>
        </w:rPr>
        <w:t xml:space="preserve"> </w:t>
      </w:r>
      <w:r w:rsidR="00EA1742" w:rsidRPr="0050653D">
        <w:rPr>
          <w:sz w:val="28"/>
          <w:szCs w:val="28"/>
        </w:rPr>
        <w:t>проц.</w:t>
      </w:r>
      <w:r w:rsidRPr="0050653D">
        <w:rPr>
          <w:sz w:val="28"/>
          <w:szCs w:val="28"/>
        </w:rPr>
        <w:t>).</w:t>
      </w:r>
    </w:p>
    <w:p w:rsidR="00191FBA" w:rsidRPr="0050653D" w:rsidRDefault="00191FBA" w:rsidP="000C4D0A">
      <w:pPr>
        <w:shd w:val="clear" w:color="auto" w:fill="FFFFFF" w:themeFill="background1"/>
        <w:ind w:firstLine="709"/>
        <w:jc w:val="both"/>
        <w:rPr>
          <w:bCs/>
          <w:sz w:val="28"/>
          <w:szCs w:val="28"/>
        </w:rPr>
      </w:pPr>
      <w:r w:rsidRPr="0050653D">
        <w:rPr>
          <w:bCs/>
          <w:sz w:val="28"/>
          <w:szCs w:val="28"/>
        </w:rPr>
        <w:t xml:space="preserve">В 2021 году объем отгруженных товаров собственного производства, выполненных работ и услуг по </w:t>
      </w:r>
      <w:r w:rsidRPr="0050653D">
        <w:rPr>
          <w:bCs/>
          <w:i/>
          <w:sz w:val="28"/>
          <w:szCs w:val="28"/>
        </w:rPr>
        <w:t>добыче полезных ископаемых</w:t>
      </w:r>
      <w:r w:rsidRPr="0050653D">
        <w:rPr>
          <w:bCs/>
          <w:sz w:val="28"/>
          <w:szCs w:val="28"/>
        </w:rPr>
        <w:t xml:space="preserve"> составил 13,9 </w:t>
      </w:r>
      <w:proofErr w:type="gramStart"/>
      <w:r w:rsidRPr="0050653D">
        <w:rPr>
          <w:bCs/>
          <w:sz w:val="28"/>
          <w:szCs w:val="28"/>
        </w:rPr>
        <w:t>млрд</w:t>
      </w:r>
      <w:proofErr w:type="gramEnd"/>
      <w:r w:rsidRPr="0050653D">
        <w:rPr>
          <w:bCs/>
          <w:sz w:val="28"/>
          <w:szCs w:val="28"/>
        </w:rPr>
        <w:t xml:space="preserve"> рублей, что составляет 94,7</w:t>
      </w:r>
      <w:r w:rsidR="00EA1742" w:rsidRPr="0050653D">
        <w:rPr>
          <w:bCs/>
          <w:sz w:val="28"/>
          <w:szCs w:val="28"/>
        </w:rPr>
        <w:t xml:space="preserve"> проц.</w:t>
      </w:r>
      <w:r w:rsidRPr="0050653D">
        <w:rPr>
          <w:bCs/>
          <w:sz w:val="28"/>
          <w:szCs w:val="28"/>
        </w:rPr>
        <w:t xml:space="preserve"> к 2019 году. Индекс промышленного производства к аналогичному периоду 2020 года составил 98,9</w:t>
      </w:r>
      <w:r w:rsidR="00EA1742" w:rsidRPr="0050653D">
        <w:rPr>
          <w:bCs/>
          <w:sz w:val="28"/>
          <w:szCs w:val="28"/>
        </w:rPr>
        <w:t xml:space="preserve"> проц</w:t>
      </w:r>
      <w:proofErr w:type="gramStart"/>
      <w:r w:rsidR="00EA1742" w:rsidRPr="0050653D">
        <w:rPr>
          <w:bCs/>
          <w:sz w:val="28"/>
          <w:szCs w:val="28"/>
        </w:rPr>
        <w:t>.</w:t>
      </w:r>
      <w:r w:rsidRPr="0050653D">
        <w:rPr>
          <w:bCs/>
          <w:sz w:val="28"/>
          <w:szCs w:val="28"/>
        </w:rPr>
        <w:t xml:space="preserve">. </w:t>
      </w:r>
      <w:proofErr w:type="gramEnd"/>
    </w:p>
    <w:p w:rsidR="00191FBA" w:rsidRPr="0050653D" w:rsidRDefault="00191FBA" w:rsidP="000C4D0A">
      <w:pPr>
        <w:shd w:val="clear" w:color="auto" w:fill="FFFFFF" w:themeFill="background1"/>
        <w:ind w:firstLine="709"/>
        <w:jc w:val="both"/>
        <w:rPr>
          <w:bCs/>
          <w:sz w:val="28"/>
          <w:szCs w:val="28"/>
        </w:rPr>
      </w:pPr>
      <w:r w:rsidRPr="0050653D">
        <w:rPr>
          <w:bCs/>
          <w:sz w:val="28"/>
          <w:szCs w:val="28"/>
        </w:rPr>
        <w:t>Основными добываемыми полезными ископаемыми в Ленинградской области являются песок, щебень, камень строительный.</w:t>
      </w:r>
    </w:p>
    <w:p w:rsidR="00191FBA" w:rsidRPr="0050653D" w:rsidRDefault="00191FBA" w:rsidP="000C4D0A">
      <w:pPr>
        <w:shd w:val="clear" w:color="auto" w:fill="FFFFFF" w:themeFill="background1"/>
        <w:ind w:firstLine="709"/>
        <w:jc w:val="both"/>
        <w:rPr>
          <w:sz w:val="28"/>
          <w:szCs w:val="28"/>
        </w:rPr>
      </w:pPr>
      <w:r w:rsidRPr="0050653D">
        <w:rPr>
          <w:bCs/>
          <w:sz w:val="28"/>
          <w:szCs w:val="28"/>
        </w:rPr>
        <w:t>В 2021 году на территории Ленинградской области производство большинства основных строительных материалов сохранило темпы 2020 года.</w:t>
      </w:r>
      <w:r w:rsidRPr="0050653D">
        <w:rPr>
          <w:sz w:val="28"/>
          <w:szCs w:val="28"/>
        </w:rPr>
        <w:t xml:space="preserve"> Значительный рост наблюдался в производстве блоков и прочих изделий </w:t>
      </w:r>
      <w:proofErr w:type="gramStart"/>
      <w:r w:rsidRPr="0050653D">
        <w:rPr>
          <w:sz w:val="28"/>
          <w:szCs w:val="28"/>
        </w:rPr>
        <w:t>сборных</w:t>
      </w:r>
      <w:proofErr w:type="gramEnd"/>
      <w:r w:rsidRPr="0050653D">
        <w:rPr>
          <w:sz w:val="28"/>
          <w:szCs w:val="28"/>
        </w:rPr>
        <w:t xml:space="preserve"> строительных для зданий и сооружений из цемента, бетона или искусственного камня (129,1</w:t>
      </w:r>
      <w:r w:rsidR="00EA1742" w:rsidRPr="0050653D">
        <w:rPr>
          <w:sz w:val="28"/>
          <w:szCs w:val="28"/>
        </w:rPr>
        <w:t xml:space="preserve"> проц.</w:t>
      </w:r>
      <w:r w:rsidRPr="0050653D">
        <w:rPr>
          <w:sz w:val="28"/>
          <w:szCs w:val="28"/>
        </w:rPr>
        <w:t xml:space="preserve"> к уровню 2020 года).</w:t>
      </w:r>
      <w:r w:rsidR="00955FDE" w:rsidRPr="0050653D">
        <w:rPr>
          <w:sz w:val="28"/>
          <w:szCs w:val="28"/>
        </w:rPr>
        <w:t xml:space="preserve"> </w:t>
      </w:r>
    </w:p>
    <w:p w:rsidR="00191FBA" w:rsidRPr="0050653D" w:rsidRDefault="00191FBA" w:rsidP="00191FBA">
      <w:pPr>
        <w:tabs>
          <w:tab w:val="left" w:pos="720"/>
        </w:tabs>
        <w:ind w:firstLine="709"/>
        <w:jc w:val="both"/>
        <w:rPr>
          <w:sz w:val="28"/>
          <w:szCs w:val="28"/>
        </w:rPr>
      </w:pPr>
      <w:r w:rsidRPr="0050653D">
        <w:rPr>
          <w:sz w:val="28"/>
          <w:szCs w:val="28"/>
        </w:rPr>
        <w:t>Снижение объема производства товарного бетона на 24,2</w:t>
      </w:r>
      <w:r w:rsidR="00EA1742" w:rsidRPr="0050653D">
        <w:rPr>
          <w:sz w:val="28"/>
          <w:szCs w:val="28"/>
        </w:rPr>
        <w:t xml:space="preserve"> проц.</w:t>
      </w:r>
      <w:r w:rsidRPr="0050653D">
        <w:rPr>
          <w:sz w:val="28"/>
          <w:szCs w:val="28"/>
        </w:rPr>
        <w:t xml:space="preserve"> обусловлено ростом цен на цемент и переизбытком готовой продукции на рынках. </w:t>
      </w:r>
    </w:p>
    <w:p w:rsidR="00191FBA" w:rsidRPr="0050653D" w:rsidRDefault="00191FBA" w:rsidP="00191FBA">
      <w:pPr>
        <w:shd w:val="clear" w:color="auto" w:fill="FFFFFF" w:themeFill="background1"/>
        <w:ind w:firstLine="709"/>
        <w:jc w:val="both"/>
        <w:rPr>
          <w:sz w:val="28"/>
          <w:szCs w:val="28"/>
        </w:rPr>
      </w:pPr>
      <w:r w:rsidRPr="0050653D">
        <w:rPr>
          <w:sz w:val="28"/>
          <w:szCs w:val="28"/>
        </w:rPr>
        <w:t>По оценке в 2022 году ожидается, что объем добычи нерудных строительных материалов превысит объем добычи прошлого года на 15-20</w:t>
      </w:r>
      <w:r w:rsidR="00EA1742" w:rsidRPr="0050653D">
        <w:rPr>
          <w:sz w:val="28"/>
          <w:szCs w:val="28"/>
        </w:rPr>
        <w:t xml:space="preserve"> проц.</w:t>
      </w:r>
      <w:r w:rsidRPr="0050653D">
        <w:rPr>
          <w:sz w:val="28"/>
          <w:szCs w:val="28"/>
        </w:rPr>
        <w:t xml:space="preserve"> с учетом увеличения объемов отгрузки песка и щебня. Индекс промышленного производства по добыче прочих полезных ископаемых составит 110,5</w:t>
      </w:r>
      <w:r w:rsidR="00EA1742" w:rsidRPr="0050653D">
        <w:rPr>
          <w:sz w:val="28"/>
          <w:szCs w:val="28"/>
        </w:rPr>
        <w:t xml:space="preserve"> проц</w:t>
      </w:r>
      <w:proofErr w:type="gramStart"/>
      <w:r w:rsidR="00EA1742" w:rsidRPr="0050653D">
        <w:rPr>
          <w:sz w:val="28"/>
          <w:szCs w:val="28"/>
        </w:rPr>
        <w:t>.</w:t>
      </w:r>
      <w:r w:rsidRPr="0050653D">
        <w:rPr>
          <w:sz w:val="28"/>
          <w:szCs w:val="28"/>
        </w:rPr>
        <w:t>.</w:t>
      </w:r>
      <w:proofErr w:type="gramEnd"/>
    </w:p>
    <w:p w:rsidR="00191FBA" w:rsidRPr="0050653D" w:rsidRDefault="00191FBA" w:rsidP="00191FBA">
      <w:pPr>
        <w:shd w:val="clear" w:color="auto" w:fill="FFFFFF" w:themeFill="background1"/>
        <w:ind w:firstLine="709"/>
        <w:jc w:val="both"/>
        <w:rPr>
          <w:sz w:val="28"/>
          <w:szCs w:val="28"/>
        </w:rPr>
      </w:pPr>
      <w:r w:rsidRPr="0050653D">
        <w:rPr>
          <w:sz w:val="28"/>
          <w:szCs w:val="28"/>
        </w:rPr>
        <w:t>Рост объемов производства стройматериалов в Ленинградской области имеет прямую зависимость от темпов</w:t>
      </w:r>
      <w:r w:rsidR="00955FDE" w:rsidRPr="0050653D">
        <w:rPr>
          <w:sz w:val="28"/>
          <w:szCs w:val="28"/>
        </w:rPr>
        <w:t xml:space="preserve"> </w:t>
      </w:r>
      <w:r w:rsidRPr="0050653D">
        <w:rPr>
          <w:sz w:val="28"/>
          <w:szCs w:val="28"/>
        </w:rPr>
        <w:t xml:space="preserve">строительства не только на территории области, но и в регионах - крупнейших потребителях, в первую очередь в Санкт-Петербурге: ежегодно предприятия Ленинградской области поставляют на объекты строительства Санкт-Петербурга до 166 </w:t>
      </w:r>
      <w:proofErr w:type="spellStart"/>
      <w:r w:rsidRPr="0050653D">
        <w:rPr>
          <w:sz w:val="28"/>
          <w:szCs w:val="28"/>
        </w:rPr>
        <w:t>тыс</w:t>
      </w:r>
      <w:proofErr w:type="gramStart"/>
      <w:r w:rsidRPr="0050653D">
        <w:rPr>
          <w:sz w:val="28"/>
          <w:szCs w:val="28"/>
        </w:rPr>
        <w:t>.к</w:t>
      </w:r>
      <w:proofErr w:type="gramEnd"/>
      <w:r w:rsidRPr="0050653D">
        <w:rPr>
          <w:sz w:val="28"/>
          <w:szCs w:val="28"/>
        </w:rPr>
        <w:t>уб.м</w:t>
      </w:r>
      <w:proofErr w:type="spellEnd"/>
      <w:r w:rsidRPr="0050653D">
        <w:rPr>
          <w:sz w:val="28"/>
          <w:szCs w:val="28"/>
        </w:rPr>
        <w:t xml:space="preserve"> </w:t>
      </w:r>
      <w:proofErr w:type="spellStart"/>
      <w:r w:rsidRPr="0050653D">
        <w:rPr>
          <w:sz w:val="28"/>
          <w:szCs w:val="28"/>
        </w:rPr>
        <w:t>жби</w:t>
      </w:r>
      <w:proofErr w:type="spellEnd"/>
      <w:r w:rsidRPr="0050653D">
        <w:rPr>
          <w:sz w:val="28"/>
          <w:szCs w:val="28"/>
        </w:rPr>
        <w:t xml:space="preserve">-изделий и конструкций, до 70 млн </w:t>
      </w:r>
      <w:proofErr w:type="spellStart"/>
      <w:r w:rsidRPr="0050653D">
        <w:rPr>
          <w:sz w:val="28"/>
          <w:szCs w:val="28"/>
        </w:rPr>
        <w:t>усл</w:t>
      </w:r>
      <w:proofErr w:type="spellEnd"/>
      <w:r w:rsidRPr="0050653D">
        <w:rPr>
          <w:sz w:val="28"/>
          <w:szCs w:val="28"/>
        </w:rPr>
        <w:t xml:space="preserve">. кирпичей мелкоштучных стеновых материалов, до 8,1 млн </w:t>
      </w:r>
      <w:proofErr w:type="spellStart"/>
      <w:r w:rsidRPr="0050653D">
        <w:rPr>
          <w:sz w:val="28"/>
          <w:szCs w:val="28"/>
        </w:rPr>
        <w:t>куб.м</w:t>
      </w:r>
      <w:proofErr w:type="spellEnd"/>
      <w:r w:rsidRPr="0050653D">
        <w:rPr>
          <w:sz w:val="28"/>
          <w:szCs w:val="28"/>
        </w:rPr>
        <w:t xml:space="preserve"> нерудных материалов, до 382 тыс. куб. м газобетона.</w:t>
      </w:r>
    </w:p>
    <w:p w:rsidR="00191FBA" w:rsidRPr="0050653D" w:rsidRDefault="00191FBA" w:rsidP="00191FBA">
      <w:pPr>
        <w:shd w:val="clear" w:color="auto" w:fill="FFFFFF" w:themeFill="background1"/>
        <w:ind w:firstLine="709"/>
        <w:jc w:val="both"/>
        <w:rPr>
          <w:sz w:val="28"/>
          <w:szCs w:val="28"/>
        </w:rPr>
      </w:pPr>
      <w:r w:rsidRPr="0050653D">
        <w:rPr>
          <w:color w:val="000000"/>
          <w:sz w:val="28"/>
          <w:szCs w:val="28"/>
        </w:rPr>
        <w:lastRenderedPageBreak/>
        <w:t>В прогнозируемом периоде 2023-2025 годов</w:t>
      </w:r>
      <w:r w:rsidRPr="0050653D">
        <w:rPr>
          <w:sz w:val="28"/>
          <w:szCs w:val="28"/>
        </w:rPr>
        <w:t xml:space="preserve"> ожидается в среднем умеренный рост добычи нерудных строительных материалов и производства основных видов стройматериалов, обусловленный рыночным спросом и динамикой строительства в Ленинградской области и других регионах–потребителях областной продукции, в том числе, </w:t>
      </w:r>
      <w:proofErr w:type="gramStart"/>
      <w:r w:rsidRPr="0050653D">
        <w:rPr>
          <w:sz w:val="28"/>
          <w:szCs w:val="28"/>
        </w:rPr>
        <w:t>по</w:t>
      </w:r>
      <w:proofErr w:type="gramEnd"/>
      <w:r w:rsidRPr="0050653D">
        <w:rPr>
          <w:sz w:val="28"/>
          <w:szCs w:val="28"/>
        </w:rPr>
        <w:t xml:space="preserve"> </w:t>
      </w:r>
      <w:proofErr w:type="gramStart"/>
      <w:r w:rsidRPr="0050653D">
        <w:rPr>
          <w:sz w:val="28"/>
          <w:szCs w:val="28"/>
        </w:rPr>
        <w:t>следующим</w:t>
      </w:r>
      <w:proofErr w:type="gramEnd"/>
      <w:r w:rsidRPr="0050653D">
        <w:rPr>
          <w:sz w:val="28"/>
          <w:szCs w:val="28"/>
        </w:rPr>
        <w:t xml:space="preserve"> основным направлениям:</w:t>
      </w:r>
    </w:p>
    <w:p w:rsidR="00191FBA" w:rsidRPr="0050653D" w:rsidRDefault="00191FBA" w:rsidP="00191FBA">
      <w:pPr>
        <w:shd w:val="clear" w:color="auto" w:fill="FFFFFF" w:themeFill="background1"/>
        <w:ind w:firstLine="709"/>
        <w:jc w:val="both"/>
        <w:rPr>
          <w:sz w:val="28"/>
          <w:szCs w:val="28"/>
        </w:rPr>
      </w:pPr>
      <w:r w:rsidRPr="0050653D">
        <w:rPr>
          <w:sz w:val="28"/>
          <w:szCs w:val="28"/>
        </w:rPr>
        <w:t> - продолжится дальнейшее развитие транспортной инфраструктуры, в том числе в соответствии со Стратегией развития транспортной системы Санкт-Петербурга и Ленинградской области на период до 2030 года, Инвестиционной программой ОАО «Российские железные дороги» на 2019-2025 годы;</w:t>
      </w:r>
    </w:p>
    <w:p w:rsidR="00191FBA" w:rsidRPr="0050653D" w:rsidRDefault="00191FBA" w:rsidP="00191FBA">
      <w:pPr>
        <w:shd w:val="clear" w:color="auto" w:fill="FFFFFF" w:themeFill="background1"/>
        <w:ind w:firstLine="709"/>
        <w:jc w:val="both"/>
        <w:rPr>
          <w:sz w:val="28"/>
          <w:szCs w:val="28"/>
        </w:rPr>
      </w:pPr>
      <w:r w:rsidRPr="0050653D">
        <w:rPr>
          <w:sz w:val="28"/>
          <w:szCs w:val="28"/>
        </w:rPr>
        <w:t>- строительство объектов в рамках реализации федеральной и региональных адресных инвестиционных программ Ленинградской области и Санкт-Петербурга, национальных проектов, государственных программ.</w:t>
      </w:r>
    </w:p>
    <w:p w:rsidR="00191FBA" w:rsidRPr="0050653D" w:rsidRDefault="00191FBA" w:rsidP="00191FBA">
      <w:pPr>
        <w:shd w:val="clear" w:color="auto" w:fill="FFFFFF" w:themeFill="background1"/>
        <w:ind w:firstLine="709"/>
        <w:jc w:val="both"/>
        <w:rPr>
          <w:sz w:val="28"/>
          <w:szCs w:val="28"/>
        </w:rPr>
      </w:pPr>
      <w:r w:rsidRPr="0050653D">
        <w:rPr>
          <w:sz w:val="28"/>
          <w:szCs w:val="28"/>
        </w:rPr>
        <w:t>Кроме того, поставки строительных материалов областного производства предположительно будут осуществляться на следующие крупные проекты:</w:t>
      </w:r>
    </w:p>
    <w:p w:rsidR="00191FBA" w:rsidRPr="0050653D" w:rsidRDefault="00191FBA" w:rsidP="00191FBA">
      <w:pPr>
        <w:shd w:val="clear" w:color="auto" w:fill="FFFFFF" w:themeFill="background1"/>
        <w:ind w:firstLine="709"/>
        <w:jc w:val="both"/>
        <w:rPr>
          <w:sz w:val="28"/>
          <w:szCs w:val="28"/>
        </w:rPr>
      </w:pPr>
      <w:r w:rsidRPr="0050653D">
        <w:rPr>
          <w:sz w:val="28"/>
          <w:szCs w:val="28"/>
        </w:rPr>
        <w:t>- строительство высокоскоростной железнодорожной магистрали «Москва-Санкт-Петербург»;</w:t>
      </w:r>
    </w:p>
    <w:p w:rsidR="00191FBA" w:rsidRPr="0050653D" w:rsidRDefault="00191FBA" w:rsidP="00191FBA">
      <w:pPr>
        <w:shd w:val="clear" w:color="auto" w:fill="FFFFFF" w:themeFill="background1"/>
        <w:ind w:firstLine="709"/>
        <w:jc w:val="both"/>
        <w:rPr>
          <w:sz w:val="28"/>
          <w:szCs w:val="28"/>
        </w:rPr>
      </w:pPr>
      <w:r w:rsidRPr="0050653D">
        <w:rPr>
          <w:sz w:val="28"/>
          <w:szCs w:val="28"/>
        </w:rPr>
        <w:t>- строительство объектов в непосредственной близости к порту в Усть-Луге;</w:t>
      </w:r>
    </w:p>
    <w:p w:rsidR="00191FBA" w:rsidRPr="0050653D" w:rsidRDefault="00191FBA" w:rsidP="00191FBA">
      <w:pPr>
        <w:shd w:val="clear" w:color="auto" w:fill="FFFFFF" w:themeFill="background1"/>
        <w:ind w:firstLine="709"/>
        <w:jc w:val="both"/>
        <w:rPr>
          <w:sz w:val="28"/>
          <w:szCs w:val="28"/>
        </w:rPr>
      </w:pPr>
      <w:r w:rsidRPr="0050653D">
        <w:rPr>
          <w:sz w:val="28"/>
          <w:szCs w:val="28"/>
        </w:rPr>
        <w:t xml:space="preserve">- строительство нового автомобильного моста через реку Свирь в </w:t>
      </w:r>
      <w:proofErr w:type="spellStart"/>
      <w:r w:rsidRPr="0050653D">
        <w:rPr>
          <w:sz w:val="28"/>
          <w:szCs w:val="28"/>
        </w:rPr>
        <w:t>Подпорожском</w:t>
      </w:r>
      <w:proofErr w:type="spellEnd"/>
      <w:r w:rsidRPr="0050653D">
        <w:rPr>
          <w:sz w:val="28"/>
          <w:szCs w:val="28"/>
        </w:rPr>
        <w:t xml:space="preserve"> районе;</w:t>
      </w:r>
    </w:p>
    <w:p w:rsidR="00191FBA" w:rsidRPr="0050653D" w:rsidRDefault="00191FBA" w:rsidP="00191FBA">
      <w:pPr>
        <w:shd w:val="clear" w:color="auto" w:fill="FFFFFF" w:themeFill="background1"/>
        <w:ind w:firstLine="709"/>
        <w:jc w:val="both"/>
        <w:rPr>
          <w:sz w:val="28"/>
          <w:szCs w:val="28"/>
        </w:rPr>
      </w:pPr>
      <w:r w:rsidRPr="0050653D">
        <w:rPr>
          <w:sz w:val="28"/>
          <w:szCs w:val="28"/>
        </w:rPr>
        <w:t xml:space="preserve"> - реализация новых жилищных проектов </w:t>
      </w:r>
      <w:r w:rsidRPr="0050653D">
        <w:rPr>
          <w:rFonts w:ascii="Roboto" w:hAnsi="Roboto"/>
          <w:color w:val="000000"/>
          <w:sz w:val="27"/>
          <w:szCs w:val="27"/>
        </w:rPr>
        <w:t>между кольцевой автодорогой и трассой А120 «Санкт-Петербургское южное полукольцо».</w:t>
      </w:r>
    </w:p>
    <w:bookmarkEnd w:id="2"/>
    <w:p w:rsidR="00191FBA" w:rsidRPr="0050653D" w:rsidRDefault="000C4D0A" w:rsidP="00191FBA">
      <w:pPr>
        <w:shd w:val="clear" w:color="auto" w:fill="FFFFFF" w:themeFill="background1"/>
        <w:tabs>
          <w:tab w:val="num" w:pos="709"/>
        </w:tabs>
        <w:ind w:firstLine="709"/>
        <w:jc w:val="both"/>
        <w:rPr>
          <w:sz w:val="28"/>
          <w:szCs w:val="28"/>
        </w:rPr>
      </w:pPr>
      <w:r w:rsidRPr="0050653D">
        <w:rPr>
          <w:sz w:val="28"/>
          <w:szCs w:val="28"/>
        </w:rPr>
        <w:t>О</w:t>
      </w:r>
      <w:r w:rsidR="00191FBA" w:rsidRPr="0050653D">
        <w:rPr>
          <w:sz w:val="28"/>
          <w:szCs w:val="28"/>
        </w:rPr>
        <w:t>бъем отгруженной продукции (работ, услуг)</w:t>
      </w:r>
      <w:r w:rsidRPr="0050653D">
        <w:rPr>
          <w:sz w:val="28"/>
          <w:szCs w:val="28"/>
        </w:rPr>
        <w:t xml:space="preserve"> по виду деятельности </w:t>
      </w:r>
      <w:r w:rsidR="00955FDE" w:rsidRPr="0050653D">
        <w:rPr>
          <w:i/>
          <w:iCs/>
          <w:sz w:val="28"/>
          <w:szCs w:val="28"/>
        </w:rPr>
        <w:t>«Обеспечение электроэнергией, газом и паром»</w:t>
      </w:r>
      <w:r w:rsidR="00955FDE" w:rsidRPr="0050653D">
        <w:rPr>
          <w:color w:val="C00000"/>
          <w:sz w:val="28"/>
          <w:szCs w:val="28"/>
        </w:rPr>
        <w:t xml:space="preserve"> </w:t>
      </w:r>
      <w:r w:rsidR="00191FBA" w:rsidRPr="0050653D">
        <w:rPr>
          <w:sz w:val="28"/>
          <w:szCs w:val="28"/>
        </w:rPr>
        <w:t xml:space="preserve">за 2021 год составил 202,8 </w:t>
      </w:r>
      <w:proofErr w:type="gramStart"/>
      <w:r w:rsidR="00191FBA" w:rsidRPr="0050653D">
        <w:rPr>
          <w:sz w:val="28"/>
          <w:szCs w:val="28"/>
        </w:rPr>
        <w:t>млрд</w:t>
      </w:r>
      <w:proofErr w:type="gramEnd"/>
      <w:r w:rsidR="00191FBA" w:rsidRPr="0050653D">
        <w:rPr>
          <w:sz w:val="28"/>
          <w:szCs w:val="28"/>
        </w:rPr>
        <w:t xml:space="preserve"> руб. (122,8</w:t>
      </w:r>
      <w:r w:rsidR="00EA1742" w:rsidRPr="0050653D">
        <w:rPr>
          <w:sz w:val="28"/>
          <w:szCs w:val="28"/>
        </w:rPr>
        <w:t xml:space="preserve"> проц.</w:t>
      </w:r>
      <w:r w:rsidR="00191FBA" w:rsidRPr="0050653D">
        <w:rPr>
          <w:sz w:val="28"/>
          <w:szCs w:val="28"/>
        </w:rPr>
        <w:t xml:space="preserve"> к 2020 году ), индекс производства составил 108,2</w:t>
      </w:r>
      <w:r w:rsidR="00EA1742" w:rsidRPr="0050653D">
        <w:rPr>
          <w:sz w:val="28"/>
          <w:szCs w:val="28"/>
        </w:rPr>
        <w:t xml:space="preserve"> проц.</w:t>
      </w:r>
      <w:r w:rsidR="00191FBA" w:rsidRPr="0050653D">
        <w:rPr>
          <w:sz w:val="28"/>
          <w:szCs w:val="28"/>
        </w:rPr>
        <w:t xml:space="preserve"> (к уровню 2020 года).</w:t>
      </w:r>
    </w:p>
    <w:p w:rsidR="00191FBA" w:rsidRPr="0050653D" w:rsidRDefault="00191FBA" w:rsidP="00191FBA">
      <w:pPr>
        <w:shd w:val="clear" w:color="auto" w:fill="FFFFFF" w:themeFill="background1"/>
        <w:ind w:firstLine="709"/>
        <w:jc w:val="both"/>
        <w:rPr>
          <w:rFonts w:eastAsia="Calibri"/>
          <w:sz w:val="28"/>
          <w:szCs w:val="28"/>
        </w:rPr>
      </w:pPr>
      <w:r w:rsidRPr="0050653D">
        <w:rPr>
          <w:color w:val="000000"/>
          <w:sz w:val="28"/>
          <w:szCs w:val="28"/>
        </w:rPr>
        <w:t xml:space="preserve">По оценке в 2022 году прогнозируется снижение </w:t>
      </w:r>
      <w:r w:rsidRPr="0050653D">
        <w:rPr>
          <w:iCs/>
          <w:color w:val="000000"/>
          <w:sz w:val="28"/>
          <w:szCs w:val="28"/>
        </w:rPr>
        <w:t>индекса промышленного производства по виду деятельности «Обеспечение электроэнергией, газом и паром» на 9</w:t>
      </w:r>
      <w:r w:rsidR="00EA1742" w:rsidRPr="0050653D">
        <w:rPr>
          <w:iCs/>
          <w:color w:val="000000"/>
          <w:sz w:val="28"/>
          <w:szCs w:val="28"/>
        </w:rPr>
        <w:t xml:space="preserve"> проц.</w:t>
      </w:r>
      <w:r w:rsidRPr="0050653D">
        <w:rPr>
          <w:iCs/>
          <w:color w:val="000000"/>
          <w:sz w:val="28"/>
          <w:szCs w:val="28"/>
        </w:rPr>
        <w:t xml:space="preserve"> по сравнению с 2021 годом.</w:t>
      </w:r>
      <w:r w:rsidR="00592498" w:rsidRPr="0050653D">
        <w:rPr>
          <w:iCs/>
          <w:color w:val="000000"/>
          <w:sz w:val="28"/>
          <w:szCs w:val="28"/>
        </w:rPr>
        <w:t xml:space="preserve"> </w:t>
      </w:r>
      <w:r w:rsidRPr="0050653D">
        <w:rPr>
          <w:iCs/>
          <w:color w:val="000000"/>
          <w:sz w:val="28"/>
          <w:szCs w:val="28"/>
        </w:rPr>
        <w:t>Причинами снижения</w:t>
      </w:r>
      <w:r w:rsidRPr="0050653D">
        <w:rPr>
          <w:rFonts w:eastAsia="Calibri"/>
          <w:sz w:val="28"/>
          <w:szCs w:val="28"/>
        </w:rPr>
        <w:t xml:space="preserve"> </w:t>
      </w:r>
      <w:r w:rsidR="000C4D0A" w:rsidRPr="0050653D">
        <w:rPr>
          <w:rFonts w:eastAsia="Calibri"/>
          <w:sz w:val="28"/>
          <w:szCs w:val="28"/>
        </w:rPr>
        <w:t xml:space="preserve">производства </w:t>
      </w:r>
      <w:r w:rsidRPr="0050653D">
        <w:rPr>
          <w:rFonts w:eastAsia="Calibri"/>
          <w:sz w:val="28"/>
          <w:szCs w:val="28"/>
        </w:rPr>
        <w:t>являются:</w:t>
      </w:r>
    </w:p>
    <w:p w:rsidR="00191FBA" w:rsidRPr="0050653D" w:rsidRDefault="00191FBA" w:rsidP="00191FBA">
      <w:pPr>
        <w:shd w:val="clear" w:color="auto" w:fill="FFFFFF" w:themeFill="background1"/>
        <w:tabs>
          <w:tab w:val="num" w:pos="709"/>
        </w:tabs>
        <w:ind w:firstLine="709"/>
        <w:jc w:val="both"/>
        <w:rPr>
          <w:rFonts w:eastAsia="Calibri"/>
          <w:sz w:val="28"/>
          <w:szCs w:val="28"/>
        </w:rPr>
      </w:pPr>
      <w:r w:rsidRPr="0050653D">
        <w:rPr>
          <w:rFonts w:eastAsia="Calibri"/>
          <w:sz w:val="28"/>
          <w:szCs w:val="28"/>
        </w:rPr>
        <w:t>- уменьшение цен на электрическую энергию на свободных секторах оптового рынка (</w:t>
      </w:r>
      <w:r w:rsidR="00592498" w:rsidRPr="0050653D">
        <w:rPr>
          <w:rFonts w:eastAsia="Calibri"/>
          <w:sz w:val="28"/>
          <w:szCs w:val="28"/>
        </w:rPr>
        <w:t>рынок на сутки вперед, балансирующий рынок</w:t>
      </w:r>
      <w:r w:rsidRPr="0050653D">
        <w:rPr>
          <w:rFonts w:eastAsia="Calibri"/>
          <w:sz w:val="28"/>
          <w:szCs w:val="28"/>
        </w:rPr>
        <w:t>) на 2,9</w:t>
      </w:r>
      <w:r w:rsidR="00EA1742" w:rsidRPr="0050653D">
        <w:rPr>
          <w:rFonts w:eastAsia="Calibri"/>
          <w:sz w:val="28"/>
          <w:szCs w:val="28"/>
        </w:rPr>
        <w:t xml:space="preserve"> проц.</w:t>
      </w:r>
      <w:r w:rsidRPr="0050653D">
        <w:rPr>
          <w:rFonts w:eastAsia="Calibri"/>
          <w:sz w:val="28"/>
          <w:szCs w:val="28"/>
        </w:rPr>
        <w:t>;</w:t>
      </w:r>
    </w:p>
    <w:p w:rsidR="00191FBA" w:rsidRPr="0050653D" w:rsidRDefault="00191FBA" w:rsidP="00191FBA">
      <w:pPr>
        <w:shd w:val="clear" w:color="auto" w:fill="FFFFFF" w:themeFill="background1"/>
        <w:tabs>
          <w:tab w:val="num" w:pos="709"/>
        </w:tabs>
        <w:ind w:firstLine="709"/>
        <w:jc w:val="both"/>
        <w:rPr>
          <w:rFonts w:eastAsia="Calibri"/>
          <w:sz w:val="28"/>
          <w:szCs w:val="28"/>
        </w:rPr>
      </w:pPr>
      <w:r w:rsidRPr="0050653D">
        <w:rPr>
          <w:rFonts w:eastAsia="Calibri"/>
          <w:sz w:val="28"/>
          <w:szCs w:val="28"/>
        </w:rPr>
        <w:t>- снижение объема производства электроэнергии на 2,1</w:t>
      </w:r>
      <w:r w:rsidR="00EA1742" w:rsidRPr="0050653D">
        <w:rPr>
          <w:rFonts w:eastAsia="Calibri"/>
          <w:sz w:val="28"/>
          <w:szCs w:val="28"/>
        </w:rPr>
        <w:t xml:space="preserve"> проц.</w:t>
      </w:r>
      <w:r w:rsidRPr="0050653D">
        <w:rPr>
          <w:rFonts w:eastAsia="Calibri"/>
          <w:sz w:val="28"/>
          <w:szCs w:val="28"/>
        </w:rPr>
        <w:t>;</w:t>
      </w:r>
    </w:p>
    <w:p w:rsidR="00191FBA" w:rsidRPr="0050653D" w:rsidRDefault="00191FBA" w:rsidP="00191FBA">
      <w:pPr>
        <w:shd w:val="clear" w:color="auto" w:fill="FFFFFF" w:themeFill="background1"/>
        <w:tabs>
          <w:tab w:val="num" w:pos="709"/>
        </w:tabs>
        <w:ind w:firstLine="709"/>
        <w:jc w:val="both"/>
        <w:rPr>
          <w:rFonts w:eastAsia="Calibri"/>
          <w:sz w:val="28"/>
          <w:szCs w:val="28"/>
        </w:rPr>
      </w:pPr>
      <w:r w:rsidRPr="0050653D">
        <w:rPr>
          <w:rFonts w:eastAsia="Calibri"/>
          <w:sz w:val="28"/>
          <w:szCs w:val="28"/>
        </w:rPr>
        <w:t xml:space="preserve">- снижение объемов поставки электроэнергии на экспорт с 514 </w:t>
      </w:r>
      <w:proofErr w:type="gramStart"/>
      <w:r w:rsidRPr="0050653D">
        <w:rPr>
          <w:rFonts w:eastAsia="Calibri"/>
          <w:sz w:val="28"/>
          <w:szCs w:val="28"/>
        </w:rPr>
        <w:t>млн</w:t>
      </w:r>
      <w:proofErr w:type="gramEnd"/>
      <w:r w:rsidRPr="0050653D">
        <w:rPr>
          <w:rFonts w:eastAsia="Calibri"/>
          <w:sz w:val="28"/>
          <w:szCs w:val="28"/>
        </w:rPr>
        <w:t xml:space="preserve"> </w:t>
      </w:r>
      <w:proofErr w:type="spellStart"/>
      <w:r w:rsidRPr="0050653D">
        <w:rPr>
          <w:rFonts w:eastAsia="Calibri"/>
          <w:sz w:val="28"/>
          <w:szCs w:val="28"/>
        </w:rPr>
        <w:t>кВтч</w:t>
      </w:r>
      <w:proofErr w:type="spellEnd"/>
      <w:r w:rsidRPr="0050653D">
        <w:rPr>
          <w:rFonts w:eastAsia="Calibri"/>
          <w:sz w:val="28"/>
          <w:szCs w:val="28"/>
        </w:rPr>
        <w:t xml:space="preserve"> в 2021 году до 175 млн </w:t>
      </w:r>
      <w:proofErr w:type="spellStart"/>
      <w:r w:rsidRPr="0050653D">
        <w:rPr>
          <w:rFonts w:eastAsia="Calibri"/>
          <w:sz w:val="28"/>
          <w:szCs w:val="28"/>
        </w:rPr>
        <w:t>кВтч</w:t>
      </w:r>
      <w:proofErr w:type="spellEnd"/>
      <w:r w:rsidRPr="0050653D">
        <w:rPr>
          <w:rFonts w:eastAsia="Calibri"/>
          <w:sz w:val="28"/>
          <w:szCs w:val="28"/>
        </w:rPr>
        <w:t xml:space="preserve"> в 2022 году в связи c отказом с 01.05.2022 от экспортных поставок в недружественные страны на фоне напряженной внешнеполитической обстановки.</w:t>
      </w:r>
    </w:p>
    <w:p w:rsidR="00191FBA" w:rsidRPr="0050653D" w:rsidRDefault="00191FBA" w:rsidP="00191FBA">
      <w:pPr>
        <w:shd w:val="clear" w:color="auto" w:fill="FFFFFF" w:themeFill="background1"/>
        <w:ind w:firstLine="709"/>
        <w:jc w:val="both"/>
      </w:pPr>
      <w:r w:rsidRPr="0050653D">
        <w:rPr>
          <w:bCs/>
          <w:iCs/>
          <w:sz w:val="28"/>
          <w:szCs w:val="28"/>
        </w:rPr>
        <w:t>Прогнозируемый объем товарной продукции от отпуска электр</w:t>
      </w:r>
      <w:proofErr w:type="gramStart"/>
      <w:r w:rsidRPr="0050653D">
        <w:rPr>
          <w:bCs/>
          <w:iCs/>
          <w:sz w:val="28"/>
          <w:szCs w:val="28"/>
        </w:rPr>
        <w:t>о-</w:t>
      </w:r>
      <w:proofErr w:type="gramEnd"/>
      <w:r w:rsidRPr="0050653D">
        <w:rPr>
          <w:bCs/>
          <w:iCs/>
          <w:sz w:val="28"/>
          <w:szCs w:val="28"/>
        </w:rPr>
        <w:t xml:space="preserve"> и </w:t>
      </w:r>
      <w:proofErr w:type="spellStart"/>
      <w:r w:rsidRPr="0050653D">
        <w:rPr>
          <w:bCs/>
          <w:iCs/>
          <w:sz w:val="28"/>
          <w:szCs w:val="28"/>
        </w:rPr>
        <w:t>теплоэнергии</w:t>
      </w:r>
      <w:proofErr w:type="spellEnd"/>
      <w:r w:rsidRPr="0050653D">
        <w:rPr>
          <w:bCs/>
          <w:iCs/>
          <w:sz w:val="28"/>
          <w:szCs w:val="28"/>
        </w:rPr>
        <w:t xml:space="preserve"> на 2023-2025 годы сформирован исходя из прогнозного баланса выработки электрической и тепловой энергии энергоблоками по годам</w:t>
      </w:r>
      <w:r w:rsidRPr="0050653D">
        <w:rPr>
          <w:sz w:val="28"/>
          <w:szCs w:val="28"/>
        </w:rPr>
        <w:t xml:space="preserve"> с</w:t>
      </w:r>
      <w:r w:rsidRPr="0050653D">
        <w:rPr>
          <w:sz w:val="22"/>
        </w:rPr>
        <w:t xml:space="preserve"> </w:t>
      </w:r>
      <w:r w:rsidRPr="0050653D">
        <w:rPr>
          <w:bCs/>
          <w:iCs/>
          <w:sz w:val="28"/>
          <w:szCs w:val="28"/>
        </w:rPr>
        <w:t>применением цен и тарифов, принятых в соответствии с</w:t>
      </w:r>
      <w:r w:rsidRPr="0050653D">
        <w:t xml:space="preserve"> </w:t>
      </w:r>
      <w:r w:rsidRPr="0050653D">
        <w:rPr>
          <w:bCs/>
          <w:iCs/>
          <w:sz w:val="28"/>
          <w:szCs w:val="28"/>
        </w:rPr>
        <w:t xml:space="preserve">индексами цен производителей по видам экономической деятельности </w:t>
      </w:r>
      <w:r w:rsidRPr="0050653D">
        <w:rPr>
          <w:sz w:val="28"/>
          <w:szCs w:val="28"/>
        </w:rPr>
        <w:t>на 2022-2025 годы.</w:t>
      </w:r>
      <w:r w:rsidR="00955FDE" w:rsidRPr="0050653D">
        <w:t xml:space="preserve"> </w:t>
      </w:r>
    </w:p>
    <w:p w:rsidR="00191FBA" w:rsidRPr="0050653D" w:rsidRDefault="00191FBA" w:rsidP="00191FBA">
      <w:pPr>
        <w:shd w:val="clear" w:color="auto" w:fill="FFFFFF" w:themeFill="background1"/>
        <w:tabs>
          <w:tab w:val="num" w:pos="709"/>
        </w:tabs>
        <w:ind w:firstLine="709"/>
        <w:jc w:val="both"/>
        <w:rPr>
          <w:rFonts w:eastAsia="Calibri"/>
          <w:sz w:val="28"/>
          <w:szCs w:val="28"/>
        </w:rPr>
      </w:pPr>
      <w:r w:rsidRPr="0050653D">
        <w:rPr>
          <w:rFonts w:eastAsia="Calibri"/>
          <w:sz w:val="28"/>
          <w:szCs w:val="28"/>
        </w:rPr>
        <w:t xml:space="preserve">Прогноз показателей производства электроэнергии произведен на основе плановых балансов энергии и мощности по Ленинградской области. Объемы </w:t>
      </w:r>
      <w:r w:rsidRPr="0050653D">
        <w:rPr>
          <w:rFonts w:eastAsia="Calibri"/>
          <w:sz w:val="28"/>
          <w:szCs w:val="28"/>
        </w:rPr>
        <w:lastRenderedPageBreak/>
        <w:t>производства электроэнергии на ТЭС определяются теплофикационным графиком загрузки и рассчитаны на основании среднегодового отпуска тепловой энергии за предшествующие 3 года. Объемы производства на ГЭС планируются исходя из среднемноголетней выработки электроэнергии.</w:t>
      </w:r>
    </w:p>
    <w:p w:rsidR="00191FBA" w:rsidRPr="0050653D" w:rsidRDefault="00191FBA" w:rsidP="00191FBA">
      <w:pPr>
        <w:shd w:val="clear" w:color="auto" w:fill="FFFFFF" w:themeFill="background1"/>
        <w:tabs>
          <w:tab w:val="num" w:pos="709"/>
        </w:tabs>
        <w:ind w:firstLine="709"/>
        <w:jc w:val="both"/>
        <w:rPr>
          <w:rFonts w:eastAsia="Calibri"/>
          <w:sz w:val="28"/>
          <w:szCs w:val="28"/>
        </w:rPr>
      </w:pPr>
      <w:r w:rsidRPr="0050653D">
        <w:rPr>
          <w:rFonts w:eastAsia="Calibri"/>
          <w:sz w:val="28"/>
          <w:szCs w:val="28"/>
        </w:rPr>
        <w:t>Прогнозируется стандартная загрузка оборудования, вводы и выводы оборудования из эксплуатации не планируются.</w:t>
      </w:r>
    </w:p>
    <w:p w:rsidR="00191FBA" w:rsidRPr="0050653D" w:rsidRDefault="00191FBA" w:rsidP="00191FBA">
      <w:pPr>
        <w:shd w:val="clear" w:color="auto" w:fill="FFFFFF" w:themeFill="background1"/>
        <w:tabs>
          <w:tab w:val="num" w:pos="709"/>
        </w:tabs>
        <w:ind w:firstLine="709"/>
        <w:jc w:val="both"/>
        <w:rPr>
          <w:iCs/>
          <w:sz w:val="28"/>
          <w:szCs w:val="28"/>
        </w:rPr>
      </w:pPr>
      <w:r w:rsidRPr="0050653D">
        <w:rPr>
          <w:iCs/>
          <w:sz w:val="28"/>
          <w:szCs w:val="28"/>
        </w:rPr>
        <w:t>Тарифы на электрическую энергию по группам потребителей рассчитаны с учетом динамики их изменения в 2019-2021 годах, а также прогнозным ростом стоимости покупной электроэнергии на оптовом рынке электрической энергии и ростом стоимости регулируемых услуг по передаче электрической энергии.</w:t>
      </w:r>
    </w:p>
    <w:p w:rsidR="00191FBA" w:rsidRPr="0050653D" w:rsidRDefault="00191FBA" w:rsidP="00191FBA">
      <w:pPr>
        <w:shd w:val="clear" w:color="auto" w:fill="FFFFFF" w:themeFill="background1"/>
        <w:ind w:firstLine="709"/>
        <w:jc w:val="both"/>
        <w:rPr>
          <w:iCs/>
          <w:sz w:val="28"/>
          <w:szCs w:val="28"/>
        </w:rPr>
      </w:pPr>
      <w:r w:rsidRPr="0050653D">
        <w:rPr>
          <w:iCs/>
          <w:sz w:val="28"/>
          <w:szCs w:val="28"/>
        </w:rPr>
        <w:t xml:space="preserve">Общий рост тарифов принят на уровне выше предусмотренного исходными условиями для формирования вариантов развития экономики на период до 2024 года, подготовленными Минэкономразвития России. Опережающий рост тарифов обусловлен более высоким, по сравнению с прогнозом Минэкономразвития России, уровнем роста тарифов на услуги по передаче электрической энергии по причине необходимости обеспечения финансирования инвестиционных программ (в том числе программ по технологическому присоединению </w:t>
      </w:r>
      <w:proofErr w:type="spellStart"/>
      <w:r w:rsidRPr="0050653D">
        <w:rPr>
          <w:iCs/>
          <w:sz w:val="28"/>
          <w:szCs w:val="28"/>
        </w:rPr>
        <w:t>энергопринимающих</w:t>
      </w:r>
      <w:proofErr w:type="spellEnd"/>
      <w:r w:rsidRPr="0050653D">
        <w:rPr>
          <w:iCs/>
          <w:sz w:val="28"/>
          <w:szCs w:val="28"/>
        </w:rPr>
        <w:t xml:space="preserve"> устройств льготных категорий потребителей) ПАО «</w:t>
      </w:r>
      <w:proofErr w:type="spellStart"/>
      <w:r w:rsidRPr="0050653D">
        <w:rPr>
          <w:iCs/>
          <w:sz w:val="28"/>
          <w:szCs w:val="28"/>
        </w:rPr>
        <w:t>Россети</w:t>
      </w:r>
      <w:proofErr w:type="spellEnd"/>
      <w:r w:rsidRPr="0050653D">
        <w:rPr>
          <w:iCs/>
          <w:sz w:val="28"/>
          <w:szCs w:val="28"/>
        </w:rPr>
        <w:t xml:space="preserve"> Ленэнерго», АО «ЛОЭСК» и других электросетевых компаний.</w:t>
      </w:r>
    </w:p>
    <w:p w:rsidR="0057468E" w:rsidRPr="0050653D" w:rsidRDefault="00592498" w:rsidP="0057468E">
      <w:pPr>
        <w:shd w:val="clear" w:color="auto" w:fill="FFFFFF" w:themeFill="background1"/>
        <w:ind w:firstLine="709"/>
        <w:jc w:val="both"/>
        <w:rPr>
          <w:bCs/>
          <w:sz w:val="28"/>
          <w:szCs w:val="28"/>
        </w:rPr>
      </w:pPr>
      <w:proofErr w:type="gramStart"/>
      <w:r w:rsidRPr="0050653D">
        <w:rPr>
          <w:bCs/>
          <w:sz w:val="28"/>
          <w:szCs w:val="28"/>
        </w:rPr>
        <w:t xml:space="preserve">В Ленинградской области </w:t>
      </w:r>
      <w:r w:rsidR="0057468E" w:rsidRPr="0050653D">
        <w:rPr>
          <w:bCs/>
          <w:sz w:val="28"/>
          <w:szCs w:val="28"/>
        </w:rPr>
        <w:t xml:space="preserve">Планом </w:t>
      </w:r>
      <w:r w:rsidR="00EA1742" w:rsidRPr="0050653D">
        <w:rPr>
          <w:bCs/>
          <w:sz w:val="28"/>
          <w:szCs w:val="28"/>
        </w:rPr>
        <w:t xml:space="preserve">реализации региональных первоочередных мер по обеспечению устойчивого развития экономики и социальной сферы </w:t>
      </w:r>
      <w:r w:rsidR="0057468E" w:rsidRPr="0050653D">
        <w:rPr>
          <w:bCs/>
          <w:sz w:val="28"/>
          <w:szCs w:val="28"/>
        </w:rPr>
        <w:t xml:space="preserve">предусмотрены дополнительные меры поддержки промышленных предприятий в сложившихся экономических условиях: льготное заемное финансирование, направленное на стимулирование реализации проектов по </w:t>
      </w:r>
      <w:proofErr w:type="spellStart"/>
      <w:r w:rsidR="0057468E" w:rsidRPr="0050653D">
        <w:rPr>
          <w:bCs/>
          <w:sz w:val="28"/>
          <w:szCs w:val="28"/>
        </w:rPr>
        <w:t>импортозамещению</w:t>
      </w:r>
      <w:proofErr w:type="spellEnd"/>
      <w:r w:rsidR="0057468E" w:rsidRPr="0050653D">
        <w:rPr>
          <w:bCs/>
          <w:sz w:val="28"/>
          <w:szCs w:val="28"/>
        </w:rPr>
        <w:t xml:space="preserve"> и </w:t>
      </w:r>
      <w:proofErr w:type="spellStart"/>
      <w:r w:rsidR="0057468E" w:rsidRPr="0050653D">
        <w:rPr>
          <w:bCs/>
          <w:sz w:val="28"/>
          <w:szCs w:val="28"/>
        </w:rPr>
        <w:t>цифровизации</w:t>
      </w:r>
      <w:proofErr w:type="spellEnd"/>
      <w:r w:rsidR="0057468E" w:rsidRPr="0050653D">
        <w:rPr>
          <w:bCs/>
          <w:sz w:val="28"/>
          <w:szCs w:val="28"/>
        </w:rPr>
        <w:t xml:space="preserve"> производства, гранты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w:t>
      </w:r>
      <w:proofErr w:type="gramEnd"/>
      <w:r w:rsidR="0057468E" w:rsidRPr="0050653D">
        <w:rPr>
          <w:bCs/>
          <w:sz w:val="28"/>
          <w:szCs w:val="28"/>
        </w:rPr>
        <w:t xml:space="preserve"> средств.</w:t>
      </w:r>
    </w:p>
    <w:p w:rsidR="00BA1A7E" w:rsidRPr="0050653D" w:rsidRDefault="00BA1A7E" w:rsidP="00BA18DE">
      <w:pPr>
        <w:widowControl w:val="0"/>
        <w:ind w:firstLine="709"/>
        <w:jc w:val="both"/>
        <w:rPr>
          <w:sz w:val="16"/>
          <w:szCs w:val="16"/>
        </w:rPr>
      </w:pPr>
    </w:p>
    <w:p w:rsidR="00BA1A7E" w:rsidRPr="0050653D" w:rsidRDefault="007A48FA" w:rsidP="00BA1A7E">
      <w:pPr>
        <w:widowControl w:val="0"/>
        <w:jc w:val="center"/>
        <w:rPr>
          <w:sz w:val="28"/>
          <w:szCs w:val="28"/>
        </w:rPr>
      </w:pPr>
      <w:r w:rsidRPr="0050653D">
        <w:rPr>
          <w:sz w:val="28"/>
          <w:szCs w:val="28"/>
        </w:rPr>
        <w:t>Сельское хозяйство</w:t>
      </w:r>
    </w:p>
    <w:p w:rsidR="00BA1A7E" w:rsidRPr="0050653D" w:rsidRDefault="00BA1A7E" w:rsidP="00BA18DE">
      <w:pPr>
        <w:widowControl w:val="0"/>
        <w:ind w:firstLine="709"/>
        <w:jc w:val="both"/>
        <w:rPr>
          <w:sz w:val="16"/>
          <w:szCs w:val="16"/>
        </w:rPr>
      </w:pPr>
    </w:p>
    <w:p w:rsidR="000C4D0A" w:rsidRPr="0050653D" w:rsidRDefault="000C4D0A" w:rsidP="000C4D0A">
      <w:pPr>
        <w:shd w:val="clear" w:color="auto" w:fill="FFFFFF" w:themeFill="background1"/>
        <w:ind w:firstLine="709"/>
        <w:jc w:val="both"/>
        <w:rPr>
          <w:color w:val="000000"/>
          <w:sz w:val="28"/>
          <w:szCs w:val="28"/>
        </w:rPr>
      </w:pPr>
      <w:r w:rsidRPr="0050653D">
        <w:rPr>
          <w:bCs/>
          <w:i/>
          <w:iCs/>
          <w:sz w:val="28"/>
          <w:szCs w:val="28"/>
        </w:rPr>
        <w:t xml:space="preserve">Объем производства продукции сельского хозяйства в Ленинградской области в 2021 году </w:t>
      </w:r>
      <w:r w:rsidRPr="0050653D">
        <w:rPr>
          <w:color w:val="000000"/>
          <w:sz w:val="28"/>
          <w:szCs w:val="28"/>
          <w:lang w:eastAsia="en-US"/>
        </w:rPr>
        <w:t xml:space="preserve">составил </w:t>
      </w:r>
      <w:r w:rsidRPr="0050653D">
        <w:rPr>
          <w:color w:val="000000"/>
          <w:sz w:val="28"/>
          <w:szCs w:val="28"/>
        </w:rPr>
        <w:t xml:space="preserve">108,2 </w:t>
      </w:r>
      <w:proofErr w:type="gramStart"/>
      <w:r w:rsidRPr="0050653D">
        <w:rPr>
          <w:color w:val="000000"/>
          <w:sz w:val="28"/>
          <w:szCs w:val="28"/>
        </w:rPr>
        <w:t>млрд</w:t>
      </w:r>
      <w:proofErr w:type="gramEnd"/>
      <w:r w:rsidRPr="0050653D">
        <w:rPr>
          <w:color w:val="000000"/>
          <w:sz w:val="28"/>
          <w:szCs w:val="28"/>
        </w:rPr>
        <w:t xml:space="preserve"> руб., индекс производства - 100,7</w:t>
      </w:r>
      <w:r w:rsidR="00EA1742" w:rsidRPr="0050653D">
        <w:rPr>
          <w:color w:val="000000"/>
          <w:sz w:val="28"/>
          <w:szCs w:val="28"/>
        </w:rPr>
        <w:t xml:space="preserve"> проц.</w:t>
      </w:r>
      <w:r w:rsidRPr="0050653D">
        <w:rPr>
          <w:color w:val="000000"/>
          <w:sz w:val="28"/>
          <w:szCs w:val="28"/>
        </w:rPr>
        <w:t xml:space="preserve"> к уровню 2020 года.</w:t>
      </w:r>
    </w:p>
    <w:p w:rsidR="000C4D0A" w:rsidRPr="0050653D" w:rsidRDefault="000C4D0A" w:rsidP="000C4D0A">
      <w:pPr>
        <w:shd w:val="clear" w:color="auto" w:fill="FFFFFF" w:themeFill="background1"/>
        <w:ind w:firstLine="709"/>
        <w:jc w:val="both"/>
        <w:rPr>
          <w:sz w:val="28"/>
          <w:szCs w:val="28"/>
        </w:rPr>
      </w:pPr>
      <w:r w:rsidRPr="0050653D">
        <w:rPr>
          <w:sz w:val="28"/>
          <w:szCs w:val="28"/>
        </w:rPr>
        <w:t>Агропромышленный комплекс Ленинградской области остается основным производителем продуктов питания всего СЗФО.</w:t>
      </w:r>
    </w:p>
    <w:p w:rsidR="000C4D0A" w:rsidRPr="0050653D" w:rsidRDefault="000C4D0A" w:rsidP="000C4D0A">
      <w:pPr>
        <w:shd w:val="clear" w:color="auto" w:fill="FFFFFF" w:themeFill="background1"/>
        <w:ind w:firstLine="709"/>
        <w:jc w:val="both"/>
        <w:rPr>
          <w:sz w:val="28"/>
          <w:szCs w:val="28"/>
        </w:rPr>
      </w:pPr>
      <w:r w:rsidRPr="0050653D">
        <w:rPr>
          <w:sz w:val="28"/>
          <w:szCs w:val="28"/>
        </w:rPr>
        <w:t xml:space="preserve">Производство продукции растениеводства в хозяйствах всех категорий: </w:t>
      </w:r>
    </w:p>
    <w:p w:rsidR="000C4D0A" w:rsidRPr="0050653D" w:rsidRDefault="000C4D0A" w:rsidP="000C4D0A">
      <w:pPr>
        <w:shd w:val="clear" w:color="auto" w:fill="FFFFFF" w:themeFill="background1"/>
        <w:ind w:firstLine="709"/>
        <w:jc w:val="both"/>
        <w:rPr>
          <w:sz w:val="28"/>
          <w:szCs w:val="28"/>
        </w:rPr>
      </w:pPr>
      <w:r w:rsidRPr="0050653D">
        <w:rPr>
          <w:sz w:val="28"/>
          <w:szCs w:val="28"/>
        </w:rPr>
        <w:t>– зерно и зернобобовые культуры – 140,0 тыс. тонн (87,1</w:t>
      </w:r>
      <w:r w:rsidR="00EA1742" w:rsidRPr="0050653D">
        <w:rPr>
          <w:sz w:val="28"/>
          <w:szCs w:val="28"/>
        </w:rPr>
        <w:t xml:space="preserve"> проц.</w:t>
      </w:r>
      <w:r w:rsidRPr="0050653D">
        <w:rPr>
          <w:sz w:val="28"/>
          <w:szCs w:val="28"/>
        </w:rPr>
        <w:t xml:space="preserve"> к 2020 году);</w:t>
      </w:r>
    </w:p>
    <w:p w:rsidR="000C4D0A" w:rsidRPr="0050653D" w:rsidRDefault="000C4D0A" w:rsidP="000C4D0A">
      <w:pPr>
        <w:shd w:val="clear" w:color="auto" w:fill="FFFFFF" w:themeFill="background1"/>
        <w:ind w:firstLine="709"/>
        <w:jc w:val="both"/>
        <w:rPr>
          <w:sz w:val="28"/>
          <w:szCs w:val="28"/>
        </w:rPr>
      </w:pPr>
      <w:r w:rsidRPr="0050653D">
        <w:rPr>
          <w:sz w:val="28"/>
          <w:szCs w:val="28"/>
        </w:rPr>
        <w:t>– картофеля – 165,3 тыс. тонн (88,3</w:t>
      </w:r>
      <w:r w:rsidR="00EA1742" w:rsidRPr="0050653D">
        <w:rPr>
          <w:sz w:val="28"/>
          <w:szCs w:val="28"/>
        </w:rPr>
        <w:t xml:space="preserve"> проц.</w:t>
      </w:r>
      <w:r w:rsidRPr="0050653D">
        <w:rPr>
          <w:sz w:val="28"/>
          <w:szCs w:val="28"/>
        </w:rPr>
        <w:t>);</w:t>
      </w:r>
    </w:p>
    <w:p w:rsidR="000C4D0A" w:rsidRPr="0050653D" w:rsidRDefault="000C4D0A" w:rsidP="000C4D0A">
      <w:pPr>
        <w:shd w:val="clear" w:color="auto" w:fill="FFFFFF" w:themeFill="background1"/>
        <w:ind w:firstLine="709"/>
        <w:jc w:val="both"/>
        <w:rPr>
          <w:sz w:val="28"/>
          <w:szCs w:val="28"/>
        </w:rPr>
      </w:pPr>
      <w:r w:rsidRPr="0050653D">
        <w:rPr>
          <w:sz w:val="28"/>
          <w:szCs w:val="28"/>
        </w:rPr>
        <w:t>– овощи – 176,6 тыс. тонн (96,7</w:t>
      </w:r>
      <w:r w:rsidR="00EA1742" w:rsidRPr="0050653D">
        <w:rPr>
          <w:sz w:val="28"/>
          <w:szCs w:val="28"/>
        </w:rPr>
        <w:t xml:space="preserve"> проц.</w:t>
      </w:r>
      <w:r w:rsidRPr="0050653D">
        <w:rPr>
          <w:sz w:val="28"/>
          <w:szCs w:val="28"/>
        </w:rPr>
        <w:t>);</w:t>
      </w:r>
    </w:p>
    <w:p w:rsidR="000C4D0A" w:rsidRPr="0050653D" w:rsidRDefault="000C4D0A" w:rsidP="000C4D0A">
      <w:pPr>
        <w:shd w:val="clear" w:color="auto" w:fill="FFFFFF" w:themeFill="background1"/>
        <w:ind w:firstLine="709"/>
        <w:jc w:val="both"/>
        <w:rPr>
          <w:sz w:val="28"/>
          <w:szCs w:val="28"/>
        </w:rPr>
      </w:pPr>
      <w:r w:rsidRPr="0050653D">
        <w:rPr>
          <w:sz w:val="28"/>
          <w:szCs w:val="28"/>
        </w:rPr>
        <w:t>– рапс – 7,9 тыс. тонн (112,0</w:t>
      </w:r>
      <w:r w:rsidR="00EA1742" w:rsidRPr="0050653D">
        <w:rPr>
          <w:sz w:val="28"/>
          <w:szCs w:val="28"/>
        </w:rPr>
        <w:t xml:space="preserve"> проц.</w:t>
      </w:r>
      <w:r w:rsidRPr="0050653D">
        <w:rPr>
          <w:sz w:val="28"/>
          <w:szCs w:val="28"/>
        </w:rPr>
        <w:t>).</w:t>
      </w:r>
    </w:p>
    <w:p w:rsidR="000C4D0A" w:rsidRPr="0050653D" w:rsidRDefault="000C4D0A" w:rsidP="000C4D0A">
      <w:pPr>
        <w:shd w:val="clear" w:color="auto" w:fill="FFFFFF" w:themeFill="background1"/>
        <w:ind w:firstLine="709"/>
        <w:jc w:val="both"/>
        <w:rPr>
          <w:sz w:val="28"/>
          <w:szCs w:val="28"/>
        </w:rPr>
      </w:pPr>
      <w:r w:rsidRPr="0050653D">
        <w:rPr>
          <w:sz w:val="28"/>
          <w:szCs w:val="28"/>
        </w:rPr>
        <w:t>Производство продукции животноводства в хозяйствах всех категорий:</w:t>
      </w:r>
    </w:p>
    <w:p w:rsidR="000C4D0A" w:rsidRPr="0050653D" w:rsidRDefault="000C4D0A" w:rsidP="000C4D0A">
      <w:pPr>
        <w:shd w:val="clear" w:color="auto" w:fill="FFFFFF" w:themeFill="background1"/>
        <w:ind w:firstLine="709"/>
        <w:jc w:val="both"/>
        <w:rPr>
          <w:color w:val="000000"/>
          <w:sz w:val="28"/>
          <w:szCs w:val="28"/>
          <w:lang w:eastAsia="en-US"/>
        </w:rPr>
      </w:pPr>
      <w:r w:rsidRPr="0050653D">
        <w:rPr>
          <w:color w:val="000000"/>
          <w:sz w:val="28"/>
          <w:szCs w:val="28"/>
          <w:lang w:eastAsia="en-US"/>
        </w:rPr>
        <w:t xml:space="preserve">– мяса скота и птицы (на убой в живом весе) произведено </w:t>
      </w:r>
      <w:r w:rsidRPr="0050653D">
        <w:rPr>
          <w:color w:val="000000"/>
          <w:sz w:val="28"/>
          <w:szCs w:val="28"/>
        </w:rPr>
        <w:t>362,5 тыс. тонн (96,8</w:t>
      </w:r>
      <w:r w:rsidR="00EA1742" w:rsidRPr="0050653D">
        <w:rPr>
          <w:color w:val="000000"/>
          <w:sz w:val="28"/>
          <w:szCs w:val="28"/>
        </w:rPr>
        <w:t xml:space="preserve"> проц.</w:t>
      </w:r>
      <w:r w:rsidRPr="0050653D">
        <w:rPr>
          <w:color w:val="000000"/>
          <w:sz w:val="28"/>
          <w:szCs w:val="28"/>
        </w:rPr>
        <w:t xml:space="preserve"> к уровню 2020 года)</w:t>
      </w:r>
      <w:r w:rsidRPr="0050653D">
        <w:rPr>
          <w:color w:val="000000"/>
          <w:sz w:val="28"/>
          <w:szCs w:val="28"/>
          <w:lang w:eastAsia="en-US"/>
        </w:rPr>
        <w:t xml:space="preserve">, </w:t>
      </w:r>
    </w:p>
    <w:p w:rsidR="000C4D0A" w:rsidRPr="0050653D" w:rsidRDefault="000C4D0A" w:rsidP="000C4D0A">
      <w:pPr>
        <w:shd w:val="clear" w:color="auto" w:fill="FFFFFF" w:themeFill="background1"/>
        <w:ind w:firstLine="709"/>
        <w:jc w:val="both"/>
        <w:rPr>
          <w:color w:val="000000"/>
          <w:sz w:val="28"/>
          <w:szCs w:val="28"/>
          <w:lang w:eastAsia="en-US"/>
        </w:rPr>
      </w:pPr>
      <w:r w:rsidRPr="0050653D">
        <w:rPr>
          <w:color w:val="000000"/>
          <w:sz w:val="28"/>
          <w:szCs w:val="28"/>
          <w:lang w:eastAsia="en-US"/>
        </w:rPr>
        <w:t xml:space="preserve">– молока – </w:t>
      </w:r>
      <w:r w:rsidRPr="0050653D">
        <w:rPr>
          <w:color w:val="000000"/>
          <w:spacing w:val="7"/>
          <w:sz w:val="28"/>
          <w:szCs w:val="28"/>
        </w:rPr>
        <w:t>649,6 тыс. тонн (98,7</w:t>
      </w:r>
      <w:r w:rsidR="00EA1742" w:rsidRPr="0050653D">
        <w:rPr>
          <w:color w:val="000000"/>
          <w:spacing w:val="7"/>
          <w:sz w:val="28"/>
          <w:szCs w:val="28"/>
        </w:rPr>
        <w:t xml:space="preserve"> проц.</w:t>
      </w:r>
      <w:r w:rsidRPr="0050653D">
        <w:rPr>
          <w:color w:val="000000"/>
          <w:spacing w:val="7"/>
          <w:sz w:val="28"/>
          <w:szCs w:val="28"/>
        </w:rPr>
        <w:t xml:space="preserve"> к уровню 2020 года)</w:t>
      </w:r>
      <w:r w:rsidRPr="0050653D">
        <w:rPr>
          <w:color w:val="000000"/>
          <w:sz w:val="28"/>
          <w:szCs w:val="28"/>
          <w:lang w:eastAsia="en-US"/>
        </w:rPr>
        <w:t xml:space="preserve">, </w:t>
      </w:r>
    </w:p>
    <w:p w:rsidR="000C4D0A" w:rsidRPr="0050653D" w:rsidRDefault="000C4D0A" w:rsidP="000C4D0A">
      <w:pPr>
        <w:shd w:val="clear" w:color="auto" w:fill="FFFFFF" w:themeFill="background1"/>
        <w:ind w:firstLine="709"/>
        <w:jc w:val="both"/>
        <w:rPr>
          <w:color w:val="000000"/>
          <w:sz w:val="28"/>
          <w:szCs w:val="28"/>
        </w:rPr>
      </w:pPr>
      <w:r w:rsidRPr="0050653D">
        <w:rPr>
          <w:color w:val="000000"/>
          <w:sz w:val="28"/>
          <w:szCs w:val="28"/>
          <w:lang w:eastAsia="en-US"/>
        </w:rPr>
        <w:lastRenderedPageBreak/>
        <w:t xml:space="preserve">– яиц – </w:t>
      </w:r>
      <w:r w:rsidRPr="0050653D">
        <w:rPr>
          <w:color w:val="000000"/>
          <w:sz w:val="28"/>
          <w:szCs w:val="28"/>
        </w:rPr>
        <w:t xml:space="preserve">3,483 </w:t>
      </w:r>
      <w:proofErr w:type="gramStart"/>
      <w:r w:rsidRPr="0050653D">
        <w:rPr>
          <w:color w:val="000000"/>
          <w:sz w:val="28"/>
          <w:szCs w:val="28"/>
        </w:rPr>
        <w:t>млрд</w:t>
      </w:r>
      <w:proofErr w:type="gramEnd"/>
      <w:r w:rsidRPr="0050653D">
        <w:rPr>
          <w:color w:val="000000"/>
          <w:sz w:val="28"/>
          <w:szCs w:val="28"/>
        </w:rPr>
        <w:t xml:space="preserve"> шт. (108,7</w:t>
      </w:r>
      <w:r w:rsidR="00EA1742" w:rsidRPr="0050653D">
        <w:rPr>
          <w:color w:val="000000"/>
          <w:sz w:val="28"/>
          <w:szCs w:val="28"/>
        </w:rPr>
        <w:t xml:space="preserve"> проц.</w:t>
      </w:r>
      <w:r w:rsidRPr="0050653D">
        <w:rPr>
          <w:color w:val="000000"/>
          <w:sz w:val="28"/>
          <w:szCs w:val="28"/>
        </w:rPr>
        <w:t xml:space="preserve"> к уровню 2020 года), </w:t>
      </w:r>
    </w:p>
    <w:p w:rsidR="000C4D0A" w:rsidRPr="0050653D" w:rsidRDefault="000C4D0A" w:rsidP="000C4D0A">
      <w:pPr>
        <w:shd w:val="clear" w:color="auto" w:fill="FFFFFF" w:themeFill="background1"/>
        <w:ind w:firstLine="709"/>
        <w:jc w:val="both"/>
        <w:rPr>
          <w:color w:val="000000"/>
          <w:sz w:val="28"/>
          <w:szCs w:val="28"/>
          <w:lang w:eastAsia="en-US"/>
        </w:rPr>
      </w:pPr>
      <w:r w:rsidRPr="0050653D">
        <w:rPr>
          <w:color w:val="000000"/>
          <w:sz w:val="28"/>
          <w:szCs w:val="28"/>
        </w:rPr>
        <w:t>– </w:t>
      </w:r>
      <w:r w:rsidRPr="0050653D">
        <w:rPr>
          <w:color w:val="000000"/>
          <w:sz w:val="28"/>
          <w:szCs w:val="28"/>
          <w:lang w:eastAsia="en-US"/>
        </w:rPr>
        <w:t>надой молока на 1 фуражную</w:t>
      </w:r>
      <w:r w:rsidR="00955FDE" w:rsidRPr="0050653D">
        <w:rPr>
          <w:color w:val="000000"/>
          <w:sz w:val="28"/>
          <w:szCs w:val="28"/>
          <w:lang w:eastAsia="en-US"/>
        </w:rPr>
        <w:t xml:space="preserve"> </w:t>
      </w:r>
      <w:r w:rsidRPr="0050653D">
        <w:rPr>
          <w:color w:val="000000"/>
          <w:sz w:val="28"/>
          <w:szCs w:val="28"/>
          <w:lang w:eastAsia="en-US"/>
        </w:rPr>
        <w:t xml:space="preserve">корову без субъектов МСП и </w:t>
      </w:r>
      <w:proofErr w:type="spellStart"/>
      <w:r w:rsidRPr="0050653D">
        <w:rPr>
          <w:color w:val="000000"/>
          <w:sz w:val="28"/>
          <w:szCs w:val="28"/>
          <w:lang w:eastAsia="en-US"/>
        </w:rPr>
        <w:t>микропредприятий</w:t>
      </w:r>
      <w:proofErr w:type="spellEnd"/>
      <w:r w:rsidRPr="0050653D">
        <w:rPr>
          <w:color w:val="000000"/>
          <w:sz w:val="28"/>
          <w:szCs w:val="28"/>
          <w:lang w:eastAsia="en-US"/>
        </w:rPr>
        <w:t xml:space="preserve"> составил </w:t>
      </w:r>
      <w:r w:rsidRPr="0050653D">
        <w:rPr>
          <w:color w:val="000000"/>
          <w:spacing w:val="7"/>
          <w:sz w:val="28"/>
          <w:szCs w:val="28"/>
        </w:rPr>
        <w:t>9312 кг</w:t>
      </w:r>
      <w:r w:rsidR="00955FDE" w:rsidRPr="0050653D">
        <w:rPr>
          <w:color w:val="000000"/>
          <w:spacing w:val="7"/>
          <w:sz w:val="28"/>
          <w:szCs w:val="28"/>
        </w:rPr>
        <w:t xml:space="preserve"> </w:t>
      </w:r>
      <w:r w:rsidRPr="0050653D">
        <w:rPr>
          <w:color w:val="000000"/>
          <w:sz w:val="28"/>
          <w:szCs w:val="28"/>
          <w:lang w:eastAsia="en-US"/>
        </w:rPr>
        <w:t>(98,6</w:t>
      </w:r>
      <w:r w:rsidR="00EA1742" w:rsidRPr="0050653D">
        <w:rPr>
          <w:color w:val="000000"/>
          <w:sz w:val="28"/>
          <w:szCs w:val="28"/>
          <w:lang w:eastAsia="en-US"/>
        </w:rPr>
        <w:t xml:space="preserve"> проц.</w:t>
      </w:r>
      <w:r w:rsidRPr="0050653D">
        <w:rPr>
          <w:color w:val="000000"/>
          <w:spacing w:val="7"/>
          <w:sz w:val="28"/>
          <w:szCs w:val="28"/>
        </w:rPr>
        <w:t xml:space="preserve"> к уровню 2020 года</w:t>
      </w:r>
      <w:r w:rsidRPr="0050653D">
        <w:rPr>
          <w:color w:val="000000"/>
          <w:sz w:val="28"/>
          <w:szCs w:val="28"/>
          <w:lang w:eastAsia="en-US"/>
        </w:rPr>
        <w:t xml:space="preserve">), </w:t>
      </w:r>
    </w:p>
    <w:p w:rsidR="000C4D0A" w:rsidRPr="0050653D" w:rsidRDefault="000C4D0A" w:rsidP="000C4D0A">
      <w:pPr>
        <w:shd w:val="clear" w:color="auto" w:fill="FFFFFF" w:themeFill="background1"/>
        <w:ind w:firstLine="709"/>
        <w:jc w:val="both"/>
        <w:rPr>
          <w:color w:val="000000"/>
          <w:sz w:val="28"/>
          <w:szCs w:val="28"/>
          <w:lang w:eastAsia="en-US"/>
        </w:rPr>
      </w:pPr>
      <w:r w:rsidRPr="0050653D">
        <w:rPr>
          <w:color w:val="000000"/>
          <w:sz w:val="28"/>
          <w:szCs w:val="28"/>
          <w:lang w:eastAsia="en-US"/>
        </w:rPr>
        <w:t>– яйценоскость 1 курицы-несушки – 327 шт. (102,5</w:t>
      </w:r>
      <w:r w:rsidR="00EA1742" w:rsidRPr="0050653D">
        <w:rPr>
          <w:color w:val="000000"/>
          <w:sz w:val="28"/>
          <w:szCs w:val="28"/>
          <w:lang w:eastAsia="en-US"/>
        </w:rPr>
        <w:t xml:space="preserve"> проц.</w:t>
      </w:r>
      <w:r w:rsidRPr="0050653D">
        <w:rPr>
          <w:color w:val="000000"/>
          <w:sz w:val="28"/>
          <w:szCs w:val="28"/>
          <w:lang w:eastAsia="en-US"/>
        </w:rPr>
        <w:t xml:space="preserve"> к уровню 2020 года).</w:t>
      </w:r>
    </w:p>
    <w:p w:rsidR="000C4D0A" w:rsidRPr="0050653D" w:rsidRDefault="000C4D0A" w:rsidP="000C4D0A">
      <w:pPr>
        <w:shd w:val="clear" w:color="auto" w:fill="FFFFFF" w:themeFill="background1"/>
        <w:ind w:firstLine="709"/>
        <w:jc w:val="both"/>
        <w:outlineLvl w:val="1"/>
        <w:rPr>
          <w:color w:val="000000"/>
          <w:sz w:val="28"/>
          <w:szCs w:val="28"/>
        </w:rPr>
      </w:pPr>
      <w:r w:rsidRPr="0050653D">
        <w:rPr>
          <w:color w:val="000000"/>
          <w:sz w:val="28"/>
          <w:szCs w:val="28"/>
        </w:rPr>
        <w:t>Улов водных биоресурсов составил 22,2 тыс. тонн (89,2</w:t>
      </w:r>
      <w:r w:rsidR="00EA1742" w:rsidRPr="0050653D">
        <w:rPr>
          <w:color w:val="000000"/>
          <w:sz w:val="28"/>
          <w:szCs w:val="28"/>
        </w:rPr>
        <w:t xml:space="preserve"> проц.</w:t>
      </w:r>
      <w:r w:rsidRPr="0050653D">
        <w:rPr>
          <w:color w:val="000000"/>
          <w:sz w:val="28"/>
          <w:szCs w:val="28"/>
        </w:rPr>
        <w:t xml:space="preserve"> к уровню 2020 года), выращено 12,6 тыс. тонн товарной рыбной продукции (103</w:t>
      </w:r>
      <w:r w:rsidR="00EA1742" w:rsidRPr="0050653D">
        <w:rPr>
          <w:color w:val="000000"/>
          <w:sz w:val="28"/>
          <w:szCs w:val="28"/>
        </w:rPr>
        <w:t xml:space="preserve"> проц.</w:t>
      </w:r>
      <w:r w:rsidRPr="0050653D">
        <w:rPr>
          <w:color w:val="000000"/>
          <w:sz w:val="28"/>
          <w:szCs w:val="28"/>
        </w:rPr>
        <w:t xml:space="preserve"> к уровню 2020 года), товарный выпуск пищевой рыбной продукций – 62,7 тыс. тонн (97,7</w:t>
      </w:r>
      <w:r w:rsidR="00EA1742" w:rsidRPr="0050653D">
        <w:rPr>
          <w:color w:val="000000"/>
          <w:sz w:val="28"/>
          <w:szCs w:val="28"/>
        </w:rPr>
        <w:t xml:space="preserve"> проц.</w:t>
      </w:r>
      <w:r w:rsidRPr="0050653D">
        <w:rPr>
          <w:color w:val="000000"/>
          <w:sz w:val="28"/>
          <w:szCs w:val="28"/>
        </w:rPr>
        <w:t>).</w:t>
      </w:r>
    </w:p>
    <w:p w:rsidR="000C4D0A" w:rsidRPr="0050653D" w:rsidRDefault="000C4D0A" w:rsidP="000C4D0A">
      <w:pPr>
        <w:shd w:val="clear" w:color="auto" w:fill="FFFFFF" w:themeFill="background1"/>
        <w:ind w:firstLine="709"/>
        <w:jc w:val="both"/>
        <w:rPr>
          <w:sz w:val="28"/>
          <w:szCs w:val="28"/>
        </w:rPr>
      </w:pPr>
      <w:r w:rsidRPr="0050653D">
        <w:rPr>
          <w:sz w:val="28"/>
          <w:szCs w:val="28"/>
        </w:rPr>
        <w:t>По оценке 2022 года Ленинградская область с учетом непростой экономической ситуации в стране, в условиях роста цен на средства для производства сельскохозяйственной продукции (техника, оборудование, ГСМ, корма, удобрения, семена, расходные материалы, электроэнергия и т.д.) ставит перед собой задачу сохранения объёмов производства сельскохозяйственной продукции на уровне не ниже 2021 года.</w:t>
      </w:r>
    </w:p>
    <w:p w:rsidR="000C4D0A" w:rsidRPr="0050653D" w:rsidRDefault="000C4D0A" w:rsidP="000C4D0A">
      <w:pPr>
        <w:shd w:val="clear" w:color="auto" w:fill="FFFFFF" w:themeFill="background1"/>
        <w:ind w:firstLine="709"/>
        <w:jc w:val="both"/>
        <w:rPr>
          <w:sz w:val="28"/>
          <w:szCs w:val="28"/>
        </w:rPr>
      </w:pPr>
      <w:r w:rsidRPr="0050653D">
        <w:rPr>
          <w:sz w:val="28"/>
          <w:szCs w:val="28"/>
        </w:rPr>
        <w:t xml:space="preserve">Объем производства продукции сельского хозяйства составит 113,5 </w:t>
      </w:r>
      <w:proofErr w:type="gramStart"/>
      <w:r w:rsidRPr="0050653D">
        <w:rPr>
          <w:sz w:val="28"/>
          <w:szCs w:val="28"/>
        </w:rPr>
        <w:t>млрд</w:t>
      </w:r>
      <w:proofErr w:type="gramEnd"/>
      <w:r w:rsidRPr="0050653D">
        <w:rPr>
          <w:sz w:val="28"/>
          <w:szCs w:val="28"/>
        </w:rPr>
        <w:t xml:space="preserve"> руб., индекс производства составит 100,8</w:t>
      </w:r>
      <w:r w:rsidR="00EA1742" w:rsidRPr="0050653D">
        <w:rPr>
          <w:sz w:val="28"/>
          <w:szCs w:val="28"/>
        </w:rPr>
        <w:t xml:space="preserve"> проц.</w:t>
      </w:r>
      <w:r w:rsidRPr="0050653D">
        <w:rPr>
          <w:sz w:val="28"/>
          <w:szCs w:val="28"/>
        </w:rPr>
        <w:t xml:space="preserve"> к 2021 году.</w:t>
      </w:r>
    </w:p>
    <w:p w:rsidR="000C4D0A" w:rsidRPr="0050653D" w:rsidRDefault="000C4D0A" w:rsidP="000C4D0A">
      <w:pPr>
        <w:shd w:val="clear" w:color="auto" w:fill="FFFFFF" w:themeFill="background1"/>
        <w:ind w:firstLine="709"/>
        <w:jc w:val="both"/>
        <w:rPr>
          <w:sz w:val="28"/>
          <w:szCs w:val="28"/>
        </w:rPr>
      </w:pPr>
      <w:proofErr w:type="gramStart"/>
      <w:r w:rsidRPr="0050653D">
        <w:rPr>
          <w:sz w:val="28"/>
          <w:szCs w:val="28"/>
        </w:rPr>
        <w:t>Производство в растениеводстве составит: зерновые – 142 тыс. тонн (101,4</w:t>
      </w:r>
      <w:r w:rsidR="00EA1742" w:rsidRPr="0050653D">
        <w:rPr>
          <w:sz w:val="28"/>
          <w:szCs w:val="28"/>
        </w:rPr>
        <w:t xml:space="preserve"> проц.</w:t>
      </w:r>
      <w:r w:rsidRPr="0050653D">
        <w:rPr>
          <w:sz w:val="28"/>
          <w:szCs w:val="28"/>
        </w:rPr>
        <w:t>), картофель – 165,3 тыс. тонн (на уровне), овощи – 176,6 тыс. тонн (на уровне).</w:t>
      </w:r>
      <w:proofErr w:type="gramEnd"/>
    </w:p>
    <w:p w:rsidR="000C4D0A" w:rsidRPr="0050653D" w:rsidRDefault="000C4D0A" w:rsidP="000C4D0A">
      <w:pPr>
        <w:shd w:val="clear" w:color="auto" w:fill="FFFFFF" w:themeFill="background1"/>
        <w:ind w:firstLine="709"/>
        <w:jc w:val="both"/>
        <w:rPr>
          <w:sz w:val="28"/>
          <w:szCs w:val="28"/>
        </w:rPr>
      </w:pPr>
      <w:r w:rsidRPr="0050653D">
        <w:rPr>
          <w:sz w:val="28"/>
          <w:szCs w:val="28"/>
        </w:rPr>
        <w:t>Производство в животноводстве составит: мясо скота и птицы – 366,0 тыс. тонн (101,0</w:t>
      </w:r>
      <w:r w:rsidR="00EA1742" w:rsidRPr="0050653D">
        <w:rPr>
          <w:sz w:val="28"/>
          <w:szCs w:val="28"/>
        </w:rPr>
        <w:t xml:space="preserve"> проц.</w:t>
      </w:r>
      <w:r w:rsidRPr="0050653D">
        <w:rPr>
          <w:sz w:val="28"/>
          <w:szCs w:val="28"/>
        </w:rPr>
        <w:t>), молоко – 636,8 тыс. тонн (100,4</w:t>
      </w:r>
      <w:r w:rsidR="00EA1742" w:rsidRPr="0050653D">
        <w:rPr>
          <w:sz w:val="28"/>
          <w:szCs w:val="28"/>
        </w:rPr>
        <w:t xml:space="preserve"> проц.</w:t>
      </w:r>
      <w:r w:rsidRPr="0050653D">
        <w:rPr>
          <w:sz w:val="28"/>
          <w:szCs w:val="28"/>
        </w:rPr>
        <w:t xml:space="preserve">), яйца – 3,5 </w:t>
      </w:r>
      <w:proofErr w:type="gramStart"/>
      <w:r w:rsidRPr="0050653D">
        <w:rPr>
          <w:sz w:val="28"/>
          <w:szCs w:val="28"/>
        </w:rPr>
        <w:t>млрд</w:t>
      </w:r>
      <w:proofErr w:type="gramEnd"/>
      <w:r w:rsidRPr="0050653D">
        <w:rPr>
          <w:sz w:val="28"/>
          <w:szCs w:val="28"/>
        </w:rPr>
        <w:t xml:space="preserve"> шт. (100,5</w:t>
      </w:r>
      <w:r w:rsidR="00955FDE" w:rsidRPr="0050653D">
        <w:rPr>
          <w:sz w:val="28"/>
          <w:szCs w:val="28"/>
        </w:rPr>
        <w:t xml:space="preserve"> </w:t>
      </w:r>
      <w:r w:rsidR="00EA1742" w:rsidRPr="0050653D">
        <w:rPr>
          <w:sz w:val="28"/>
          <w:szCs w:val="28"/>
        </w:rPr>
        <w:t>проц.</w:t>
      </w:r>
      <w:r w:rsidRPr="0050653D">
        <w:rPr>
          <w:sz w:val="28"/>
          <w:szCs w:val="28"/>
        </w:rPr>
        <w:t>).</w:t>
      </w:r>
    </w:p>
    <w:p w:rsidR="000C4D0A" w:rsidRPr="0050653D" w:rsidRDefault="000C4D0A" w:rsidP="000C4D0A">
      <w:pPr>
        <w:shd w:val="clear" w:color="auto" w:fill="FFFFFF" w:themeFill="background1"/>
        <w:ind w:firstLine="709"/>
        <w:jc w:val="both"/>
        <w:rPr>
          <w:sz w:val="28"/>
          <w:szCs w:val="28"/>
        </w:rPr>
      </w:pPr>
      <w:r w:rsidRPr="0050653D">
        <w:rPr>
          <w:sz w:val="28"/>
          <w:szCs w:val="28"/>
        </w:rPr>
        <w:t xml:space="preserve">В 2022 году в регионе реализуется и планируется к реализации более 100 инвестиционных проектов на сумму свыше 50 </w:t>
      </w:r>
      <w:proofErr w:type="gramStart"/>
      <w:r w:rsidRPr="0050653D">
        <w:rPr>
          <w:sz w:val="28"/>
          <w:szCs w:val="28"/>
        </w:rPr>
        <w:t>млрд</w:t>
      </w:r>
      <w:proofErr w:type="gramEnd"/>
      <w:r w:rsidRPr="0050653D">
        <w:rPr>
          <w:sz w:val="28"/>
          <w:szCs w:val="28"/>
        </w:rPr>
        <w:t xml:space="preserve"> руб.</w:t>
      </w:r>
      <w:r w:rsidR="001E7823" w:rsidRPr="0050653D">
        <w:rPr>
          <w:sz w:val="28"/>
          <w:szCs w:val="28"/>
        </w:rPr>
        <w:t>, в том числе в р</w:t>
      </w:r>
      <w:r w:rsidRPr="0050653D">
        <w:rPr>
          <w:sz w:val="28"/>
          <w:szCs w:val="28"/>
        </w:rPr>
        <w:t>астениеводств</w:t>
      </w:r>
      <w:r w:rsidR="001E7823" w:rsidRPr="0050653D">
        <w:rPr>
          <w:sz w:val="28"/>
          <w:szCs w:val="28"/>
        </w:rPr>
        <w:t>е</w:t>
      </w:r>
      <w:r w:rsidRPr="0050653D">
        <w:rPr>
          <w:sz w:val="28"/>
          <w:szCs w:val="28"/>
        </w:rPr>
        <w:t>:</w:t>
      </w:r>
    </w:p>
    <w:p w:rsidR="000C4D0A" w:rsidRPr="0050653D" w:rsidRDefault="000C4D0A" w:rsidP="000C4D0A">
      <w:pPr>
        <w:shd w:val="clear" w:color="auto" w:fill="FFFFFF" w:themeFill="background1"/>
        <w:ind w:firstLine="709"/>
        <w:jc w:val="both"/>
        <w:rPr>
          <w:sz w:val="28"/>
          <w:szCs w:val="28"/>
        </w:rPr>
      </w:pPr>
      <w:r w:rsidRPr="0050653D">
        <w:rPr>
          <w:sz w:val="28"/>
          <w:szCs w:val="28"/>
        </w:rPr>
        <w:t xml:space="preserve">1. ООО «Круглый Год» (ООО «АПХ ЭКО-культура»): «Строительство второй очереди тепличного комплекса ООО «Круглый Год» по производству плодоовощной продукции защищенного грунта» на площади в 5,5 га, мощность – 2,7 тыс. тонн овощей в год, стоимость – 2,0 </w:t>
      </w:r>
      <w:proofErr w:type="gramStart"/>
      <w:r w:rsidRPr="0050653D">
        <w:rPr>
          <w:sz w:val="28"/>
          <w:szCs w:val="28"/>
        </w:rPr>
        <w:t>млрд</w:t>
      </w:r>
      <w:proofErr w:type="gramEnd"/>
      <w:r w:rsidRPr="0050653D">
        <w:rPr>
          <w:sz w:val="28"/>
          <w:szCs w:val="28"/>
        </w:rPr>
        <w:t xml:space="preserve"> </w:t>
      </w:r>
      <w:proofErr w:type="spellStart"/>
      <w:r w:rsidRPr="0050653D">
        <w:rPr>
          <w:sz w:val="28"/>
          <w:szCs w:val="28"/>
        </w:rPr>
        <w:t>руб</w:t>
      </w:r>
      <w:proofErr w:type="spellEnd"/>
      <w:r w:rsidRPr="0050653D">
        <w:rPr>
          <w:sz w:val="28"/>
          <w:szCs w:val="28"/>
        </w:rPr>
        <w:t>;</w:t>
      </w:r>
    </w:p>
    <w:p w:rsidR="000C4D0A" w:rsidRPr="0050653D" w:rsidRDefault="000C4D0A" w:rsidP="000C4D0A">
      <w:pPr>
        <w:shd w:val="clear" w:color="auto" w:fill="FFFFFF" w:themeFill="background1"/>
        <w:ind w:firstLine="709"/>
        <w:jc w:val="both"/>
        <w:rPr>
          <w:sz w:val="28"/>
          <w:szCs w:val="28"/>
        </w:rPr>
      </w:pPr>
      <w:r w:rsidRPr="0050653D">
        <w:rPr>
          <w:sz w:val="28"/>
          <w:szCs w:val="28"/>
        </w:rPr>
        <w:t xml:space="preserve">2. ООО «Дары природы»: «Строительство тепличного комплекса на 11,5 га», стоимость 5,9 </w:t>
      </w:r>
      <w:proofErr w:type="gramStart"/>
      <w:r w:rsidRPr="0050653D">
        <w:rPr>
          <w:sz w:val="28"/>
          <w:szCs w:val="28"/>
        </w:rPr>
        <w:t>млрд</w:t>
      </w:r>
      <w:proofErr w:type="gramEnd"/>
      <w:r w:rsidRPr="0050653D">
        <w:rPr>
          <w:sz w:val="28"/>
          <w:szCs w:val="28"/>
        </w:rPr>
        <w:t xml:space="preserve"> руб., мощность – 7 тыс. тонн продукции в год.</w:t>
      </w:r>
    </w:p>
    <w:p w:rsidR="000C4D0A" w:rsidRPr="0050653D" w:rsidRDefault="001E7823" w:rsidP="000C4D0A">
      <w:pPr>
        <w:shd w:val="clear" w:color="auto" w:fill="FFFFFF" w:themeFill="background1"/>
        <w:ind w:firstLine="709"/>
        <w:jc w:val="both"/>
        <w:rPr>
          <w:i/>
          <w:sz w:val="28"/>
          <w:szCs w:val="28"/>
        </w:rPr>
      </w:pPr>
      <w:r w:rsidRPr="0050653D">
        <w:rPr>
          <w:i/>
          <w:sz w:val="28"/>
          <w:szCs w:val="28"/>
        </w:rPr>
        <w:t>в животноводстве</w:t>
      </w:r>
      <w:r w:rsidR="000C4D0A" w:rsidRPr="0050653D">
        <w:rPr>
          <w:i/>
          <w:sz w:val="28"/>
          <w:szCs w:val="28"/>
        </w:rPr>
        <w:t>:</w:t>
      </w:r>
    </w:p>
    <w:p w:rsidR="000C4D0A" w:rsidRPr="0050653D" w:rsidRDefault="006E4001" w:rsidP="000C4D0A">
      <w:pPr>
        <w:shd w:val="clear" w:color="auto" w:fill="FFFFFF" w:themeFill="background1"/>
        <w:ind w:firstLine="709"/>
        <w:jc w:val="both"/>
        <w:rPr>
          <w:sz w:val="28"/>
          <w:szCs w:val="28"/>
        </w:rPr>
      </w:pPr>
      <w:r w:rsidRPr="0050653D">
        <w:rPr>
          <w:sz w:val="28"/>
          <w:szCs w:val="28"/>
        </w:rPr>
        <w:t>–</w:t>
      </w:r>
      <w:r w:rsidR="000C4D0A" w:rsidRPr="0050653D">
        <w:rPr>
          <w:sz w:val="28"/>
          <w:szCs w:val="28"/>
        </w:rPr>
        <w:t xml:space="preserve"> ООО «ИДАВАНГ Луга»: «Строительство фермы на 3,5 тыс. свиноматок мощностью 98 тыс. товарных свиней в год», мощность – 10 тыс. тонн мяса в год, стоимость – 3,7 </w:t>
      </w:r>
      <w:proofErr w:type="gramStart"/>
      <w:r w:rsidR="000C4D0A" w:rsidRPr="0050653D">
        <w:rPr>
          <w:sz w:val="28"/>
          <w:szCs w:val="28"/>
        </w:rPr>
        <w:t>млрд</w:t>
      </w:r>
      <w:proofErr w:type="gramEnd"/>
      <w:r w:rsidR="000C4D0A" w:rsidRPr="0050653D">
        <w:rPr>
          <w:sz w:val="28"/>
          <w:szCs w:val="28"/>
        </w:rPr>
        <w:t xml:space="preserve"> руб.;</w:t>
      </w:r>
    </w:p>
    <w:p w:rsidR="000C4D0A" w:rsidRPr="0050653D" w:rsidRDefault="006E4001" w:rsidP="000C4D0A">
      <w:pPr>
        <w:shd w:val="clear" w:color="auto" w:fill="FFFFFF" w:themeFill="background1"/>
        <w:ind w:firstLine="709"/>
        <w:jc w:val="both"/>
        <w:rPr>
          <w:sz w:val="28"/>
          <w:szCs w:val="28"/>
        </w:rPr>
      </w:pPr>
      <w:r w:rsidRPr="0050653D">
        <w:rPr>
          <w:sz w:val="28"/>
          <w:szCs w:val="28"/>
        </w:rPr>
        <w:t xml:space="preserve">– </w:t>
      </w:r>
      <w:r w:rsidR="000C4D0A" w:rsidRPr="0050653D">
        <w:rPr>
          <w:sz w:val="28"/>
          <w:szCs w:val="28"/>
        </w:rPr>
        <w:t>ООО «Племенной завод «Бугры»: «Строительство молочно-товарной фермы на 8 тыс. голов, в том числе 3,5 тыс. дойного стада», мощность</w:t>
      </w:r>
      <w:r w:rsidR="00955FDE" w:rsidRPr="0050653D">
        <w:rPr>
          <w:sz w:val="28"/>
          <w:szCs w:val="28"/>
        </w:rPr>
        <w:t xml:space="preserve"> </w:t>
      </w:r>
      <w:r w:rsidR="000C4D0A" w:rsidRPr="0050653D">
        <w:rPr>
          <w:sz w:val="28"/>
          <w:szCs w:val="28"/>
        </w:rPr>
        <w:t>–</w:t>
      </w:r>
      <w:r w:rsidR="00955FDE" w:rsidRPr="0050653D">
        <w:rPr>
          <w:sz w:val="28"/>
          <w:szCs w:val="28"/>
        </w:rPr>
        <w:t xml:space="preserve"> </w:t>
      </w:r>
      <w:r w:rsidR="000C4D0A" w:rsidRPr="0050653D">
        <w:rPr>
          <w:sz w:val="28"/>
          <w:szCs w:val="28"/>
        </w:rPr>
        <w:t>35</w:t>
      </w:r>
      <w:r w:rsidR="00955FDE" w:rsidRPr="0050653D">
        <w:rPr>
          <w:sz w:val="28"/>
          <w:szCs w:val="28"/>
        </w:rPr>
        <w:t xml:space="preserve"> </w:t>
      </w:r>
      <w:r w:rsidR="000C4D0A" w:rsidRPr="0050653D">
        <w:rPr>
          <w:sz w:val="28"/>
          <w:szCs w:val="28"/>
        </w:rPr>
        <w:t>тыс. тонн</w:t>
      </w:r>
      <w:r w:rsidR="00955FDE" w:rsidRPr="0050653D">
        <w:rPr>
          <w:sz w:val="28"/>
          <w:szCs w:val="28"/>
        </w:rPr>
        <w:t xml:space="preserve"> </w:t>
      </w:r>
      <w:r w:rsidR="000C4D0A" w:rsidRPr="0050653D">
        <w:rPr>
          <w:sz w:val="28"/>
          <w:szCs w:val="28"/>
        </w:rPr>
        <w:t xml:space="preserve">молока в год, стоимость – 2 </w:t>
      </w:r>
      <w:proofErr w:type="gramStart"/>
      <w:r w:rsidR="000C4D0A" w:rsidRPr="0050653D">
        <w:rPr>
          <w:sz w:val="28"/>
          <w:szCs w:val="28"/>
        </w:rPr>
        <w:t>млрд</w:t>
      </w:r>
      <w:proofErr w:type="gramEnd"/>
      <w:r w:rsidR="000C4D0A" w:rsidRPr="0050653D">
        <w:rPr>
          <w:sz w:val="28"/>
          <w:szCs w:val="28"/>
        </w:rPr>
        <w:t xml:space="preserve"> руб. </w:t>
      </w:r>
    </w:p>
    <w:p w:rsidR="000C4D0A" w:rsidRPr="0050653D" w:rsidRDefault="006E4001" w:rsidP="000C4D0A">
      <w:pPr>
        <w:shd w:val="clear" w:color="auto" w:fill="FFFFFF" w:themeFill="background1"/>
        <w:ind w:firstLine="709"/>
        <w:jc w:val="both"/>
        <w:rPr>
          <w:sz w:val="28"/>
          <w:szCs w:val="28"/>
        </w:rPr>
      </w:pPr>
      <w:r w:rsidRPr="0050653D">
        <w:rPr>
          <w:sz w:val="28"/>
          <w:szCs w:val="28"/>
        </w:rPr>
        <w:t xml:space="preserve">– </w:t>
      </w:r>
      <w:r w:rsidR="000C4D0A" w:rsidRPr="0050653D">
        <w:rPr>
          <w:sz w:val="28"/>
          <w:szCs w:val="28"/>
        </w:rPr>
        <w:t xml:space="preserve">АО «Птицефабрика «Северная»: «Расширение убойного цеха и строительство новых помещений убойного цеха», стоимость - 2,5 </w:t>
      </w:r>
      <w:proofErr w:type="gramStart"/>
      <w:r w:rsidR="000C4D0A" w:rsidRPr="0050653D">
        <w:rPr>
          <w:sz w:val="28"/>
          <w:szCs w:val="28"/>
        </w:rPr>
        <w:t>млрд</w:t>
      </w:r>
      <w:proofErr w:type="gramEnd"/>
      <w:r w:rsidR="000C4D0A" w:rsidRPr="0050653D">
        <w:rPr>
          <w:sz w:val="28"/>
          <w:szCs w:val="28"/>
        </w:rPr>
        <w:t xml:space="preserve"> руб. выход продукции – 214,5 тыс. тонн мяса птицы в год (убойный вес);</w:t>
      </w:r>
    </w:p>
    <w:p w:rsidR="000C4D0A" w:rsidRPr="0050653D" w:rsidRDefault="006E4001" w:rsidP="000C4D0A">
      <w:pPr>
        <w:shd w:val="clear" w:color="auto" w:fill="FFFFFF" w:themeFill="background1"/>
        <w:ind w:firstLine="709"/>
        <w:jc w:val="both"/>
        <w:rPr>
          <w:sz w:val="28"/>
          <w:szCs w:val="28"/>
        </w:rPr>
      </w:pPr>
      <w:r w:rsidRPr="0050653D">
        <w:rPr>
          <w:sz w:val="28"/>
          <w:szCs w:val="28"/>
        </w:rPr>
        <w:t xml:space="preserve">– </w:t>
      </w:r>
      <w:r w:rsidR="000C4D0A" w:rsidRPr="0050653D">
        <w:rPr>
          <w:sz w:val="28"/>
          <w:szCs w:val="28"/>
        </w:rPr>
        <w:t>АО «Птицефабрика «</w:t>
      </w:r>
      <w:proofErr w:type="spellStart"/>
      <w:r w:rsidR="000C4D0A" w:rsidRPr="0050653D">
        <w:rPr>
          <w:sz w:val="28"/>
          <w:szCs w:val="28"/>
        </w:rPr>
        <w:t>Войсковицы</w:t>
      </w:r>
      <w:proofErr w:type="spellEnd"/>
      <w:r w:rsidR="000C4D0A" w:rsidRPr="0050653D">
        <w:rPr>
          <w:sz w:val="28"/>
          <w:szCs w:val="28"/>
        </w:rPr>
        <w:t xml:space="preserve">»: «Строительство племенного птицеводческого репродуктора второго порядка для разведения племенной </w:t>
      </w:r>
      <w:r w:rsidR="000C4D0A" w:rsidRPr="0050653D">
        <w:rPr>
          <w:sz w:val="28"/>
          <w:szCs w:val="28"/>
        </w:rPr>
        <w:lastRenderedPageBreak/>
        <w:t xml:space="preserve">птицы», стоимость 3,5 </w:t>
      </w:r>
      <w:proofErr w:type="gramStart"/>
      <w:r w:rsidR="000C4D0A" w:rsidRPr="0050653D">
        <w:rPr>
          <w:sz w:val="28"/>
          <w:szCs w:val="28"/>
        </w:rPr>
        <w:t>млрд</w:t>
      </w:r>
      <w:proofErr w:type="gramEnd"/>
      <w:r w:rsidR="000C4D0A" w:rsidRPr="0050653D">
        <w:rPr>
          <w:sz w:val="28"/>
          <w:szCs w:val="28"/>
        </w:rPr>
        <w:t xml:space="preserve"> руб., мощность – 44,4 млн шт. инкубационных яиц в год;</w:t>
      </w:r>
    </w:p>
    <w:p w:rsidR="000C4D0A" w:rsidRPr="0050653D" w:rsidRDefault="006E4001" w:rsidP="000C4D0A">
      <w:pPr>
        <w:shd w:val="clear" w:color="auto" w:fill="FFFFFF" w:themeFill="background1"/>
        <w:ind w:firstLine="709"/>
        <w:jc w:val="both"/>
        <w:rPr>
          <w:sz w:val="28"/>
          <w:szCs w:val="28"/>
        </w:rPr>
      </w:pPr>
      <w:r w:rsidRPr="0050653D">
        <w:rPr>
          <w:sz w:val="28"/>
          <w:szCs w:val="28"/>
        </w:rPr>
        <w:t>–</w:t>
      </w:r>
      <w:r w:rsidR="000C4D0A" w:rsidRPr="0050653D">
        <w:rPr>
          <w:sz w:val="28"/>
          <w:szCs w:val="28"/>
        </w:rPr>
        <w:t xml:space="preserve"> АО «Птицефабрика «</w:t>
      </w:r>
      <w:proofErr w:type="spellStart"/>
      <w:r w:rsidR="000C4D0A" w:rsidRPr="0050653D">
        <w:rPr>
          <w:sz w:val="28"/>
          <w:szCs w:val="28"/>
        </w:rPr>
        <w:t>Роскар</w:t>
      </w:r>
      <w:proofErr w:type="spellEnd"/>
      <w:r w:rsidR="000C4D0A" w:rsidRPr="0050653D">
        <w:rPr>
          <w:sz w:val="28"/>
          <w:szCs w:val="28"/>
        </w:rPr>
        <w:t xml:space="preserve">»: «Модернизация птицеводческого комплекса (ввод в эксплуатацию 4х птичников по 200 тыс. </w:t>
      </w:r>
      <w:proofErr w:type="spellStart"/>
      <w:r w:rsidR="000C4D0A" w:rsidRPr="0050653D">
        <w:rPr>
          <w:sz w:val="28"/>
          <w:szCs w:val="28"/>
        </w:rPr>
        <w:t>птицемест</w:t>
      </w:r>
      <w:proofErr w:type="spellEnd"/>
      <w:r w:rsidR="000C4D0A" w:rsidRPr="0050653D">
        <w:rPr>
          <w:sz w:val="28"/>
          <w:szCs w:val="28"/>
        </w:rPr>
        <w:t xml:space="preserve"> каждый)», мощность – 200 </w:t>
      </w:r>
      <w:proofErr w:type="gramStart"/>
      <w:r w:rsidR="000C4D0A" w:rsidRPr="0050653D">
        <w:rPr>
          <w:sz w:val="28"/>
          <w:szCs w:val="28"/>
        </w:rPr>
        <w:t>млн</w:t>
      </w:r>
      <w:proofErr w:type="gramEnd"/>
      <w:r w:rsidR="000C4D0A" w:rsidRPr="0050653D">
        <w:rPr>
          <w:sz w:val="28"/>
          <w:szCs w:val="28"/>
        </w:rPr>
        <w:t xml:space="preserve"> шт. яиц в год, стоимость – 1,7</w:t>
      </w:r>
      <w:r w:rsidR="00955FDE" w:rsidRPr="0050653D">
        <w:rPr>
          <w:sz w:val="28"/>
          <w:szCs w:val="28"/>
        </w:rPr>
        <w:t xml:space="preserve"> </w:t>
      </w:r>
      <w:r w:rsidR="000C4D0A" w:rsidRPr="0050653D">
        <w:rPr>
          <w:sz w:val="28"/>
          <w:szCs w:val="28"/>
        </w:rPr>
        <w:t>млрд руб.</w:t>
      </w:r>
    </w:p>
    <w:p w:rsidR="000C4D0A" w:rsidRPr="0050653D" w:rsidRDefault="001E7823" w:rsidP="000C4D0A">
      <w:pPr>
        <w:shd w:val="clear" w:color="auto" w:fill="FFFFFF" w:themeFill="background1"/>
        <w:ind w:firstLine="709"/>
        <w:jc w:val="both"/>
        <w:rPr>
          <w:sz w:val="28"/>
          <w:szCs w:val="28"/>
        </w:rPr>
      </w:pPr>
      <w:proofErr w:type="spellStart"/>
      <w:r w:rsidRPr="0050653D">
        <w:rPr>
          <w:i/>
          <w:sz w:val="28"/>
          <w:szCs w:val="28"/>
        </w:rPr>
        <w:t>Рыбохозяйственный</w:t>
      </w:r>
      <w:proofErr w:type="spellEnd"/>
      <w:r w:rsidRPr="0050653D">
        <w:rPr>
          <w:i/>
          <w:sz w:val="28"/>
          <w:szCs w:val="28"/>
        </w:rPr>
        <w:t xml:space="preserve"> комплекс. </w:t>
      </w:r>
      <w:proofErr w:type="gramStart"/>
      <w:r w:rsidR="000C4D0A" w:rsidRPr="0050653D">
        <w:rPr>
          <w:sz w:val="28"/>
          <w:szCs w:val="28"/>
        </w:rPr>
        <w:t>За 2022 год объем добычи (улов) водных биоресурсов по всем районам промысла планируется на уровне 22,5 тыс. тонн (101,3</w:t>
      </w:r>
      <w:r w:rsidR="00EA1742" w:rsidRPr="0050653D">
        <w:rPr>
          <w:sz w:val="28"/>
          <w:szCs w:val="28"/>
        </w:rPr>
        <w:t xml:space="preserve"> проц.</w:t>
      </w:r>
      <w:r w:rsidR="000C4D0A" w:rsidRPr="0050653D">
        <w:rPr>
          <w:sz w:val="28"/>
          <w:szCs w:val="28"/>
        </w:rPr>
        <w:t xml:space="preserve"> к уровню 2021 года), объем производства (выращивания) продукции товарного рыбоводства (</w:t>
      </w:r>
      <w:proofErr w:type="spellStart"/>
      <w:r w:rsidR="000C4D0A" w:rsidRPr="0050653D">
        <w:rPr>
          <w:sz w:val="28"/>
          <w:szCs w:val="28"/>
        </w:rPr>
        <w:t>аквакультуры</w:t>
      </w:r>
      <w:proofErr w:type="spellEnd"/>
      <w:r w:rsidR="000C4D0A" w:rsidRPr="0050653D">
        <w:rPr>
          <w:sz w:val="28"/>
          <w:szCs w:val="28"/>
        </w:rPr>
        <w:t>) составит порядка 13,0 тыс. тонн (103</w:t>
      </w:r>
      <w:r w:rsidR="00EA1742" w:rsidRPr="0050653D">
        <w:rPr>
          <w:sz w:val="28"/>
          <w:szCs w:val="28"/>
        </w:rPr>
        <w:t xml:space="preserve"> проц.</w:t>
      </w:r>
      <w:r w:rsidR="000C4D0A" w:rsidRPr="0050653D">
        <w:rPr>
          <w:sz w:val="28"/>
          <w:szCs w:val="28"/>
        </w:rPr>
        <w:t xml:space="preserve"> к уровню 2021 года), объем переработки водных биоресурсов (рыбы и морепродуктов) составит порядка 34,0 тыс. тонн (на уровне 2021 года).</w:t>
      </w:r>
      <w:proofErr w:type="gramEnd"/>
      <w:r w:rsidR="000C4D0A" w:rsidRPr="0050653D">
        <w:rPr>
          <w:sz w:val="28"/>
          <w:szCs w:val="28"/>
        </w:rPr>
        <w:t xml:space="preserve"> Общий выпуск товарной пищевой рыбной продукции планируется на уровне</w:t>
      </w:r>
      <w:r w:rsidR="00955FDE" w:rsidRPr="0050653D">
        <w:rPr>
          <w:sz w:val="28"/>
          <w:szCs w:val="28"/>
        </w:rPr>
        <w:t xml:space="preserve"> </w:t>
      </w:r>
      <w:r w:rsidR="000C4D0A" w:rsidRPr="0050653D">
        <w:rPr>
          <w:sz w:val="28"/>
          <w:szCs w:val="28"/>
        </w:rPr>
        <w:t>63,0 тыс. тонн (на уровне 2021 года).</w:t>
      </w:r>
    </w:p>
    <w:p w:rsidR="000C4D0A" w:rsidRPr="0050653D" w:rsidRDefault="000C4D0A" w:rsidP="000C4D0A">
      <w:pPr>
        <w:shd w:val="clear" w:color="auto" w:fill="FFFFFF" w:themeFill="background1"/>
        <w:ind w:firstLine="709"/>
        <w:jc w:val="both"/>
        <w:rPr>
          <w:sz w:val="28"/>
          <w:szCs w:val="28"/>
        </w:rPr>
      </w:pPr>
      <w:r w:rsidRPr="0050653D">
        <w:rPr>
          <w:sz w:val="28"/>
          <w:szCs w:val="28"/>
        </w:rPr>
        <w:t>В 2022 году продолжится реализация следующих проектов:</w:t>
      </w:r>
    </w:p>
    <w:p w:rsidR="000C4D0A" w:rsidRPr="0050653D" w:rsidRDefault="006E4001" w:rsidP="000C4D0A">
      <w:pPr>
        <w:shd w:val="clear" w:color="auto" w:fill="FFFFFF" w:themeFill="background1"/>
        <w:ind w:firstLine="709"/>
        <w:jc w:val="both"/>
        <w:rPr>
          <w:sz w:val="28"/>
          <w:szCs w:val="28"/>
        </w:rPr>
      </w:pPr>
      <w:r w:rsidRPr="0050653D">
        <w:rPr>
          <w:sz w:val="28"/>
          <w:szCs w:val="28"/>
        </w:rPr>
        <w:t>–</w:t>
      </w:r>
      <w:r w:rsidR="000C4D0A" w:rsidRPr="0050653D">
        <w:rPr>
          <w:sz w:val="28"/>
          <w:szCs w:val="28"/>
        </w:rPr>
        <w:t xml:space="preserve"> ГК «</w:t>
      </w:r>
      <w:proofErr w:type="spellStart"/>
      <w:r w:rsidR="000C4D0A" w:rsidRPr="0050653D">
        <w:rPr>
          <w:sz w:val="28"/>
          <w:szCs w:val="28"/>
        </w:rPr>
        <w:t>Рыбстандарт</w:t>
      </w:r>
      <w:proofErr w:type="spellEnd"/>
      <w:r w:rsidR="000C4D0A" w:rsidRPr="0050653D">
        <w:rPr>
          <w:sz w:val="28"/>
          <w:szCs w:val="28"/>
        </w:rPr>
        <w:t>» (Выборгский район): В 2021 году введено в эксплуатацию 14 новых садков повышенной производственной мощности для выращивания форели (общая мощность введенных садков 500 тонн/</w:t>
      </w:r>
      <w:r w:rsidRPr="0050653D">
        <w:rPr>
          <w:sz w:val="28"/>
          <w:szCs w:val="28"/>
        </w:rPr>
        <w:t>год, инвестиции 34,3 млн. руб.);</w:t>
      </w:r>
    </w:p>
    <w:p w:rsidR="000C4D0A" w:rsidRPr="0050653D" w:rsidRDefault="006E4001" w:rsidP="000C4D0A">
      <w:pPr>
        <w:shd w:val="clear" w:color="auto" w:fill="FFFFFF" w:themeFill="background1"/>
        <w:ind w:firstLine="709"/>
        <w:jc w:val="both"/>
        <w:rPr>
          <w:sz w:val="28"/>
          <w:szCs w:val="28"/>
        </w:rPr>
      </w:pPr>
      <w:r w:rsidRPr="0050653D">
        <w:rPr>
          <w:sz w:val="28"/>
          <w:szCs w:val="28"/>
        </w:rPr>
        <w:t>–</w:t>
      </w:r>
      <w:r w:rsidR="000C4D0A" w:rsidRPr="0050653D">
        <w:rPr>
          <w:sz w:val="28"/>
          <w:szCs w:val="28"/>
        </w:rPr>
        <w:t xml:space="preserve"> ООО «Рыба</w:t>
      </w:r>
      <w:proofErr w:type="gramStart"/>
      <w:r w:rsidR="000C4D0A" w:rsidRPr="0050653D">
        <w:rPr>
          <w:sz w:val="28"/>
          <w:szCs w:val="28"/>
        </w:rPr>
        <w:t xml:space="preserve"> Т</w:t>
      </w:r>
      <w:proofErr w:type="gramEnd"/>
      <w:r w:rsidR="000C4D0A" w:rsidRPr="0050653D">
        <w:rPr>
          <w:sz w:val="28"/>
          <w:szCs w:val="28"/>
        </w:rPr>
        <w:t>ут» (</w:t>
      </w:r>
      <w:proofErr w:type="spellStart"/>
      <w:r w:rsidR="000C4D0A" w:rsidRPr="0050653D">
        <w:rPr>
          <w:sz w:val="28"/>
          <w:szCs w:val="28"/>
        </w:rPr>
        <w:t>Лужский</w:t>
      </w:r>
      <w:proofErr w:type="spellEnd"/>
      <w:r w:rsidR="000C4D0A" w:rsidRPr="0050653D">
        <w:rPr>
          <w:sz w:val="28"/>
          <w:szCs w:val="28"/>
        </w:rPr>
        <w:t xml:space="preserve"> район): строительство комплекса производственных мощностей по выращиванию рыбопосадочного материала радужной форели на основе использования установок замкнутого водоснабжения (УЗВ) </w:t>
      </w:r>
      <w:proofErr w:type="spellStart"/>
      <w:r w:rsidR="000C4D0A" w:rsidRPr="0050653D">
        <w:rPr>
          <w:sz w:val="28"/>
          <w:szCs w:val="28"/>
        </w:rPr>
        <w:t>завленной</w:t>
      </w:r>
      <w:proofErr w:type="spellEnd"/>
      <w:r w:rsidR="000C4D0A" w:rsidRPr="0050653D">
        <w:rPr>
          <w:sz w:val="28"/>
          <w:szCs w:val="28"/>
        </w:rPr>
        <w:t xml:space="preserve"> мощностью до 100 тонн рыбы в год.</w:t>
      </w:r>
    </w:p>
    <w:p w:rsidR="000C4D0A" w:rsidRPr="0050653D" w:rsidRDefault="006E4001" w:rsidP="000C4D0A">
      <w:pPr>
        <w:shd w:val="clear" w:color="auto" w:fill="FFFFFF" w:themeFill="background1"/>
        <w:ind w:firstLine="709"/>
        <w:jc w:val="both"/>
        <w:rPr>
          <w:sz w:val="28"/>
          <w:szCs w:val="28"/>
        </w:rPr>
      </w:pPr>
      <w:r w:rsidRPr="0050653D">
        <w:rPr>
          <w:sz w:val="28"/>
          <w:szCs w:val="28"/>
        </w:rPr>
        <w:t xml:space="preserve">– </w:t>
      </w:r>
      <w:r w:rsidR="000C4D0A" w:rsidRPr="0050653D">
        <w:rPr>
          <w:sz w:val="28"/>
          <w:szCs w:val="28"/>
        </w:rPr>
        <w:t>ООО «СХП «Кузнечное» (</w:t>
      </w:r>
      <w:proofErr w:type="spellStart"/>
      <w:r w:rsidR="000C4D0A" w:rsidRPr="0050653D">
        <w:rPr>
          <w:sz w:val="28"/>
          <w:szCs w:val="28"/>
        </w:rPr>
        <w:t>Приозерский</w:t>
      </w:r>
      <w:proofErr w:type="spellEnd"/>
      <w:r w:rsidR="000C4D0A" w:rsidRPr="0050653D">
        <w:rPr>
          <w:sz w:val="28"/>
          <w:szCs w:val="28"/>
        </w:rPr>
        <w:t xml:space="preserve"> район): строительство новых рыбоводных садков с целью замены вы</w:t>
      </w:r>
      <w:r w:rsidRPr="0050653D">
        <w:rPr>
          <w:sz w:val="28"/>
          <w:szCs w:val="28"/>
        </w:rPr>
        <w:t>водимых из эксплуатации (7 шт.);</w:t>
      </w:r>
    </w:p>
    <w:p w:rsidR="000C4D0A" w:rsidRPr="0050653D" w:rsidRDefault="006E4001" w:rsidP="000C4D0A">
      <w:pPr>
        <w:shd w:val="clear" w:color="auto" w:fill="FFFFFF" w:themeFill="background1"/>
        <w:ind w:firstLine="709"/>
        <w:jc w:val="both"/>
        <w:rPr>
          <w:sz w:val="28"/>
          <w:szCs w:val="28"/>
        </w:rPr>
      </w:pPr>
      <w:r w:rsidRPr="0050653D">
        <w:rPr>
          <w:sz w:val="28"/>
          <w:szCs w:val="28"/>
        </w:rPr>
        <w:t xml:space="preserve">– </w:t>
      </w:r>
      <w:r w:rsidR="000C4D0A" w:rsidRPr="0050653D">
        <w:rPr>
          <w:sz w:val="28"/>
          <w:szCs w:val="28"/>
        </w:rPr>
        <w:t>ООО «Северная креветка» (</w:t>
      </w:r>
      <w:proofErr w:type="spellStart"/>
      <w:r w:rsidR="000C4D0A" w:rsidRPr="0050653D">
        <w:rPr>
          <w:sz w:val="28"/>
          <w:szCs w:val="28"/>
        </w:rPr>
        <w:t>Тосненский</w:t>
      </w:r>
      <w:proofErr w:type="spellEnd"/>
      <w:r w:rsidR="000C4D0A" w:rsidRPr="0050653D">
        <w:rPr>
          <w:sz w:val="28"/>
          <w:szCs w:val="28"/>
        </w:rPr>
        <w:t xml:space="preserve"> район): перевод комплекса в Гатчинский район и расширение производственных мощностей по выращиванию различных объектов </w:t>
      </w:r>
      <w:proofErr w:type="spellStart"/>
      <w:r w:rsidR="000C4D0A" w:rsidRPr="0050653D">
        <w:rPr>
          <w:sz w:val="28"/>
          <w:szCs w:val="28"/>
        </w:rPr>
        <w:t>аквакультуры</w:t>
      </w:r>
      <w:proofErr w:type="spellEnd"/>
      <w:r w:rsidR="000C4D0A" w:rsidRPr="0050653D">
        <w:rPr>
          <w:sz w:val="28"/>
          <w:szCs w:val="28"/>
        </w:rPr>
        <w:t>, включая морскую креветку.</w:t>
      </w:r>
    </w:p>
    <w:p w:rsidR="000C4D0A" w:rsidRPr="0050653D" w:rsidRDefault="000C4D0A" w:rsidP="000C4D0A">
      <w:pPr>
        <w:shd w:val="clear" w:color="auto" w:fill="FFFFFF" w:themeFill="background1"/>
        <w:ind w:firstLine="709"/>
        <w:jc w:val="both"/>
        <w:rPr>
          <w:sz w:val="28"/>
          <w:szCs w:val="28"/>
        </w:rPr>
      </w:pPr>
      <w:r w:rsidRPr="0050653D">
        <w:rPr>
          <w:sz w:val="28"/>
          <w:szCs w:val="28"/>
        </w:rPr>
        <w:t>Существенных колебаний в тенденциях развития агропромышленного комплекса Ленинградской области на 2023-2025 годы не прогнозируется.</w:t>
      </w:r>
    </w:p>
    <w:p w:rsidR="000C4D0A" w:rsidRPr="0050653D" w:rsidRDefault="000C4D0A" w:rsidP="000C4D0A">
      <w:pPr>
        <w:shd w:val="clear" w:color="auto" w:fill="FFFFFF" w:themeFill="background1"/>
        <w:ind w:firstLine="709"/>
        <w:jc w:val="both"/>
        <w:rPr>
          <w:sz w:val="28"/>
          <w:szCs w:val="28"/>
        </w:rPr>
      </w:pPr>
      <w:r w:rsidRPr="0050653D">
        <w:rPr>
          <w:sz w:val="28"/>
          <w:szCs w:val="28"/>
        </w:rPr>
        <w:t xml:space="preserve">Ленинградская область, в соответствии со своим географическим положением, находится в зоне рискованного земледелия. Поэтому современное растениеводство региона ориентировано на внедрение инновационных технологий, направленных на сохранение и повышение плодородия почв, увеличение валовых сборов </w:t>
      </w:r>
      <w:proofErr w:type="spellStart"/>
      <w:r w:rsidRPr="0050653D">
        <w:rPr>
          <w:sz w:val="28"/>
          <w:szCs w:val="28"/>
        </w:rPr>
        <w:t>сельхозкультур</w:t>
      </w:r>
      <w:proofErr w:type="spellEnd"/>
      <w:r w:rsidRPr="0050653D">
        <w:rPr>
          <w:sz w:val="28"/>
          <w:szCs w:val="28"/>
        </w:rPr>
        <w:t>, снижение зависимости сельхозпроизводства от влияния неблагоприятных природно-климатических условий, повышение производительности труда и механизации трудоемких производственных процессов.</w:t>
      </w:r>
    </w:p>
    <w:p w:rsidR="000C4D0A" w:rsidRPr="0050653D" w:rsidRDefault="000C4D0A" w:rsidP="000C4D0A">
      <w:pPr>
        <w:shd w:val="clear" w:color="auto" w:fill="FFFFFF" w:themeFill="background1"/>
        <w:ind w:firstLine="709"/>
        <w:jc w:val="both"/>
        <w:rPr>
          <w:sz w:val="28"/>
          <w:szCs w:val="28"/>
        </w:rPr>
      </w:pPr>
      <w:r w:rsidRPr="0050653D">
        <w:rPr>
          <w:sz w:val="28"/>
          <w:szCs w:val="28"/>
        </w:rPr>
        <w:t>Рост качественных показателей в растениеводстве будет осуществляться за счет использования современных машин полного цикла, многофункциональных агрегатов, применения элементов точного земледелия, расширения числа предприятий имеющих замкнутые технологические комплексы в производстве товарных культур и предпродажную подготовку продукции. В прогнозируемый период планируется увеличение посевных</w:t>
      </w:r>
      <w:r w:rsidR="00955FDE" w:rsidRPr="0050653D">
        <w:rPr>
          <w:sz w:val="28"/>
          <w:szCs w:val="28"/>
        </w:rPr>
        <w:t xml:space="preserve"> </w:t>
      </w:r>
      <w:r w:rsidRPr="0050653D">
        <w:rPr>
          <w:sz w:val="28"/>
          <w:szCs w:val="28"/>
        </w:rPr>
        <w:t xml:space="preserve">площадей за счет введения ранее неиспользуемых сельхозугодий, а также повышение урожайности </w:t>
      </w:r>
      <w:proofErr w:type="spellStart"/>
      <w:r w:rsidRPr="0050653D">
        <w:rPr>
          <w:sz w:val="28"/>
          <w:szCs w:val="28"/>
        </w:rPr>
        <w:t>сельхозкультур</w:t>
      </w:r>
      <w:proofErr w:type="spellEnd"/>
      <w:r w:rsidRPr="0050653D">
        <w:rPr>
          <w:sz w:val="28"/>
          <w:szCs w:val="28"/>
        </w:rPr>
        <w:t xml:space="preserve">. </w:t>
      </w:r>
    </w:p>
    <w:p w:rsidR="000C4D0A" w:rsidRPr="0050653D" w:rsidRDefault="000C4D0A" w:rsidP="000C4D0A">
      <w:pPr>
        <w:shd w:val="clear" w:color="auto" w:fill="FFFFFF" w:themeFill="background1"/>
        <w:ind w:firstLine="709"/>
        <w:jc w:val="both"/>
        <w:rPr>
          <w:sz w:val="28"/>
          <w:szCs w:val="28"/>
        </w:rPr>
      </w:pPr>
      <w:r w:rsidRPr="0050653D">
        <w:rPr>
          <w:sz w:val="28"/>
          <w:szCs w:val="28"/>
        </w:rPr>
        <w:lastRenderedPageBreak/>
        <w:t xml:space="preserve">Рост объемов производства сельхозпродукции в животноводстве будет обеспечиваться за счет увеличения поголовья и повышения продуктивности </w:t>
      </w:r>
      <w:proofErr w:type="spellStart"/>
      <w:r w:rsidRPr="0050653D">
        <w:rPr>
          <w:sz w:val="28"/>
          <w:szCs w:val="28"/>
        </w:rPr>
        <w:t>сельхозживотных</w:t>
      </w:r>
      <w:proofErr w:type="spellEnd"/>
      <w:r w:rsidRPr="0050653D">
        <w:rPr>
          <w:sz w:val="28"/>
          <w:szCs w:val="28"/>
        </w:rPr>
        <w:t>, обновления парка сельхозтехники и оборудования, производственного потенциала введенных объектов в предыдущих годах, модернизации действующих и введения новых современных производственных комплексов. Особое внимание будет уделяться государственной поддержке развития семейных животноводческих ферм и сельскохозяйственных потребительских кооперативов.</w:t>
      </w:r>
    </w:p>
    <w:p w:rsidR="000C4D0A" w:rsidRPr="0050653D" w:rsidRDefault="000C4D0A" w:rsidP="000C4D0A">
      <w:pPr>
        <w:shd w:val="clear" w:color="auto" w:fill="FFFFFF" w:themeFill="background1"/>
        <w:ind w:firstLine="709"/>
        <w:jc w:val="both"/>
        <w:rPr>
          <w:sz w:val="28"/>
          <w:szCs w:val="28"/>
        </w:rPr>
      </w:pPr>
      <w:r w:rsidRPr="0050653D">
        <w:rPr>
          <w:sz w:val="28"/>
          <w:szCs w:val="28"/>
        </w:rPr>
        <w:t>Наиболее крупными проектами в период с 2023 по 2025 год в сельском хозяйстве региона будут являться: АО Птицефабрика «</w:t>
      </w:r>
      <w:proofErr w:type="spellStart"/>
      <w:r w:rsidRPr="0050653D">
        <w:rPr>
          <w:sz w:val="28"/>
          <w:szCs w:val="28"/>
        </w:rPr>
        <w:t>Роскар</w:t>
      </w:r>
      <w:proofErr w:type="spellEnd"/>
      <w:r w:rsidRPr="0050653D">
        <w:rPr>
          <w:sz w:val="28"/>
          <w:szCs w:val="28"/>
        </w:rPr>
        <w:t xml:space="preserve">»: Модернизация птицеводческого комплекса яичного направления (ввод в эксплуатацию 6 птичников по 200 тыс. </w:t>
      </w:r>
      <w:proofErr w:type="spellStart"/>
      <w:r w:rsidRPr="0050653D">
        <w:rPr>
          <w:sz w:val="28"/>
          <w:szCs w:val="28"/>
        </w:rPr>
        <w:t>птицемест</w:t>
      </w:r>
      <w:proofErr w:type="spellEnd"/>
      <w:r w:rsidRPr="0050653D">
        <w:rPr>
          <w:sz w:val="28"/>
          <w:szCs w:val="28"/>
        </w:rPr>
        <w:t xml:space="preserve"> каждый), строительство элеватора, общая стоимость - 2,5 </w:t>
      </w:r>
      <w:proofErr w:type="gramStart"/>
      <w:r w:rsidRPr="0050653D">
        <w:rPr>
          <w:sz w:val="28"/>
          <w:szCs w:val="28"/>
        </w:rPr>
        <w:t>млрд</w:t>
      </w:r>
      <w:proofErr w:type="gramEnd"/>
      <w:r w:rsidRPr="0050653D">
        <w:rPr>
          <w:sz w:val="28"/>
          <w:szCs w:val="28"/>
        </w:rPr>
        <w:t xml:space="preserve"> руб.; ООО «</w:t>
      </w:r>
      <w:proofErr w:type="spellStart"/>
      <w:r w:rsidRPr="0050653D">
        <w:rPr>
          <w:sz w:val="28"/>
          <w:szCs w:val="28"/>
        </w:rPr>
        <w:t>Племзавод</w:t>
      </w:r>
      <w:proofErr w:type="spellEnd"/>
      <w:r w:rsidRPr="0050653D">
        <w:rPr>
          <w:sz w:val="28"/>
          <w:szCs w:val="28"/>
        </w:rPr>
        <w:t xml:space="preserve"> «</w:t>
      </w:r>
      <w:proofErr w:type="spellStart"/>
      <w:r w:rsidRPr="0050653D">
        <w:rPr>
          <w:sz w:val="28"/>
          <w:szCs w:val="28"/>
        </w:rPr>
        <w:t>Детскосельский</w:t>
      </w:r>
      <w:proofErr w:type="spellEnd"/>
      <w:r w:rsidRPr="0050653D">
        <w:rPr>
          <w:sz w:val="28"/>
          <w:szCs w:val="28"/>
        </w:rPr>
        <w:t>»: «</w:t>
      </w:r>
      <w:proofErr w:type="spellStart"/>
      <w:r w:rsidRPr="0050653D">
        <w:rPr>
          <w:sz w:val="28"/>
          <w:szCs w:val="28"/>
        </w:rPr>
        <w:t>троительство</w:t>
      </w:r>
      <w:proofErr w:type="spellEnd"/>
      <w:r w:rsidRPr="0050653D">
        <w:rPr>
          <w:sz w:val="28"/>
          <w:szCs w:val="28"/>
        </w:rPr>
        <w:t xml:space="preserve"> молочно-товарной фермы на 2000 голов дойного стада», мощность – 2 тыс. голов, стоимость – 2,0 млрд руб.</w:t>
      </w:r>
    </w:p>
    <w:p w:rsidR="000C4D0A" w:rsidRPr="0050653D" w:rsidRDefault="000C4D0A" w:rsidP="000C4D0A">
      <w:pPr>
        <w:shd w:val="clear" w:color="auto" w:fill="FFFFFF" w:themeFill="background1"/>
        <w:ind w:firstLine="709"/>
        <w:jc w:val="both"/>
        <w:rPr>
          <w:sz w:val="28"/>
          <w:szCs w:val="28"/>
        </w:rPr>
      </w:pPr>
      <w:proofErr w:type="gramStart"/>
      <w:r w:rsidRPr="0050653D">
        <w:rPr>
          <w:sz w:val="28"/>
          <w:szCs w:val="28"/>
        </w:rPr>
        <w:t xml:space="preserve">С учетом ограниченности запаса водных биоресурсов, и возможности ежегодного вылова не более 28 тыс. тонн рыбы, увеличение объемов производства товарной рыбной продукции в прогнозируемый период будет осуществляться за счет роста объемов продукции товарной </w:t>
      </w:r>
      <w:proofErr w:type="spellStart"/>
      <w:r w:rsidRPr="0050653D">
        <w:rPr>
          <w:sz w:val="28"/>
          <w:szCs w:val="28"/>
        </w:rPr>
        <w:t>аквакультуры</w:t>
      </w:r>
      <w:proofErr w:type="spellEnd"/>
      <w:r w:rsidRPr="0050653D">
        <w:rPr>
          <w:sz w:val="28"/>
          <w:szCs w:val="28"/>
        </w:rPr>
        <w:t xml:space="preserve"> и повышения процента освоения водных биоресурсов при промышленном и прибрежном рыболовстве до разрешенного порога в 28 тыс. тонн. </w:t>
      </w:r>
      <w:proofErr w:type="gramEnd"/>
    </w:p>
    <w:p w:rsidR="00D15B89" w:rsidRPr="0050653D" w:rsidRDefault="000C4D0A" w:rsidP="000C4D0A">
      <w:pPr>
        <w:tabs>
          <w:tab w:val="left" w:pos="708"/>
          <w:tab w:val="left" w:pos="1418"/>
        </w:tabs>
        <w:ind w:firstLine="709"/>
        <w:jc w:val="both"/>
        <w:rPr>
          <w:bCs/>
          <w:iCs/>
          <w:sz w:val="28"/>
          <w:szCs w:val="28"/>
        </w:rPr>
      </w:pPr>
      <w:r w:rsidRPr="0050653D">
        <w:rPr>
          <w:sz w:val="28"/>
          <w:szCs w:val="28"/>
        </w:rPr>
        <w:t xml:space="preserve">Особое внимание будет уделяться реализации инвестиционных проектов с </w:t>
      </w:r>
      <w:proofErr w:type="spellStart"/>
      <w:r w:rsidRPr="0050653D">
        <w:rPr>
          <w:sz w:val="28"/>
          <w:szCs w:val="28"/>
        </w:rPr>
        <w:t>грантовой</w:t>
      </w:r>
      <w:proofErr w:type="spellEnd"/>
      <w:r w:rsidRPr="0050653D">
        <w:rPr>
          <w:sz w:val="28"/>
          <w:szCs w:val="28"/>
        </w:rPr>
        <w:t xml:space="preserve"> поддержкой фермерских хозяйств по созданию садковых линий и</w:t>
      </w:r>
      <w:r w:rsidR="00955FDE" w:rsidRPr="0050653D">
        <w:rPr>
          <w:sz w:val="28"/>
          <w:szCs w:val="28"/>
        </w:rPr>
        <w:t xml:space="preserve"> </w:t>
      </w:r>
      <w:r w:rsidRPr="0050653D">
        <w:rPr>
          <w:sz w:val="28"/>
          <w:szCs w:val="28"/>
        </w:rPr>
        <w:t>производств на основе установок замкнутого водоснабжения по выращиванию товарной рыбоводной продукции. Планируется развитие на территории области производства кормов для ценных видов рыб (лососевых и осетровых) и рыбопитомников по производству рыбопосадочного материала форели.</w:t>
      </w:r>
    </w:p>
    <w:p w:rsidR="00147A8F" w:rsidRPr="0050653D" w:rsidRDefault="00147A8F" w:rsidP="006B553F">
      <w:pPr>
        <w:spacing w:line="216" w:lineRule="auto"/>
        <w:ind w:firstLine="709"/>
        <w:jc w:val="both"/>
        <w:rPr>
          <w:color w:val="000000" w:themeColor="text1"/>
          <w:sz w:val="16"/>
          <w:szCs w:val="16"/>
        </w:rPr>
      </w:pPr>
    </w:p>
    <w:p w:rsidR="00147A8F" w:rsidRPr="0050653D" w:rsidRDefault="007A245B" w:rsidP="009A08E0">
      <w:pPr>
        <w:widowControl w:val="0"/>
        <w:jc w:val="center"/>
        <w:rPr>
          <w:sz w:val="28"/>
          <w:szCs w:val="28"/>
        </w:rPr>
      </w:pPr>
      <w:r w:rsidRPr="0050653D">
        <w:rPr>
          <w:sz w:val="28"/>
          <w:szCs w:val="28"/>
        </w:rPr>
        <w:t>Строительство</w:t>
      </w:r>
    </w:p>
    <w:p w:rsidR="00147A8F" w:rsidRPr="0050653D" w:rsidRDefault="00147A8F" w:rsidP="006B553F">
      <w:pPr>
        <w:widowControl w:val="0"/>
        <w:spacing w:line="216" w:lineRule="auto"/>
        <w:ind w:firstLine="709"/>
        <w:jc w:val="both"/>
        <w:rPr>
          <w:sz w:val="16"/>
          <w:szCs w:val="16"/>
        </w:rPr>
      </w:pPr>
    </w:p>
    <w:p w:rsidR="001E7823" w:rsidRPr="0050653D" w:rsidRDefault="001E7823" w:rsidP="001E7823">
      <w:pPr>
        <w:shd w:val="clear" w:color="auto" w:fill="FFFFFF" w:themeFill="background1"/>
        <w:ind w:firstLine="709"/>
        <w:jc w:val="both"/>
        <w:rPr>
          <w:sz w:val="28"/>
          <w:szCs w:val="28"/>
        </w:rPr>
      </w:pPr>
      <w:r w:rsidRPr="0050653D">
        <w:rPr>
          <w:sz w:val="28"/>
          <w:szCs w:val="28"/>
        </w:rPr>
        <w:t>Объем выполненных работ по виду деятельности «Строительство» в 2021</w:t>
      </w:r>
      <w:r w:rsidR="006E4001" w:rsidRPr="0050653D">
        <w:rPr>
          <w:sz w:val="28"/>
          <w:szCs w:val="28"/>
        </w:rPr>
        <w:t> </w:t>
      </w:r>
      <w:r w:rsidRPr="0050653D">
        <w:rPr>
          <w:sz w:val="28"/>
          <w:szCs w:val="28"/>
        </w:rPr>
        <w:t>году составил 227,4 </w:t>
      </w:r>
      <w:proofErr w:type="gramStart"/>
      <w:r w:rsidRPr="0050653D">
        <w:rPr>
          <w:sz w:val="28"/>
          <w:szCs w:val="28"/>
        </w:rPr>
        <w:t>млрд</w:t>
      </w:r>
      <w:proofErr w:type="gramEnd"/>
      <w:r w:rsidRPr="0050653D">
        <w:rPr>
          <w:sz w:val="28"/>
          <w:szCs w:val="28"/>
        </w:rPr>
        <w:t xml:space="preserve"> руб. (107,7</w:t>
      </w:r>
      <w:r w:rsidR="00EA1742" w:rsidRPr="0050653D">
        <w:rPr>
          <w:sz w:val="28"/>
          <w:szCs w:val="28"/>
        </w:rPr>
        <w:t xml:space="preserve"> проц.</w:t>
      </w:r>
      <w:r w:rsidRPr="0050653D">
        <w:rPr>
          <w:sz w:val="28"/>
          <w:szCs w:val="28"/>
        </w:rPr>
        <w:t xml:space="preserve"> к 202</w:t>
      </w:r>
      <w:r w:rsidR="006E4001" w:rsidRPr="0050653D">
        <w:rPr>
          <w:sz w:val="28"/>
          <w:szCs w:val="28"/>
        </w:rPr>
        <w:t>0</w:t>
      </w:r>
      <w:r w:rsidRPr="0050653D">
        <w:rPr>
          <w:sz w:val="28"/>
          <w:szCs w:val="28"/>
        </w:rPr>
        <w:t xml:space="preserve"> году). </w:t>
      </w:r>
    </w:p>
    <w:p w:rsidR="001E7823" w:rsidRPr="0050653D" w:rsidRDefault="001E7823" w:rsidP="001E7823">
      <w:pPr>
        <w:shd w:val="clear" w:color="auto" w:fill="FFFFFF" w:themeFill="background1"/>
        <w:ind w:firstLine="709"/>
        <w:jc w:val="both"/>
        <w:rPr>
          <w:sz w:val="28"/>
          <w:szCs w:val="28"/>
        </w:rPr>
      </w:pPr>
      <w:r w:rsidRPr="0050653D">
        <w:rPr>
          <w:sz w:val="28"/>
          <w:szCs w:val="28"/>
        </w:rPr>
        <w:t xml:space="preserve">Объем выполненных подрядных работ за 2022 года (оценка) составит 265,3 </w:t>
      </w:r>
      <w:r w:rsidR="006E4001" w:rsidRPr="0050653D">
        <w:rPr>
          <w:sz w:val="28"/>
          <w:szCs w:val="28"/>
        </w:rPr>
        <w:t> </w:t>
      </w:r>
      <w:proofErr w:type="spellStart"/>
      <w:r w:rsidRPr="0050653D">
        <w:rPr>
          <w:sz w:val="28"/>
          <w:szCs w:val="28"/>
        </w:rPr>
        <w:t>лрд</w:t>
      </w:r>
      <w:proofErr w:type="spellEnd"/>
      <w:r w:rsidRPr="0050653D">
        <w:rPr>
          <w:sz w:val="28"/>
          <w:szCs w:val="28"/>
        </w:rPr>
        <w:t xml:space="preserve"> руб. (105,2</w:t>
      </w:r>
      <w:r w:rsidR="00EA1742" w:rsidRPr="0050653D">
        <w:rPr>
          <w:sz w:val="28"/>
          <w:szCs w:val="28"/>
        </w:rPr>
        <w:t xml:space="preserve"> проц.</w:t>
      </w:r>
      <w:r w:rsidRPr="0050653D">
        <w:rPr>
          <w:sz w:val="28"/>
          <w:szCs w:val="28"/>
        </w:rPr>
        <w:t>).</w:t>
      </w:r>
    </w:p>
    <w:p w:rsidR="001E7823" w:rsidRPr="0050653D" w:rsidRDefault="001E7823" w:rsidP="001E7823">
      <w:pPr>
        <w:shd w:val="clear" w:color="auto" w:fill="FFFFFF" w:themeFill="background1"/>
        <w:ind w:firstLine="709"/>
        <w:jc w:val="both"/>
        <w:rPr>
          <w:sz w:val="28"/>
          <w:szCs w:val="28"/>
        </w:rPr>
      </w:pPr>
      <w:r w:rsidRPr="0050653D">
        <w:rPr>
          <w:sz w:val="28"/>
          <w:szCs w:val="28"/>
        </w:rPr>
        <w:t xml:space="preserve">На прогнозный период 2023-2025 годов </w:t>
      </w:r>
      <w:r w:rsidRPr="0050653D">
        <w:rPr>
          <w:color w:val="000000"/>
          <w:sz w:val="28"/>
          <w:szCs w:val="28"/>
        </w:rPr>
        <w:t>ожидается умеренный ежегодный прирост по консервативному варианту на 1,1</w:t>
      </w:r>
      <w:r w:rsidR="00EA1742" w:rsidRPr="0050653D">
        <w:rPr>
          <w:color w:val="000000"/>
          <w:sz w:val="28"/>
          <w:szCs w:val="28"/>
        </w:rPr>
        <w:t xml:space="preserve"> проц.</w:t>
      </w:r>
      <w:r w:rsidRPr="0050653D">
        <w:rPr>
          <w:color w:val="000000"/>
          <w:sz w:val="28"/>
          <w:szCs w:val="28"/>
        </w:rPr>
        <w:t xml:space="preserve"> и по базовому – на 2,3</w:t>
      </w:r>
      <w:r w:rsidR="00EA1742" w:rsidRPr="0050653D">
        <w:rPr>
          <w:color w:val="000000"/>
          <w:sz w:val="28"/>
          <w:szCs w:val="28"/>
        </w:rPr>
        <w:t xml:space="preserve"> проц</w:t>
      </w:r>
      <w:proofErr w:type="gramStart"/>
      <w:r w:rsidR="00EA1742" w:rsidRPr="0050653D">
        <w:rPr>
          <w:color w:val="000000"/>
          <w:sz w:val="28"/>
          <w:szCs w:val="28"/>
        </w:rPr>
        <w:t>.</w:t>
      </w:r>
      <w:r w:rsidRPr="0050653D">
        <w:rPr>
          <w:color w:val="000000"/>
          <w:sz w:val="28"/>
          <w:szCs w:val="28"/>
        </w:rPr>
        <w:t>.</w:t>
      </w:r>
      <w:proofErr w:type="gramEnd"/>
    </w:p>
    <w:p w:rsidR="001E7823" w:rsidRPr="0050653D" w:rsidRDefault="001E7823" w:rsidP="001E7823">
      <w:pPr>
        <w:shd w:val="clear" w:color="auto" w:fill="FFFFFF" w:themeFill="background1"/>
        <w:ind w:firstLine="709"/>
        <w:jc w:val="both"/>
        <w:rPr>
          <w:sz w:val="28"/>
          <w:szCs w:val="28"/>
        </w:rPr>
      </w:pPr>
      <w:r w:rsidRPr="0050653D">
        <w:rPr>
          <w:sz w:val="28"/>
          <w:szCs w:val="28"/>
        </w:rPr>
        <w:t xml:space="preserve">Ленинградская область занимает лидирующие позиции в области </w:t>
      </w:r>
      <w:r w:rsidRPr="0050653D">
        <w:rPr>
          <w:i/>
          <w:sz w:val="28"/>
          <w:szCs w:val="28"/>
        </w:rPr>
        <w:t>жилищного строительства</w:t>
      </w:r>
      <w:r w:rsidRPr="0050653D">
        <w:rPr>
          <w:sz w:val="28"/>
          <w:szCs w:val="28"/>
        </w:rPr>
        <w:t xml:space="preserve"> по Северо-Западному Федеральному округу.</w:t>
      </w:r>
    </w:p>
    <w:p w:rsidR="001E7823" w:rsidRPr="0050653D" w:rsidRDefault="001E7823" w:rsidP="001E7823">
      <w:pPr>
        <w:shd w:val="clear" w:color="auto" w:fill="FFFFFF" w:themeFill="background1"/>
        <w:ind w:firstLine="709"/>
        <w:jc w:val="both"/>
        <w:rPr>
          <w:sz w:val="28"/>
          <w:szCs w:val="28"/>
        </w:rPr>
      </w:pPr>
      <w:r w:rsidRPr="0050653D">
        <w:rPr>
          <w:sz w:val="28"/>
          <w:szCs w:val="28"/>
        </w:rPr>
        <w:t xml:space="preserve">В 2021 году на территории Ленинградской области планировалось ввести в эксплуатацию 2 270,0 </w:t>
      </w:r>
      <w:proofErr w:type="spellStart"/>
      <w:r w:rsidRPr="0050653D">
        <w:rPr>
          <w:sz w:val="28"/>
          <w:szCs w:val="28"/>
        </w:rPr>
        <w:t>тыс.кв</w:t>
      </w:r>
      <w:proofErr w:type="gramStart"/>
      <w:r w:rsidRPr="0050653D">
        <w:rPr>
          <w:sz w:val="28"/>
          <w:szCs w:val="28"/>
        </w:rPr>
        <w:t>.м</w:t>
      </w:r>
      <w:proofErr w:type="spellEnd"/>
      <w:proofErr w:type="gramEnd"/>
      <w:r w:rsidRPr="0050653D">
        <w:rPr>
          <w:sz w:val="28"/>
          <w:szCs w:val="28"/>
        </w:rPr>
        <w:t>, по итогам года план по вводу жилья выполнен на 149,2</w:t>
      </w:r>
      <w:r w:rsidR="00EA1742" w:rsidRPr="0050653D">
        <w:rPr>
          <w:sz w:val="28"/>
          <w:szCs w:val="28"/>
        </w:rPr>
        <w:t xml:space="preserve"> проц.</w:t>
      </w:r>
      <w:r w:rsidRPr="0050653D">
        <w:rPr>
          <w:sz w:val="28"/>
          <w:szCs w:val="28"/>
        </w:rPr>
        <w:t xml:space="preserve">, введено в эксплуатацию 3386,45 </w:t>
      </w:r>
      <w:proofErr w:type="spellStart"/>
      <w:r w:rsidRPr="0050653D">
        <w:rPr>
          <w:sz w:val="28"/>
          <w:szCs w:val="28"/>
        </w:rPr>
        <w:t>тыс.кв.м</w:t>
      </w:r>
      <w:proofErr w:type="spellEnd"/>
      <w:r w:rsidRPr="0050653D">
        <w:rPr>
          <w:sz w:val="28"/>
          <w:szCs w:val="28"/>
        </w:rPr>
        <w:t xml:space="preserve">, в том числе индивидуально-жилищное строительство (ИЖС) - 2282,35 </w:t>
      </w:r>
      <w:proofErr w:type="spellStart"/>
      <w:r w:rsidRPr="0050653D">
        <w:rPr>
          <w:sz w:val="28"/>
          <w:szCs w:val="28"/>
        </w:rPr>
        <w:t>тыс.кв.м</w:t>
      </w:r>
      <w:proofErr w:type="spellEnd"/>
      <w:r w:rsidRPr="0050653D">
        <w:rPr>
          <w:sz w:val="28"/>
          <w:szCs w:val="28"/>
        </w:rPr>
        <w:t xml:space="preserve"> (67,4</w:t>
      </w:r>
      <w:r w:rsidR="00EA1742" w:rsidRPr="0050653D">
        <w:rPr>
          <w:sz w:val="28"/>
          <w:szCs w:val="28"/>
        </w:rPr>
        <w:t xml:space="preserve"> проц.</w:t>
      </w:r>
      <w:r w:rsidRPr="0050653D">
        <w:rPr>
          <w:sz w:val="28"/>
          <w:szCs w:val="28"/>
        </w:rPr>
        <w:t xml:space="preserve"> от общего ввода).</w:t>
      </w:r>
    </w:p>
    <w:p w:rsidR="001E7823" w:rsidRPr="0050653D" w:rsidRDefault="001E7823" w:rsidP="001E7823">
      <w:pPr>
        <w:shd w:val="clear" w:color="auto" w:fill="FFFFFF" w:themeFill="background1"/>
        <w:ind w:firstLine="709"/>
        <w:jc w:val="both"/>
        <w:rPr>
          <w:color w:val="000000"/>
          <w:sz w:val="28"/>
          <w:szCs w:val="28"/>
        </w:rPr>
      </w:pPr>
      <w:proofErr w:type="gramStart"/>
      <w:r w:rsidRPr="0050653D">
        <w:rPr>
          <w:color w:val="000000"/>
          <w:sz w:val="28"/>
          <w:szCs w:val="28"/>
        </w:rPr>
        <w:t>В 2022 году плановый показатель объема ввода жилья на территории Ленинградской области составляет 2650,0 тыс. кв. м. По состоянию на 1 ию</w:t>
      </w:r>
      <w:r w:rsidR="00B52272">
        <w:rPr>
          <w:color w:val="000000"/>
          <w:sz w:val="28"/>
          <w:szCs w:val="28"/>
        </w:rPr>
        <w:t>л</w:t>
      </w:r>
      <w:r w:rsidRPr="0050653D">
        <w:rPr>
          <w:color w:val="000000"/>
          <w:sz w:val="28"/>
          <w:szCs w:val="28"/>
        </w:rPr>
        <w:t xml:space="preserve">я </w:t>
      </w:r>
      <w:r w:rsidRPr="0050653D">
        <w:rPr>
          <w:color w:val="000000"/>
          <w:sz w:val="28"/>
          <w:szCs w:val="28"/>
        </w:rPr>
        <w:lastRenderedPageBreak/>
        <w:t xml:space="preserve">2022 года на территории Ленинградской области введено в эксплуатацию </w:t>
      </w:r>
      <w:r w:rsidR="00B52272">
        <w:rPr>
          <w:color w:val="000000"/>
          <w:sz w:val="28"/>
          <w:szCs w:val="28"/>
        </w:rPr>
        <w:t>2127,2</w:t>
      </w:r>
      <w:r w:rsidRPr="0050653D">
        <w:rPr>
          <w:color w:val="000000"/>
          <w:sz w:val="28"/>
          <w:szCs w:val="28"/>
        </w:rPr>
        <w:t xml:space="preserve"> тыс. кв. м площади жилья (</w:t>
      </w:r>
      <w:r w:rsidR="00B52272">
        <w:rPr>
          <w:color w:val="000000"/>
          <w:sz w:val="28"/>
          <w:szCs w:val="28"/>
        </w:rPr>
        <w:t>80,3</w:t>
      </w:r>
      <w:r w:rsidR="00EA1742" w:rsidRPr="0050653D">
        <w:rPr>
          <w:color w:val="000000"/>
          <w:sz w:val="28"/>
          <w:szCs w:val="28"/>
        </w:rPr>
        <w:t xml:space="preserve"> проц.</w:t>
      </w:r>
      <w:r w:rsidRPr="0050653D">
        <w:rPr>
          <w:color w:val="000000"/>
          <w:sz w:val="28"/>
          <w:szCs w:val="28"/>
        </w:rPr>
        <w:t xml:space="preserve"> от плана на год), в том числе ИЖС – </w:t>
      </w:r>
      <w:r w:rsidR="00B52272">
        <w:rPr>
          <w:color w:val="000000"/>
          <w:sz w:val="28"/>
          <w:szCs w:val="28"/>
        </w:rPr>
        <w:t>1412,9</w:t>
      </w:r>
      <w:r w:rsidRPr="0050653D">
        <w:rPr>
          <w:color w:val="000000"/>
          <w:sz w:val="28"/>
          <w:szCs w:val="28"/>
        </w:rPr>
        <w:t xml:space="preserve"> тыс. кв. м. </w:t>
      </w:r>
      <w:proofErr w:type="gramEnd"/>
    </w:p>
    <w:p w:rsidR="001E7823" w:rsidRPr="0050653D" w:rsidRDefault="001E7823" w:rsidP="001E7823">
      <w:pPr>
        <w:shd w:val="clear" w:color="auto" w:fill="FFFFFF" w:themeFill="background1"/>
        <w:ind w:firstLine="709"/>
        <w:jc w:val="both"/>
        <w:rPr>
          <w:sz w:val="28"/>
          <w:szCs w:val="28"/>
        </w:rPr>
      </w:pPr>
      <w:r w:rsidRPr="0050653D">
        <w:rPr>
          <w:sz w:val="28"/>
          <w:szCs w:val="28"/>
        </w:rPr>
        <w:t xml:space="preserve">Средняя обеспеченность одного жителя Ленинградской области общей площадью жилья за 2021 год составила 31,6 кв. м, прогнозный показатель за 2022 год составляет 32,7 кв. м. </w:t>
      </w:r>
    </w:p>
    <w:p w:rsidR="001E7823" w:rsidRPr="0050653D" w:rsidRDefault="001E7823" w:rsidP="001E7823">
      <w:pPr>
        <w:shd w:val="clear" w:color="auto" w:fill="FFFFFF" w:themeFill="background1"/>
        <w:ind w:firstLine="709"/>
        <w:jc w:val="both"/>
        <w:rPr>
          <w:sz w:val="28"/>
          <w:szCs w:val="28"/>
        </w:rPr>
      </w:pPr>
      <w:r w:rsidRPr="0050653D">
        <w:rPr>
          <w:sz w:val="28"/>
          <w:szCs w:val="28"/>
        </w:rPr>
        <w:t>Следует отметить, что в настоящее время на территории Ленинградской области ведется строительство 857 жилых домов, площадь возводимого жилья составляет 5,8</w:t>
      </w:r>
      <w:r w:rsidR="00955FDE" w:rsidRPr="0050653D">
        <w:rPr>
          <w:sz w:val="28"/>
          <w:szCs w:val="28"/>
        </w:rPr>
        <w:t xml:space="preserve"> </w:t>
      </w:r>
      <w:proofErr w:type="gramStart"/>
      <w:r w:rsidRPr="0050653D">
        <w:rPr>
          <w:sz w:val="28"/>
          <w:szCs w:val="28"/>
        </w:rPr>
        <w:t>млн</w:t>
      </w:r>
      <w:proofErr w:type="gramEnd"/>
      <w:r w:rsidRPr="0050653D">
        <w:rPr>
          <w:sz w:val="28"/>
          <w:szCs w:val="28"/>
        </w:rPr>
        <w:t xml:space="preserve"> </w:t>
      </w:r>
      <w:proofErr w:type="spellStart"/>
      <w:r w:rsidRPr="0050653D">
        <w:rPr>
          <w:sz w:val="28"/>
          <w:szCs w:val="28"/>
        </w:rPr>
        <w:t>кв.м</w:t>
      </w:r>
      <w:proofErr w:type="spellEnd"/>
      <w:r w:rsidRPr="0050653D">
        <w:rPr>
          <w:sz w:val="28"/>
          <w:szCs w:val="28"/>
        </w:rPr>
        <w:t>. Объемы ИЖС также увеличиваются, доля в общем объеме введенного жилья составляет более 60</w:t>
      </w:r>
      <w:r w:rsidR="00EA1742" w:rsidRPr="0050653D">
        <w:rPr>
          <w:sz w:val="28"/>
          <w:szCs w:val="28"/>
        </w:rPr>
        <w:t xml:space="preserve"> проц.</w:t>
      </w:r>
      <w:r w:rsidRPr="0050653D">
        <w:rPr>
          <w:sz w:val="28"/>
          <w:szCs w:val="28"/>
        </w:rPr>
        <w:t>.</w:t>
      </w:r>
    </w:p>
    <w:p w:rsidR="001E7823" w:rsidRPr="0050653D" w:rsidRDefault="001E7823" w:rsidP="001E7823">
      <w:pPr>
        <w:shd w:val="clear" w:color="auto" w:fill="FFFFFF" w:themeFill="background1"/>
        <w:ind w:firstLine="709"/>
        <w:jc w:val="both"/>
        <w:rPr>
          <w:sz w:val="28"/>
          <w:szCs w:val="28"/>
        </w:rPr>
      </w:pPr>
      <w:r w:rsidRPr="0050653D">
        <w:rPr>
          <w:sz w:val="28"/>
          <w:szCs w:val="28"/>
        </w:rPr>
        <w:t>По состоянию на 1 июня 2022 года доля аварийного жилья, расположенного на территории Ленинградской области, в жилищном фонде (от общей площади жилищного фонда Ленинградской области) составляет 0,63</w:t>
      </w:r>
      <w:r w:rsidR="00EA1742" w:rsidRPr="0050653D">
        <w:rPr>
          <w:sz w:val="28"/>
          <w:szCs w:val="28"/>
        </w:rPr>
        <w:t xml:space="preserve"> проц</w:t>
      </w:r>
      <w:proofErr w:type="gramStart"/>
      <w:r w:rsidR="00EA1742" w:rsidRPr="0050653D">
        <w:rPr>
          <w:sz w:val="28"/>
          <w:szCs w:val="28"/>
        </w:rPr>
        <w:t>.</w:t>
      </w:r>
      <w:r w:rsidRPr="0050653D">
        <w:rPr>
          <w:sz w:val="28"/>
          <w:szCs w:val="28"/>
        </w:rPr>
        <w:t>.</w:t>
      </w:r>
      <w:proofErr w:type="gramEnd"/>
    </w:p>
    <w:p w:rsidR="00A3072F" w:rsidRPr="0050653D" w:rsidRDefault="001E7823" w:rsidP="001E7823">
      <w:pPr>
        <w:shd w:val="clear" w:color="auto" w:fill="FFFFFF" w:themeFill="background1"/>
        <w:ind w:firstLine="709"/>
        <w:jc w:val="both"/>
        <w:rPr>
          <w:sz w:val="28"/>
          <w:szCs w:val="28"/>
        </w:rPr>
      </w:pPr>
      <w:r w:rsidRPr="0050653D">
        <w:rPr>
          <w:sz w:val="28"/>
          <w:szCs w:val="28"/>
        </w:rPr>
        <w:t>В среднесрочной перспективе благодаря реализации мероприятий по переселению граждан из аварийного жилищного фонда, признанного таковым после 1 января 2012 года, доля аварийного жилья в жилищном фонде будет снижена до 0,4</w:t>
      </w:r>
      <w:r w:rsidR="00EA1742" w:rsidRPr="0050653D">
        <w:rPr>
          <w:sz w:val="28"/>
          <w:szCs w:val="28"/>
        </w:rPr>
        <w:t xml:space="preserve"> проц</w:t>
      </w:r>
      <w:proofErr w:type="gramStart"/>
      <w:r w:rsidR="00EA1742" w:rsidRPr="0050653D">
        <w:rPr>
          <w:sz w:val="28"/>
          <w:szCs w:val="28"/>
        </w:rPr>
        <w:t>.</w:t>
      </w:r>
      <w:r w:rsidRPr="0050653D">
        <w:rPr>
          <w:sz w:val="28"/>
          <w:szCs w:val="28"/>
        </w:rPr>
        <w:t>.</w:t>
      </w:r>
      <w:proofErr w:type="gramEnd"/>
    </w:p>
    <w:p w:rsidR="006B553F" w:rsidRPr="0050653D" w:rsidRDefault="006B553F" w:rsidP="00494DB7">
      <w:pPr>
        <w:widowControl w:val="0"/>
        <w:ind w:firstLine="709"/>
        <w:jc w:val="both"/>
        <w:rPr>
          <w:sz w:val="16"/>
          <w:szCs w:val="16"/>
        </w:rPr>
      </w:pPr>
    </w:p>
    <w:p w:rsidR="00C13F99" w:rsidRPr="0050653D" w:rsidRDefault="00C13F99" w:rsidP="006B553F">
      <w:pPr>
        <w:widowControl w:val="0"/>
        <w:jc w:val="center"/>
        <w:rPr>
          <w:sz w:val="28"/>
          <w:szCs w:val="28"/>
        </w:rPr>
      </w:pPr>
      <w:r w:rsidRPr="0050653D">
        <w:rPr>
          <w:sz w:val="28"/>
          <w:szCs w:val="28"/>
        </w:rPr>
        <w:t>Транспорт</w:t>
      </w:r>
    </w:p>
    <w:p w:rsidR="009C1911" w:rsidRPr="0050653D" w:rsidRDefault="009C1911" w:rsidP="009C1911">
      <w:pPr>
        <w:widowControl w:val="0"/>
        <w:ind w:firstLine="709"/>
        <w:jc w:val="both"/>
        <w:rPr>
          <w:sz w:val="16"/>
          <w:szCs w:val="16"/>
        </w:rPr>
      </w:pPr>
    </w:p>
    <w:p w:rsidR="001A06A8" w:rsidRPr="0050653D" w:rsidRDefault="001A06A8" w:rsidP="001A06A8">
      <w:pPr>
        <w:pStyle w:val="21"/>
        <w:spacing w:after="0"/>
        <w:ind w:firstLine="709"/>
        <w:rPr>
          <w:szCs w:val="28"/>
        </w:rPr>
      </w:pPr>
      <w:r w:rsidRPr="0050653D">
        <w:rPr>
          <w:szCs w:val="28"/>
        </w:rPr>
        <w:t xml:space="preserve">Ленинградская область является крупным транспортно-логистическим узлом. Объем услуг по транспортировке и хранению, оказанных организациями Ленинградской области (без субъектов малого предпринимательства), в 2021 году составил 223,1 </w:t>
      </w:r>
      <w:proofErr w:type="gramStart"/>
      <w:r w:rsidRPr="0050653D">
        <w:rPr>
          <w:szCs w:val="28"/>
        </w:rPr>
        <w:t>млрд</w:t>
      </w:r>
      <w:proofErr w:type="gramEnd"/>
      <w:r w:rsidRPr="0050653D">
        <w:rPr>
          <w:szCs w:val="28"/>
        </w:rPr>
        <w:t xml:space="preserve"> рублей и в действующих ценах увеличился по сравнению </w:t>
      </w:r>
      <w:r w:rsidRPr="0050653D">
        <w:rPr>
          <w:szCs w:val="28"/>
        </w:rPr>
        <w:br/>
        <w:t>с 2020 годом на 10,2 проц.</w:t>
      </w:r>
    </w:p>
    <w:p w:rsidR="001A06A8" w:rsidRPr="0050653D" w:rsidRDefault="001A06A8" w:rsidP="001A06A8">
      <w:pPr>
        <w:tabs>
          <w:tab w:val="left" w:pos="2851"/>
        </w:tabs>
        <w:ind w:firstLine="709"/>
        <w:jc w:val="both"/>
        <w:rPr>
          <w:sz w:val="28"/>
          <w:szCs w:val="28"/>
        </w:rPr>
      </w:pPr>
      <w:r w:rsidRPr="0050653D">
        <w:rPr>
          <w:sz w:val="28"/>
          <w:szCs w:val="28"/>
        </w:rPr>
        <w:t>По оперативным данным, полученным от Октябрьской железной дороги - филиала ОАО «РЖД», объем погрузки предприятиями – грузоотправителями области в 2021 году составил 27 144,9 тыс. тонн – 104,4 проц.</w:t>
      </w:r>
      <w:r w:rsidRPr="0050653D">
        <w:rPr>
          <w:i/>
          <w:sz w:val="28"/>
          <w:szCs w:val="28"/>
        </w:rPr>
        <w:t xml:space="preserve"> </w:t>
      </w:r>
      <w:r w:rsidRPr="0050653D">
        <w:rPr>
          <w:sz w:val="28"/>
          <w:szCs w:val="28"/>
        </w:rPr>
        <w:t xml:space="preserve">к уровню прошлого года. </w:t>
      </w:r>
    </w:p>
    <w:p w:rsidR="001A06A8" w:rsidRPr="0050653D" w:rsidRDefault="001A06A8" w:rsidP="001A06A8">
      <w:pPr>
        <w:widowControl w:val="0"/>
        <w:ind w:firstLine="709"/>
        <w:jc w:val="both"/>
        <w:rPr>
          <w:sz w:val="28"/>
          <w:szCs w:val="28"/>
        </w:rPr>
      </w:pPr>
      <w:r w:rsidRPr="0050653D">
        <w:rPr>
          <w:sz w:val="28"/>
          <w:szCs w:val="28"/>
        </w:rPr>
        <w:t>Согласно сведениям, представленным</w:t>
      </w:r>
      <w:r w:rsidRPr="0050653D">
        <w:rPr>
          <w:i/>
          <w:sz w:val="28"/>
          <w:szCs w:val="28"/>
        </w:rPr>
        <w:t xml:space="preserve"> </w:t>
      </w:r>
      <w:r w:rsidRPr="0050653D">
        <w:rPr>
          <w:sz w:val="28"/>
          <w:szCs w:val="28"/>
        </w:rPr>
        <w:t>ОАО «Северо-Западная пригородная пассажирская компания» о</w:t>
      </w:r>
      <w:r w:rsidRPr="0050653D">
        <w:rPr>
          <w:i/>
          <w:sz w:val="28"/>
          <w:szCs w:val="28"/>
        </w:rPr>
        <w:t xml:space="preserve"> </w:t>
      </w:r>
      <w:r w:rsidRPr="0050653D">
        <w:rPr>
          <w:sz w:val="28"/>
          <w:szCs w:val="28"/>
        </w:rPr>
        <w:t>производственно-экономических показателях</w:t>
      </w:r>
      <w:r w:rsidRPr="0050653D">
        <w:rPr>
          <w:i/>
          <w:sz w:val="28"/>
          <w:szCs w:val="28"/>
        </w:rPr>
        <w:t xml:space="preserve"> </w:t>
      </w:r>
      <w:r w:rsidRPr="0050653D">
        <w:rPr>
          <w:sz w:val="28"/>
          <w:szCs w:val="28"/>
        </w:rPr>
        <w:t xml:space="preserve">количество перевезённых пассажиров в пригородном сообщении по Ленинградской области, в 2021 году составило 42 276 тыс. человек (117 проц.), при общем пассажирообороте 2835 млн. пасс - </w:t>
      </w:r>
      <w:proofErr w:type="gramStart"/>
      <w:r w:rsidRPr="0050653D">
        <w:rPr>
          <w:sz w:val="28"/>
          <w:szCs w:val="28"/>
        </w:rPr>
        <w:t>км</w:t>
      </w:r>
      <w:proofErr w:type="gramEnd"/>
      <w:r w:rsidRPr="0050653D">
        <w:rPr>
          <w:sz w:val="28"/>
          <w:szCs w:val="28"/>
        </w:rPr>
        <w:t xml:space="preserve"> (121 проц.). </w:t>
      </w:r>
    </w:p>
    <w:p w:rsidR="001A06A8" w:rsidRPr="0050653D" w:rsidRDefault="001A06A8" w:rsidP="001A06A8">
      <w:pPr>
        <w:widowControl w:val="0"/>
        <w:ind w:firstLine="709"/>
        <w:jc w:val="both"/>
        <w:rPr>
          <w:sz w:val="28"/>
          <w:szCs w:val="28"/>
        </w:rPr>
      </w:pPr>
      <w:r w:rsidRPr="0050653D">
        <w:rPr>
          <w:sz w:val="28"/>
          <w:szCs w:val="28"/>
        </w:rPr>
        <w:t>В 2021 году объем коммерческих перевозок грузов автотранспортом</w:t>
      </w:r>
      <w:r w:rsidRPr="0050653D">
        <w:rPr>
          <w:i/>
          <w:sz w:val="28"/>
          <w:szCs w:val="28"/>
        </w:rPr>
        <w:t xml:space="preserve"> </w:t>
      </w:r>
      <w:r w:rsidRPr="0050653D">
        <w:rPr>
          <w:sz w:val="28"/>
          <w:szCs w:val="28"/>
        </w:rPr>
        <w:t xml:space="preserve">организаций всех видов экономической деятельности (без субъектов малого предпринимательства) составил 2 266,6 тыс. т грузов, при грузообороте 899,3 </w:t>
      </w:r>
      <w:proofErr w:type="gramStart"/>
      <w:r w:rsidRPr="0050653D">
        <w:rPr>
          <w:sz w:val="28"/>
          <w:szCs w:val="28"/>
        </w:rPr>
        <w:t>млн</w:t>
      </w:r>
      <w:proofErr w:type="gramEnd"/>
      <w:r w:rsidRPr="0050653D">
        <w:rPr>
          <w:sz w:val="28"/>
          <w:szCs w:val="28"/>
        </w:rPr>
        <w:t xml:space="preserve"> тонн-км. </w:t>
      </w:r>
    </w:p>
    <w:p w:rsidR="001A06A8" w:rsidRPr="0050653D" w:rsidRDefault="001A06A8" w:rsidP="001A06A8">
      <w:pPr>
        <w:widowControl w:val="0"/>
        <w:ind w:firstLine="709"/>
        <w:jc w:val="both"/>
        <w:rPr>
          <w:sz w:val="28"/>
          <w:szCs w:val="28"/>
        </w:rPr>
      </w:pPr>
      <w:r w:rsidRPr="0050653D">
        <w:rPr>
          <w:sz w:val="28"/>
          <w:szCs w:val="28"/>
        </w:rPr>
        <w:t xml:space="preserve">Объем перевозок пассажиров автобусами по маршрутам регулярных перевозок в 2021 году (включая субъекты малого предпринимательства) составил 55,7 млн. чел. (113,1 проц. к 2020 году) при пассажирообороте 889,0 </w:t>
      </w:r>
      <w:proofErr w:type="gramStart"/>
      <w:r w:rsidRPr="0050653D">
        <w:rPr>
          <w:sz w:val="28"/>
          <w:szCs w:val="28"/>
        </w:rPr>
        <w:t>млн</w:t>
      </w:r>
      <w:proofErr w:type="gramEnd"/>
      <w:r w:rsidRPr="0050653D">
        <w:rPr>
          <w:sz w:val="28"/>
          <w:szCs w:val="28"/>
        </w:rPr>
        <w:t xml:space="preserve"> пасс-км (99,3 проц.).</w:t>
      </w:r>
    </w:p>
    <w:p w:rsidR="001A06A8" w:rsidRPr="0050653D" w:rsidRDefault="001A06A8" w:rsidP="001A06A8">
      <w:pPr>
        <w:ind w:firstLine="709"/>
        <w:jc w:val="both"/>
        <w:rPr>
          <w:sz w:val="28"/>
          <w:szCs w:val="28"/>
        </w:rPr>
      </w:pPr>
      <w:r w:rsidRPr="0050653D">
        <w:rPr>
          <w:sz w:val="28"/>
          <w:szCs w:val="28"/>
        </w:rPr>
        <w:t>По данным Администрации морских</w:t>
      </w:r>
      <w:r w:rsidRPr="0050653D">
        <w:rPr>
          <w:i/>
          <w:sz w:val="28"/>
          <w:szCs w:val="28"/>
        </w:rPr>
        <w:t xml:space="preserve"> </w:t>
      </w:r>
      <w:r w:rsidRPr="0050653D">
        <w:rPr>
          <w:sz w:val="28"/>
          <w:szCs w:val="28"/>
        </w:rPr>
        <w:t xml:space="preserve">портов Балтийского моря объём переработки грузов на терминалах морских портов, расположенных в Ленинградской области, составил </w:t>
      </w:r>
      <w:r w:rsidR="00B52272">
        <w:rPr>
          <w:sz w:val="28"/>
          <w:szCs w:val="28"/>
        </w:rPr>
        <w:t>177,6</w:t>
      </w:r>
      <w:r w:rsidRPr="0050653D">
        <w:rPr>
          <w:sz w:val="28"/>
          <w:szCs w:val="28"/>
        </w:rPr>
        <w:t xml:space="preserve"> </w:t>
      </w:r>
      <w:proofErr w:type="gramStart"/>
      <w:r w:rsidRPr="0050653D">
        <w:rPr>
          <w:sz w:val="28"/>
          <w:szCs w:val="28"/>
        </w:rPr>
        <w:t>млн</w:t>
      </w:r>
      <w:proofErr w:type="gramEnd"/>
      <w:r w:rsidRPr="0050653D">
        <w:rPr>
          <w:sz w:val="28"/>
          <w:szCs w:val="28"/>
        </w:rPr>
        <w:t xml:space="preserve"> тонн, или </w:t>
      </w:r>
      <w:r w:rsidR="00B52272">
        <w:rPr>
          <w:sz w:val="28"/>
          <w:szCs w:val="28"/>
        </w:rPr>
        <w:t>103,2</w:t>
      </w:r>
      <w:r w:rsidRPr="0050653D">
        <w:rPr>
          <w:sz w:val="28"/>
          <w:szCs w:val="28"/>
        </w:rPr>
        <w:t xml:space="preserve"> проц. к 2020 году.</w:t>
      </w:r>
    </w:p>
    <w:p w:rsidR="001A06A8" w:rsidRPr="0050653D" w:rsidRDefault="001A06A8" w:rsidP="001A06A8">
      <w:pPr>
        <w:ind w:firstLine="709"/>
        <w:jc w:val="both"/>
        <w:rPr>
          <w:sz w:val="28"/>
          <w:szCs w:val="28"/>
        </w:rPr>
      </w:pPr>
      <w:r w:rsidRPr="0050653D">
        <w:rPr>
          <w:sz w:val="28"/>
          <w:szCs w:val="28"/>
        </w:rPr>
        <w:lastRenderedPageBreak/>
        <w:t xml:space="preserve">На внутреннем водном транспорте в ноябре 2021 года окончена реализация проекта строительства нового пассажирского причала у музея-заповедника Прорыв блокады Ленинграда на р. Нева в Кировском муниципальном районе. Муниципальным образованием проведены мероприятия по облагораживанию участка побережья реки, примыкающего к причалу, инвестором очищена береговая линия. Ввод в эксплуатацию причала состоялся в мае 2022 года. </w:t>
      </w:r>
    </w:p>
    <w:p w:rsidR="001A06A8" w:rsidRPr="0050653D" w:rsidRDefault="001A06A8" w:rsidP="001A06A8">
      <w:pPr>
        <w:ind w:firstLine="709"/>
        <w:jc w:val="both"/>
        <w:rPr>
          <w:sz w:val="28"/>
          <w:szCs w:val="28"/>
        </w:rPr>
      </w:pPr>
      <w:r w:rsidRPr="0050653D">
        <w:rPr>
          <w:sz w:val="28"/>
          <w:szCs w:val="28"/>
        </w:rPr>
        <w:t xml:space="preserve">В 2022 году объем грузооборота портов Ленинградской области сохранится практически на уровне 2021 года (173,6 </w:t>
      </w:r>
      <w:proofErr w:type="gramStart"/>
      <w:r w:rsidRPr="0050653D">
        <w:rPr>
          <w:sz w:val="28"/>
          <w:szCs w:val="28"/>
        </w:rPr>
        <w:t>млн</w:t>
      </w:r>
      <w:proofErr w:type="gramEnd"/>
      <w:r w:rsidRPr="0050653D">
        <w:rPr>
          <w:sz w:val="28"/>
          <w:szCs w:val="28"/>
        </w:rPr>
        <w:t xml:space="preserve"> тонн).</w:t>
      </w:r>
    </w:p>
    <w:p w:rsidR="001A06A8" w:rsidRPr="0050653D" w:rsidRDefault="001A06A8" w:rsidP="001A06A8">
      <w:pPr>
        <w:ind w:firstLine="709"/>
        <w:jc w:val="both"/>
        <w:rPr>
          <w:bCs/>
          <w:sz w:val="28"/>
          <w:szCs w:val="28"/>
        </w:rPr>
      </w:pPr>
      <w:r w:rsidRPr="0050653D">
        <w:rPr>
          <w:sz w:val="28"/>
          <w:szCs w:val="28"/>
        </w:rPr>
        <w:t xml:space="preserve">Развитие транспортной инфраструктуры на территории Ленинградской области запланировано за счет реализации крупных инвестиционных проектов: </w:t>
      </w:r>
      <w:proofErr w:type="gramStart"/>
      <w:r w:rsidRPr="0050653D">
        <w:rPr>
          <w:bCs/>
          <w:sz w:val="28"/>
          <w:szCs w:val="28"/>
        </w:rPr>
        <w:t xml:space="preserve">ОАО «РЖД» (развитие и обновление железнодорожной инфраструктуры на подходах к портам Северо-Западного бассейна), </w:t>
      </w:r>
      <w:r w:rsidRPr="0050653D">
        <w:rPr>
          <w:sz w:val="28"/>
          <w:szCs w:val="28"/>
        </w:rPr>
        <w:t>ООО «</w:t>
      </w:r>
      <w:proofErr w:type="spellStart"/>
      <w:r w:rsidRPr="0050653D">
        <w:rPr>
          <w:sz w:val="28"/>
          <w:szCs w:val="28"/>
        </w:rPr>
        <w:t>РусХимАльянс</w:t>
      </w:r>
      <w:proofErr w:type="spellEnd"/>
      <w:r w:rsidRPr="0050653D">
        <w:rPr>
          <w:sz w:val="28"/>
          <w:szCs w:val="28"/>
        </w:rPr>
        <w:t xml:space="preserve">» и </w:t>
      </w:r>
      <w:r w:rsidRPr="0050653D">
        <w:rPr>
          <w:rFonts w:ascii="Gotham Pro" w:hAnsi="Gotham Pro" w:cs="Gotham Pro"/>
          <w:sz w:val="28"/>
          <w:szCs w:val="28"/>
        </w:rPr>
        <w:t xml:space="preserve">ООО «Балтийский Химический Комплекс» </w:t>
      </w:r>
      <w:r w:rsidRPr="0050653D">
        <w:rPr>
          <w:sz w:val="28"/>
          <w:szCs w:val="28"/>
        </w:rPr>
        <w:t xml:space="preserve">(строительство Газоперерабатывающего комплекса в составе Комплекса переработки </w:t>
      </w:r>
      <w:proofErr w:type="spellStart"/>
      <w:r w:rsidRPr="0050653D">
        <w:rPr>
          <w:sz w:val="28"/>
          <w:szCs w:val="28"/>
        </w:rPr>
        <w:t>этансодержащего</w:t>
      </w:r>
      <w:proofErr w:type="spellEnd"/>
      <w:r w:rsidRPr="0050653D">
        <w:rPr>
          <w:sz w:val="28"/>
          <w:szCs w:val="28"/>
        </w:rPr>
        <w:t xml:space="preserve"> газа), ФГУП «</w:t>
      </w:r>
      <w:proofErr w:type="spellStart"/>
      <w:r w:rsidRPr="0050653D">
        <w:rPr>
          <w:sz w:val="28"/>
          <w:szCs w:val="28"/>
        </w:rPr>
        <w:t>Росморпорт</w:t>
      </w:r>
      <w:proofErr w:type="spellEnd"/>
      <w:r w:rsidRPr="0050653D">
        <w:rPr>
          <w:sz w:val="28"/>
          <w:szCs w:val="28"/>
        </w:rPr>
        <w:t>» (строительство базы обеспечивающего флота, предназначенной для стоянки и обслуживания судов портового флота, сбора и обезвреживания отходов с судов, заходящих в морской порт Усть-Луга, а также мониторинга и ликвидации разливов</w:t>
      </w:r>
      <w:proofErr w:type="gramEnd"/>
      <w:r w:rsidRPr="0050653D">
        <w:rPr>
          <w:sz w:val="28"/>
          <w:szCs w:val="28"/>
        </w:rPr>
        <w:t xml:space="preserve"> </w:t>
      </w:r>
      <w:proofErr w:type="gramStart"/>
      <w:r w:rsidRPr="0050653D">
        <w:rPr>
          <w:sz w:val="28"/>
          <w:szCs w:val="28"/>
        </w:rPr>
        <w:t>нефтепродуктов), ООО «Порт Высоцкий» (</w:t>
      </w:r>
      <w:r w:rsidRPr="0050653D">
        <w:rPr>
          <w:bCs/>
          <w:sz w:val="28"/>
          <w:szCs w:val="28"/>
        </w:rPr>
        <w:t>строительство специализированного терминала по перевалке зерновых грузов, модернизация н</w:t>
      </w:r>
      <w:r w:rsidRPr="0050653D">
        <w:rPr>
          <w:sz w:val="28"/>
          <w:szCs w:val="28"/>
        </w:rPr>
        <w:t>ефтеналивного терминала ОАО «РПК - Высоцк «Лукойл II»</w:t>
      </w:r>
      <w:r w:rsidRPr="0050653D">
        <w:rPr>
          <w:bCs/>
          <w:sz w:val="28"/>
          <w:szCs w:val="28"/>
        </w:rPr>
        <w:t>)</w:t>
      </w:r>
      <w:r w:rsidRPr="0050653D">
        <w:rPr>
          <w:sz w:val="28"/>
          <w:szCs w:val="28"/>
        </w:rPr>
        <w:t>, АГ «Содружество» (строительство зернового терминала в бухте Батарейная), ООО «Порт Логистик» (капитальный ремонт и модернизация инфраструктуры порта Выборг), ООО «</w:t>
      </w:r>
      <w:proofErr w:type="spellStart"/>
      <w:r w:rsidRPr="0050653D">
        <w:rPr>
          <w:sz w:val="28"/>
          <w:szCs w:val="28"/>
        </w:rPr>
        <w:t>Ультрамар</w:t>
      </w:r>
      <w:proofErr w:type="spellEnd"/>
      <w:r w:rsidRPr="0050653D">
        <w:rPr>
          <w:sz w:val="28"/>
          <w:szCs w:val="28"/>
        </w:rPr>
        <w:t xml:space="preserve">» (строительство терминала по перевалке минеральных удобрений), </w:t>
      </w:r>
      <w:r w:rsidRPr="0050653D">
        <w:rPr>
          <w:sz w:val="28"/>
          <w:szCs w:val="28"/>
          <w:shd w:val="clear" w:color="auto" w:fill="FFFFFF"/>
        </w:rPr>
        <w:t>ООО «</w:t>
      </w:r>
      <w:proofErr w:type="spellStart"/>
      <w:r w:rsidRPr="0050653D">
        <w:rPr>
          <w:sz w:val="28"/>
          <w:szCs w:val="28"/>
          <w:shd w:val="clear" w:color="auto" w:fill="FFFFFF"/>
        </w:rPr>
        <w:t>Новотранс</w:t>
      </w:r>
      <w:proofErr w:type="spellEnd"/>
      <w:r w:rsidRPr="0050653D">
        <w:rPr>
          <w:sz w:val="28"/>
          <w:szCs w:val="28"/>
          <w:shd w:val="clear" w:color="auto" w:fill="FFFFFF"/>
        </w:rPr>
        <w:t xml:space="preserve"> Актив» (универсальный торговый терминал «Усть-Луга»), </w:t>
      </w:r>
      <w:r w:rsidRPr="0050653D">
        <w:rPr>
          <w:sz w:val="28"/>
          <w:szCs w:val="28"/>
        </w:rPr>
        <w:t>ООО «</w:t>
      </w:r>
      <w:proofErr w:type="spellStart"/>
      <w:r w:rsidRPr="0050653D">
        <w:rPr>
          <w:sz w:val="28"/>
          <w:szCs w:val="28"/>
        </w:rPr>
        <w:t>ЕвроХим</w:t>
      </w:r>
      <w:proofErr w:type="spellEnd"/>
      <w:r w:rsidRPr="0050653D">
        <w:rPr>
          <w:sz w:val="28"/>
          <w:szCs w:val="28"/>
        </w:rPr>
        <w:t>» (</w:t>
      </w:r>
      <w:r w:rsidRPr="0050653D">
        <w:rPr>
          <w:sz w:val="28"/>
          <w:szCs w:val="28"/>
          <w:shd w:val="clear" w:color="auto" w:fill="FFFFFF"/>
        </w:rPr>
        <w:t>терминал по перевалке минеральных удобрений в</w:t>
      </w:r>
      <w:proofErr w:type="gramEnd"/>
      <w:r w:rsidRPr="0050653D">
        <w:rPr>
          <w:sz w:val="28"/>
          <w:szCs w:val="28"/>
          <w:shd w:val="clear" w:color="auto" w:fill="FFFFFF"/>
        </w:rPr>
        <w:t xml:space="preserve"> морском торговом порту Усть-Луга</w:t>
      </w:r>
      <w:r w:rsidRPr="0050653D">
        <w:rPr>
          <w:sz w:val="28"/>
          <w:szCs w:val="28"/>
        </w:rPr>
        <w:t>), ООО «Новые коммунальные технологии» (новое строительство и развитие МПК «Юг-2»), ООО «</w:t>
      </w:r>
      <w:proofErr w:type="spellStart"/>
      <w:r w:rsidRPr="0050653D">
        <w:rPr>
          <w:sz w:val="28"/>
          <w:szCs w:val="28"/>
        </w:rPr>
        <w:t>Портэнерго</w:t>
      </w:r>
      <w:proofErr w:type="spellEnd"/>
      <w:r w:rsidRPr="0050653D">
        <w:rPr>
          <w:sz w:val="28"/>
          <w:szCs w:val="28"/>
        </w:rPr>
        <w:t>» (увеличение мощности терминала по перевалке сжиженного природного газа</w:t>
      </w:r>
      <w:r w:rsidRPr="0050653D">
        <w:rPr>
          <w:bCs/>
          <w:sz w:val="28"/>
          <w:szCs w:val="28"/>
        </w:rPr>
        <w:t>) и другие.</w:t>
      </w:r>
    </w:p>
    <w:p w:rsidR="0098086A" w:rsidRPr="0050653D" w:rsidRDefault="001A06A8" w:rsidP="001A06A8">
      <w:pPr>
        <w:ind w:firstLine="709"/>
        <w:jc w:val="both"/>
        <w:rPr>
          <w:sz w:val="28"/>
          <w:szCs w:val="28"/>
        </w:rPr>
      </w:pPr>
      <w:r w:rsidRPr="0050653D">
        <w:rPr>
          <w:sz w:val="28"/>
          <w:szCs w:val="28"/>
        </w:rPr>
        <w:t xml:space="preserve">К 2025 году оборот портов Ленинградской области прогнозируется увеличить до уровня 194,6 </w:t>
      </w:r>
      <w:proofErr w:type="gramStart"/>
      <w:r w:rsidRPr="0050653D">
        <w:rPr>
          <w:sz w:val="28"/>
          <w:szCs w:val="28"/>
        </w:rPr>
        <w:t>мл</w:t>
      </w:r>
      <w:r w:rsidR="00B52272">
        <w:rPr>
          <w:sz w:val="28"/>
          <w:szCs w:val="28"/>
        </w:rPr>
        <w:t>н</w:t>
      </w:r>
      <w:proofErr w:type="gramEnd"/>
      <w:r w:rsidR="00B52272">
        <w:rPr>
          <w:sz w:val="28"/>
          <w:szCs w:val="28"/>
        </w:rPr>
        <w:t xml:space="preserve"> тонн, 112,1 проц. к 2022 году по базовому варианту.</w:t>
      </w:r>
    </w:p>
    <w:p w:rsidR="001A06A8" w:rsidRPr="0050653D" w:rsidRDefault="001A06A8" w:rsidP="001A06A8">
      <w:pPr>
        <w:widowControl w:val="0"/>
        <w:ind w:firstLine="709"/>
        <w:jc w:val="both"/>
        <w:rPr>
          <w:color w:val="000000" w:themeColor="text1"/>
          <w:sz w:val="16"/>
          <w:szCs w:val="16"/>
        </w:rPr>
      </w:pPr>
    </w:p>
    <w:p w:rsidR="006B553F" w:rsidRPr="0050653D" w:rsidRDefault="00215501" w:rsidP="006B553F">
      <w:pPr>
        <w:widowControl w:val="0"/>
        <w:jc w:val="center"/>
        <w:rPr>
          <w:color w:val="000000" w:themeColor="text1"/>
          <w:sz w:val="28"/>
          <w:szCs w:val="28"/>
        </w:rPr>
      </w:pPr>
      <w:r w:rsidRPr="0050653D">
        <w:rPr>
          <w:sz w:val="28"/>
          <w:szCs w:val="28"/>
        </w:rPr>
        <w:t>Торговля и услуги населению</w:t>
      </w:r>
    </w:p>
    <w:p w:rsidR="006B553F" w:rsidRPr="0050653D" w:rsidRDefault="006B553F" w:rsidP="00494DB7">
      <w:pPr>
        <w:widowControl w:val="0"/>
        <w:ind w:firstLine="709"/>
        <w:jc w:val="both"/>
        <w:rPr>
          <w:color w:val="000000" w:themeColor="text1"/>
          <w:sz w:val="16"/>
          <w:szCs w:val="16"/>
        </w:rPr>
      </w:pPr>
    </w:p>
    <w:p w:rsidR="00A800E2" w:rsidRPr="0050653D" w:rsidRDefault="00A800E2" w:rsidP="00A800E2">
      <w:pPr>
        <w:widowControl w:val="0"/>
        <w:ind w:firstLine="709"/>
        <w:jc w:val="both"/>
        <w:rPr>
          <w:b/>
          <w:sz w:val="28"/>
          <w:szCs w:val="28"/>
        </w:rPr>
      </w:pPr>
      <w:r w:rsidRPr="0050653D">
        <w:rPr>
          <w:color w:val="000000" w:themeColor="text1"/>
          <w:sz w:val="28"/>
          <w:szCs w:val="28"/>
        </w:rPr>
        <w:t xml:space="preserve">В 2021 году оборот розничной торговли составил 567,7 </w:t>
      </w:r>
      <w:proofErr w:type="gramStart"/>
      <w:r w:rsidRPr="0050653D">
        <w:rPr>
          <w:color w:val="000000" w:themeColor="text1"/>
          <w:sz w:val="28"/>
          <w:szCs w:val="28"/>
        </w:rPr>
        <w:t>млрд</w:t>
      </w:r>
      <w:proofErr w:type="gramEnd"/>
      <w:r w:rsidRPr="0050653D">
        <w:rPr>
          <w:color w:val="000000" w:themeColor="text1"/>
          <w:sz w:val="28"/>
          <w:szCs w:val="28"/>
        </w:rPr>
        <w:t xml:space="preserve"> рублей, </w:t>
      </w:r>
      <w:r w:rsidRPr="0050653D">
        <w:rPr>
          <w:color w:val="000000" w:themeColor="text1"/>
          <w:sz w:val="28"/>
          <w:szCs w:val="28"/>
        </w:rPr>
        <w:br/>
        <w:t>что в сопоставимых ценах на 10,7 проц. больше уровня 2020 года; оборот общественного питания</w:t>
      </w:r>
      <w:r w:rsidRPr="0050653D">
        <w:rPr>
          <w:i/>
          <w:color w:val="000000" w:themeColor="text1"/>
          <w:sz w:val="28"/>
          <w:szCs w:val="28"/>
        </w:rPr>
        <w:t xml:space="preserve"> – </w:t>
      </w:r>
      <w:r w:rsidRPr="0050653D">
        <w:rPr>
          <w:rFonts w:eastAsia="Calibri"/>
          <w:color w:val="000000" w:themeColor="text1"/>
          <w:sz w:val="28"/>
          <w:szCs w:val="28"/>
          <w:lang w:eastAsia="en-US"/>
        </w:rPr>
        <w:t xml:space="preserve">19,1 млрд рублей, или 128,8 проц.; </w:t>
      </w:r>
      <w:r w:rsidRPr="0050653D">
        <w:rPr>
          <w:color w:val="000000" w:themeColor="text1"/>
          <w:sz w:val="28"/>
          <w:szCs w:val="28"/>
        </w:rPr>
        <w:t>объем платных услуг,</w:t>
      </w:r>
      <w:r w:rsidRPr="0050653D">
        <w:rPr>
          <w:i/>
          <w:color w:val="000000" w:themeColor="text1"/>
          <w:sz w:val="28"/>
          <w:szCs w:val="28"/>
        </w:rPr>
        <w:t xml:space="preserve"> </w:t>
      </w:r>
      <w:r w:rsidRPr="0050653D">
        <w:rPr>
          <w:color w:val="000000" w:themeColor="text1"/>
          <w:sz w:val="28"/>
          <w:szCs w:val="28"/>
        </w:rPr>
        <w:t>оказанных населению, – 93,1 млрд рублей и в сопоставимых ценах увеличился по сравнению с 2020 годом на 8,8 проц.</w:t>
      </w:r>
    </w:p>
    <w:p w:rsidR="00D909C6" w:rsidRPr="0050653D" w:rsidRDefault="00D909C6" w:rsidP="00D909C6">
      <w:pPr>
        <w:ind w:firstLine="709"/>
        <w:jc w:val="both"/>
        <w:rPr>
          <w:sz w:val="28"/>
          <w:szCs w:val="28"/>
        </w:rPr>
      </w:pPr>
      <w:r w:rsidRPr="0050653D">
        <w:rPr>
          <w:sz w:val="28"/>
          <w:szCs w:val="28"/>
        </w:rPr>
        <w:t xml:space="preserve">В 2021 году продолжала расти доля торговых сетей в обороте розничной торговли и составила 75 проц. (в 2021 году – 75%). При этом доля малых </w:t>
      </w:r>
      <w:r w:rsidRPr="0050653D">
        <w:rPr>
          <w:sz w:val="28"/>
          <w:szCs w:val="28"/>
        </w:rPr>
        <w:br/>
        <w:t xml:space="preserve">и средних предпринимателей в обороте розничной торговли по сравнению </w:t>
      </w:r>
      <w:r w:rsidRPr="0050653D">
        <w:rPr>
          <w:sz w:val="28"/>
          <w:szCs w:val="28"/>
        </w:rPr>
        <w:br/>
        <w:t xml:space="preserve">с 2021 годом также снизилась на 1 </w:t>
      </w:r>
      <w:proofErr w:type="spellStart"/>
      <w:r w:rsidRPr="0050653D">
        <w:rPr>
          <w:sz w:val="28"/>
          <w:szCs w:val="28"/>
        </w:rPr>
        <w:t>п.п</w:t>
      </w:r>
      <w:proofErr w:type="spellEnd"/>
      <w:r w:rsidRPr="0050653D">
        <w:rPr>
          <w:sz w:val="28"/>
          <w:szCs w:val="28"/>
        </w:rPr>
        <w:t>. и составила 9 проц.</w:t>
      </w:r>
    </w:p>
    <w:p w:rsidR="00D909C6" w:rsidRPr="0050653D" w:rsidRDefault="00D909C6" w:rsidP="00D909C6">
      <w:pPr>
        <w:ind w:firstLine="709"/>
        <w:jc w:val="both"/>
        <w:rPr>
          <w:color w:val="000000" w:themeColor="text1"/>
          <w:sz w:val="28"/>
          <w:szCs w:val="28"/>
        </w:rPr>
      </w:pPr>
      <w:r w:rsidRPr="0050653D">
        <w:rPr>
          <w:color w:val="000000" w:themeColor="text1"/>
          <w:sz w:val="28"/>
          <w:szCs w:val="28"/>
        </w:rPr>
        <w:t xml:space="preserve">В структуре оборота розничной торговли удельный вес оборота розничной торговли пищевыми продуктами, включая напитки и табачные изделия, </w:t>
      </w:r>
      <w:r w:rsidRPr="0050653D">
        <w:rPr>
          <w:color w:val="000000" w:themeColor="text1"/>
          <w:sz w:val="28"/>
          <w:szCs w:val="28"/>
        </w:rPr>
        <w:br/>
      </w:r>
      <w:r w:rsidRPr="0050653D">
        <w:rPr>
          <w:color w:val="000000" w:themeColor="text1"/>
          <w:sz w:val="28"/>
          <w:szCs w:val="28"/>
        </w:rPr>
        <w:lastRenderedPageBreak/>
        <w:t>в 2021 году составил 44 проц. (в 2020 году – 47 проц.), непродовольственных товаров – 56 проц. (53 проц. в 2020 году).</w:t>
      </w:r>
    </w:p>
    <w:p w:rsidR="001E7823" w:rsidRPr="0050653D" w:rsidRDefault="001E7823" w:rsidP="001E7823">
      <w:pPr>
        <w:widowControl w:val="0"/>
        <w:shd w:val="clear" w:color="auto" w:fill="FFFFFF" w:themeFill="background1"/>
        <w:autoSpaceDE w:val="0"/>
        <w:autoSpaceDN w:val="0"/>
        <w:adjustRightInd w:val="0"/>
        <w:ind w:firstLine="709"/>
        <w:jc w:val="both"/>
        <w:rPr>
          <w:sz w:val="28"/>
          <w:szCs w:val="28"/>
        </w:rPr>
      </w:pPr>
      <w:r w:rsidRPr="0050653D">
        <w:rPr>
          <w:color w:val="000000"/>
          <w:sz w:val="28"/>
          <w:szCs w:val="28"/>
        </w:rPr>
        <w:t>В 2022 году, б</w:t>
      </w:r>
      <w:r w:rsidRPr="0050653D">
        <w:rPr>
          <w:sz w:val="28"/>
          <w:szCs w:val="28"/>
        </w:rPr>
        <w:t xml:space="preserve">лагодаря реализуемым мерам поддержки и несмотря на частичные ограничения и дополнительные требования для осуществления деятельности субъектов предпринимательства в сфере потребительского рынка, оборот розничной торговли Ленинградской области оценивается на уровне 626,6 </w:t>
      </w:r>
      <w:proofErr w:type="gramStart"/>
      <w:r w:rsidRPr="0050653D">
        <w:rPr>
          <w:sz w:val="28"/>
          <w:szCs w:val="28"/>
        </w:rPr>
        <w:t>млрд</w:t>
      </w:r>
      <w:proofErr w:type="gramEnd"/>
      <w:r w:rsidRPr="0050653D">
        <w:rPr>
          <w:sz w:val="28"/>
          <w:szCs w:val="28"/>
        </w:rPr>
        <w:t xml:space="preserve"> руб.</w:t>
      </w:r>
      <w:r w:rsidR="00800BB0" w:rsidRPr="0050653D">
        <w:rPr>
          <w:sz w:val="28"/>
          <w:szCs w:val="28"/>
        </w:rPr>
        <w:t>, что выше уровня 2021 года на 10,4% в действующих ценах, но с учетом роста потребительских цена на продовольственные и непродовольственные товары индекс оборота розничной торговли снизится на 7% к 2021 году.</w:t>
      </w:r>
    </w:p>
    <w:p w:rsidR="001E7823" w:rsidRPr="0050653D" w:rsidRDefault="001E7823" w:rsidP="001E7823">
      <w:pPr>
        <w:shd w:val="clear" w:color="auto" w:fill="FFFFFF" w:themeFill="background1"/>
        <w:ind w:firstLine="709"/>
        <w:jc w:val="both"/>
        <w:rPr>
          <w:sz w:val="28"/>
          <w:szCs w:val="28"/>
        </w:rPr>
      </w:pPr>
      <w:proofErr w:type="gramStart"/>
      <w:r w:rsidRPr="0050653D">
        <w:rPr>
          <w:sz w:val="28"/>
          <w:szCs w:val="28"/>
        </w:rPr>
        <w:t>С целью оказания поддержки субъектам малого и среднего предпринимательства в связи со сложившейся экономической обстановкой Ленинградской областью реализовано право, предусмотренное приложением № 15 к постановлению Правительства Российской Федерации от 12.03.2022 № 353 «Об особенностях разрешительной деятельности в Российской Федерации в 2022 году», на продление разрешительных документов в отношении нестационарных торговых объектов и объектов для розничной торговли, организации рынков и ярмарок.</w:t>
      </w:r>
      <w:proofErr w:type="gramEnd"/>
    </w:p>
    <w:p w:rsidR="001E7823" w:rsidRPr="0050653D" w:rsidRDefault="001E7823" w:rsidP="001E7823">
      <w:pPr>
        <w:widowControl w:val="0"/>
        <w:shd w:val="clear" w:color="auto" w:fill="FFFFFF" w:themeFill="background1"/>
        <w:tabs>
          <w:tab w:val="left" w:pos="4104"/>
        </w:tabs>
        <w:autoSpaceDE w:val="0"/>
        <w:autoSpaceDN w:val="0"/>
        <w:adjustRightInd w:val="0"/>
        <w:ind w:firstLine="709"/>
        <w:jc w:val="both"/>
        <w:rPr>
          <w:kern w:val="32"/>
          <w:sz w:val="28"/>
          <w:szCs w:val="28"/>
        </w:rPr>
      </w:pPr>
      <w:r w:rsidRPr="0050653D">
        <w:rPr>
          <w:kern w:val="32"/>
          <w:sz w:val="28"/>
          <w:szCs w:val="28"/>
        </w:rPr>
        <w:t xml:space="preserve">К 2025 году оборот розничной торговли по базовому варианту достигнет 843,3 </w:t>
      </w:r>
      <w:proofErr w:type="gramStart"/>
      <w:r w:rsidRPr="0050653D">
        <w:rPr>
          <w:kern w:val="32"/>
          <w:sz w:val="28"/>
          <w:szCs w:val="28"/>
        </w:rPr>
        <w:t>млрд</w:t>
      </w:r>
      <w:proofErr w:type="gramEnd"/>
      <w:r w:rsidRPr="0050653D">
        <w:rPr>
          <w:kern w:val="32"/>
          <w:sz w:val="28"/>
          <w:szCs w:val="28"/>
        </w:rPr>
        <w:t xml:space="preserve"> руб.</w:t>
      </w:r>
      <w:r w:rsidR="00A800E2" w:rsidRPr="0050653D">
        <w:rPr>
          <w:kern w:val="32"/>
          <w:sz w:val="28"/>
          <w:szCs w:val="28"/>
        </w:rPr>
        <w:t xml:space="preserve"> и увеличится на 11,6 проц. к 2022 году в сопоставимых ценах</w:t>
      </w:r>
      <w:r w:rsidRPr="0050653D">
        <w:rPr>
          <w:kern w:val="32"/>
          <w:sz w:val="28"/>
          <w:szCs w:val="28"/>
        </w:rPr>
        <w:t>, по консервативному варианту – 793,7 млрд руб.</w:t>
      </w:r>
      <w:r w:rsidR="00A800E2" w:rsidRPr="0050653D">
        <w:rPr>
          <w:kern w:val="32"/>
          <w:sz w:val="28"/>
          <w:szCs w:val="28"/>
        </w:rPr>
        <w:t xml:space="preserve"> (на 7,2%).</w:t>
      </w:r>
      <w:r w:rsidRPr="0050653D">
        <w:rPr>
          <w:kern w:val="32"/>
          <w:sz w:val="28"/>
          <w:szCs w:val="28"/>
        </w:rPr>
        <w:t xml:space="preserve"> </w:t>
      </w:r>
    </w:p>
    <w:p w:rsidR="001E7823" w:rsidRPr="0050653D" w:rsidRDefault="001E7823" w:rsidP="001E7823">
      <w:pPr>
        <w:shd w:val="clear" w:color="auto" w:fill="FFFFFF" w:themeFill="background1"/>
        <w:ind w:firstLine="709"/>
        <w:jc w:val="both"/>
        <w:rPr>
          <w:kern w:val="32"/>
          <w:sz w:val="28"/>
          <w:szCs w:val="28"/>
        </w:rPr>
      </w:pPr>
      <w:r w:rsidRPr="0050653D">
        <w:rPr>
          <w:sz w:val="28"/>
          <w:szCs w:val="28"/>
        </w:rPr>
        <w:t>В 2022 году о</w:t>
      </w:r>
      <w:r w:rsidRPr="0050653D">
        <w:rPr>
          <w:kern w:val="32"/>
          <w:sz w:val="28"/>
          <w:szCs w:val="28"/>
        </w:rPr>
        <w:t>ценка объема платных услуг населению составит 106,</w:t>
      </w:r>
      <w:r w:rsidR="00B52272">
        <w:rPr>
          <w:kern w:val="32"/>
          <w:sz w:val="28"/>
          <w:szCs w:val="28"/>
        </w:rPr>
        <w:t>1</w:t>
      </w:r>
      <w:r w:rsidRPr="0050653D">
        <w:rPr>
          <w:kern w:val="32"/>
          <w:sz w:val="28"/>
          <w:szCs w:val="28"/>
        </w:rPr>
        <w:t xml:space="preserve"> </w:t>
      </w:r>
      <w:proofErr w:type="gramStart"/>
      <w:r w:rsidRPr="0050653D">
        <w:rPr>
          <w:kern w:val="32"/>
          <w:sz w:val="28"/>
          <w:szCs w:val="28"/>
        </w:rPr>
        <w:t>млрд</w:t>
      </w:r>
      <w:proofErr w:type="gramEnd"/>
      <w:r w:rsidRPr="0050653D">
        <w:rPr>
          <w:kern w:val="32"/>
          <w:sz w:val="28"/>
          <w:szCs w:val="28"/>
        </w:rPr>
        <w:t xml:space="preserve"> руб. К 2025 году по базовому варианту показатель составит 134,1 млрд руб.</w:t>
      </w:r>
      <w:r w:rsidR="00A800E2" w:rsidRPr="0050653D">
        <w:rPr>
          <w:kern w:val="32"/>
          <w:sz w:val="28"/>
          <w:szCs w:val="28"/>
        </w:rPr>
        <w:t xml:space="preserve"> и увеличится на 9,1 проц. к 2022 году в сопоставимых ценах</w:t>
      </w:r>
      <w:r w:rsidRPr="0050653D">
        <w:rPr>
          <w:kern w:val="32"/>
          <w:sz w:val="28"/>
          <w:szCs w:val="28"/>
        </w:rPr>
        <w:t>; по консервативному варианту – 127,1 млрд руб.</w:t>
      </w:r>
      <w:r w:rsidR="00A800E2" w:rsidRPr="0050653D">
        <w:rPr>
          <w:kern w:val="32"/>
          <w:sz w:val="28"/>
          <w:szCs w:val="28"/>
        </w:rPr>
        <w:t xml:space="preserve"> (на 4 проц.).</w:t>
      </w:r>
    </w:p>
    <w:p w:rsidR="000F5DDE" w:rsidRPr="0050653D" w:rsidRDefault="000F5DDE" w:rsidP="00215501">
      <w:pPr>
        <w:pStyle w:val="ac"/>
        <w:spacing w:after="0"/>
        <w:ind w:firstLine="709"/>
        <w:jc w:val="both"/>
        <w:rPr>
          <w:color w:val="000000" w:themeColor="text1"/>
          <w:kern w:val="32"/>
          <w:sz w:val="16"/>
          <w:szCs w:val="16"/>
        </w:rPr>
      </w:pPr>
    </w:p>
    <w:p w:rsidR="000F5DDE" w:rsidRPr="0050653D" w:rsidRDefault="00494DB7" w:rsidP="000F5DDE">
      <w:pPr>
        <w:widowControl w:val="0"/>
        <w:jc w:val="center"/>
        <w:rPr>
          <w:color w:val="FF0000"/>
          <w:sz w:val="28"/>
          <w:szCs w:val="28"/>
        </w:rPr>
      </w:pPr>
      <w:r w:rsidRPr="0050653D">
        <w:rPr>
          <w:sz w:val="28"/>
          <w:szCs w:val="28"/>
        </w:rPr>
        <w:t>Внешнеэкономическая деятельность</w:t>
      </w:r>
    </w:p>
    <w:p w:rsidR="00143692" w:rsidRPr="0050653D" w:rsidRDefault="00143692" w:rsidP="00143692">
      <w:pPr>
        <w:pStyle w:val="ac"/>
        <w:spacing w:after="0"/>
        <w:ind w:firstLine="709"/>
        <w:jc w:val="both"/>
        <w:rPr>
          <w:color w:val="000000" w:themeColor="text1"/>
          <w:kern w:val="32"/>
          <w:sz w:val="16"/>
          <w:szCs w:val="16"/>
        </w:rPr>
      </w:pPr>
    </w:p>
    <w:p w:rsidR="001E7823" w:rsidRPr="0050653D" w:rsidRDefault="001E7823" w:rsidP="001E7823">
      <w:pPr>
        <w:shd w:val="clear" w:color="auto" w:fill="FFFFFF" w:themeFill="background1"/>
        <w:ind w:firstLine="709"/>
        <w:jc w:val="both"/>
        <w:rPr>
          <w:rFonts w:eastAsiaTheme="minorHAnsi"/>
          <w:sz w:val="28"/>
          <w:szCs w:val="28"/>
          <w:lang w:eastAsia="en-US"/>
        </w:rPr>
      </w:pPr>
      <w:r w:rsidRPr="0050653D">
        <w:rPr>
          <w:rFonts w:eastAsiaTheme="minorHAnsi"/>
          <w:sz w:val="28"/>
          <w:szCs w:val="28"/>
          <w:lang w:eastAsia="en-US"/>
        </w:rPr>
        <w:t xml:space="preserve">Внешнеторговый оборот Ленинградской области за 2021 год составил 12 723,9 млн. долларов США. </w:t>
      </w:r>
      <w:r w:rsidR="00A800E2" w:rsidRPr="0050653D">
        <w:rPr>
          <w:rFonts w:eastAsiaTheme="minorHAnsi"/>
          <w:sz w:val="28"/>
          <w:szCs w:val="28"/>
          <w:lang w:eastAsia="en-US"/>
        </w:rPr>
        <w:t>По сравнению с 2020 года прир</w:t>
      </w:r>
      <w:r w:rsidRPr="0050653D">
        <w:rPr>
          <w:rFonts w:eastAsiaTheme="minorHAnsi"/>
          <w:sz w:val="28"/>
          <w:szCs w:val="28"/>
          <w:lang w:eastAsia="en-US"/>
        </w:rPr>
        <w:t xml:space="preserve">ост товарооборота </w:t>
      </w:r>
      <w:r w:rsidR="00A800E2" w:rsidRPr="0050653D">
        <w:rPr>
          <w:rFonts w:eastAsiaTheme="minorHAnsi"/>
          <w:sz w:val="28"/>
          <w:szCs w:val="28"/>
          <w:lang w:eastAsia="en-US"/>
        </w:rPr>
        <w:t xml:space="preserve">составил </w:t>
      </w:r>
      <w:r w:rsidRPr="0050653D">
        <w:rPr>
          <w:rFonts w:eastAsiaTheme="minorHAnsi"/>
          <w:sz w:val="28"/>
          <w:szCs w:val="28"/>
          <w:lang w:eastAsia="en-US"/>
        </w:rPr>
        <w:t>41,8</w:t>
      </w:r>
      <w:r w:rsidR="00EA1742" w:rsidRPr="0050653D">
        <w:rPr>
          <w:rFonts w:eastAsiaTheme="minorHAnsi"/>
          <w:sz w:val="28"/>
          <w:szCs w:val="28"/>
          <w:lang w:eastAsia="en-US"/>
        </w:rPr>
        <w:t xml:space="preserve"> проц.</w:t>
      </w:r>
      <w:r w:rsidRPr="0050653D">
        <w:rPr>
          <w:rFonts w:eastAsiaTheme="minorHAnsi"/>
          <w:sz w:val="28"/>
          <w:szCs w:val="28"/>
          <w:lang w:eastAsia="en-US"/>
        </w:rPr>
        <w:t>, при этом экспорт увеличился на 55,0</w:t>
      </w:r>
      <w:r w:rsidR="00EA1742" w:rsidRPr="0050653D">
        <w:rPr>
          <w:rFonts w:eastAsiaTheme="minorHAnsi"/>
          <w:sz w:val="28"/>
          <w:szCs w:val="28"/>
          <w:lang w:eastAsia="en-US"/>
        </w:rPr>
        <w:t xml:space="preserve"> проц.</w:t>
      </w:r>
      <w:r w:rsidRPr="0050653D">
        <w:rPr>
          <w:rFonts w:eastAsiaTheme="minorHAnsi"/>
          <w:sz w:val="28"/>
          <w:szCs w:val="28"/>
          <w:lang w:eastAsia="en-US"/>
        </w:rPr>
        <w:t>, импорт – на 21,7</w:t>
      </w:r>
      <w:r w:rsidR="00EA1742" w:rsidRPr="0050653D">
        <w:rPr>
          <w:rFonts w:eastAsiaTheme="minorHAnsi"/>
          <w:sz w:val="28"/>
          <w:szCs w:val="28"/>
          <w:lang w:eastAsia="en-US"/>
        </w:rPr>
        <w:t xml:space="preserve"> проц</w:t>
      </w:r>
      <w:proofErr w:type="gramStart"/>
      <w:r w:rsidR="00EA1742" w:rsidRPr="0050653D">
        <w:rPr>
          <w:rFonts w:eastAsiaTheme="minorHAnsi"/>
          <w:sz w:val="28"/>
          <w:szCs w:val="28"/>
          <w:lang w:eastAsia="en-US"/>
        </w:rPr>
        <w:t>.</w:t>
      </w:r>
      <w:r w:rsidRPr="0050653D">
        <w:rPr>
          <w:rFonts w:eastAsiaTheme="minorHAnsi"/>
          <w:sz w:val="28"/>
          <w:szCs w:val="28"/>
          <w:lang w:eastAsia="en-US"/>
        </w:rPr>
        <w:t xml:space="preserve">. </w:t>
      </w:r>
      <w:proofErr w:type="gramEnd"/>
      <w:r w:rsidRPr="0050653D">
        <w:rPr>
          <w:rFonts w:eastAsiaTheme="minorHAnsi"/>
          <w:sz w:val="28"/>
          <w:szCs w:val="28"/>
          <w:lang w:eastAsia="en-US"/>
        </w:rPr>
        <w:t>Коэффициент покрытия импорта экспортом – 192</w:t>
      </w:r>
      <w:r w:rsidR="00EA1742" w:rsidRPr="0050653D">
        <w:rPr>
          <w:rFonts w:eastAsiaTheme="minorHAnsi"/>
          <w:sz w:val="28"/>
          <w:szCs w:val="28"/>
          <w:lang w:eastAsia="en-US"/>
        </w:rPr>
        <w:t xml:space="preserve"> проц.</w:t>
      </w:r>
      <w:r w:rsidRPr="0050653D">
        <w:rPr>
          <w:rFonts w:eastAsiaTheme="minorHAnsi"/>
          <w:sz w:val="28"/>
          <w:szCs w:val="28"/>
          <w:lang w:eastAsia="en-US"/>
        </w:rPr>
        <w:t xml:space="preserve">. </w:t>
      </w:r>
    </w:p>
    <w:p w:rsidR="001E7823" w:rsidRPr="0050653D" w:rsidRDefault="001E7823" w:rsidP="001E7823">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r w:rsidRPr="0050653D">
        <w:rPr>
          <w:sz w:val="28"/>
          <w:szCs w:val="28"/>
        </w:rPr>
        <w:t>Среди субъектов Российской Федерации, входящих в состав Северо-Западного федерального округа (далее – СЗФО), Ленинградская область по итогам внешнеторговой деятельности (далее – ВЭД) за 2021 год занимает третье место по объемам импорта (10,2</w:t>
      </w:r>
      <w:r w:rsidR="00EA1742" w:rsidRPr="0050653D">
        <w:rPr>
          <w:sz w:val="28"/>
          <w:szCs w:val="28"/>
        </w:rPr>
        <w:t xml:space="preserve"> проц.</w:t>
      </w:r>
      <w:r w:rsidRPr="0050653D">
        <w:rPr>
          <w:sz w:val="28"/>
          <w:szCs w:val="28"/>
        </w:rPr>
        <w:t xml:space="preserve"> стоимостных объемов СЗФО), второе место по объемам экспорта (13,7</w:t>
      </w:r>
      <w:r w:rsidR="00EA1742" w:rsidRPr="0050653D">
        <w:rPr>
          <w:sz w:val="28"/>
          <w:szCs w:val="28"/>
        </w:rPr>
        <w:t xml:space="preserve"> проц.</w:t>
      </w:r>
      <w:r w:rsidRPr="0050653D">
        <w:rPr>
          <w:sz w:val="28"/>
          <w:szCs w:val="28"/>
        </w:rPr>
        <w:t>) и товарообороту (12,2</w:t>
      </w:r>
      <w:r w:rsidR="00EA1742" w:rsidRPr="0050653D">
        <w:rPr>
          <w:sz w:val="28"/>
          <w:szCs w:val="28"/>
        </w:rPr>
        <w:t xml:space="preserve"> проц.</w:t>
      </w:r>
      <w:r w:rsidRPr="0050653D">
        <w:rPr>
          <w:sz w:val="28"/>
          <w:szCs w:val="28"/>
        </w:rPr>
        <w:t>).</w:t>
      </w:r>
    </w:p>
    <w:p w:rsidR="001E7823" w:rsidRPr="0050653D" w:rsidRDefault="001E7823" w:rsidP="001E7823">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r w:rsidRPr="0050653D">
        <w:rPr>
          <w:sz w:val="28"/>
          <w:szCs w:val="28"/>
        </w:rPr>
        <w:t>В 2021 году внешнеэкономическую деятельность осуществляли 1380 участников ВЭД Ленинградской области: экспортировали товары 810 участников ВЭД, импортировали – 953. Доля крупнейших предприятий во внешнеторговом обороте области составила 60,6</w:t>
      </w:r>
      <w:r w:rsidR="00EA1742" w:rsidRPr="0050653D">
        <w:rPr>
          <w:sz w:val="28"/>
          <w:szCs w:val="28"/>
        </w:rPr>
        <w:t xml:space="preserve"> проц</w:t>
      </w:r>
      <w:proofErr w:type="gramStart"/>
      <w:r w:rsidR="00EA1742" w:rsidRPr="0050653D">
        <w:rPr>
          <w:sz w:val="28"/>
          <w:szCs w:val="28"/>
        </w:rPr>
        <w:t>.</w:t>
      </w:r>
      <w:r w:rsidRPr="0050653D">
        <w:rPr>
          <w:sz w:val="28"/>
          <w:szCs w:val="28"/>
        </w:rPr>
        <w:t>.</w:t>
      </w:r>
      <w:proofErr w:type="gramEnd"/>
    </w:p>
    <w:p w:rsidR="001E7823" w:rsidRPr="0050653D" w:rsidRDefault="001E7823" w:rsidP="001E7823">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r w:rsidRPr="0050653D">
        <w:rPr>
          <w:sz w:val="28"/>
          <w:szCs w:val="28"/>
        </w:rPr>
        <w:t xml:space="preserve">В 2021 году торговые операции осуществлялись с партнерами из 166 стран. </w:t>
      </w:r>
      <w:proofErr w:type="gramStart"/>
      <w:r w:rsidRPr="0050653D">
        <w:rPr>
          <w:sz w:val="28"/>
          <w:szCs w:val="28"/>
        </w:rPr>
        <w:t>Крупнейшие страны-контрагенты – КНР (15,3</w:t>
      </w:r>
      <w:r w:rsidR="00EA1742" w:rsidRPr="0050653D">
        <w:rPr>
          <w:sz w:val="28"/>
          <w:szCs w:val="28"/>
        </w:rPr>
        <w:t xml:space="preserve"> проц.</w:t>
      </w:r>
      <w:r w:rsidRPr="0050653D">
        <w:rPr>
          <w:sz w:val="28"/>
          <w:szCs w:val="28"/>
        </w:rPr>
        <w:t xml:space="preserve"> товарооборота), Финляндия (7,2</w:t>
      </w:r>
      <w:r w:rsidR="00EA1742" w:rsidRPr="0050653D">
        <w:rPr>
          <w:sz w:val="28"/>
          <w:szCs w:val="28"/>
        </w:rPr>
        <w:t xml:space="preserve"> проц.</w:t>
      </w:r>
      <w:r w:rsidRPr="0050653D">
        <w:rPr>
          <w:sz w:val="28"/>
          <w:szCs w:val="28"/>
        </w:rPr>
        <w:t>), Эстония (6,9</w:t>
      </w:r>
      <w:r w:rsidR="00EA1742" w:rsidRPr="0050653D">
        <w:rPr>
          <w:sz w:val="28"/>
          <w:szCs w:val="28"/>
        </w:rPr>
        <w:t xml:space="preserve"> проц.</w:t>
      </w:r>
      <w:r w:rsidRPr="0050653D">
        <w:rPr>
          <w:sz w:val="28"/>
          <w:szCs w:val="28"/>
        </w:rPr>
        <w:t>), Нидерланды (6,4</w:t>
      </w:r>
      <w:r w:rsidR="00EA1742" w:rsidRPr="0050653D">
        <w:rPr>
          <w:sz w:val="28"/>
          <w:szCs w:val="28"/>
        </w:rPr>
        <w:t xml:space="preserve"> проц.</w:t>
      </w:r>
      <w:r w:rsidRPr="0050653D">
        <w:rPr>
          <w:sz w:val="28"/>
          <w:szCs w:val="28"/>
        </w:rPr>
        <w:t>), ФРГ (4,7</w:t>
      </w:r>
      <w:r w:rsidR="00EA1742" w:rsidRPr="0050653D">
        <w:rPr>
          <w:sz w:val="28"/>
          <w:szCs w:val="28"/>
        </w:rPr>
        <w:t xml:space="preserve"> проц.</w:t>
      </w:r>
      <w:r w:rsidRPr="0050653D">
        <w:rPr>
          <w:sz w:val="28"/>
          <w:szCs w:val="28"/>
        </w:rPr>
        <w:t>).</w:t>
      </w:r>
      <w:proofErr w:type="gramEnd"/>
      <w:r w:rsidRPr="0050653D">
        <w:rPr>
          <w:sz w:val="28"/>
          <w:szCs w:val="28"/>
        </w:rPr>
        <w:t xml:space="preserve"> Суммарный товарооборот с этими странами составил 40,5</w:t>
      </w:r>
      <w:r w:rsidR="00EA1742" w:rsidRPr="0050653D">
        <w:rPr>
          <w:sz w:val="28"/>
          <w:szCs w:val="28"/>
        </w:rPr>
        <w:t xml:space="preserve"> проц.</w:t>
      </w:r>
      <w:r w:rsidRPr="0050653D">
        <w:rPr>
          <w:sz w:val="28"/>
          <w:szCs w:val="28"/>
        </w:rPr>
        <w:t xml:space="preserve"> от общего товарооборота Ленинградской области.</w:t>
      </w:r>
    </w:p>
    <w:p w:rsidR="001E7823" w:rsidRPr="0050653D" w:rsidRDefault="001E7823" w:rsidP="001E7823">
      <w:pPr>
        <w:shd w:val="clear" w:color="auto" w:fill="FFFFFF" w:themeFill="background1"/>
        <w:ind w:firstLine="709"/>
        <w:jc w:val="both"/>
        <w:rPr>
          <w:rFonts w:eastAsiaTheme="minorHAnsi"/>
          <w:sz w:val="28"/>
          <w:szCs w:val="28"/>
          <w:lang w:eastAsia="en-US"/>
        </w:rPr>
      </w:pPr>
      <w:r w:rsidRPr="0050653D">
        <w:rPr>
          <w:rFonts w:eastAsiaTheme="minorHAnsi"/>
          <w:sz w:val="28"/>
          <w:szCs w:val="28"/>
          <w:lang w:eastAsia="en-US"/>
        </w:rPr>
        <w:lastRenderedPageBreak/>
        <w:t>Наиболее крупными участниками ВЭД Ленинградской области являлись следующие предприятия</w:t>
      </w:r>
      <w:r w:rsidRPr="0050653D">
        <w:rPr>
          <w:rFonts w:eastAsiaTheme="minorHAnsi"/>
          <w:color w:val="595959" w:themeColor="text1" w:themeTint="A6"/>
          <w:sz w:val="28"/>
          <w:szCs w:val="28"/>
          <w:lang w:eastAsia="en-US"/>
        </w:rPr>
        <w:t xml:space="preserve">: </w:t>
      </w:r>
      <w:proofErr w:type="gramStart"/>
      <w:r w:rsidRPr="0050653D">
        <w:rPr>
          <w:rFonts w:eastAsiaTheme="minorHAnsi"/>
          <w:sz w:val="28"/>
          <w:szCs w:val="28"/>
          <w:lang w:eastAsia="en-US"/>
        </w:rPr>
        <w:t>ООО «</w:t>
      </w:r>
      <w:proofErr w:type="spellStart"/>
      <w:r w:rsidRPr="0050653D">
        <w:rPr>
          <w:rFonts w:eastAsiaTheme="minorHAnsi"/>
          <w:sz w:val="28"/>
          <w:szCs w:val="28"/>
          <w:lang w:eastAsia="en-US"/>
        </w:rPr>
        <w:t>Новатэк</w:t>
      </w:r>
      <w:proofErr w:type="spellEnd"/>
      <w:r w:rsidRPr="0050653D">
        <w:rPr>
          <w:rFonts w:eastAsiaTheme="minorHAnsi"/>
          <w:sz w:val="28"/>
          <w:szCs w:val="28"/>
          <w:lang w:eastAsia="en-US"/>
        </w:rPr>
        <w:t>-Усть-Луга», ООО ПГ «Фосфорит», АО «Филип Моррис Ижора», ООО «</w:t>
      </w:r>
      <w:proofErr w:type="spellStart"/>
      <w:r w:rsidRPr="0050653D">
        <w:rPr>
          <w:rFonts w:eastAsiaTheme="minorHAnsi"/>
          <w:sz w:val="28"/>
          <w:szCs w:val="28"/>
          <w:lang w:eastAsia="en-US"/>
        </w:rPr>
        <w:t>Нокиан</w:t>
      </w:r>
      <w:proofErr w:type="spellEnd"/>
      <w:r w:rsidRPr="0050653D">
        <w:rPr>
          <w:rFonts w:eastAsiaTheme="minorHAnsi"/>
          <w:sz w:val="28"/>
          <w:szCs w:val="28"/>
          <w:lang w:eastAsia="en-US"/>
        </w:rPr>
        <w:t xml:space="preserve"> Шина», ЗАО «Группа СЕБ-Восток», ООО «</w:t>
      </w:r>
      <w:proofErr w:type="spellStart"/>
      <w:r w:rsidRPr="0050653D">
        <w:rPr>
          <w:rFonts w:eastAsiaTheme="minorHAnsi"/>
          <w:sz w:val="28"/>
          <w:szCs w:val="28"/>
          <w:lang w:eastAsia="en-US"/>
        </w:rPr>
        <w:t>Криогаз</w:t>
      </w:r>
      <w:proofErr w:type="spellEnd"/>
      <w:r w:rsidRPr="0050653D">
        <w:rPr>
          <w:rFonts w:eastAsiaTheme="minorHAnsi"/>
          <w:sz w:val="28"/>
          <w:szCs w:val="28"/>
          <w:lang w:eastAsia="en-US"/>
        </w:rPr>
        <w:t xml:space="preserve">-Высоцк», </w:t>
      </w:r>
      <w:proofErr w:type="spellStart"/>
      <w:r w:rsidRPr="0050653D">
        <w:rPr>
          <w:rFonts w:eastAsiaTheme="minorHAnsi"/>
          <w:sz w:val="28"/>
          <w:szCs w:val="28"/>
          <w:lang w:eastAsia="en-US"/>
        </w:rPr>
        <w:t>Волховский</w:t>
      </w:r>
      <w:proofErr w:type="spellEnd"/>
      <w:r w:rsidRPr="0050653D">
        <w:rPr>
          <w:rFonts w:eastAsiaTheme="minorHAnsi"/>
          <w:sz w:val="28"/>
          <w:szCs w:val="28"/>
          <w:lang w:eastAsia="en-US"/>
        </w:rPr>
        <w:t xml:space="preserve"> филиал АО «Апатит», ООО «</w:t>
      </w:r>
      <w:proofErr w:type="spellStart"/>
      <w:r w:rsidRPr="0050653D">
        <w:rPr>
          <w:rFonts w:eastAsiaTheme="minorHAnsi"/>
          <w:sz w:val="28"/>
          <w:szCs w:val="28"/>
          <w:lang w:eastAsia="en-US"/>
        </w:rPr>
        <w:t>Орими</w:t>
      </w:r>
      <w:proofErr w:type="spellEnd"/>
      <w:r w:rsidRPr="0050653D">
        <w:rPr>
          <w:rFonts w:eastAsiaTheme="minorHAnsi"/>
          <w:sz w:val="28"/>
          <w:szCs w:val="28"/>
          <w:lang w:eastAsia="en-US"/>
        </w:rPr>
        <w:t xml:space="preserve">», ООО «Якобс Дау </w:t>
      </w:r>
      <w:proofErr w:type="spellStart"/>
      <w:r w:rsidRPr="0050653D">
        <w:rPr>
          <w:rFonts w:eastAsiaTheme="minorHAnsi"/>
          <w:sz w:val="28"/>
          <w:szCs w:val="28"/>
          <w:lang w:eastAsia="en-US"/>
        </w:rPr>
        <w:t>Эгбертс</w:t>
      </w:r>
      <w:proofErr w:type="spellEnd"/>
      <w:r w:rsidRPr="0050653D">
        <w:rPr>
          <w:rFonts w:eastAsiaTheme="minorHAnsi"/>
          <w:sz w:val="28"/>
          <w:szCs w:val="28"/>
          <w:lang w:eastAsia="en-US"/>
        </w:rPr>
        <w:t xml:space="preserve"> Рус», ООО «</w:t>
      </w:r>
      <w:proofErr w:type="spellStart"/>
      <w:r w:rsidRPr="0050653D">
        <w:rPr>
          <w:rFonts w:eastAsiaTheme="minorHAnsi"/>
          <w:sz w:val="28"/>
          <w:szCs w:val="28"/>
          <w:lang w:eastAsia="en-US"/>
        </w:rPr>
        <w:t>Нокиан</w:t>
      </w:r>
      <w:proofErr w:type="spellEnd"/>
      <w:r w:rsidRPr="0050653D">
        <w:rPr>
          <w:rFonts w:eastAsiaTheme="minorHAnsi"/>
          <w:sz w:val="28"/>
          <w:szCs w:val="28"/>
          <w:lang w:eastAsia="en-US"/>
        </w:rPr>
        <w:t xml:space="preserve"> </w:t>
      </w:r>
      <w:proofErr w:type="spellStart"/>
      <w:r w:rsidRPr="0050653D">
        <w:rPr>
          <w:rFonts w:eastAsiaTheme="minorHAnsi"/>
          <w:sz w:val="28"/>
          <w:szCs w:val="28"/>
          <w:lang w:eastAsia="en-US"/>
        </w:rPr>
        <w:t>Тайерс</w:t>
      </w:r>
      <w:proofErr w:type="spellEnd"/>
      <w:r w:rsidRPr="0050653D">
        <w:rPr>
          <w:rFonts w:eastAsiaTheme="minorHAnsi"/>
          <w:sz w:val="28"/>
          <w:szCs w:val="28"/>
          <w:lang w:eastAsia="en-US"/>
        </w:rPr>
        <w:t>».</w:t>
      </w:r>
      <w:proofErr w:type="gramEnd"/>
    </w:p>
    <w:p w:rsidR="001E7823" w:rsidRPr="0050653D" w:rsidRDefault="001E7823" w:rsidP="001E7823">
      <w:pPr>
        <w:shd w:val="clear" w:color="auto" w:fill="FFFFFF" w:themeFill="background1"/>
        <w:ind w:firstLine="709"/>
        <w:jc w:val="both"/>
        <w:rPr>
          <w:rFonts w:eastAsia="Malgun Gothic"/>
          <w:snapToGrid w:val="0"/>
          <w:sz w:val="28"/>
          <w:szCs w:val="28"/>
        </w:rPr>
      </w:pPr>
      <w:r w:rsidRPr="0050653D">
        <w:rPr>
          <w:rFonts w:eastAsia="Malgun Gothic"/>
          <w:snapToGrid w:val="0"/>
          <w:sz w:val="28"/>
          <w:szCs w:val="28"/>
        </w:rPr>
        <w:t>Реальные объемы экспорта товаров после падения в 2022 году переходят к умеренному росту в 2023–2025 гг., однако к концу прогнозного периода полного восстановления не произойдет.</w:t>
      </w:r>
    </w:p>
    <w:p w:rsidR="001E7823" w:rsidRPr="0050653D" w:rsidRDefault="001E7823" w:rsidP="001E7823">
      <w:pPr>
        <w:shd w:val="clear" w:color="auto" w:fill="FFFFFF" w:themeFill="background1"/>
        <w:ind w:firstLine="709"/>
        <w:jc w:val="both"/>
        <w:rPr>
          <w:rFonts w:eastAsia="Malgun Gothic"/>
          <w:snapToGrid w:val="0"/>
          <w:sz w:val="28"/>
          <w:szCs w:val="28"/>
        </w:rPr>
      </w:pPr>
      <w:r w:rsidRPr="0050653D">
        <w:rPr>
          <w:rFonts w:eastAsia="Malgun Gothic"/>
          <w:snapToGrid w:val="0"/>
          <w:sz w:val="28"/>
          <w:szCs w:val="28"/>
        </w:rPr>
        <w:t>Темпы роста экспорта товаров в целом сдерживаются динамикой нефтегазового экспорта, который после резкого падения в 2022 году продолжит снижение и до конца прогнозного периода.</w:t>
      </w:r>
    </w:p>
    <w:p w:rsidR="001E7823" w:rsidRPr="0050653D" w:rsidRDefault="001E7823" w:rsidP="001E7823">
      <w:pPr>
        <w:shd w:val="clear" w:color="auto" w:fill="FFFFFF" w:themeFill="background1"/>
        <w:ind w:firstLine="709"/>
        <w:jc w:val="both"/>
        <w:rPr>
          <w:rFonts w:eastAsia="Malgun Gothic"/>
          <w:snapToGrid w:val="0"/>
          <w:sz w:val="28"/>
          <w:szCs w:val="28"/>
        </w:rPr>
      </w:pPr>
      <w:proofErr w:type="spellStart"/>
      <w:r w:rsidRPr="0050653D">
        <w:rPr>
          <w:rFonts w:eastAsia="Malgun Gothic"/>
          <w:snapToGrid w:val="0"/>
          <w:sz w:val="28"/>
          <w:szCs w:val="28"/>
        </w:rPr>
        <w:t>Ненефтегазовый</w:t>
      </w:r>
      <w:proofErr w:type="spellEnd"/>
      <w:r w:rsidRPr="0050653D">
        <w:rPr>
          <w:rFonts w:eastAsia="Malgun Gothic"/>
          <w:snapToGrid w:val="0"/>
          <w:sz w:val="28"/>
          <w:szCs w:val="28"/>
        </w:rPr>
        <w:t xml:space="preserve"> экспорт за 2023–2025 гг. отыгрывает примерно 60</w:t>
      </w:r>
      <w:r w:rsidR="00EA1742" w:rsidRPr="0050653D">
        <w:rPr>
          <w:rFonts w:eastAsia="Malgun Gothic"/>
          <w:snapToGrid w:val="0"/>
          <w:sz w:val="28"/>
          <w:szCs w:val="28"/>
        </w:rPr>
        <w:t xml:space="preserve"> проц.</w:t>
      </w:r>
      <w:r w:rsidRPr="0050653D">
        <w:rPr>
          <w:rFonts w:eastAsia="Malgun Gothic"/>
          <w:snapToGrid w:val="0"/>
          <w:sz w:val="28"/>
          <w:szCs w:val="28"/>
        </w:rPr>
        <w:t xml:space="preserve"> падения 2022 г., но в конце прогнозного периода также не восстанавливается полностью.</w:t>
      </w:r>
    </w:p>
    <w:p w:rsidR="001E7823" w:rsidRPr="0050653D" w:rsidRDefault="001E7823" w:rsidP="001E7823">
      <w:pPr>
        <w:shd w:val="clear" w:color="auto" w:fill="FFFFFF" w:themeFill="background1"/>
        <w:ind w:firstLine="709"/>
        <w:jc w:val="both"/>
        <w:rPr>
          <w:rFonts w:eastAsia="Malgun Gothic"/>
          <w:snapToGrid w:val="0"/>
          <w:sz w:val="28"/>
          <w:szCs w:val="28"/>
        </w:rPr>
      </w:pPr>
      <w:r w:rsidRPr="0050653D">
        <w:rPr>
          <w:rFonts w:eastAsia="Malgun Gothic"/>
          <w:snapToGrid w:val="0"/>
          <w:sz w:val="28"/>
          <w:szCs w:val="28"/>
        </w:rPr>
        <w:t xml:space="preserve">В базовом варианте в Ленинградской области в условиях ухудшения конъюнктуры мировых рынков по оценке 2022 года ожидается </w:t>
      </w:r>
      <w:proofErr w:type="gramStart"/>
      <w:r w:rsidRPr="0050653D">
        <w:rPr>
          <w:rFonts w:eastAsia="Malgun Gothic"/>
          <w:snapToGrid w:val="0"/>
          <w:sz w:val="28"/>
          <w:szCs w:val="28"/>
        </w:rPr>
        <w:t>сокращение</w:t>
      </w:r>
      <w:proofErr w:type="gramEnd"/>
      <w:r w:rsidRPr="0050653D">
        <w:rPr>
          <w:rFonts w:eastAsia="Malgun Gothic"/>
          <w:snapToGrid w:val="0"/>
          <w:sz w:val="28"/>
          <w:szCs w:val="28"/>
        </w:rPr>
        <w:t xml:space="preserve"> как экспорта, так и импорта. Экспорт составит 8177,5 </w:t>
      </w:r>
      <w:proofErr w:type="gramStart"/>
      <w:r w:rsidRPr="0050653D">
        <w:rPr>
          <w:rFonts w:eastAsia="Malgun Gothic"/>
          <w:snapToGrid w:val="0"/>
          <w:sz w:val="28"/>
          <w:szCs w:val="28"/>
        </w:rPr>
        <w:t>млн</w:t>
      </w:r>
      <w:proofErr w:type="gramEnd"/>
      <w:r w:rsidRPr="0050653D">
        <w:rPr>
          <w:rFonts w:eastAsia="Malgun Gothic"/>
          <w:snapToGrid w:val="0"/>
          <w:sz w:val="28"/>
          <w:szCs w:val="28"/>
        </w:rPr>
        <w:t xml:space="preserve"> долларов США, а импорт –</w:t>
      </w:r>
      <w:r w:rsidR="00955FDE" w:rsidRPr="0050653D">
        <w:rPr>
          <w:rFonts w:eastAsia="Malgun Gothic"/>
          <w:snapToGrid w:val="0"/>
          <w:sz w:val="28"/>
          <w:szCs w:val="28"/>
        </w:rPr>
        <w:t xml:space="preserve"> </w:t>
      </w:r>
      <w:r w:rsidRPr="0050653D">
        <w:rPr>
          <w:rFonts w:eastAsia="Malgun Gothic"/>
          <w:snapToGrid w:val="0"/>
          <w:sz w:val="28"/>
          <w:szCs w:val="28"/>
        </w:rPr>
        <w:t>3608,6 млн долларов США.</w:t>
      </w:r>
    </w:p>
    <w:p w:rsidR="001E7823" w:rsidRPr="0050653D" w:rsidRDefault="001E7823" w:rsidP="001E7823">
      <w:pPr>
        <w:shd w:val="clear" w:color="auto" w:fill="FFFFFF" w:themeFill="background1"/>
        <w:ind w:firstLine="709"/>
        <w:jc w:val="both"/>
        <w:rPr>
          <w:rFonts w:eastAsia="Malgun Gothic"/>
          <w:snapToGrid w:val="0"/>
          <w:sz w:val="28"/>
          <w:szCs w:val="28"/>
        </w:rPr>
      </w:pPr>
      <w:r w:rsidRPr="0050653D">
        <w:rPr>
          <w:rFonts w:eastAsia="Malgun Gothic"/>
          <w:snapToGrid w:val="0"/>
          <w:sz w:val="28"/>
          <w:szCs w:val="28"/>
        </w:rPr>
        <w:t>В 2023 году прогнозируется продолжение негативных тенденций и падение</w:t>
      </w:r>
      <w:r w:rsidR="00955FDE" w:rsidRPr="0050653D">
        <w:rPr>
          <w:rFonts w:eastAsia="Malgun Gothic"/>
          <w:snapToGrid w:val="0"/>
          <w:sz w:val="28"/>
          <w:szCs w:val="28"/>
        </w:rPr>
        <w:t xml:space="preserve"> </w:t>
      </w:r>
      <w:r w:rsidRPr="0050653D">
        <w:rPr>
          <w:rFonts w:eastAsia="Malgun Gothic"/>
          <w:snapToGrid w:val="0"/>
          <w:sz w:val="28"/>
          <w:szCs w:val="28"/>
        </w:rPr>
        <w:t>экспорта</w:t>
      </w:r>
      <w:r w:rsidRPr="0050653D">
        <w:rPr>
          <w:rFonts w:eastAsia="Malgun Gothic"/>
          <w:sz w:val="20"/>
          <w:szCs w:val="20"/>
        </w:rPr>
        <w:t xml:space="preserve"> </w:t>
      </w:r>
      <w:r w:rsidRPr="0050653D">
        <w:rPr>
          <w:rFonts w:eastAsia="Malgun Gothic"/>
          <w:snapToGrid w:val="0"/>
          <w:sz w:val="28"/>
          <w:szCs w:val="28"/>
        </w:rPr>
        <w:t>Ленинградской области, которое будет продолжаться вплоть до 2025 года и в конце периода экспорт составит 7615,9</w:t>
      </w:r>
      <w:r w:rsidRPr="0050653D">
        <w:rPr>
          <w:rFonts w:eastAsia="Malgun Gothic"/>
          <w:sz w:val="20"/>
          <w:szCs w:val="20"/>
        </w:rPr>
        <w:t xml:space="preserve"> </w:t>
      </w:r>
      <w:proofErr w:type="gramStart"/>
      <w:r w:rsidRPr="0050653D">
        <w:rPr>
          <w:rFonts w:eastAsia="Malgun Gothic"/>
          <w:snapToGrid w:val="0"/>
          <w:sz w:val="28"/>
          <w:szCs w:val="28"/>
        </w:rPr>
        <w:t>млн</w:t>
      </w:r>
      <w:proofErr w:type="gramEnd"/>
      <w:r w:rsidRPr="0050653D">
        <w:rPr>
          <w:rFonts w:eastAsia="Malgun Gothic"/>
          <w:snapToGrid w:val="0"/>
          <w:sz w:val="28"/>
          <w:szCs w:val="28"/>
        </w:rPr>
        <w:t xml:space="preserve"> долларов США.</w:t>
      </w:r>
    </w:p>
    <w:p w:rsidR="001E7823" w:rsidRPr="0050653D" w:rsidRDefault="001E7823" w:rsidP="001E7823">
      <w:pPr>
        <w:shd w:val="clear" w:color="auto" w:fill="FFFFFF" w:themeFill="background1"/>
        <w:ind w:firstLine="709"/>
        <w:jc w:val="both"/>
        <w:rPr>
          <w:rFonts w:eastAsia="Malgun Gothic"/>
          <w:snapToGrid w:val="0"/>
          <w:sz w:val="28"/>
          <w:szCs w:val="28"/>
        </w:rPr>
      </w:pPr>
      <w:r w:rsidRPr="0050653D">
        <w:rPr>
          <w:rFonts w:eastAsia="Malgun Gothic"/>
          <w:snapToGrid w:val="0"/>
          <w:sz w:val="28"/>
          <w:szCs w:val="28"/>
        </w:rPr>
        <w:t>Импорт же наоборот – прогнозируется незначительный рост, начиная с 2023 года до конца</w:t>
      </w:r>
      <w:r w:rsidR="00955FDE" w:rsidRPr="0050653D">
        <w:rPr>
          <w:rFonts w:eastAsia="Malgun Gothic"/>
          <w:snapToGrid w:val="0"/>
          <w:sz w:val="28"/>
          <w:szCs w:val="28"/>
        </w:rPr>
        <w:t xml:space="preserve"> </w:t>
      </w:r>
      <w:r w:rsidRPr="0050653D">
        <w:rPr>
          <w:rFonts w:eastAsia="Malgun Gothic"/>
          <w:snapToGrid w:val="0"/>
          <w:sz w:val="28"/>
          <w:szCs w:val="28"/>
        </w:rPr>
        <w:t>прогнозного периода. В 2025 году</w:t>
      </w:r>
      <w:r w:rsidR="00955FDE" w:rsidRPr="0050653D">
        <w:rPr>
          <w:rFonts w:eastAsia="Malgun Gothic"/>
          <w:snapToGrid w:val="0"/>
          <w:sz w:val="28"/>
          <w:szCs w:val="28"/>
        </w:rPr>
        <w:t xml:space="preserve"> </w:t>
      </w:r>
      <w:r w:rsidRPr="0050653D">
        <w:rPr>
          <w:rFonts w:eastAsia="Malgun Gothic"/>
          <w:snapToGrid w:val="0"/>
          <w:sz w:val="28"/>
          <w:szCs w:val="28"/>
        </w:rPr>
        <w:t xml:space="preserve">импорт составит 4596 </w:t>
      </w:r>
      <w:proofErr w:type="gramStart"/>
      <w:r w:rsidRPr="0050653D">
        <w:rPr>
          <w:rFonts w:eastAsia="Malgun Gothic"/>
          <w:snapToGrid w:val="0"/>
          <w:sz w:val="28"/>
          <w:szCs w:val="28"/>
        </w:rPr>
        <w:t>млн</w:t>
      </w:r>
      <w:proofErr w:type="gramEnd"/>
      <w:r w:rsidRPr="0050653D">
        <w:rPr>
          <w:rFonts w:eastAsia="Malgun Gothic"/>
          <w:snapToGrid w:val="0"/>
          <w:sz w:val="28"/>
          <w:szCs w:val="28"/>
        </w:rPr>
        <w:t xml:space="preserve"> долл. США.</w:t>
      </w:r>
    </w:p>
    <w:p w:rsidR="001E7823" w:rsidRPr="0050653D" w:rsidRDefault="001E7823" w:rsidP="001E7823">
      <w:pPr>
        <w:shd w:val="clear" w:color="auto" w:fill="FFFFFF" w:themeFill="background1"/>
        <w:ind w:firstLine="709"/>
        <w:jc w:val="both"/>
        <w:rPr>
          <w:rFonts w:eastAsia="Malgun Gothic"/>
          <w:snapToGrid w:val="0"/>
          <w:sz w:val="28"/>
          <w:szCs w:val="28"/>
        </w:rPr>
      </w:pPr>
      <w:r w:rsidRPr="0050653D">
        <w:rPr>
          <w:rFonts w:eastAsia="Malgun Gothic"/>
          <w:snapToGrid w:val="0"/>
          <w:sz w:val="28"/>
          <w:szCs w:val="28"/>
        </w:rPr>
        <w:t xml:space="preserve">Консервативный вариант предполагает более существенное снижение цен на товары российского экспорта и импорта в 2023 году. После чего последует незначительный рост экспорта и импорта. </w:t>
      </w:r>
    </w:p>
    <w:p w:rsidR="00AB4441" w:rsidRPr="0050653D" w:rsidRDefault="001E7823" w:rsidP="001E7823">
      <w:pPr>
        <w:widowControl w:val="0"/>
        <w:ind w:firstLine="709"/>
        <w:jc w:val="both"/>
        <w:rPr>
          <w:sz w:val="28"/>
          <w:szCs w:val="28"/>
        </w:rPr>
      </w:pPr>
      <w:r w:rsidRPr="0050653D">
        <w:rPr>
          <w:rFonts w:eastAsia="Malgun Gothic"/>
          <w:snapToGrid w:val="0"/>
          <w:sz w:val="28"/>
          <w:szCs w:val="28"/>
        </w:rPr>
        <w:t xml:space="preserve">В консервативном варианте с 2023 по 2025 годы прогнозируется увеличение уровня экспорта Ленинградской области с 7016,3 до 7150,2 </w:t>
      </w:r>
      <w:proofErr w:type="gramStart"/>
      <w:r w:rsidRPr="0050653D">
        <w:rPr>
          <w:rFonts w:eastAsia="Malgun Gothic"/>
          <w:snapToGrid w:val="0"/>
          <w:sz w:val="28"/>
          <w:szCs w:val="28"/>
        </w:rPr>
        <w:t>млн</w:t>
      </w:r>
      <w:proofErr w:type="gramEnd"/>
      <w:r w:rsidRPr="0050653D">
        <w:rPr>
          <w:rFonts w:eastAsia="Malgun Gothic"/>
          <w:snapToGrid w:val="0"/>
          <w:sz w:val="28"/>
          <w:szCs w:val="28"/>
        </w:rPr>
        <w:t xml:space="preserve"> долл. США, а импорта – с 3778,2 до 4358,1 млн долл. США.</w:t>
      </w:r>
    </w:p>
    <w:p w:rsidR="00494DB7" w:rsidRPr="0050653D" w:rsidRDefault="00143692" w:rsidP="00494DB7">
      <w:pPr>
        <w:ind w:firstLine="709"/>
        <w:jc w:val="both"/>
        <w:rPr>
          <w:color w:val="000000" w:themeColor="text1"/>
          <w:sz w:val="16"/>
          <w:szCs w:val="16"/>
        </w:rPr>
      </w:pPr>
      <w:r w:rsidRPr="0050653D">
        <w:rPr>
          <w:sz w:val="28"/>
          <w:szCs w:val="28"/>
        </w:rPr>
        <w:t xml:space="preserve"> </w:t>
      </w:r>
    </w:p>
    <w:p w:rsidR="00C24B91" w:rsidRPr="0050653D" w:rsidRDefault="00494DB7" w:rsidP="00C24B91">
      <w:pPr>
        <w:contextualSpacing/>
        <w:jc w:val="center"/>
        <w:rPr>
          <w:color w:val="000000" w:themeColor="text1"/>
          <w:sz w:val="28"/>
          <w:szCs w:val="28"/>
        </w:rPr>
      </w:pPr>
      <w:r w:rsidRPr="0050653D">
        <w:rPr>
          <w:color w:val="000000" w:themeColor="text1"/>
          <w:sz w:val="28"/>
          <w:szCs w:val="28"/>
        </w:rPr>
        <w:t xml:space="preserve">Малое и среднее предпринимательство, включая </w:t>
      </w:r>
      <w:proofErr w:type="spellStart"/>
      <w:r w:rsidRPr="0050653D">
        <w:rPr>
          <w:color w:val="000000" w:themeColor="text1"/>
          <w:sz w:val="28"/>
          <w:szCs w:val="28"/>
        </w:rPr>
        <w:t>микропредприятия</w:t>
      </w:r>
      <w:proofErr w:type="spellEnd"/>
    </w:p>
    <w:p w:rsidR="00C24B91" w:rsidRPr="0050653D" w:rsidRDefault="00C24B91" w:rsidP="00C24B91">
      <w:pPr>
        <w:ind w:firstLine="709"/>
        <w:contextualSpacing/>
        <w:jc w:val="both"/>
        <w:rPr>
          <w:color w:val="000000" w:themeColor="text1"/>
          <w:sz w:val="16"/>
          <w:szCs w:val="16"/>
        </w:rPr>
      </w:pPr>
    </w:p>
    <w:p w:rsidR="00C51951" w:rsidRPr="0050653D" w:rsidRDefault="00C51951" w:rsidP="00C51951">
      <w:pPr>
        <w:widowControl w:val="0"/>
        <w:shd w:val="clear" w:color="auto" w:fill="FFFFFF" w:themeFill="background1"/>
        <w:autoSpaceDE w:val="0"/>
        <w:autoSpaceDN w:val="0"/>
        <w:adjustRightInd w:val="0"/>
        <w:ind w:firstLine="709"/>
        <w:jc w:val="both"/>
        <w:rPr>
          <w:sz w:val="28"/>
          <w:szCs w:val="28"/>
        </w:rPr>
      </w:pPr>
      <w:r w:rsidRPr="0050653D">
        <w:rPr>
          <w:sz w:val="28"/>
          <w:szCs w:val="28"/>
        </w:rPr>
        <w:t>Количество субъектов малого и среднего предпринимательства (МСП) в Ленинградской области по состоянию на 10 января 2022 года в соответствии с единым реестром субъектов малого и среднего предпринимательства составляет 69 392 единицы</w:t>
      </w:r>
      <w:r w:rsidR="00A800E2" w:rsidRPr="0050653D">
        <w:rPr>
          <w:sz w:val="28"/>
          <w:szCs w:val="28"/>
        </w:rPr>
        <w:t xml:space="preserve">, </w:t>
      </w:r>
      <w:r w:rsidRPr="0050653D">
        <w:rPr>
          <w:sz w:val="28"/>
          <w:szCs w:val="28"/>
        </w:rPr>
        <w:t xml:space="preserve">прирост к </w:t>
      </w:r>
      <w:r w:rsidR="00A800E2" w:rsidRPr="0050653D">
        <w:rPr>
          <w:sz w:val="28"/>
          <w:szCs w:val="28"/>
        </w:rPr>
        <w:t>уровню</w:t>
      </w:r>
      <w:r w:rsidRPr="0050653D">
        <w:rPr>
          <w:sz w:val="28"/>
          <w:szCs w:val="28"/>
        </w:rPr>
        <w:t xml:space="preserve"> 2020 года составил 7,7</w:t>
      </w:r>
      <w:r w:rsidR="00EA1742" w:rsidRPr="0050653D">
        <w:rPr>
          <w:sz w:val="28"/>
          <w:szCs w:val="28"/>
        </w:rPr>
        <w:t xml:space="preserve"> проц.</w:t>
      </w:r>
      <w:r w:rsidR="00A800E2" w:rsidRPr="0050653D">
        <w:rPr>
          <w:sz w:val="28"/>
          <w:szCs w:val="28"/>
        </w:rPr>
        <w:t xml:space="preserve"> (в</w:t>
      </w:r>
      <w:r w:rsidRPr="0050653D">
        <w:rPr>
          <w:sz w:val="28"/>
          <w:szCs w:val="28"/>
        </w:rPr>
        <w:t xml:space="preserve"> целом по Российской Федерации </w:t>
      </w:r>
      <w:r w:rsidR="00A800E2" w:rsidRPr="0050653D">
        <w:rPr>
          <w:sz w:val="28"/>
          <w:szCs w:val="28"/>
        </w:rPr>
        <w:t>–</w:t>
      </w:r>
      <w:r w:rsidRPr="0050653D">
        <w:rPr>
          <w:sz w:val="28"/>
          <w:szCs w:val="28"/>
        </w:rPr>
        <w:t xml:space="preserve"> 3,2</w:t>
      </w:r>
      <w:r w:rsidR="00EA1742" w:rsidRPr="0050653D">
        <w:rPr>
          <w:sz w:val="28"/>
          <w:szCs w:val="28"/>
        </w:rPr>
        <w:t xml:space="preserve"> проц.</w:t>
      </w:r>
      <w:r w:rsidR="00A800E2" w:rsidRPr="0050653D">
        <w:rPr>
          <w:sz w:val="28"/>
          <w:szCs w:val="28"/>
        </w:rPr>
        <w:t>).</w:t>
      </w:r>
      <w:r w:rsidRPr="0050653D">
        <w:rPr>
          <w:sz w:val="28"/>
          <w:szCs w:val="28"/>
        </w:rPr>
        <w:t xml:space="preserve"> </w:t>
      </w:r>
      <w:r w:rsidR="00A800E2" w:rsidRPr="0050653D">
        <w:rPr>
          <w:sz w:val="28"/>
          <w:szCs w:val="28"/>
        </w:rPr>
        <w:t>В</w:t>
      </w:r>
      <w:r w:rsidRPr="0050653D">
        <w:rPr>
          <w:sz w:val="28"/>
          <w:szCs w:val="28"/>
        </w:rPr>
        <w:t xml:space="preserve"> Ленинградской области основной рост количества субъектов МСП произошел </w:t>
      </w:r>
      <w:r w:rsidR="00A800E2" w:rsidRPr="0050653D">
        <w:rPr>
          <w:sz w:val="28"/>
          <w:szCs w:val="28"/>
        </w:rPr>
        <w:t xml:space="preserve">за счет </w:t>
      </w:r>
      <w:proofErr w:type="spellStart"/>
      <w:r w:rsidRPr="0050653D">
        <w:rPr>
          <w:sz w:val="28"/>
          <w:szCs w:val="28"/>
        </w:rPr>
        <w:t>микропредприятий</w:t>
      </w:r>
      <w:proofErr w:type="spellEnd"/>
      <w:r w:rsidRPr="0050653D">
        <w:rPr>
          <w:sz w:val="28"/>
          <w:szCs w:val="28"/>
        </w:rPr>
        <w:t>.</w:t>
      </w:r>
    </w:p>
    <w:p w:rsidR="00C51951" w:rsidRPr="0050653D" w:rsidRDefault="00C51951" w:rsidP="00C51951">
      <w:pPr>
        <w:widowControl w:val="0"/>
        <w:shd w:val="clear" w:color="auto" w:fill="FFFFFF" w:themeFill="background1"/>
        <w:autoSpaceDE w:val="0"/>
        <w:autoSpaceDN w:val="0"/>
        <w:adjustRightInd w:val="0"/>
        <w:ind w:firstLine="709"/>
        <w:jc w:val="both"/>
        <w:rPr>
          <w:sz w:val="28"/>
          <w:szCs w:val="28"/>
        </w:rPr>
      </w:pPr>
      <w:r w:rsidRPr="0050653D">
        <w:rPr>
          <w:sz w:val="28"/>
          <w:szCs w:val="28"/>
        </w:rPr>
        <w:t>Численность занятых в сфере МСП составила 252,9 тысяч человек,</w:t>
      </w:r>
      <w:r w:rsidRPr="0050653D">
        <w:rPr>
          <w:sz w:val="28"/>
          <w:szCs w:val="28"/>
        </w:rPr>
        <w:br/>
        <w:t xml:space="preserve">что на 26,2 тысяч человек больше, чем в 2020 году. Рассматривая структуру численности занятых в сфере МСП, нужно отметить снижение за 2021 год среднесписочной численности сотрудников юридических лиц и индивидуальных предпринимателей (-3 835 человек), а также увеличение количества индивидуальных предпринимателей (+5 065 человек) и </w:t>
      </w:r>
      <w:proofErr w:type="spellStart"/>
      <w:r w:rsidRPr="0050653D">
        <w:rPr>
          <w:sz w:val="28"/>
          <w:szCs w:val="28"/>
        </w:rPr>
        <w:t>самозанятых</w:t>
      </w:r>
      <w:proofErr w:type="spellEnd"/>
      <w:r w:rsidRPr="0050653D">
        <w:rPr>
          <w:sz w:val="28"/>
          <w:szCs w:val="28"/>
        </w:rPr>
        <w:t xml:space="preserve"> граждан </w:t>
      </w:r>
      <w:r w:rsidRPr="0050653D">
        <w:rPr>
          <w:sz w:val="28"/>
          <w:szCs w:val="28"/>
        </w:rPr>
        <w:lastRenderedPageBreak/>
        <w:t xml:space="preserve">(+25 178 человек). По итогам 2021 года количество зарегистрированных </w:t>
      </w:r>
      <w:proofErr w:type="spellStart"/>
      <w:r w:rsidRPr="0050653D">
        <w:rPr>
          <w:sz w:val="28"/>
          <w:szCs w:val="28"/>
        </w:rPr>
        <w:t>самозанятых</w:t>
      </w:r>
      <w:proofErr w:type="spellEnd"/>
      <w:r w:rsidRPr="0050653D">
        <w:rPr>
          <w:sz w:val="28"/>
          <w:szCs w:val="28"/>
        </w:rPr>
        <w:t xml:space="preserve"> составило 42,8 тысяч человек, что более чем в 2 раза превышает итоги 2020 года. Учитывая привлекательность специального налогового режима для </w:t>
      </w:r>
      <w:proofErr w:type="spellStart"/>
      <w:r w:rsidRPr="0050653D">
        <w:rPr>
          <w:sz w:val="28"/>
          <w:szCs w:val="28"/>
        </w:rPr>
        <w:t>самозанятых</w:t>
      </w:r>
      <w:proofErr w:type="spellEnd"/>
      <w:r w:rsidRPr="0050653D">
        <w:rPr>
          <w:sz w:val="28"/>
          <w:szCs w:val="28"/>
        </w:rPr>
        <w:t xml:space="preserve">, прогнозируется снижение количества наемных работников предприятий и переход граждан в </w:t>
      </w:r>
      <w:proofErr w:type="spellStart"/>
      <w:r w:rsidRPr="0050653D">
        <w:rPr>
          <w:sz w:val="28"/>
          <w:szCs w:val="28"/>
        </w:rPr>
        <w:t>самозанятость</w:t>
      </w:r>
      <w:proofErr w:type="spellEnd"/>
      <w:r w:rsidRPr="0050653D">
        <w:rPr>
          <w:sz w:val="28"/>
          <w:szCs w:val="28"/>
        </w:rPr>
        <w:t>.</w:t>
      </w:r>
    </w:p>
    <w:p w:rsidR="00C51951" w:rsidRPr="0050653D" w:rsidRDefault="00C51951" w:rsidP="00C51951">
      <w:pPr>
        <w:widowControl w:val="0"/>
        <w:shd w:val="clear" w:color="auto" w:fill="FFFFFF" w:themeFill="background1"/>
        <w:autoSpaceDE w:val="0"/>
        <w:autoSpaceDN w:val="0"/>
        <w:adjustRightInd w:val="0"/>
        <w:ind w:firstLine="709"/>
        <w:jc w:val="both"/>
        <w:rPr>
          <w:sz w:val="28"/>
          <w:szCs w:val="28"/>
        </w:rPr>
      </w:pPr>
      <w:r w:rsidRPr="0050653D">
        <w:rPr>
          <w:sz w:val="28"/>
          <w:szCs w:val="28"/>
        </w:rPr>
        <w:t xml:space="preserve">Оборот малых и средних предприятий, включая </w:t>
      </w:r>
      <w:proofErr w:type="spellStart"/>
      <w:r w:rsidRPr="0050653D">
        <w:rPr>
          <w:sz w:val="28"/>
          <w:szCs w:val="28"/>
        </w:rPr>
        <w:t>микропредприятия</w:t>
      </w:r>
      <w:proofErr w:type="spellEnd"/>
      <w:r w:rsidRPr="0050653D">
        <w:rPr>
          <w:sz w:val="28"/>
          <w:szCs w:val="28"/>
        </w:rPr>
        <w:t xml:space="preserve"> и индивидуальных предпринимателей, в 2021 году составил 743,0 </w:t>
      </w:r>
      <w:proofErr w:type="gramStart"/>
      <w:r w:rsidRPr="0050653D">
        <w:rPr>
          <w:sz w:val="28"/>
          <w:szCs w:val="28"/>
        </w:rPr>
        <w:t>млрд</w:t>
      </w:r>
      <w:proofErr w:type="gramEnd"/>
      <w:r w:rsidRPr="0050653D">
        <w:rPr>
          <w:sz w:val="28"/>
          <w:szCs w:val="28"/>
        </w:rPr>
        <w:t xml:space="preserve"> руб., что выше уровня 2020 года на 12,5</w:t>
      </w:r>
      <w:r w:rsidR="00EA1742" w:rsidRPr="0050653D">
        <w:rPr>
          <w:sz w:val="28"/>
          <w:szCs w:val="28"/>
        </w:rPr>
        <w:t xml:space="preserve"> проц.</w:t>
      </w:r>
      <w:r w:rsidRPr="0050653D">
        <w:rPr>
          <w:sz w:val="28"/>
          <w:szCs w:val="28"/>
        </w:rPr>
        <w:t>.</w:t>
      </w:r>
    </w:p>
    <w:p w:rsidR="00C51951" w:rsidRPr="0050653D" w:rsidRDefault="00C51951" w:rsidP="00C51951">
      <w:pPr>
        <w:shd w:val="clear" w:color="auto" w:fill="FFFFFF" w:themeFill="background1"/>
        <w:ind w:firstLine="709"/>
        <w:jc w:val="both"/>
        <w:rPr>
          <w:snapToGrid w:val="0"/>
          <w:sz w:val="28"/>
          <w:szCs w:val="28"/>
        </w:rPr>
      </w:pPr>
      <w:r w:rsidRPr="0050653D">
        <w:rPr>
          <w:sz w:val="28"/>
          <w:szCs w:val="28"/>
        </w:rPr>
        <w:t>В 2022 году основной проблемой, сдерживающей развитие малого и среднего предпринимательства на территории Ленинградской области, являются ограничения, связанные с социально-экономической</w:t>
      </w:r>
      <w:r w:rsidRPr="0050653D">
        <w:rPr>
          <w:snapToGrid w:val="0"/>
          <w:sz w:val="28"/>
          <w:szCs w:val="28"/>
        </w:rPr>
        <w:t xml:space="preserve"> и внешнеполитической ситуацией, с введенными антироссийскими санкциями.</w:t>
      </w:r>
    </w:p>
    <w:p w:rsidR="00C51951" w:rsidRPr="0050653D" w:rsidRDefault="00C51951" w:rsidP="00C51951">
      <w:pPr>
        <w:shd w:val="clear" w:color="auto" w:fill="FFFFFF" w:themeFill="background1"/>
        <w:ind w:firstLine="709"/>
        <w:jc w:val="both"/>
        <w:rPr>
          <w:snapToGrid w:val="0"/>
          <w:sz w:val="28"/>
          <w:szCs w:val="28"/>
        </w:rPr>
      </w:pPr>
      <w:r w:rsidRPr="0050653D">
        <w:rPr>
          <w:snapToGrid w:val="0"/>
          <w:sz w:val="28"/>
          <w:szCs w:val="28"/>
        </w:rPr>
        <w:t xml:space="preserve">Большое количество субъектов предпринимательской деятельности затронуто санкциями и борется с кризисом, причем у </w:t>
      </w:r>
      <w:r w:rsidRPr="0050653D">
        <w:rPr>
          <w:bCs/>
          <w:snapToGrid w:val="0"/>
          <w:sz w:val="28"/>
          <w:szCs w:val="28"/>
        </w:rPr>
        <w:t xml:space="preserve">части предприятий </w:t>
      </w:r>
      <w:r w:rsidRPr="0050653D">
        <w:rPr>
          <w:snapToGrid w:val="0"/>
          <w:sz w:val="28"/>
          <w:szCs w:val="28"/>
        </w:rPr>
        <w:t xml:space="preserve">существует риск приостановки или даже закрытия бизнеса. </w:t>
      </w:r>
      <w:r w:rsidRPr="0050653D">
        <w:rPr>
          <w:bCs/>
          <w:snapToGrid w:val="0"/>
          <w:sz w:val="28"/>
          <w:szCs w:val="28"/>
        </w:rPr>
        <w:t xml:space="preserve">Вследствие </w:t>
      </w:r>
      <w:r w:rsidRPr="0050653D">
        <w:rPr>
          <w:snapToGrid w:val="0"/>
          <w:sz w:val="28"/>
          <w:szCs w:val="28"/>
        </w:rPr>
        <w:t>повышения</w:t>
      </w:r>
      <w:r w:rsidR="00955FDE" w:rsidRPr="0050653D">
        <w:rPr>
          <w:snapToGrid w:val="0"/>
          <w:sz w:val="28"/>
          <w:szCs w:val="28"/>
        </w:rPr>
        <w:t xml:space="preserve"> </w:t>
      </w:r>
      <w:r w:rsidRPr="0050653D">
        <w:rPr>
          <w:snapToGrid w:val="0"/>
          <w:sz w:val="28"/>
          <w:szCs w:val="28"/>
        </w:rPr>
        <w:t>ключевой ставки Центрального банка России</w:t>
      </w:r>
      <w:r w:rsidR="00621325" w:rsidRPr="0050653D">
        <w:rPr>
          <w:snapToGrid w:val="0"/>
          <w:sz w:val="28"/>
          <w:szCs w:val="28"/>
        </w:rPr>
        <w:t xml:space="preserve"> в марте 2022 года до 20 проц. </w:t>
      </w:r>
      <w:r w:rsidRPr="0050653D">
        <w:rPr>
          <w:snapToGrid w:val="0"/>
          <w:sz w:val="28"/>
          <w:szCs w:val="28"/>
        </w:rPr>
        <w:t xml:space="preserve">у субъектов МСП возник дефицит </w:t>
      </w:r>
      <w:r w:rsidRPr="0050653D">
        <w:rPr>
          <w:bCs/>
          <w:snapToGrid w:val="0"/>
          <w:sz w:val="28"/>
          <w:szCs w:val="28"/>
        </w:rPr>
        <w:t xml:space="preserve">оборотных средств и кассовые разрывы. В результате </w:t>
      </w:r>
      <w:r w:rsidRPr="0050653D">
        <w:rPr>
          <w:snapToGrid w:val="0"/>
          <w:sz w:val="28"/>
          <w:szCs w:val="28"/>
        </w:rPr>
        <w:t xml:space="preserve">волатильности на валютных рынках, нарушения логистических цепочек, сложностей с осуществлениями платежей все субъекты МСП находятся в периоде неопределенности. Одной из ключевых целей является развитие российского производства в условиях санкций и </w:t>
      </w:r>
      <w:proofErr w:type="spellStart"/>
      <w:r w:rsidRPr="0050653D">
        <w:rPr>
          <w:snapToGrid w:val="0"/>
          <w:sz w:val="28"/>
          <w:szCs w:val="28"/>
        </w:rPr>
        <w:t>импортозамещение</w:t>
      </w:r>
      <w:proofErr w:type="spellEnd"/>
      <w:r w:rsidRPr="0050653D">
        <w:rPr>
          <w:snapToGrid w:val="0"/>
          <w:sz w:val="28"/>
          <w:szCs w:val="28"/>
        </w:rPr>
        <w:t xml:space="preserve"> производимых в России иностранными компаниями или поставляемых по импорту </w:t>
      </w:r>
      <w:r w:rsidRPr="0050653D">
        <w:rPr>
          <w:bCs/>
          <w:snapToGrid w:val="0"/>
          <w:sz w:val="28"/>
          <w:szCs w:val="28"/>
        </w:rPr>
        <w:t>продуктов,</w:t>
      </w:r>
      <w:r w:rsidRPr="0050653D">
        <w:rPr>
          <w:snapToGrid w:val="0"/>
          <w:sz w:val="28"/>
          <w:szCs w:val="28"/>
        </w:rPr>
        <w:t xml:space="preserve"> без которых предприниматели не смогут продолжать вести бизнес в прежнем объёме.</w:t>
      </w:r>
      <w:r w:rsidR="00621325" w:rsidRPr="0050653D">
        <w:rPr>
          <w:snapToGrid w:val="0"/>
          <w:sz w:val="28"/>
          <w:szCs w:val="28"/>
        </w:rPr>
        <w:t xml:space="preserve"> </w:t>
      </w:r>
    </w:p>
    <w:p w:rsidR="00C51951" w:rsidRPr="0050653D" w:rsidRDefault="00C51951" w:rsidP="00C51951">
      <w:pPr>
        <w:widowControl w:val="0"/>
        <w:shd w:val="clear" w:color="auto" w:fill="FFFFFF" w:themeFill="background1"/>
        <w:autoSpaceDE w:val="0"/>
        <w:autoSpaceDN w:val="0"/>
        <w:adjustRightInd w:val="0"/>
        <w:ind w:firstLine="709"/>
        <w:jc w:val="both"/>
        <w:rPr>
          <w:sz w:val="28"/>
          <w:szCs w:val="28"/>
        </w:rPr>
      </w:pPr>
      <w:r w:rsidRPr="0050653D">
        <w:rPr>
          <w:sz w:val="28"/>
          <w:szCs w:val="28"/>
        </w:rPr>
        <w:t xml:space="preserve">В Ленинградской области разработан и реализуется комплекс мероприятий, направленных на стимулирование и развитие субъектов МСП Ленинградской области, включая налоговую, финансовую, информационную, консультационную и образовательную поддержку. </w:t>
      </w:r>
    </w:p>
    <w:p w:rsidR="00C51951" w:rsidRPr="0050653D" w:rsidRDefault="00C51951" w:rsidP="00C51951">
      <w:pPr>
        <w:widowControl w:val="0"/>
        <w:shd w:val="clear" w:color="auto" w:fill="FFFFFF" w:themeFill="background1"/>
        <w:autoSpaceDE w:val="0"/>
        <w:autoSpaceDN w:val="0"/>
        <w:adjustRightInd w:val="0"/>
        <w:ind w:firstLine="709"/>
        <w:jc w:val="both"/>
        <w:rPr>
          <w:sz w:val="28"/>
          <w:szCs w:val="28"/>
        </w:rPr>
      </w:pPr>
      <w:proofErr w:type="gramStart"/>
      <w:r w:rsidRPr="0050653D">
        <w:rPr>
          <w:sz w:val="28"/>
          <w:szCs w:val="28"/>
        </w:rPr>
        <w:t>В период 2023-2025 гг. при условии отсутствия сдерживающих факторов развития, планируется стабильный рост сферы малого и среднего предпринимательства, количество малых и средних предприятий в Ленинградской области увеличится на 6,4</w:t>
      </w:r>
      <w:r w:rsidR="00EA1742" w:rsidRPr="0050653D">
        <w:rPr>
          <w:sz w:val="28"/>
          <w:szCs w:val="28"/>
        </w:rPr>
        <w:t xml:space="preserve"> проц.</w:t>
      </w:r>
      <w:r w:rsidRPr="0050653D">
        <w:rPr>
          <w:sz w:val="28"/>
          <w:szCs w:val="28"/>
        </w:rPr>
        <w:t xml:space="preserve"> к уровню 2022 года и достигнет 79153 единиц (по консервативному варианту), на 6,6</w:t>
      </w:r>
      <w:r w:rsidR="00EA1742" w:rsidRPr="0050653D">
        <w:rPr>
          <w:sz w:val="28"/>
          <w:szCs w:val="28"/>
        </w:rPr>
        <w:t xml:space="preserve"> проц.</w:t>
      </w:r>
      <w:r w:rsidRPr="0050653D">
        <w:rPr>
          <w:sz w:val="28"/>
          <w:szCs w:val="28"/>
        </w:rPr>
        <w:t xml:space="preserve"> к уровню 2022 года и достигнет 79306 единиц (по базовому варианту).</w:t>
      </w:r>
      <w:proofErr w:type="gramEnd"/>
    </w:p>
    <w:p w:rsidR="00C51951" w:rsidRPr="0050653D" w:rsidRDefault="00C51951" w:rsidP="00C51951">
      <w:pPr>
        <w:widowControl w:val="0"/>
        <w:shd w:val="clear" w:color="auto" w:fill="FFFFFF" w:themeFill="background1"/>
        <w:autoSpaceDE w:val="0"/>
        <w:autoSpaceDN w:val="0"/>
        <w:adjustRightInd w:val="0"/>
        <w:ind w:firstLine="709"/>
        <w:jc w:val="both"/>
        <w:rPr>
          <w:sz w:val="28"/>
          <w:szCs w:val="28"/>
        </w:rPr>
      </w:pPr>
      <w:r w:rsidRPr="0050653D">
        <w:rPr>
          <w:sz w:val="28"/>
          <w:szCs w:val="28"/>
        </w:rPr>
        <w:t>В соответствии с базовым вариантом к 2025 году ожидается постепенное увеличение среднесписочной численности работников малых и средних предприятий до 161,4</w:t>
      </w:r>
      <w:r w:rsidR="00955FDE" w:rsidRPr="0050653D">
        <w:rPr>
          <w:sz w:val="28"/>
          <w:szCs w:val="28"/>
        </w:rPr>
        <w:t xml:space="preserve"> </w:t>
      </w:r>
      <w:r w:rsidRPr="0050653D">
        <w:rPr>
          <w:sz w:val="28"/>
          <w:szCs w:val="28"/>
        </w:rPr>
        <w:t>тыс. человек (102,5</w:t>
      </w:r>
      <w:r w:rsidR="00EA1742" w:rsidRPr="0050653D">
        <w:rPr>
          <w:sz w:val="28"/>
          <w:szCs w:val="28"/>
        </w:rPr>
        <w:t xml:space="preserve"> проц.</w:t>
      </w:r>
      <w:r w:rsidRPr="0050653D">
        <w:rPr>
          <w:sz w:val="28"/>
          <w:szCs w:val="28"/>
        </w:rPr>
        <w:t xml:space="preserve"> к уровню 2022 года), оборот малых и средних предприятий (включая </w:t>
      </w:r>
      <w:proofErr w:type="spellStart"/>
      <w:r w:rsidRPr="0050653D">
        <w:rPr>
          <w:sz w:val="28"/>
          <w:szCs w:val="28"/>
        </w:rPr>
        <w:t>микропредприятия</w:t>
      </w:r>
      <w:proofErr w:type="spellEnd"/>
      <w:r w:rsidRPr="0050653D">
        <w:rPr>
          <w:sz w:val="28"/>
          <w:szCs w:val="28"/>
        </w:rPr>
        <w:t xml:space="preserve"> и ИП) составит 895,3 </w:t>
      </w:r>
      <w:proofErr w:type="gramStart"/>
      <w:r w:rsidRPr="0050653D">
        <w:rPr>
          <w:sz w:val="28"/>
          <w:szCs w:val="28"/>
        </w:rPr>
        <w:t>млрд</w:t>
      </w:r>
      <w:proofErr w:type="gramEnd"/>
      <w:r w:rsidRPr="0050653D">
        <w:rPr>
          <w:sz w:val="28"/>
          <w:szCs w:val="28"/>
        </w:rPr>
        <w:t xml:space="preserve"> руб. (рост на 13,6</w:t>
      </w:r>
      <w:r w:rsidR="00EA1742" w:rsidRPr="0050653D">
        <w:rPr>
          <w:sz w:val="28"/>
          <w:szCs w:val="28"/>
        </w:rPr>
        <w:t xml:space="preserve"> проц.</w:t>
      </w:r>
      <w:r w:rsidRPr="0050653D">
        <w:rPr>
          <w:sz w:val="28"/>
          <w:szCs w:val="28"/>
        </w:rPr>
        <w:t xml:space="preserve"> по сравнению с 2022 годом).</w:t>
      </w:r>
    </w:p>
    <w:p w:rsidR="00C51951" w:rsidRPr="0050653D" w:rsidRDefault="00C51951" w:rsidP="00C51951">
      <w:pPr>
        <w:widowControl w:val="0"/>
        <w:shd w:val="clear" w:color="auto" w:fill="FFFFFF" w:themeFill="background1"/>
        <w:autoSpaceDE w:val="0"/>
        <w:autoSpaceDN w:val="0"/>
        <w:adjustRightInd w:val="0"/>
        <w:ind w:firstLine="709"/>
        <w:jc w:val="both"/>
        <w:rPr>
          <w:sz w:val="28"/>
          <w:szCs w:val="28"/>
        </w:rPr>
      </w:pPr>
      <w:r w:rsidRPr="0050653D">
        <w:rPr>
          <w:sz w:val="28"/>
          <w:szCs w:val="28"/>
        </w:rPr>
        <w:t>В соответствии с консервативным вариантом к 2024 году ожидается постепенное увеличение среднесписочной численности работников малых и средних предприятий до 159,5 тыс. человек (101,3</w:t>
      </w:r>
      <w:r w:rsidR="00EA1742" w:rsidRPr="0050653D">
        <w:rPr>
          <w:sz w:val="28"/>
          <w:szCs w:val="28"/>
        </w:rPr>
        <w:t xml:space="preserve"> проц.</w:t>
      </w:r>
      <w:r w:rsidRPr="0050653D">
        <w:rPr>
          <w:sz w:val="28"/>
          <w:szCs w:val="28"/>
        </w:rPr>
        <w:t xml:space="preserve"> к уровню 2022 года), оборот малых и средних предприятий (включая </w:t>
      </w:r>
      <w:proofErr w:type="spellStart"/>
      <w:r w:rsidRPr="0050653D">
        <w:rPr>
          <w:sz w:val="28"/>
          <w:szCs w:val="28"/>
        </w:rPr>
        <w:t>микропредприятия</w:t>
      </w:r>
      <w:proofErr w:type="spellEnd"/>
      <w:r w:rsidRPr="0050653D">
        <w:rPr>
          <w:sz w:val="28"/>
          <w:szCs w:val="28"/>
        </w:rPr>
        <w:t xml:space="preserve">) составит 891,9 </w:t>
      </w:r>
      <w:proofErr w:type="gramStart"/>
      <w:r w:rsidRPr="0050653D">
        <w:rPr>
          <w:sz w:val="28"/>
          <w:szCs w:val="28"/>
        </w:rPr>
        <w:t>млрд</w:t>
      </w:r>
      <w:proofErr w:type="gramEnd"/>
      <w:r w:rsidRPr="0050653D">
        <w:rPr>
          <w:sz w:val="28"/>
          <w:szCs w:val="28"/>
        </w:rPr>
        <w:t xml:space="preserve"> руб. (рост на 13,1</w:t>
      </w:r>
      <w:r w:rsidR="00EA1742" w:rsidRPr="0050653D">
        <w:rPr>
          <w:sz w:val="28"/>
          <w:szCs w:val="28"/>
        </w:rPr>
        <w:t xml:space="preserve"> проц.</w:t>
      </w:r>
      <w:r w:rsidRPr="0050653D">
        <w:rPr>
          <w:sz w:val="28"/>
          <w:szCs w:val="28"/>
        </w:rPr>
        <w:t xml:space="preserve"> по сравнению с 2022 годом).</w:t>
      </w:r>
    </w:p>
    <w:p w:rsidR="00C51951" w:rsidRPr="0050653D" w:rsidRDefault="00C51951" w:rsidP="00C51951">
      <w:pPr>
        <w:widowControl w:val="0"/>
        <w:shd w:val="clear" w:color="auto" w:fill="FFFFFF" w:themeFill="background1"/>
        <w:autoSpaceDE w:val="0"/>
        <w:autoSpaceDN w:val="0"/>
        <w:adjustRightInd w:val="0"/>
        <w:ind w:firstLine="709"/>
        <w:jc w:val="both"/>
        <w:rPr>
          <w:sz w:val="28"/>
          <w:szCs w:val="28"/>
        </w:rPr>
      </w:pPr>
      <w:r w:rsidRPr="0050653D">
        <w:rPr>
          <w:sz w:val="28"/>
          <w:szCs w:val="28"/>
        </w:rPr>
        <w:lastRenderedPageBreak/>
        <w:t>Превалирующими видами экономической деятельности предприятий малого и среднего бизнеса в Ленинградской области являются: торговля оптовая и розничная, транспортировка и хранение, строительство, обрабатывающие производства, деятельность профессиональная, научная и техническая, деятельность по операциям с недвижимым имуществом, предоставление прочих видов услуг.</w:t>
      </w:r>
    </w:p>
    <w:p w:rsidR="00F80391" w:rsidRPr="0050653D" w:rsidRDefault="00F80391" w:rsidP="00F409BE">
      <w:pPr>
        <w:ind w:firstLine="709"/>
        <w:jc w:val="both"/>
        <w:rPr>
          <w:color w:val="000000" w:themeColor="text1"/>
          <w:sz w:val="16"/>
          <w:szCs w:val="16"/>
        </w:rPr>
      </w:pPr>
    </w:p>
    <w:p w:rsidR="00F80391" w:rsidRPr="0050653D" w:rsidRDefault="007A48FA" w:rsidP="00F80391">
      <w:pPr>
        <w:widowControl w:val="0"/>
        <w:jc w:val="center"/>
        <w:rPr>
          <w:sz w:val="28"/>
          <w:szCs w:val="28"/>
        </w:rPr>
      </w:pPr>
      <w:r w:rsidRPr="0050653D">
        <w:rPr>
          <w:sz w:val="28"/>
          <w:szCs w:val="28"/>
        </w:rPr>
        <w:t>Инвестиции</w:t>
      </w:r>
    </w:p>
    <w:p w:rsidR="00F80391" w:rsidRPr="0050653D" w:rsidRDefault="00F80391" w:rsidP="00BA18DE">
      <w:pPr>
        <w:widowControl w:val="0"/>
        <w:ind w:firstLine="709"/>
        <w:jc w:val="both"/>
        <w:rPr>
          <w:sz w:val="16"/>
          <w:szCs w:val="16"/>
        </w:rPr>
      </w:pPr>
    </w:p>
    <w:p w:rsidR="00C51951" w:rsidRPr="0050653D" w:rsidRDefault="00C51951" w:rsidP="00C51951">
      <w:pPr>
        <w:widowControl w:val="0"/>
        <w:shd w:val="clear" w:color="auto" w:fill="FFFFFF" w:themeFill="background1"/>
        <w:autoSpaceDE w:val="0"/>
        <w:autoSpaceDN w:val="0"/>
        <w:adjustRightInd w:val="0"/>
        <w:ind w:firstLine="709"/>
        <w:jc w:val="both"/>
        <w:rPr>
          <w:rFonts w:eastAsia="Calibri"/>
          <w:sz w:val="28"/>
          <w:szCs w:val="28"/>
        </w:rPr>
      </w:pPr>
      <w:r w:rsidRPr="0050653D">
        <w:rPr>
          <w:rFonts w:eastAsia="Calibri"/>
          <w:sz w:val="28"/>
          <w:szCs w:val="28"/>
        </w:rPr>
        <w:t xml:space="preserve">Объем инвестиций в основной капитал за счет всех источников финансирования в 2021 году составил 442,8 </w:t>
      </w:r>
      <w:proofErr w:type="gramStart"/>
      <w:r w:rsidRPr="0050653D">
        <w:rPr>
          <w:rFonts w:eastAsia="Calibri"/>
          <w:sz w:val="28"/>
          <w:szCs w:val="28"/>
        </w:rPr>
        <w:t>млрд</w:t>
      </w:r>
      <w:proofErr w:type="gramEnd"/>
      <w:r w:rsidRPr="0050653D">
        <w:rPr>
          <w:rFonts w:eastAsia="Calibri"/>
          <w:sz w:val="28"/>
          <w:szCs w:val="28"/>
        </w:rPr>
        <w:t xml:space="preserve"> руб., что составляет 105,6</w:t>
      </w:r>
      <w:r w:rsidR="00EA1742" w:rsidRPr="0050653D">
        <w:rPr>
          <w:rFonts w:eastAsia="Calibri"/>
          <w:sz w:val="28"/>
          <w:szCs w:val="28"/>
        </w:rPr>
        <w:t xml:space="preserve"> проц.</w:t>
      </w:r>
      <w:r w:rsidRPr="0050653D">
        <w:rPr>
          <w:rFonts w:eastAsia="Calibri"/>
          <w:sz w:val="28"/>
          <w:szCs w:val="28"/>
        </w:rPr>
        <w:t xml:space="preserve"> </w:t>
      </w:r>
      <w:r w:rsidRPr="0050653D">
        <w:rPr>
          <w:rFonts w:eastAsia="Calibri"/>
          <w:sz w:val="28"/>
          <w:szCs w:val="28"/>
        </w:rPr>
        <w:br/>
        <w:t xml:space="preserve">по отношению к 2020 году в сопоставимых ценах. </w:t>
      </w:r>
    </w:p>
    <w:p w:rsidR="00296668" w:rsidRPr="0050653D" w:rsidRDefault="00296668" w:rsidP="00296668">
      <w:pPr>
        <w:ind w:firstLine="709"/>
        <w:jc w:val="both"/>
        <w:rPr>
          <w:sz w:val="28"/>
        </w:rPr>
      </w:pPr>
      <w:r w:rsidRPr="0050653D">
        <w:rPr>
          <w:sz w:val="28"/>
        </w:rPr>
        <w:t>Объем инвестиций в основной капитал средних и крупных организаций (без субъектов малого предпринимательства) в 2021 году составил 381,8 </w:t>
      </w:r>
      <w:proofErr w:type="gramStart"/>
      <w:r w:rsidRPr="0050653D">
        <w:rPr>
          <w:sz w:val="28"/>
        </w:rPr>
        <w:t>млрд</w:t>
      </w:r>
      <w:proofErr w:type="gramEnd"/>
      <w:r w:rsidRPr="0050653D">
        <w:rPr>
          <w:sz w:val="28"/>
        </w:rPr>
        <w:t xml:space="preserve"> руб., или 103,8% к уровню 2020 года. Основная доля инвестиционных вложений приходится на два вида экономической деятельности: транспортировка и хранение – 32,8 проц. и обрабатывающие производства – 32,2 проц. </w:t>
      </w:r>
    </w:p>
    <w:p w:rsidR="00C51951" w:rsidRPr="0050653D" w:rsidRDefault="00C51951" w:rsidP="00C51951">
      <w:pPr>
        <w:shd w:val="clear" w:color="auto" w:fill="FFFFFF" w:themeFill="background1"/>
        <w:ind w:firstLine="709"/>
        <w:jc w:val="both"/>
        <w:rPr>
          <w:sz w:val="28"/>
          <w:szCs w:val="28"/>
        </w:rPr>
      </w:pPr>
      <w:r w:rsidRPr="0050653D">
        <w:rPr>
          <w:sz w:val="28"/>
          <w:szCs w:val="28"/>
        </w:rPr>
        <w:t xml:space="preserve">Согласно оценке 2022 года объем инвестиций в основной капитал </w:t>
      </w:r>
      <w:r w:rsidRPr="0050653D">
        <w:rPr>
          <w:sz w:val="28"/>
          <w:szCs w:val="28"/>
        </w:rPr>
        <w:br/>
        <w:t xml:space="preserve">в Ленинградской области составит 474,1 </w:t>
      </w:r>
      <w:proofErr w:type="gramStart"/>
      <w:r w:rsidRPr="0050653D">
        <w:rPr>
          <w:sz w:val="28"/>
          <w:szCs w:val="28"/>
        </w:rPr>
        <w:t>млрд</w:t>
      </w:r>
      <w:proofErr w:type="gramEnd"/>
      <w:r w:rsidRPr="0050653D">
        <w:rPr>
          <w:sz w:val="28"/>
          <w:szCs w:val="28"/>
        </w:rPr>
        <w:t xml:space="preserve"> руб.</w:t>
      </w:r>
    </w:p>
    <w:p w:rsidR="00C51951" w:rsidRPr="0050653D" w:rsidRDefault="00C51951" w:rsidP="00C51951">
      <w:pPr>
        <w:shd w:val="clear" w:color="auto" w:fill="FFFFFF" w:themeFill="background1"/>
        <w:ind w:firstLine="709"/>
        <w:jc w:val="both"/>
        <w:rPr>
          <w:sz w:val="28"/>
        </w:rPr>
      </w:pPr>
      <w:r w:rsidRPr="0050653D">
        <w:rPr>
          <w:sz w:val="28"/>
        </w:rPr>
        <w:t>Распределение объема инвестиций в основной капитал в 2022 году по видам экономической деятельности оценивается следующим образом:</w:t>
      </w:r>
    </w:p>
    <w:p w:rsidR="00C51951" w:rsidRPr="0050653D" w:rsidRDefault="00C51951" w:rsidP="00C51951">
      <w:pPr>
        <w:shd w:val="clear" w:color="auto" w:fill="FFFFFF" w:themeFill="background1"/>
        <w:ind w:firstLine="709"/>
        <w:jc w:val="both"/>
        <w:rPr>
          <w:sz w:val="28"/>
        </w:rPr>
      </w:pPr>
      <w:r w:rsidRPr="0050653D">
        <w:rPr>
          <w:sz w:val="28"/>
        </w:rPr>
        <w:t xml:space="preserve">- обрабатывающая промышленность – 101,7 </w:t>
      </w:r>
      <w:proofErr w:type="gramStart"/>
      <w:r w:rsidRPr="0050653D">
        <w:rPr>
          <w:sz w:val="28"/>
        </w:rPr>
        <w:t>млрд</w:t>
      </w:r>
      <w:proofErr w:type="gramEnd"/>
      <w:r w:rsidRPr="0050653D">
        <w:rPr>
          <w:sz w:val="28"/>
        </w:rPr>
        <w:t xml:space="preserve"> руб. (или 29,4</w:t>
      </w:r>
      <w:r w:rsidR="00EA1742" w:rsidRPr="0050653D">
        <w:rPr>
          <w:sz w:val="28"/>
        </w:rPr>
        <w:t xml:space="preserve"> проц.</w:t>
      </w:r>
      <w:r w:rsidRPr="0050653D">
        <w:rPr>
          <w:sz w:val="28"/>
        </w:rPr>
        <w:t xml:space="preserve"> от общего объема инвестиций в основной капитал);</w:t>
      </w:r>
    </w:p>
    <w:p w:rsidR="00C51951" w:rsidRPr="0050653D" w:rsidRDefault="00C51951" w:rsidP="00C51951">
      <w:pPr>
        <w:shd w:val="clear" w:color="auto" w:fill="FFFFFF" w:themeFill="background1"/>
        <w:ind w:firstLine="709"/>
        <w:jc w:val="both"/>
        <w:rPr>
          <w:sz w:val="28"/>
        </w:rPr>
      </w:pPr>
      <w:r w:rsidRPr="0050653D">
        <w:rPr>
          <w:sz w:val="28"/>
        </w:rPr>
        <w:t xml:space="preserve">- обеспечение электроэнергией, газом и паром – 67,4 </w:t>
      </w:r>
      <w:proofErr w:type="gramStart"/>
      <w:r w:rsidRPr="0050653D">
        <w:rPr>
          <w:sz w:val="28"/>
        </w:rPr>
        <w:t>млрд</w:t>
      </w:r>
      <w:proofErr w:type="gramEnd"/>
      <w:r w:rsidRPr="0050653D">
        <w:rPr>
          <w:sz w:val="28"/>
        </w:rPr>
        <w:t xml:space="preserve"> руб. (10,2</w:t>
      </w:r>
      <w:r w:rsidR="00EA1742" w:rsidRPr="0050653D">
        <w:rPr>
          <w:sz w:val="28"/>
        </w:rPr>
        <w:t xml:space="preserve"> проц.</w:t>
      </w:r>
      <w:r w:rsidRPr="0050653D">
        <w:rPr>
          <w:sz w:val="28"/>
        </w:rPr>
        <w:t>);</w:t>
      </w:r>
    </w:p>
    <w:p w:rsidR="00C51951" w:rsidRPr="0050653D" w:rsidRDefault="00C51951" w:rsidP="00C51951">
      <w:pPr>
        <w:shd w:val="clear" w:color="auto" w:fill="FFFFFF" w:themeFill="background1"/>
        <w:ind w:firstLine="709"/>
        <w:jc w:val="both"/>
        <w:rPr>
          <w:sz w:val="28"/>
        </w:rPr>
      </w:pPr>
      <w:r w:rsidRPr="0050653D">
        <w:rPr>
          <w:sz w:val="28"/>
        </w:rPr>
        <w:t xml:space="preserve">- транспортировка и хранение – 165,3 </w:t>
      </w:r>
      <w:proofErr w:type="gramStart"/>
      <w:r w:rsidRPr="0050653D">
        <w:rPr>
          <w:sz w:val="28"/>
        </w:rPr>
        <w:t>млрд</w:t>
      </w:r>
      <w:proofErr w:type="gramEnd"/>
      <w:r w:rsidRPr="0050653D">
        <w:rPr>
          <w:sz w:val="28"/>
        </w:rPr>
        <w:t xml:space="preserve"> руб. (31</w:t>
      </w:r>
      <w:r w:rsidR="00296668" w:rsidRPr="0050653D">
        <w:rPr>
          <w:sz w:val="28"/>
        </w:rPr>
        <w:t>,</w:t>
      </w:r>
      <w:r w:rsidRPr="0050653D">
        <w:rPr>
          <w:sz w:val="28"/>
        </w:rPr>
        <w:t>1</w:t>
      </w:r>
      <w:r w:rsidR="00EA1742" w:rsidRPr="0050653D">
        <w:rPr>
          <w:sz w:val="28"/>
        </w:rPr>
        <w:t xml:space="preserve"> проц.</w:t>
      </w:r>
      <w:r w:rsidRPr="0050653D">
        <w:rPr>
          <w:sz w:val="28"/>
        </w:rPr>
        <w:t>);</w:t>
      </w:r>
    </w:p>
    <w:p w:rsidR="00C51951" w:rsidRPr="0050653D" w:rsidRDefault="00C51951" w:rsidP="00C51951">
      <w:pPr>
        <w:shd w:val="clear" w:color="auto" w:fill="FFFFFF" w:themeFill="background1"/>
        <w:ind w:firstLine="709"/>
        <w:jc w:val="both"/>
        <w:rPr>
          <w:sz w:val="28"/>
        </w:rPr>
      </w:pPr>
      <w:r w:rsidRPr="0050653D">
        <w:rPr>
          <w:sz w:val="28"/>
        </w:rPr>
        <w:t xml:space="preserve">- строительство – 15,5 </w:t>
      </w:r>
      <w:proofErr w:type="gramStart"/>
      <w:r w:rsidRPr="0050653D">
        <w:rPr>
          <w:sz w:val="28"/>
        </w:rPr>
        <w:t>млрд</w:t>
      </w:r>
      <w:proofErr w:type="gramEnd"/>
      <w:r w:rsidRPr="0050653D">
        <w:rPr>
          <w:sz w:val="28"/>
        </w:rPr>
        <w:t xml:space="preserve"> руб. (2,7</w:t>
      </w:r>
      <w:r w:rsidR="00EA1742" w:rsidRPr="0050653D">
        <w:rPr>
          <w:sz w:val="28"/>
        </w:rPr>
        <w:t xml:space="preserve"> проц.</w:t>
      </w:r>
      <w:r w:rsidRPr="0050653D">
        <w:rPr>
          <w:sz w:val="28"/>
        </w:rPr>
        <w:t>);</w:t>
      </w:r>
    </w:p>
    <w:p w:rsidR="00C51951" w:rsidRPr="0050653D" w:rsidRDefault="00C51951" w:rsidP="00C51951">
      <w:pPr>
        <w:shd w:val="clear" w:color="auto" w:fill="FFFFFF" w:themeFill="background1"/>
        <w:ind w:firstLine="709"/>
        <w:jc w:val="both"/>
        <w:rPr>
          <w:sz w:val="28"/>
        </w:rPr>
      </w:pPr>
      <w:r w:rsidRPr="0050653D">
        <w:rPr>
          <w:sz w:val="28"/>
        </w:rPr>
        <w:t xml:space="preserve">- операции с недвижимым имуществом, аренда и предоставление услуг – </w:t>
      </w:r>
      <w:r w:rsidRPr="0050653D">
        <w:rPr>
          <w:sz w:val="28"/>
        </w:rPr>
        <w:br/>
        <w:t xml:space="preserve">22,3 </w:t>
      </w:r>
      <w:proofErr w:type="gramStart"/>
      <w:r w:rsidRPr="0050653D">
        <w:rPr>
          <w:sz w:val="28"/>
        </w:rPr>
        <w:t>млрд</w:t>
      </w:r>
      <w:proofErr w:type="gramEnd"/>
      <w:r w:rsidRPr="0050653D">
        <w:rPr>
          <w:sz w:val="28"/>
        </w:rPr>
        <w:t xml:space="preserve"> руб. (5,5</w:t>
      </w:r>
      <w:r w:rsidR="00EA1742" w:rsidRPr="0050653D">
        <w:rPr>
          <w:sz w:val="28"/>
        </w:rPr>
        <w:t xml:space="preserve"> проц.</w:t>
      </w:r>
      <w:r w:rsidRPr="0050653D">
        <w:rPr>
          <w:sz w:val="28"/>
        </w:rPr>
        <w:t>);</w:t>
      </w:r>
    </w:p>
    <w:p w:rsidR="00C51951" w:rsidRPr="0050653D" w:rsidRDefault="00C51951" w:rsidP="00C51951">
      <w:pPr>
        <w:shd w:val="clear" w:color="auto" w:fill="FFFFFF" w:themeFill="background1"/>
        <w:ind w:firstLine="709"/>
        <w:jc w:val="both"/>
        <w:rPr>
          <w:sz w:val="28"/>
          <w:szCs w:val="28"/>
        </w:rPr>
      </w:pPr>
      <w:r w:rsidRPr="0050653D">
        <w:rPr>
          <w:sz w:val="28"/>
          <w:szCs w:val="28"/>
        </w:rPr>
        <w:t>- сельское хозяйство, охота и лесное хозяйство – 13,3</w:t>
      </w:r>
      <w:r w:rsidRPr="0050653D">
        <w:rPr>
          <w:sz w:val="28"/>
        </w:rPr>
        <w:t xml:space="preserve"> </w:t>
      </w:r>
      <w:proofErr w:type="gramStart"/>
      <w:r w:rsidRPr="0050653D">
        <w:rPr>
          <w:sz w:val="28"/>
        </w:rPr>
        <w:t>млрд</w:t>
      </w:r>
      <w:proofErr w:type="gramEnd"/>
      <w:r w:rsidRPr="0050653D">
        <w:rPr>
          <w:sz w:val="28"/>
        </w:rPr>
        <w:t xml:space="preserve"> руб. (3,5</w:t>
      </w:r>
      <w:r w:rsidR="00EA1742" w:rsidRPr="0050653D">
        <w:rPr>
          <w:sz w:val="28"/>
        </w:rPr>
        <w:t xml:space="preserve"> проц.</w:t>
      </w:r>
      <w:r w:rsidRPr="0050653D">
        <w:rPr>
          <w:sz w:val="28"/>
        </w:rPr>
        <w:t>).</w:t>
      </w:r>
    </w:p>
    <w:p w:rsidR="00C51951" w:rsidRPr="0050653D" w:rsidRDefault="00C51951" w:rsidP="00C51951">
      <w:pPr>
        <w:shd w:val="clear" w:color="auto" w:fill="FFFFFF" w:themeFill="background1"/>
        <w:ind w:firstLine="709"/>
        <w:jc w:val="both"/>
        <w:rPr>
          <w:sz w:val="28"/>
        </w:rPr>
      </w:pPr>
      <w:r w:rsidRPr="0050653D">
        <w:rPr>
          <w:sz w:val="28"/>
        </w:rPr>
        <w:t>В период с 2023 по 2025 годы структура распределения инвестиций по видам экономической деятельности может меняться, что обусловлено внешними и внутренними условиями развития российской экономики и пересмотром инвесторами сроков начала реализации инвестиционных проектов.</w:t>
      </w:r>
    </w:p>
    <w:p w:rsidR="00143692" w:rsidRPr="0050653D" w:rsidRDefault="00C51951" w:rsidP="00C51951">
      <w:pPr>
        <w:shd w:val="clear" w:color="auto" w:fill="FFFFFF" w:themeFill="background1"/>
        <w:ind w:firstLine="709"/>
        <w:jc w:val="both"/>
        <w:rPr>
          <w:rFonts w:eastAsia="Calibri"/>
          <w:sz w:val="28"/>
          <w:szCs w:val="28"/>
          <w:lang w:eastAsia="en-US"/>
        </w:rPr>
      </w:pPr>
      <w:r w:rsidRPr="0050653D">
        <w:rPr>
          <w:sz w:val="28"/>
          <w:szCs w:val="28"/>
        </w:rPr>
        <w:t xml:space="preserve">Традиционно объем инвестиций в основной капитал в Ленинградской области коррелируется с инвестиционными фазами крупных инфраструктурных и промышленных проектов. Прогнозируемый рост инвестиций в 2023-2025 годах обусловлен реализацией проекта по строительству комплекса по переработке </w:t>
      </w:r>
      <w:proofErr w:type="spellStart"/>
      <w:r w:rsidRPr="0050653D">
        <w:rPr>
          <w:sz w:val="28"/>
          <w:szCs w:val="28"/>
        </w:rPr>
        <w:t>этансодержащего</w:t>
      </w:r>
      <w:proofErr w:type="spellEnd"/>
      <w:r w:rsidRPr="0050653D">
        <w:rPr>
          <w:sz w:val="28"/>
          <w:szCs w:val="28"/>
        </w:rPr>
        <w:t xml:space="preserve"> газа, реализуемого ООО «</w:t>
      </w:r>
      <w:proofErr w:type="spellStart"/>
      <w:r w:rsidRPr="0050653D">
        <w:rPr>
          <w:sz w:val="28"/>
          <w:szCs w:val="28"/>
        </w:rPr>
        <w:t>РусХимАльянс</w:t>
      </w:r>
      <w:proofErr w:type="spellEnd"/>
      <w:r w:rsidRPr="0050653D">
        <w:rPr>
          <w:sz w:val="28"/>
          <w:szCs w:val="28"/>
        </w:rPr>
        <w:t xml:space="preserve">» и ООО «Балтийский Химический Комплекс», суммарной стоимостью более 1,5 </w:t>
      </w:r>
      <w:proofErr w:type="gramStart"/>
      <w:r w:rsidRPr="0050653D">
        <w:rPr>
          <w:sz w:val="28"/>
          <w:szCs w:val="28"/>
        </w:rPr>
        <w:t>трлн</w:t>
      </w:r>
      <w:proofErr w:type="gramEnd"/>
      <w:r w:rsidRPr="0050653D">
        <w:rPr>
          <w:sz w:val="28"/>
          <w:szCs w:val="28"/>
        </w:rPr>
        <w:t xml:space="preserve"> руб., также продолжением реализации других крупных портовых проектов ООО «</w:t>
      </w:r>
      <w:proofErr w:type="spellStart"/>
      <w:r w:rsidRPr="0050653D">
        <w:rPr>
          <w:sz w:val="28"/>
          <w:szCs w:val="28"/>
        </w:rPr>
        <w:t>Ультрамар</w:t>
      </w:r>
      <w:proofErr w:type="spellEnd"/>
      <w:r w:rsidRPr="0050653D">
        <w:rPr>
          <w:sz w:val="28"/>
          <w:szCs w:val="28"/>
        </w:rPr>
        <w:t>» (строительство специализированного терминала по перевалке минеральных удобрений, 35 млрд руб.), Универсальный торговый терминал «Усть-Луга» (группа «</w:t>
      </w:r>
      <w:proofErr w:type="spellStart"/>
      <w:r w:rsidRPr="0050653D">
        <w:rPr>
          <w:sz w:val="28"/>
          <w:szCs w:val="28"/>
        </w:rPr>
        <w:t>Новотранс</w:t>
      </w:r>
      <w:proofErr w:type="spellEnd"/>
      <w:r w:rsidRPr="0050653D">
        <w:rPr>
          <w:sz w:val="28"/>
          <w:szCs w:val="28"/>
        </w:rPr>
        <w:t>», 46,5 млрд руб.), Приморского универсального перегрузочного комплекса (ООО «Приморский УПК, 120 млрд. руб.).</w:t>
      </w:r>
      <w:r w:rsidR="00955FDE" w:rsidRPr="0050653D">
        <w:rPr>
          <w:sz w:val="28"/>
          <w:szCs w:val="28"/>
        </w:rPr>
        <w:t xml:space="preserve"> </w:t>
      </w:r>
    </w:p>
    <w:p w:rsidR="00C51951" w:rsidRPr="0050653D" w:rsidRDefault="00C51951" w:rsidP="00C51951">
      <w:pPr>
        <w:pStyle w:val="1"/>
        <w:spacing w:after="0" w:line="240" w:lineRule="auto"/>
        <w:ind w:firstLine="709"/>
        <w:jc w:val="both"/>
        <w:rPr>
          <w:i w:val="0"/>
          <w:color w:val="000000" w:themeColor="text1"/>
          <w:sz w:val="16"/>
          <w:szCs w:val="16"/>
        </w:rPr>
      </w:pPr>
    </w:p>
    <w:p w:rsidR="002F0984" w:rsidRPr="0050653D" w:rsidRDefault="00BA18DE" w:rsidP="002F0984">
      <w:pPr>
        <w:pStyle w:val="1"/>
        <w:spacing w:after="0" w:line="240" w:lineRule="auto"/>
        <w:jc w:val="center"/>
        <w:rPr>
          <w:i w:val="0"/>
          <w:color w:val="000000" w:themeColor="text1"/>
          <w:sz w:val="28"/>
          <w:szCs w:val="28"/>
        </w:rPr>
      </w:pPr>
      <w:r w:rsidRPr="0050653D">
        <w:rPr>
          <w:i w:val="0"/>
          <w:color w:val="000000" w:themeColor="text1"/>
          <w:sz w:val="28"/>
          <w:szCs w:val="28"/>
        </w:rPr>
        <w:t>Денежные доходы населения</w:t>
      </w:r>
    </w:p>
    <w:p w:rsidR="002F0984" w:rsidRPr="0050653D" w:rsidRDefault="002F0984" w:rsidP="00BA18DE">
      <w:pPr>
        <w:pStyle w:val="1"/>
        <w:spacing w:after="0" w:line="240" w:lineRule="auto"/>
        <w:ind w:firstLine="709"/>
        <w:jc w:val="both"/>
        <w:rPr>
          <w:i w:val="0"/>
          <w:color w:val="000000" w:themeColor="text1"/>
          <w:sz w:val="16"/>
          <w:szCs w:val="16"/>
        </w:rPr>
      </w:pPr>
    </w:p>
    <w:p w:rsidR="00C51951" w:rsidRPr="0050653D" w:rsidRDefault="00C51951" w:rsidP="00C51951">
      <w:pPr>
        <w:ind w:firstLine="709"/>
        <w:jc w:val="both"/>
        <w:rPr>
          <w:iCs/>
          <w:sz w:val="28"/>
          <w:szCs w:val="28"/>
        </w:rPr>
      </w:pPr>
      <w:r w:rsidRPr="0050653D">
        <w:rPr>
          <w:sz w:val="28"/>
          <w:szCs w:val="28"/>
        </w:rPr>
        <w:t>В 2021 году денежные доходы на душу населения составили 36</w:t>
      </w:r>
      <w:r w:rsidRPr="0050653D">
        <w:rPr>
          <w:bCs/>
          <w:iCs/>
          <w:sz w:val="28"/>
          <w:szCs w:val="28"/>
        </w:rPr>
        <w:t> </w:t>
      </w:r>
      <w:r w:rsidRPr="0050653D">
        <w:rPr>
          <w:sz w:val="28"/>
          <w:szCs w:val="28"/>
        </w:rPr>
        <w:t xml:space="preserve">273 руб., </w:t>
      </w:r>
      <w:r w:rsidRPr="0050653D">
        <w:rPr>
          <w:sz w:val="28"/>
          <w:szCs w:val="28"/>
        </w:rPr>
        <w:br/>
        <w:t>что к уровню 2020 года составляет 109,1</w:t>
      </w:r>
      <w:r w:rsidR="00EA1742" w:rsidRPr="0050653D">
        <w:rPr>
          <w:sz w:val="28"/>
          <w:szCs w:val="28"/>
        </w:rPr>
        <w:t xml:space="preserve"> проц</w:t>
      </w:r>
      <w:proofErr w:type="gramStart"/>
      <w:r w:rsidR="00EA1742" w:rsidRPr="0050653D">
        <w:rPr>
          <w:sz w:val="28"/>
          <w:szCs w:val="28"/>
        </w:rPr>
        <w:t>.</w:t>
      </w:r>
      <w:r w:rsidRPr="0050653D">
        <w:rPr>
          <w:sz w:val="28"/>
          <w:szCs w:val="28"/>
        </w:rPr>
        <w:t xml:space="preserve">. </w:t>
      </w:r>
      <w:proofErr w:type="gramEnd"/>
      <w:r w:rsidRPr="0050653D">
        <w:rPr>
          <w:sz w:val="28"/>
          <w:szCs w:val="28"/>
        </w:rPr>
        <w:t xml:space="preserve">Среднемесячная номинальная начисленная заработная плата одного работника в 2021 году по данным </w:t>
      </w:r>
      <w:proofErr w:type="spellStart"/>
      <w:r w:rsidRPr="0050653D">
        <w:rPr>
          <w:sz w:val="28"/>
          <w:szCs w:val="28"/>
        </w:rPr>
        <w:t>Петростата</w:t>
      </w:r>
      <w:proofErr w:type="spellEnd"/>
      <w:r w:rsidRPr="0050653D">
        <w:rPr>
          <w:sz w:val="28"/>
          <w:szCs w:val="28"/>
        </w:rPr>
        <w:t xml:space="preserve"> составила 52</w:t>
      </w:r>
      <w:r w:rsidRPr="0050653D">
        <w:rPr>
          <w:bCs/>
          <w:iCs/>
          <w:sz w:val="28"/>
          <w:szCs w:val="28"/>
        </w:rPr>
        <w:t> </w:t>
      </w:r>
      <w:r w:rsidRPr="0050653D">
        <w:rPr>
          <w:sz w:val="28"/>
          <w:szCs w:val="28"/>
        </w:rPr>
        <w:t>749 руб., или 109,2</w:t>
      </w:r>
      <w:r w:rsidR="00EA1742" w:rsidRPr="0050653D">
        <w:rPr>
          <w:sz w:val="28"/>
          <w:szCs w:val="28"/>
        </w:rPr>
        <w:t xml:space="preserve"> проц.</w:t>
      </w:r>
      <w:r w:rsidRPr="0050653D">
        <w:rPr>
          <w:sz w:val="28"/>
          <w:szCs w:val="28"/>
        </w:rPr>
        <w:t xml:space="preserve"> к 2020 году. </w:t>
      </w:r>
      <w:r w:rsidRPr="0050653D">
        <w:rPr>
          <w:iCs/>
          <w:sz w:val="28"/>
          <w:szCs w:val="28"/>
        </w:rPr>
        <w:t>Реальная начисленная заработная плата, рассчитанная с учетом индекса потребительских цен, в 2021 году - 102,9</w:t>
      </w:r>
      <w:r w:rsidR="00EA1742" w:rsidRPr="0050653D">
        <w:rPr>
          <w:iCs/>
          <w:sz w:val="28"/>
          <w:szCs w:val="28"/>
        </w:rPr>
        <w:t xml:space="preserve"> проц.</w:t>
      </w:r>
      <w:r w:rsidRPr="0050653D">
        <w:rPr>
          <w:iCs/>
          <w:sz w:val="28"/>
          <w:szCs w:val="28"/>
        </w:rPr>
        <w:t xml:space="preserve"> к уровню 2020 года.</w:t>
      </w:r>
    </w:p>
    <w:p w:rsidR="00C51951" w:rsidRPr="0050653D" w:rsidRDefault="00C51951" w:rsidP="00C51951">
      <w:pPr>
        <w:shd w:val="clear" w:color="auto" w:fill="FFFFFF" w:themeFill="background1"/>
        <w:ind w:firstLine="709"/>
        <w:jc w:val="both"/>
        <w:rPr>
          <w:sz w:val="28"/>
          <w:szCs w:val="28"/>
        </w:rPr>
      </w:pPr>
      <w:r w:rsidRPr="0050653D">
        <w:rPr>
          <w:sz w:val="28"/>
          <w:szCs w:val="28"/>
        </w:rPr>
        <w:t>По оценке 2022 года номинальная начисленная среднемесячная заработная плата работников организаций региона, возрастет до 58</w:t>
      </w:r>
      <w:r w:rsidRPr="0050653D">
        <w:rPr>
          <w:bCs/>
          <w:iCs/>
          <w:sz w:val="28"/>
          <w:szCs w:val="28"/>
        </w:rPr>
        <w:t> </w:t>
      </w:r>
      <w:r w:rsidRPr="0050653D">
        <w:rPr>
          <w:sz w:val="28"/>
          <w:szCs w:val="28"/>
        </w:rPr>
        <w:t>390 руб. (110,7</w:t>
      </w:r>
      <w:r w:rsidR="00EA1742" w:rsidRPr="0050653D">
        <w:rPr>
          <w:sz w:val="28"/>
          <w:szCs w:val="28"/>
        </w:rPr>
        <w:t xml:space="preserve"> проц.</w:t>
      </w:r>
      <w:r w:rsidRPr="0050653D">
        <w:rPr>
          <w:sz w:val="28"/>
          <w:szCs w:val="28"/>
        </w:rPr>
        <w:t xml:space="preserve"> к уровню 2021 года), реальная заработная плата работников организаций составит 96,0</w:t>
      </w:r>
      <w:r w:rsidR="00EA1742" w:rsidRPr="0050653D">
        <w:rPr>
          <w:sz w:val="28"/>
          <w:szCs w:val="28"/>
        </w:rPr>
        <w:t xml:space="preserve"> проц.</w:t>
      </w:r>
      <w:r w:rsidRPr="0050653D">
        <w:rPr>
          <w:sz w:val="28"/>
          <w:szCs w:val="28"/>
        </w:rPr>
        <w:t xml:space="preserve"> к уровню 2021 года. </w:t>
      </w:r>
      <w:r w:rsidR="00296668" w:rsidRPr="0050653D">
        <w:rPr>
          <w:bCs/>
          <w:iCs/>
          <w:sz w:val="28"/>
          <w:szCs w:val="28"/>
        </w:rPr>
        <w:t>Н</w:t>
      </w:r>
      <w:r w:rsidRPr="0050653D">
        <w:rPr>
          <w:sz w:val="28"/>
          <w:szCs w:val="28"/>
        </w:rPr>
        <w:t>а темп роста реальной заработной платы в 2022 году, как и на ее покупательную способность, негативно скажется ускорение инфляции (до 115,5</w:t>
      </w:r>
      <w:r w:rsidR="00EA1742" w:rsidRPr="0050653D">
        <w:rPr>
          <w:sz w:val="28"/>
          <w:szCs w:val="28"/>
        </w:rPr>
        <w:t xml:space="preserve"> проц.</w:t>
      </w:r>
      <w:r w:rsidRPr="0050653D">
        <w:rPr>
          <w:sz w:val="28"/>
          <w:szCs w:val="28"/>
        </w:rPr>
        <w:t xml:space="preserve"> за год). В дальнейшем на прогнозном периоде ожидается восстановление темпов роста реальных заработных плат до сопоставимого уровня с темпами </w:t>
      </w:r>
      <w:r w:rsidR="00B52272">
        <w:rPr>
          <w:sz w:val="28"/>
          <w:szCs w:val="28"/>
        </w:rPr>
        <w:t xml:space="preserve">экономического </w:t>
      </w:r>
      <w:r w:rsidRPr="0050653D">
        <w:rPr>
          <w:sz w:val="28"/>
          <w:szCs w:val="28"/>
        </w:rPr>
        <w:t>роста.</w:t>
      </w:r>
    </w:p>
    <w:p w:rsidR="00C51951" w:rsidRPr="0050653D" w:rsidRDefault="00C51951" w:rsidP="00C51951">
      <w:pPr>
        <w:shd w:val="clear" w:color="auto" w:fill="FFFFFF" w:themeFill="background1"/>
        <w:ind w:firstLine="709"/>
        <w:jc w:val="both"/>
        <w:rPr>
          <w:bCs/>
          <w:iCs/>
          <w:sz w:val="28"/>
          <w:szCs w:val="28"/>
        </w:rPr>
      </w:pPr>
      <w:r w:rsidRPr="0050653D">
        <w:rPr>
          <w:bCs/>
          <w:iCs/>
          <w:sz w:val="28"/>
          <w:szCs w:val="28"/>
        </w:rPr>
        <w:t>В 2023-2025 годах при базовом варианте прогноза ежегодный прирост реальных располагаемых денежных доходов населения составит от 1,0 до 3,0</w:t>
      </w:r>
      <w:r w:rsidR="00EA1742" w:rsidRPr="0050653D">
        <w:rPr>
          <w:bCs/>
          <w:iCs/>
          <w:sz w:val="28"/>
          <w:szCs w:val="28"/>
        </w:rPr>
        <w:t xml:space="preserve"> проц.</w:t>
      </w:r>
      <w:r w:rsidRPr="0050653D">
        <w:rPr>
          <w:bCs/>
          <w:iCs/>
          <w:sz w:val="28"/>
          <w:szCs w:val="28"/>
        </w:rPr>
        <w:t xml:space="preserve"> (по базовому варианту), или от -2,0 до 2,0</w:t>
      </w:r>
      <w:r w:rsidR="00EA1742" w:rsidRPr="0050653D">
        <w:rPr>
          <w:bCs/>
          <w:iCs/>
          <w:sz w:val="28"/>
          <w:szCs w:val="28"/>
        </w:rPr>
        <w:t xml:space="preserve"> проц.</w:t>
      </w:r>
      <w:r w:rsidRPr="0050653D">
        <w:rPr>
          <w:bCs/>
          <w:iCs/>
          <w:sz w:val="28"/>
          <w:szCs w:val="28"/>
        </w:rPr>
        <w:t xml:space="preserve"> (по консервативному). </w:t>
      </w:r>
    </w:p>
    <w:p w:rsidR="00C51951" w:rsidRPr="0050653D" w:rsidRDefault="00C51951" w:rsidP="00C51951">
      <w:pPr>
        <w:shd w:val="clear" w:color="auto" w:fill="FFFFFF" w:themeFill="background1"/>
        <w:ind w:firstLine="709"/>
        <w:jc w:val="both"/>
        <w:rPr>
          <w:bCs/>
          <w:iCs/>
          <w:sz w:val="28"/>
          <w:szCs w:val="28"/>
        </w:rPr>
      </w:pPr>
      <w:r w:rsidRPr="0050653D">
        <w:rPr>
          <w:bCs/>
          <w:iCs/>
          <w:sz w:val="28"/>
          <w:szCs w:val="28"/>
        </w:rPr>
        <w:t>На среднесрочном прогнозном периоде реальная заработная плата будет увеличиваться с 0,2 до 2,5</w:t>
      </w:r>
      <w:r w:rsidR="00EA1742" w:rsidRPr="0050653D">
        <w:rPr>
          <w:bCs/>
          <w:iCs/>
          <w:sz w:val="28"/>
          <w:szCs w:val="28"/>
        </w:rPr>
        <w:t xml:space="preserve"> проц.</w:t>
      </w:r>
      <w:r w:rsidRPr="0050653D">
        <w:rPr>
          <w:bCs/>
          <w:iCs/>
          <w:sz w:val="28"/>
          <w:szCs w:val="28"/>
        </w:rPr>
        <w:t xml:space="preserve"> ежегодно по базовому сценарию, или с -3 до 1</w:t>
      </w:r>
      <w:r w:rsidR="00EA1742" w:rsidRPr="0050653D">
        <w:rPr>
          <w:bCs/>
          <w:iCs/>
          <w:sz w:val="28"/>
          <w:szCs w:val="28"/>
        </w:rPr>
        <w:t xml:space="preserve"> проц.</w:t>
      </w:r>
      <w:r w:rsidRPr="0050653D">
        <w:rPr>
          <w:bCs/>
          <w:iCs/>
          <w:sz w:val="28"/>
          <w:szCs w:val="28"/>
        </w:rPr>
        <w:t xml:space="preserve"> по консервативному. </w:t>
      </w:r>
    </w:p>
    <w:p w:rsidR="00C51951" w:rsidRPr="0050653D" w:rsidRDefault="00C51951" w:rsidP="00C51951">
      <w:pPr>
        <w:shd w:val="clear" w:color="auto" w:fill="FFFFFF" w:themeFill="background1"/>
        <w:ind w:firstLine="709"/>
        <w:jc w:val="both"/>
        <w:rPr>
          <w:bCs/>
          <w:iCs/>
          <w:sz w:val="28"/>
          <w:szCs w:val="28"/>
        </w:rPr>
      </w:pPr>
      <w:r w:rsidRPr="0050653D">
        <w:rPr>
          <w:bCs/>
          <w:iCs/>
          <w:sz w:val="28"/>
          <w:szCs w:val="28"/>
        </w:rPr>
        <w:t>В 2025 году по базовому варианту прогноза номинальная начисленная среднемесячная заработная плата работников организаций составит 72 800 руб. (увеличение в 1,25 раза по сравнению с 2022 годом), по консервативному варианту – 67 150 руб. (увеличение в 1,15 раза по сравнению с 2022 годом).</w:t>
      </w:r>
    </w:p>
    <w:p w:rsidR="00C51951" w:rsidRPr="0050653D" w:rsidRDefault="00C51951" w:rsidP="00C51951">
      <w:pPr>
        <w:shd w:val="clear" w:color="auto" w:fill="FFFFFF" w:themeFill="background1"/>
        <w:ind w:firstLine="709"/>
        <w:jc w:val="both"/>
        <w:rPr>
          <w:sz w:val="28"/>
          <w:szCs w:val="28"/>
        </w:rPr>
      </w:pPr>
      <w:r w:rsidRPr="0050653D">
        <w:rPr>
          <w:sz w:val="28"/>
          <w:szCs w:val="28"/>
        </w:rPr>
        <w:t>Стабильный рост заработной платы планируется обеспечить за счет:</w:t>
      </w:r>
    </w:p>
    <w:p w:rsidR="00C51951" w:rsidRPr="0050653D" w:rsidRDefault="00C51951" w:rsidP="00C51951">
      <w:pPr>
        <w:shd w:val="clear" w:color="auto" w:fill="FFFFFF" w:themeFill="background1"/>
        <w:ind w:firstLine="709"/>
        <w:jc w:val="both"/>
        <w:rPr>
          <w:sz w:val="28"/>
          <w:szCs w:val="28"/>
        </w:rPr>
      </w:pPr>
      <w:r w:rsidRPr="0050653D">
        <w:rPr>
          <w:sz w:val="28"/>
          <w:szCs w:val="28"/>
        </w:rPr>
        <w:t xml:space="preserve">- осуществления мер по обеспечению минимальных государственных гарантий по оплате труда: в Ленинградской области в соответствии со статьей 133.1 Трудового кодекса Российской Федерации заключено Региональное соглашение о минимальной заработной плате в Ленинградской области на 2022 год от 28.01.2022 № 3/С-22. </w:t>
      </w:r>
    </w:p>
    <w:p w:rsidR="00C51951" w:rsidRPr="0050653D" w:rsidRDefault="00C51951" w:rsidP="00C51951">
      <w:pPr>
        <w:shd w:val="clear" w:color="auto" w:fill="FFFFFF" w:themeFill="background1"/>
        <w:ind w:firstLine="709"/>
        <w:jc w:val="both"/>
        <w:rPr>
          <w:sz w:val="28"/>
          <w:szCs w:val="28"/>
        </w:rPr>
      </w:pPr>
      <w:r w:rsidRPr="0050653D">
        <w:rPr>
          <w:sz w:val="28"/>
          <w:szCs w:val="28"/>
        </w:rPr>
        <w:t>Соглашением установлен в Ленинградской области размер минимальной заработной платы с 1 января 2022 года в сумме 14 250 рублей, с 1 апреля 2022 года в сумме 14 500 рублей, с 1 декабря 2022 года в сумме 14 710 рублей.</w:t>
      </w:r>
    </w:p>
    <w:p w:rsidR="00C51951" w:rsidRPr="0050653D" w:rsidRDefault="00C51951" w:rsidP="00C51951">
      <w:pPr>
        <w:shd w:val="clear" w:color="auto" w:fill="FFFFFF" w:themeFill="background1"/>
        <w:ind w:firstLine="709"/>
        <w:jc w:val="both"/>
        <w:rPr>
          <w:sz w:val="28"/>
          <w:szCs w:val="28"/>
        </w:rPr>
      </w:pPr>
      <w:r w:rsidRPr="0050653D">
        <w:rPr>
          <w:sz w:val="28"/>
          <w:szCs w:val="28"/>
        </w:rPr>
        <w:t xml:space="preserve">- планомерного повышения заработной платы отдельных категорий работников бюджетной сферы и сохранение достигнутых целевых показателей </w:t>
      </w:r>
      <w:r w:rsidRPr="0050653D">
        <w:rPr>
          <w:sz w:val="28"/>
          <w:szCs w:val="28"/>
        </w:rPr>
        <w:br/>
        <w:t xml:space="preserve">в соответствии с указом Президента Российской Федерации от 7 мая 2012 года № 597 «О мероприятиях по реализации государственной социальной политики». </w:t>
      </w:r>
    </w:p>
    <w:p w:rsidR="00BD7686" w:rsidRPr="0050653D" w:rsidRDefault="00162E8F" w:rsidP="00BD7686">
      <w:pPr>
        <w:shd w:val="clear" w:color="auto" w:fill="FFFFFF" w:themeFill="background1"/>
        <w:autoSpaceDE w:val="0"/>
        <w:autoSpaceDN w:val="0"/>
        <w:adjustRightInd w:val="0"/>
        <w:ind w:firstLine="709"/>
        <w:jc w:val="both"/>
        <w:outlineLvl w:val="0"/>
        <w:rPr>
          <w:rFonts w:eastAsiaTheme="minorHAnsi"/>
          <w:sz w:val="28"/>
          <w:szCs w:val="28"/>
          <w:lang w:eastAsia="en-US"/>
        </w:rPr>
      </w:pPr>
      <w:proofErr w:type="gramStart"/>
      <w:r w:rsidRPr="0050653D">
        <w:rPr>
          <w:bCs/>
          <w:sz w:val="28"/>
          <w:szCs w:val="28"/>
        </w:rPr>
        <w:t>С 2021 года в</w:t>
      </w:r>
      <w:r w:rsidR="00C51951" w:rsidRPr="0050653D">
        <w:rPr>
          <w:bCs/>
          <w:sz w:val="28"/>
          <w:szCs w:val="28"/>
        </w:rPr>
        <w:t>еличина прожиточного минимума (далее – ПМ) на душу населения и по основным социально-демографическим группам населения в</w:t>
      </w:r>
      <w:r w:rsidRPr="0050653D">
        <w:rPr>
          <w:bCs/>
          <w:sz w:val="28"/>
          <w:szCs w:val="28"/>
        </w:rPr>
        <w:t xml:space="preserve"> субъектах Российской Федерации устанавливается в соответствии с</w:t>
      </w:r>
      <w:r w:rsidRPr="0050653D">
        <w:rPr>
          <w:rFonts w:eastAsiaTheme="minorHAnsi"/>
          <w:sz w:val="28"/>
          <w:szCs w:val="28"/>
          <w:lang w:eastAsia="en-US"/>
        </w:rPr>
        <w:t xml:space="preserve"> Правилами установления величины прожиточного минимума на душу населения и по основным социально-демографическим группам населения в субъектах </w:t>
      </w:r>
      <w:r w:rsidRPr="0050653D">
        <w:rPr>
          <w:rFonts w:eastAsiaTheme="minorHAnsi"/>
          <w:sz w:val="28"/>
          <w:szCs w:val="28"/>
          <w:lang w:eastAsia="en-US"/>
        </w:rPr>
        <w:lastRenderedPageBreak/>
        <w:t>Российской Федерации на очередной год (постановление Правительства Российской Федерации</w:t>
      </w:r>
      <w:r w:rsidR="00BD7686" w:rsidRPr="0050653D">
        <w:rPr>
          <w:rFonts w:eastAsiaTheme="minorHAnsi"/>
          <w:sz w:val="28"/>
          <w:szCs w:val="28"/>
          <w:lang w:eastAsia="en-US"/>
        </w:rPr>
        <w:t xml:space="preserve"> от 26.06.2021 № 1022) и </w:t>
      </w:r>
      <w:r w:rsidR="00BD7686" w:rsidRPr="0050653D">
        <w:rPr>
          <w:sz w:val="28"/>
          <w:szCs w:val="20"/>
        </w:rPr>
        <w:t>методологическими рекомендациями Министерства труда и социальной</w:t>
      </w:r>
      <w:proofErr w:type="gramEnd"/>
      <w:r w:rsidR="00BD7686" w:rsidRPr="0050653D">
        <w:rPr>
          <w:sz w:val="28"/>
          <w:szCs w:val="20"/>
        </w:rPr>
        <w:t xml:space="preserve"> защиты Российской Федерации до 2025 года (от 08.06.2022 № 27-3/10/В-7591).</w:t>
      </w:r>
    </w:p>
    <w:p w:rsidR="00BD7686" w:rsidRPr="0050653D" w:rsidRDefault="00BD7686" w:rsidP="00BD7686">
      <w:pPr>
        <w:shd w:val="clear" w:color="auto" w:fill="FFFFFF" w:themeFill="background1"/>
        <w:ind w:firstLine="709"/>
        <w:jc w:val="both"/>
        <w:rPr>
          <w:bCs/>
          <w:sz w:val="28"/>
          <w:szCs w:val="20"/>
        </w:rPr>
      </w:pPr>
      <w:r w:rsidRPr="0050653D">
        <w:rPr>
          <w:sz w:val="28"/>
          <w:szCs w:val="20"/>
        </w:rPr>
        <w:t>Ве</w:t>
      </w:r>
      <w:r w:rsidRPr="0050653D">
        <w:rPr>
          <w:bCs/>
          <w:sz w:val="28"/>
          <w:szCs w:val="20"/>
        </w:rPr>
        <w:t>личина прожиточного минимума на душу населения в среднем на 2021 год установлена в размере 11 289 руб., на 2022 год – в размере 14 059 руб.</w:t>
      </w:r>
    </w:p>
    <w:p w:rsidR="00BD7686" w:rsidRPr="0050653D" w:rsidRDefault="00BD7686" w:rsidP="00BD7686">
      <w:pPr>
        <w:shd w:val="clear" w:color="auto" w:fill="FFFFFF" w:themeFill="background1"/>
        <w:autoSpaceDE w:val="0"/>
        <w:autoSpaceDN w:val="0"/>
        <w:adjustRightInd w:val="0"/>
        <w:ind w:firstLine="709"/>
        <w:jc w:val="both"/>
        <w:outlineLvl w:val="0"/>
        <w:rPr>
          <w:sz w:val="28"/>
          <w:szCs w:val="28"/>
        </w:rPr>
      </w:pPr>
      <w:r w:rsidRPr="0050653D">
        <w:rPr>
          <w:rFonts w:eastAsiaTheme="minorHAnsi"/>
          <w:sz w:val="28"/>
          <w:szCs w:val="28"/>
          <w:lang w:eastAsia="en-US"/>
        </w:rPr>
        <w:t>Согласно установленным Правилам  в</w:t>
      </w:r>
      <w:r w:rsidRPr="0050653D">
        <w:rPr>
          <w:sz w:val="28"/>
          <w:szCs w:val="28"/>
        </w:rPr>
        <w:t xml:space="preserve">еличина прожиточного минимума на душу населения в субъекте Российской Федерации на очередной год устанавливается не ниже величины, рассчитанной путем умножения величины прожиточного минимума на душу населения в целом по Российской Федерации, установленной на очередной </w:t>
      </w:r>
      <w:proofErr w:type="gramStart"/>
      <w:r w:rsidRPr="0050653D">
        <w:rPr>
          <w:sz w:val="28"/>
          <w:szCs w:val="28"/>
        </w:rPr>
        <w:t>год</w:t>
      </w:r>
      <w:proofErr w:type="gramEnd"/>
      <w:r w:rsidRPr="0050653D">
        <w:rPr>
          <w:sz w:val="28"/>
          <w:szCs w:val="28"/>
        </w:rPr>
        <w:t xml:space="preserve"> на коэффициент региональной дифференциации.</w:t>
      </w:r>
    </w:p>
    <w:p w:rsidR="00C51951" w:rsidRPr="0050653D" w:rsidRDefault="00BD7686" w:rsidP="00BD7686">
      <w:pPr>
        <w:shd w:val="clear" w:color="auto" w:fill="FFFFFF" w:themeFill="background1"/>
        <w:ind w:firstLine="709"/>
        <w:jc w:val="both"/>
        <w:rPr>
          <w:sz w:val="28"/>
          <w:szCs w:val="28"/>
        </w:rPr>
      </w:pPr>
      <w:r w:rsidRPr="0050653D">
        <w:rPr>
          <w:sz w:val="28"/>
          <w:szCs w:val="28"/>
        </w:rPr>
        <w:t>Для Ленинградской области у</w:t>
      </w:r>
      <w:r w:rsidR="00C51951" w:rsidRPr="0050653D">
        <w:rPr>
          <w:sz w:val="28"/>
          <w:szCs w:val="28"/>
        </w:rPr>
        <w:t>твержденный размер коэффициента региональной дифференциации на 2023 год – 1,03; на 2024 год – 1,05; на 2025 год – 1,07.</w:t>
      </w:r>
    </w:p>
    <w:p w:rsidR="00C51951" w:rsidRPr="0050653D" w:rsidRDefault="00BD7686" w:rsidP="00C51951">
      <w:pPr>
        <w:shd w:val="clear" w:color="auto" w:fill="FFFFFF" w:themeFill="background1"/>
        <w:autoSpaceDE w:val="0"/>
        <w:autoSpaceDN w:val="0"/>
        <w:adjustRightInd w:val="0"/>
        <w:ind w:firstLine="709"/>
        <w:jc w:val="both"/>
        <w:outlineLvl w:val="0"/>
        <w:rPr>
          <w:sz w:val="28"/>
          <w:szCs w:val="20"/>
        </w:rPr>
      </w:pPr>
      <w:proofErr w:type="gramStart"/>
      <w:r w:rsidRPr="0050653D">
        <w:rPr>
          <w:sz w:val="28"/>
          <w:szCs w:val="20"/>
        </w:rPr>
        <w:t>С</w:t>
      </w:r>
      <w:r w:rsidR="00C51951" w:rsidRPr="0050653D">
        <w:rPr>
          <w:sz w:val="28"/>
          <w:szCs w:val="20"/>
        </w:rPr>
        <w:t xml:space="preserve"> учетом планируемая величина ПМ на душу населения в Российской Федерации </w:t>
      </w:r>
      <w:r w:rsidRPr="0050653D">
        <w:rPr>
          <w:sz w:val="28"/>
          <w:szCs w:val="20"/>
        </w:rPr>
        <w:t xml:space="preserve">(на </w:t>
      </w:r>
      <w:r w:rsidR="00C51951" w:rsidRPr="0050653D">
        <w:rPr>
          <w:sz w:val="28"/>
          <w:szCs w:val="20"/>
        </w:rPr>
        <w:t xml:space="preserve">2023 год </w:t>
      </w:r>
      <w:r w:rsidRPr="0050653D">
        <w:rPr>
          <w:sz w:val="28"/>
          <w:szCs w:val="20"/>
        </w:rPr>
        <w:t xml:space="preserve">– </w:t>
      </w:r>
      <w:r w:rsidR="00C51951" w:rsidRPr="0050653D">
        <w:rPr>
          <w:sz w:val="28"/>
          <w:szCs w:val="20"/>
        </w:rPr>
        <w:t xml:space="preserve"> 15 042 рубля, </w:t>
      </w:r>
      <w:r w:rsidRPr="0050653D">
        <w:rPr>
          <w:sz w:val="28"/>
          <w:szCs w:val="20"/>
        </w:rPr>
        <w:t>на</w:t>
      </w:r>
      <w:r w:rsidR="00C51951" w:rsidRPr="0050653D">
        <w:rPr>
          <w:sz w:val="28"/>
          <w:szCs w:val="20"/>
        </w:rPr>
        <w:t xml:space="preserve"> 2024 год – 16 303 рубля</w:t>
      </w:r>
      <w:r w:rsidRPr="0050653D">
        <w:rPr>
          <w:sz w:val="28"/>
          <w:szCs w:val="20"/>
        </w:rPr>
        <w:t xml:space="preserve">, на </w:t>
      </w:r>
      <w:r w:rsidR="00C51951" w:rsidRPr="0050653D">
        <w:rPr>
          <w:sz w:val="28"/>
          <w:szCs w:val="20"/>
        </w:rPr>
        <w:t>2025 год – 18 105 руб.</w:t>
      </w:r>
      <w:r w:rsidRPr="0050653D">
        <w:rPr>
          <w:sz w:val="28"/>
          <w:szCs w:val="20"/>
        </w:rPr>
        <w:t>) и установленными коэффициентами региональной дифференциации</w:t>
      </w:r>
      <w:r w:rsidR="00C51951" w:rsidRPr="0050653D">
        <w:rPr>
          <w:sz w:val="28"/>
          <w:szCs w:val="20"/>
        </w:rPr>
        <w:t xml:space="preserve"> величина ПМ на душу населения в Ленинградской области </w:t>
      </w:r>
      <w:r w:rsidRPr="0050653D">
        <w:rPr>
          <w:sz w:val="28"/>
          <w:szCs w:val="20"/>
        </w:rPr>
        <w:t xml:space="preserve">установлена </w:t>
      </w:r>
      <w:r w:rsidR="001A06A8" w:rsidRPr="0050653D">
        <w:rPr>
          <w:sz w:val="28"/>
          <w:szCs w:val="20"/>
        </w:rPr>
        <w:t>на</w:t>
      </w:r>
      <w:r w:rsidR="00C51951" w:rsidRPr="0050653D">
        <w:rPr>
          <w:sz w:val="28"/>
          <w:szCs w:val="20"/>
        </w:rPr>
        <w:t xml:space="preserve"> 2023 год </w:t>
      </w:r>
      <w:r w:rsidR="001A06A8" w:rsidRPr="0050653D">
        <w:rPr>
          <w:sz w:val="28"/>
          <w:szCs w:val="20"/>
        </w:rPr>
        <w:t xml:space="preserve">на уровне </w:t>
      </w:r>
      <w:r w:rsidR="00C51951" w:rsidRPr="0050653D">
        <w:rPr>
          <w:sz w:val="28"/>
          <w:szCs w:val="20"/>
        </w:rPr>
        <w:t xml:space="preserve">15 493 рубля, </w:t>
      </w:r>
      <w:r w:rsidR="001A06A8" w:rsidRPr="0050653D">
        <w:rPr>
          <w:sz w:val="28"/>
          <w:szCs w:val="20"/>
        </w:rPr>
        <w:t>на</w:t>
      </w:r>
      <w:r w:rsidR="00C51951" w:rsidRPr="0050653D">
        <w:rPr>
          <w:sz w:val="28"/>
          <w:szCs w:val="20"/>
        </w:rPr>
        <w:t xml:space="preserve"> 2024 год – 17 118 руб.; </w:t>
      </w:r>
      <w:r w:rsidR="001A06A8" w:rsidRPr="0050653D">
        <w:rPr>
          <w:sz w:val="28"/>
          <w:szCs w:val="20"/>
        </w:rPr>
        <w:t xml:space="preserve">на </w:t>
      </w:r>
      <w:r w:rsidR="00C51951" w:rsidRPr="0050653D">
        <w:rPr>
          <w:sz w:val="28"/>
          <w:szCs w:val="20"/>
        </w:rPr>
        <w:t>2025 год</w:t>
      </w:r>
      <w:proofErr w:type="gramEnd"/>
      <w:r w:rsidR="00C51951" w:rsidRPr="0050653D">
        <w:rPr>
          <w:sz w:val="28"/>
          <w:szCs w:val="20"/>
        </w:rPr>
        <w:t xml:space="preserve"> – 19 372 рубля.</w:t>
      </w:r>
    </w:p>
    <w:p w:rsidR="00C51951" w:rsidRPr="0050653D" w:rsidRDefault="00C51951" w:rsidP="00C51951">
      <w:pPr>
        <w:shd w:val="clear" w:color="auto" w:fill="FFFFFF" w:themeFill="background1"/>
        <w:ind w:firstLine="709"/>
        <w:jc w:val="both"/>
        <w:rPr>
          <w:bCs/>
          <w:sz w:val="28"/>
        </w:rPr>
      </w:pPr>
      <w:r w:rsidRPr="0050653D">
        <w:rPr>
          <w:sz w:val="28"/>
          <w:szCs w:val="20"/>
        </w:rPr>
        <w:t>В результате прогнозируемая величина прожиточного минимума в среднем</w:t>
      </w:r>
      <w:r w:rsidRPr="0050653D">
        <w:rPr>
          <w:sz w:val="28"/>
          <w:szCs w:val="20"/>
        </w:rPr>
        <w:br/>
        <w:t>на душу населения в Ленинградской области к 2025 году по отношению к 2022 году и к 2023 году увеличится в 1,3 раза.</w:t>
      </w:r>
    </w:p>
    <w:p w:rsidR="00704FB9" w:rsidRPr="0050653D" w:rsidRDefault="00704FB9" w:rsidP="00BA18DE">
      <w:pPr>
        <w:ind w:firstLine="709"/>
        <w:jc w:val="both"/>
        <w:rPr>
          <w:color w:val="000000" w:themeColor="text1"/>
          <w:sz w:val="16"/>
          <w:szCs w:val="16"/>
        </w:rPr>
      </w:pPr>
    </w:p>
    <w:p w:rsidR="00704FB9" w:rsidRPr="0050653D" w:rsidRDefault="007A48FA" w:rsidP="00704FB9">
      <w:pPr>
        <w:jc w:val="center"/>
        <w:rPr>
          <w:sz w:val="28"/>
          <w:szCs w:val="28"/>
        </w:rPr>
      </w:pPr>
      <w:r w:rsidRPr="0050653D">
        <w:rPr>
          <w:sz w:val="28"/>
          <w:szCs w:val="28"/>
        </w:rPr>
        <w:t>Труд и занятость</w:t>
      </w:r>
    </w:p>
    <w:p w:rsidR="00704FB9" w:rsidRPr="0050653D" w:rsidRDefault="00704FB9" w:rsidP="00405363">
      <w:pPr>
        <w:ind w:firstLine="709"/>
        <w:jc w:val="both"/>
        <w:rPr>
          <w:sz w:val="16"/>
          <w:szCs w:val="16"/>
        </w:rPr>
      </w:pP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В 2021 году рынок труда Ленинградской области постепенно стабилизировался после негативных последствий распространения коронавирусной инфекции (COVID-19) в 2020 году.</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xml:space="preserve">Ленинградская область в числе первых регионов восстановила занятость населения. В 2020 году Правительством Ленинградской области утвержден Комплекс мероприятий по восстановлению численности занятого населения в регионе и возвращению рынка труда на </w:t>
      </w:r>
      <w:proofErr w:type="spellStart"/>
      <w:r w:rsidRPr="0050653D">
        <w:rPr>
          <w:sz w:val="28"/>
          <w:szCs w:val="28"/>
        </w:rPr>
        <w:t>допандемический</w:t>
      </w:r>
      <w:proofErr w:type="spellEnd"/>
      <w:r w:rsidRPr="0050653D">
        <w:rPr>
          <w:sz w:val="28"/>
          <w:szCs w:val="28"/>
        </w:rPr>
        <w:t xml:space="preserve"> уровень. В Комплексе мероприятий разработаны меры, направленные на улучшение складывающейся ситуации на рынке труда, цель Комплекса мероприятий – целенаправленное воздействие на определенные категории граждан, наиболее пострадавшие в части потери работы, для обеспечения восстановления сферы занятости до </w:t>
      </w:r>
      <w:proofErr w:type="spellStart"/>
      <w:r w:rsidRPr="0050653D">
        <w:rPr>
          <w:sz w:val="28"/>
          <w:szCs w:val="28"/>
        </w:rPr>
        <w:t>допандемических</w:t>
      </w:r>
      <w:proofErr w:type="spellEnd"/>
      <w:r w:rsidRPr="0050653D">
        <w:rPr>
          <w:sz w:val="28"/>
          <w:szCs w:val="28"/>
        </w:rPr>
        <w:t xml:space="preserve"> значений.</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xml:space="preserve">Благодаря принятым мерам, по состоянию на 01.01.2022 уровень регистрируемой безработицы вернулся к </w:t>
      </w:r>
      <w:proofErr w:type="spellStart"/>
      <w:r w:rsidRPr="0050653D">
        <w:rPr>
          <w:sz w:val="28"/>
          <w:szCs w:val="28"/>
        </w:rPr>
        <w:t>допандемическим</w:t>
      </w:r>
      <w:proofErr w:type="spellEnd"/>
      <w:r w:rsidRPr="0050653D">
        <w:rPr>
          <w:sz w:val="28"/>
          <w:szCs w:val="28"/>
        </w:rPr>
        <w:t xml:space="preserve"> значениям:</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уровень регистрируемой безработицы имел значение 0,5</w:t>
      </w:r>
      <w:r w:rsidR="00EA1742" w:rsidRPr="0050653D">
        <w:rPr>
          <w:sz w:val="28"/>
          <w:szCs w:val="28"/>
        </w:rPr>
        <w:t xml:space="preserve"> проц.</w:t>
      </w:r>
      <w:r w:rsidRPr="0050653D">
        <w:rPr>
          <w:sz w:val="28"/>
          <w:szCs w:val="28"/>
        </w:rPr>
        <w:t xml:space="preserve"> (по сравнению</w:t>
      </w:r>
      <w:r w:rsidR="00955FDE" w:rsidRPr="0050653D">
        <w:rPr>
          <w:sz w:val="28"/>
          <w:szCs w:val="28"/>
        </w:rPr>
        <w:t xml:space="preserve"> </w:t>
      </w:r>
      <w:r w:rsidRPr="0050653D">
        <w:rPr>
          <w:sz w:val="28"/>
          <w:szCs w:val="28"/>
        </w:rPr>
        <w:t xml:space="preserve">с началом 2021 года ниже на 2,7 </w:t>
      </w:r>
      <w:proofErr w:type="gramStart"/>
      <w:r w:rsidRPr="0050653D">
        <w:rPr>
          <w:sz w:val="28"/>
          <w:szCs w:val="28"/>
        </w:rPr>
        <w:t>процентных</w:t>
      </w:r>
      <w:proofErr w:type="gramEnd"/>
      <w:r w:rsidRPr="0050653D">
        <w:rPr>
          <w:sz w:val="28"/>
          <w:szCs w:val="28"/>
        </w:rPr>
        <w:t xml:space="preserve"> пункта);</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численность официально зарегистрированных безработных – 4,4 тыс. человек (по сравнению с началом 2021 года численность безработных снизилась на 25,8 тыс. человек).</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lastRenderedPageBreak/>
        <w:t>Изменения основных показателей регистрируемого рынка труда в 2021 году по сравнению с 2020 годом:</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обратились в службу занятости населения в поиске подходящей работы 45,9 тыс. человек, что на 25,8 тыс. человек меньше, чем в 2020 году;</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признано безработными 17,4 тыс. человек, что на 35,4 тыс. человек меньше, чем в 2020 году;</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на все виды работ трудоустроены 19,9 тыс. человек, что на 3 тыс. человек меньше, чем в 2020 году. Эффективность трудоустройства граждан составила 43,3</w:t>
      </w:r>
      <w:r w:rsidR="00EA1742" w:rsidRPr="0050653D">
        <w:rPr>
          <w:sz w:val="28"/>
          <w:szCs w:val="28"/>
        </w:rPr>
        <w:t xml:space="preserve"> проц</w:t>
      </w:r>
      <w:proofErr w:type="gramStart"/>
      <w:r w:rsidR="00EA1742" w:rsidRPr="0050653D">
        <w:rPr>
          <w:sz w:val="28"/>
          <w:szCs w:val="28"/>
        </w:rPr>
        <w:t>.</w:t>
      </w:r>
      <w:r w:rsidRPr="0050653D">
        <w:rPr>
          <w:sz w:val="28"/>
          <w:szCs w:val="28"/>
        </w:rPr>
        <w:t>.</w:t>
      </w:r>
      <w:proofErr w:type="gramEnd"/>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Оценка 2022 года и два варианта прогноза – консервативный (вариант 1) и базовый (вариант 2) сформированы при условии стабилизации социально-экономического развития Ленинградской области в 2023-2025 годах.</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xml:space="preserve">В условиях </w:t>
      </w:r>
      <w:proofErr w:type="spellStart"/>
      <w:r w:rsidRPr="0050653D">
        <w:rPr>
          <w:sz w:val="28"/>
          <w:szCs w:val="28"/>
        </w:rPr>
        <w:t>санкционного</w:t>
      </w:r>
      <w:proofErr w:type="spellEnd"/>
      <w:r w:rsidRPr="0050653D">
        <w:rPr>
          <w:sz w:val="28"/>
          <w:szCs w:val="28"/>
        </w:rPr>
        <w:t xml:space="preserve"> давления, возникают риски по увольнению работников предприятий, на особом контроле находятся организации / предприятия, на которых возможно изменение занятости (введение режимов неполного рабочего времени, простоя/приостановки). </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В течение 2022 года в мониторинге находились 265 организаций. Проводится информирование работодателей о том, что своевременное уведомление о возникающих проблемах поможет минимизировать нежелательные последствия, связанные с занятостью работников на предприятиях и вовремя оказать поддержку, как работникам, так и самим предприятиям.</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xml:space="preserve">Для реализации мер </w:t>
      </w:r>
      <w:proofErr w:type="spellStart"/>
      <w:r w:rsidRPr="0050653D">
        <w:rPr>
          <w:sz w:val="28"/>
          <w:szCs w:val="28"/>
        </w:rPr>
        <w:t>проактивной</w:t>
      </w:r>
      <w:proofErr w:type="spellEnd"/>
      <w:r w:rsidRPr="0050653D">
        <w:rPr>
          <w:sz w:val="28"/>
          <w:szCs w:val="28"/>
        </w:rPr>
        <w:t xml:space="preserve"> занятости высвобождающихся работников организована работа мобильных консультационных пунктов службы занятости, создаются временные пункты приёма специалистами службы занятости работников, находящихся под угрозой увольнения, на территории предприятий. </w:t>
      </w:r>
    </w:p>
    <w:p w:rsidR="00C51951" w:rsidRPr="0050653D" w:rsidRDefault="001A06A8" w:rsidP="00C51951">
      <w:pPr>
        <w:pStyle w:val="ac"/>
        <w:shd w:val="clear" w:color="auto" w:fill="FFFFFF" w:themeFill="background1"/>
        <w:spacing w:after="0"/>
        <w:ind w:firstLine="709"/>
        <w:contextualSpacing/>
        <w:jc w:val="both"/>
        <w:rPr>
          <w:sz w:val="28"/>
          <w:szCs w:val="28"/>
        </w:rPr>
      </w:pPr>
      <w:r w:rsidRPr="0050653D">
        <w:rPr>
          <w:sz w:val="28"/>
          <w:szCs w:val="28"/>
        </w:rPr>
        <w:t>Для снижения</w:t>
      </w:r>
      <w:r w:rsidR="00C51951" w:rsidRPr="0050653D">
        <w:rPr>
          <w:sz w:val="28"/>
          <w:szCs w:val="28"/>
        </w:rPr>
        <w:t xml:space="preserve"> напряжённости на рынке труда Правительство Российской Федерации выделило бюджетные средства на реализацию дополнительных мероприятий, которые реализует на территории Ленинградской области:</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1. Организации общественных и временных работ.</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Работодатели могут получить субсидию на финансовое обеспечение части заработной платы временно трудоустроенных граждан из числа состоящих на учете в службе занятости, а также находящихся под риском увольнения.</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Рабочие места для временных или общественных работ создаются на период</w:t>
      </w:r>
      <w:r w:rsidR="00955FDE" w:rsidRPr="0050653D">
        <w:rPr>
          <w:sz w:val="28"/>
          <w:szCs w:val="28"/>
        </w:rPr>
        <w:t xml:space="preserve"> </w:t>
      </w:r>
      <w:r w:rsidRPr="0050653D">
        <w:rPr>
          <w:sz w:val="28"/>
          <w:szCs w:val="28"/>
        </w:rPr>
        <w:t xml:space="preserve">до трёх месяцев. Работодателям предоставляется финансирование на выплату заработной платы с учётом выплат в страховые и внебюджетные фонды. </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2. Организация профессионального обучения и дополнительного профессионального образования работников промышленных предприятий.</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xml:space="preserve">В Ленинградской области утверждена региональная программа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Из средств федерального бюджета выделено 100,51 </w:t>
      </w:r>
      <w:proofErr w:type="gramStart"/>
      <w:r w:rsidRPr="0050653D">
        <w:rPr>
          <w:sz w:val="28"/>
          <w:szCs w:val="28"/>
        </w:rPr>
        <w:t>млн</w:t>
      </w:r>
      <w:proofErr w:type="gramEnd"/>
      <w:r w:rsidRPr="0050653D">
        <w:rPr>
          <w:sz w:val="28"/>
          <w:szCs w:val="28"/>
        </w:rPr>
        <w:t xml:space="preserve"> руб.. Планируемая численность граждан, прошедших обучение, составляет 1704 человека.</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lastRenderedPageBreak/>
        <w:t xml:space="preserve">3. Граждане, находящиеся под риском увольнения независимо от места жительства, могут обратиться в любой центр занятости Ленинградской области за получением услуг, которые раньше были доступны только безработным гражданам: помощь в выборе новой профессии, составлении резюме, снятия психологической напряжённости и возможность пройти </w:t>
      </w:r>
      <w:proofErr w:type="gramStart"/>
      <w:r w:rsidRPr="0050653D">
        <w:rPr>
          <w:sz w:val="28"/>
          <w:szCs w:val="28"/>
        </w:rPr>
        <w:t>обучение по направлению</w:t>
      </w:r>
      <w:proofErr w:type="gramEnd"/>
      <w:r w:rsidRPr="0050653D">
        <w:rPr>
          <w:sz w:val="28"/>
          <w:szCs w:val="28"/>
        </w:rPr>
        <w:t xml:space="preserve"> службы занятости.</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xml:space="preserve">4. </w:t>
      </w:r>
      <w:proofErr w:type="gramStart"/>
      <w:r w:rsidRPr="0050653D">
        <w:rPr>
          <w:sz w:val="28"/>
          <w:szCs w:val="28"/>
        </w:rPr>
        <w:t>Начиная с 28 марта 2022 года работодатели по заявлению в Фонд социального страхования могут получить компенсацию</w:t>
      </w:r>
      <w:proofErr w:type="gramEnd"/>
      <w:r w:rsidRPr="0050653D">
        <w:rPr>
          <w:sz w:val="28"/>
          <w:szCs w:val="28"/>
        </w:rPr>
        <w:t xml:space="preserve"> на заработную плату, за трудоустройство по направлению службы занятости, молодежи (в возрасте до 30 лет).</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Продолжается реализация традиционных мер поддержки занятости населения: участие в общественных работах (уже привлечено 620 человек), временное трудоустройство в свободное от учебы время несовершеннолетних граждан (2417 человек).</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С начала 2022 года 126 человек из числа бывших безработных уже зарегистрировали предпринимательскую деятельность, из них 43 человека</w:t>
      </w:r>
      <w:r w:rsidR="00955FDE" w:rsidRPr="0050653D">
        <w:rPr>
          <w:sz w:val="28"/>
          <w:szCs w:val="28"/>
        </w:rPr>
        <w:t xml:space="preserve"> </w:t>
      </w:r>
      <w:r w:rsidRPr="0050653D">
        <w:rPr>
          <w:sz w:val="28"/>
          <w:szCs w:val="28"/>
        </w:rPr>
        <w:t xml:space="preserve">получили финансовую помощь от службы занятости. </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xml:space="preserve">В целях стимулирования работодателей на создание рабочих мест для трудоустройства инвалидов предоставляются субсидии на оборудование рабочего места и компенсацию части расходов работодателей на выплату заработной платы. </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Создано 18 рабочих мест для трудоустройства 18 инвалидов. Заключены договоры на компенсацию 50</w:t>
      </w:r>
      <w:r w:rsidR="00EA1742" w:rsidRPr="0050653D">
        <w:rPr>
          <w:sz w:val="28"/>
          <w:szCs w:val="28"/>
        </w:rPr>
        <w:t xml:space="preserve"> проц.</w:t>
      </w:r>
      <w:r w:rsidRPr="0050653D">
        <w:rPr>
          <w:sz w:val="28"/>
          <w:szCs w:val="28"/>
        </w:rPr>
        <w:t xml:space="preserve"> заработной платы 73 граждан из числа инвалидов и их наставников.</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Субсидии предоставляются также и на возмещение части расходов на выплату заработной платы выпускников и несовершеннолетних граждан. На этих условиях в 2022 году трудоустроено 17 человек.</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xml:space="preserve">В числе мер поддержки занятости населения в 2022 году за счет средств регионального бюджета организовано профессиональное обучение и дополнительное профессиональное образование безработных граждан – в течение года планируется обучить 1043 человека. </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 xml:space="preserve">Запланировано опережающее профессиональное обучение 650 работников организаций, находящихся под риском увольнения и работников организаций, осуществляющих реструктуризацию или модернизацию производства в соответствии с инвестиционными проектами, направленными на </w:t>
      </w:r>
      <w:proofErr w:type="spellStart"/>
      <w:r w:rsidRPr="0050653D">
        <w:rPr>
          <w:sz w:val="28"/>
          <w:szCs w:val="28"/>
        </w:rPr>
        <w:t>импортозамещение</w:t>
      </w:r>
      <w:proofErr w:type="spellEnd"/>
      <w:r w:rsidRPr="0050653D">
        <w:rPr>
          <w:sz w:val="28"/>
          <w:szCs w:val="28"/>
        </w:rPr>
        <w:t xml:space="preserve"> и</w:t>
      </w:r>
      <w:r w:rsidR="00955FDE" w:rsidRPr="0050653D">
        <w:rPr>
          <w:sz w:val="28"/>
          <w:szCs w:val="28"/>
        </w:rPr>
        <w:t xml:space="preserve"> </w:t>
      </w:r>
      <w:r w:rsidRPr="0050653D">
        <w:rPr>
          <w:sz w:val="28"/>
          <w:szCs w:val="28"/>
        </w:rPr>
        <w:t xml:space="preserve">повышение производительности труда. </w:t>
      </w:r>
    </w:p>
    <w:p w:rsidR="00C51951" w:rsidRPr="0050653D" w:rsidRDefault="00C51951" w:rsidP="00C51951">
      <w:pPr>
        <w:pStyle w:val="ac"/>
        <w:shd w:val="clear" w:color="auto" w:fill="FFFFFF" w:themeFill="background1"/>
        <w:spacing w:after="0"/>
        <w:ind w:firstLine="709"/>
        <w:contextualSpacing/>
        <w:jc w:val="both"/>
        <w:rPr>
          <w:sz w:val="28"/>
          <w:szCs w:val="28"/>
        </w:rPr>
      </w:pPr>
      <w:r w:rsidRPr="0050653D">
        <w:rPr>
          <w:sz w:val="28"/>
          <w:szCs w:val="28"/>
        </w:rPr>
        <w:t>Продолжается реализация национального проекта «Демография», в рамках которого отдельные категории граждан могут пройти переподготовку или повышение квалификации. Запланировано не менее 4170 участников.</w:t>
      </w:r>
    </w:p>
    <w:p w:rsidR="001A06A8" w:rsidRPr="0050653D" w:rsidRDefault="001A06A8" w:rsidP="001A06A8">
      <w:pPr>
        <w:pStyle w:val="ac"/>
        <w:shd w:val="clear" w:color="auto" w:fill="FFFFFF" w:themeFill="background1"/>
        <w:spacing w:after="0"/>
        <w:ind w:firstLine="709"/>
        <w:contextualSpacing/>
        <w:jc w:val="both"/>
        <w:rPr>
          <w:sz w:val="28"/>
          <w:szCs w:val="28"/>
        </w:rPr>
      </w:pPr>
      <w:r w:rsidRPr="0050653D">
        <w:rPr>
          <w:sz w:val="28"/>
          <w:szCs w:val="28"/>
        </w:rPr>
        <w:t>По оценке к концу 2022 года уровень регистрируемой безработицы может увеличиться, но не выше, чем 0,5 проц. при численности официально зарегистрированных безработных не более 5,2 тыс. человек.</w:t>
      </w:r>
    </w:p>
    <w:p w:rsidR="001A06A8" w:rsidRPr="0050653D" w:rsidRDefault="001A06A8" w:rsidP="001A06A8">
      <w:pPr>
        <w:pStyle w:val="ac"/>
        <w:shd w:val="clear" w:color="auto" w:fill="FFFFFF" w:themeFill="background1"/>
        <w:spacing w:after="0"/>
        <w:ind w:firstLine="709"/>
        <w:contextualSpacing/>
        <w:jc w:val="both"/>
        <w:rPr>
          <w:sz w:val="28"/>
          <w:szCs w:val="28"/>
        </w:rPr>
      </w:pPr>
      <w:r w:rsidRPr="0050653D">
        <w:rPr>
          <w:sz w:val="28"/>
          <w:szCs w:val="28"/>
        </w:rPr>
        <w:t xml:space="preserve">Уровень общей безработицы в среднем за 2022 год будет не более 3,5 проц. при численности безработных в среднем за 2022 год порядка 36,5 тыс. человек. </w:t>
      </w:r>
    </w:p>
    <w:p w:rsidR="001A06A8" w:rsidRPr="0050653D" w:rsidRDefault="001A06A8" w:rsidP="001A06A8">
      <w:pPr>
        <w:pStyle w:val="ac"/>
        <w:shd w:val="clear" w:color="auto" w:fill="FFFFFF" w:themeFill="background1"/>
        <w:spacing w:after="0"/>
        <w:ind w:firstLine="709"/>
        <w:contextualSpacing/>
        <w:jc w:val="both"/>
        <w:rPr>
          <w:sz w:val="28"/>
          <w:szCs w:val="28"/>
        </w:rPr>
      </w:pPr>
      <w:proofErr w:type="gramStart"/>
      <w:r w:rsidRPr="0050653D">
        <w:rPr>
          <w:sz w:val="28"/>
          <w:szCs w:val="28"/>
        </w:rPr>
        <w:lastRenderedPageBreak/>
        <w:t xml:space="preserve">Прогноз рынка труда по консервативному варианту основан на предпосылке о менее благоприятной ситуации, связанной с условиями более жесткого применения </w:t>
      </w:r>
      <w:proofErr w:type="spellStart"/>
      <w:r w:rsidRPr="0050653D">
        <w:rPr>
          <w:sz w:val="28"/>
          <w:szCs w:val="28"/>
        </w:rPr>
        <w:t>санкционного</w:t>
      </w:r>
      <w:proofErr w:type="spellEnd"/>
      <w:r w:rsidRPr="0050653D">
        <w:rPr>
          <w:sz w:val="28"/>
          <w:szCs w:val="28"/>
        </w:rPr>
        <w:t xml:space="preserve"> режима, более медленной перестройки предприятий в новых условиям работы. </w:t>
      </w:r>
      <w:proofErr w:type="gramEnd"/>
    </w:p>
    <w:p w:rsidR="001A06A8" w:rsidRPr="0050653D" w:rsidRDefault="001A06A8" w:rsidP="001A06A8">
      <w:pPr>
        <w:pStyle w:val="ac"/>
        <w:shd w:val="clear" w:color="auto" w:fill="FFFFFF" w:themeFill="background1"/>
        <w:spacing w:after="0"/>
        <w:ind w:firstLine="709"/>
        <w:contextualSpacing/>
        <w:jc w:val="both"/>
        <w:rPr>
          <w:sz w:val="28"/>
          <w:szCs w:val="28"/>
        </w:rPr>
      </w:pPr>
      <w:r w:rsidRPr="0050653D">
        <w:rPr>
          <w:sz w:val="28"/>
          <w:szCs w:val="28"/>
        </w:rPr>
        <w:t>В 2023-2025 годах прогнозируется:</w:t>
      </w:r>
    </w:p>
    <w:p w:rsidR="001A06A8" w:rsidRPr="0050653D" w:rsidRDefault="001A06A8" w:rsidP="001A06A8">
      <w:pPr>
        <w:pStyle w:val="ac"/>
        <w:shd w:val="clear" w:color="auto" w:fill="FFFFFF" w:themeFill="background1"/>
        <w:spacing w:after="0"/>
        <w:ind w:firstLine="709"/>
        <w:contextualSpacing/>
        <w:jc w:val="both"/>
        <w:rPr>
          <w:sz w:val="28"/>
          <w:szCs w:val="28"/>
        </w:rPr>
      </w:pPr>
      <w:r w:rsidRPr="0050653D">
        <w:rPr>
          <w:sz w:val="28"/>
          <w:szCs w:val="28"/>
        </w:rPr>
        <w:t>- значение показателя «уровень безработицы» (по методологии МОТ) в среднем за год, за период 2022 – 2024 год, составит 4,1 проц.;</w:t>
      </w:r>
    </w:p>
    <w:p w:rsidR="001A06A8" w:rsidRPr="0050653D" w:rsidRDefault="001A06A8" w:rsidP="001A06A8">
      <w:pPr>
        <w:pStyle w:val="ac"/>
        <w:shd w:val="clear" w:color="auto" w:fill="FFFFFF" w:themeFill="background1"/>
        <w:spacing w:after="0"/>
        <w:ind w:firstLine="709"/>
        <w:contextualSpacing/>
        <w:jc w:val="both"/>
        <w:rPr>
          <w:sz w:val="28"/>
          <w:szCs w:val="28"/>
        </w:rPr>
      </w:pPr>
      <w:r w:rsidRPr="0050653D">
        <w:rPr>
          <w:sz w:val="28"/>
          <w:szCs w:val="28"/>
        </w:rPr>
        <w:t>- численность безработных (по методологии МОТ) в период с 2023-2025 годы составит 41,7 тыс. человек. В 2023 – 2024 году ожидается ежегодное сокращение численности безработных граждан в среднем на 700 человек. К 2025 году численность безработных граждан составит 41,1 тыс. человек;</w:t>
      </w:r>
    </w:p>
    <w:p w:rsidR="001A06A8" w:rsidRPr="0050653D" w:rsidRDefault="001A06A8" w:rsidP="001A06A8">
      <w:pPr>
        <w:pStyle w:val="ac"/>
        <w:shd w:val="clear" w:color="auto" w:fill="FFFFFF" w:themeFill="background1"/>
        <w:spacing w:after="0"/>
        <w:ind w:firstLine="709"/>
        <w:contextualSpacing/>
        <w:jc w:val="both"/>
        <w:rPr>
          <w:sz w:val="28"/>
          <w:szCs w:val="28"/>
        </w:rPr>
      </w:pPr>
      <w:r w:rsidRPr="0050653D">
        <w:rPr>
          <w:sz w:val="28"/>
          <w:szCs w:val="28"/>
        </w:rPr>
        <w:t>- уровень регистрируемой безработицы прогнозируется в конце 2023 - 2025 года не выше 0,6 проц.;</w:t>
      </w:r>
    </w:p>
    <w:p w:rsidR="001A06A8" w:rsidRPr="0050653D" w:rsidRDefault="001A06A8" w:rsidP="001A06A8">
      <w:pPr>
        <w:pStyle w:val="ac"/>
        <w:shd w:val="clear" w:color="auto" w:fill="FFFFFF" w:themeFill="background1"/>
        <w:spacing w:after="0"/>
        <w:ind w:firstLine="709"/>
        <w:contextualSpacing/>
        <w:jc w:val="both"/>
        <w:rPr>
          <w:sz w:val="28"/>
          <w:szCs w:val="28"/>
        </w:rPr>
      </w:pPr>
      <w:r w:rsidRPr="0050653D">
        <w:rPr>
          <w:sz w:val="28"/>
          <w:szCs w:val="28"/>
        </w:rPr>
        <w:t>- численность официально зарегистрированных в службе занятости безработных граждан прогнозируется в конце 2023 года – 6,4 тыс. человек, начиная с 2023 года, планируется сокращение численности официально зарегистрированных в службе занятости безработных граждан. К концу 2025 года данный показатель составит 6,1 тыс. человек.</w:t>
      </w:r>
    </w:p>
    <w:p w:rsidR="001A06A8" w:rsidRPr="0050653D" w:rsidRDefault="001A06A8" w:rsidP="001A06A8">
      <w:pPr>
        <w:pStyle w:val="ac"/>
        <w:shd w:val="clear" w:color="auto" w:fill="FFFFFF" w:themeFill="background1"/>
        <w:spacing w:after="0"/>
        <w:ind w:firstLine="709"/>
        <w:contextualSpacing/>
        <w:jc w:val="both"/>
        <w:rPr>
          <w:sz w:val="28"/>
          <w:szCs w:val="28"/>
        </w:rPr>
      </w:pPr>
      <w:r w:rsidRPr="0050653D">
        <w:rPr>
          <w:sz w:val="28"/>
          <w:szCs w:val="28"/>
        </w:rPr>
        <w:t xml:space="preserve">Прогноз рынка труда по базовому варианту опирается на позитивные ожидания в развитии всех сфер экономики региона, а также в части развития рынка труда (сохранение стабильности на рынке труда региона при некотором снижении безработицы). </w:t>
      </w:r>
    </w:p>
    <w:p w:rsidR="001A06A8" w:rsidRPr="0050653D" w:rsidRDefault="001A06A8" w:rsidP="001A06A8">
      <w:pPr>
        <w:pStyle w:val="ac"/>
        <w:shd w:val="clear" w:color="auto" w:fill="FFFFFF" w:themeFill="background1"/>
        <w:spacing w:after="0"/>
        <w:ind w:firstLine="709"/>
        <w:contextualSpacing/>
        <w:jc w:val="both"/>
        <w:rPr>
          <w:sz w:val="28"/>
          <w:szCs w:val="28"/>
        </w:rPr>
      </w:pPr>
      <w:r w:rsidRPr="0050653D">
        <w:rPr>
          <w:sz w:val="28"/>
          <w:szCs w:val="28"/>
        </w:rPr>
        <w:t>В 2023-2025 годах прогнозируется:</w:t>
      </w:r>
    </w:p>
    <w:p w:rsidR="001A06A8" w:rsidRPr="0050653D" w:rsidRDefault="001A06A8" w:rsidP="001A06A8">
      <w:pPr>
        <w:pStyle w:val="ac"/>
        <w:shd w:val="clear" w:color="auto" w:fill="FFFFFF" w:themeFill="background1"/>
        <w:spacing w:after="0"/>
        <w:ind w:firstLine="709"/>
        <w:contextualSpacing/>
        <w:jc w:val="both"/>
        <w:rPr>
          <w:sz w:val="28"/>
          <w:szCs w:val="28"/>
        </w:rPr>
      </w:pPr>
      <w:r w:rsidRPr="0050653D">
        <w:rPr>
          <w:sz w:val="28"/>
          <w:szCs w:val="28"/>
        </w:rPr>
        <w:t>- показатель «уровень безработицы» (по методологии МОТ) не превысит значение 3,4 проц.;</w:t>
      </w:r>
    </w:p>
    <w:p w:rsidR="001A06A8" w:rsidRPr="0050653D" w:rsidRDefault="001A06A8" w:rsidP="001A06A8">
      <w:pPr>
        <w:pStyle w:val="ac"/>
        <w:shd w:val="clear" w:color="auto" w:fill="FFFFFF" w:themeFill="background1"/>
        <w:spacing w:after="0"/>
        <w:ind w:firstLine="709"/>
        <w:contextualSpacing/>
        <w:jc w:val="both"/>
        <w:rPr>
          <w:sz w:val="28"/>
          <w:szCs w:val="28"/>
        </w:rPr>
      </w:pPr>
      <w:r w:rsidRPr="0050653D">
        <w:rPr>
          <w:sz w:val="28"/>
          <w:szCs w:val="28"/>
        </w:rPr>
        <w:t xml:space="preserve">- численность безработных (по методологии МОТ) в среднем за год сократится с 35,7 тыс. человек в 2023 году до 38,4 тыс. человек в 2025 году. </w:t>
      </w:r>
    </w:p>
    <w:p w:rsidR="001A06A8" w:rsidRPr="0050653D" w:rsidRDefault="001A06A8" w:rsidP="001A06A8">
      <w:pPr>
        <w:pStyle w:val="ac"/>
        <w:shd w:val="clear" w:color="auto" w:fill="FFFFFF" w:themeFill="background1"/>
        <w:spacing w:after="0"/>
        <w:ind w:firstLine="709"/>
        <w:contextualSpacing/>
        <w:jc w:val="both"/>
        <w:rPr>
          <w:sz w:val="28"/>
          <w:szCs w:val="28"/>
        </w:rPr>
      </w:pPr>
      <w:r w:rsidRPr="0050653D">
        <w:rPr>
          <w:sz w:val="28"/>
          <w:szCs w:val="28"/>
        </w:rPr>
        <w:t>В 2023-2025 годах прогнозируется, что значение показателя «уровень регистрируемой безработицы» не превысит значения 0,4 проц.</w:t>
      </w:r>
    </w:p>
    <w:p w:rsidR="001A06A8" w:rsidRPr="0050653D" w:rsidRDefault="001A06A8" w:rsidP="001A06A8">
      <w:pPr>
        <w:pStyle w:val="ac"/>
        <w:shd w:val="clear" w:color="auto" w:fill="FFFFFF" w:themeFill="background1"/>
        <w:spacing w:after="0"/>
        <w:ind w:firstLine="709"/>
        <w:contextualSpacing/>
        <w:jc w:val="both"/>
        <w:rPr>
          <w:sz w:val="28"/>
          <w:szCs w:val="28"/>
        </w:rPr>
      </w:pPr>
      <w:r w:rsidRPr="0050653D">
        <w:rPr>
          <w:sz w:val="28"/>
          <w:szCs w:val="28"/>
        </w:rPr>
        <w:t>По показателю численность официально зарегистрированных в службе занятости безработных граждан прогнозируется снижение с 4 тыс. человек в конце 2022 года до 3,8 тыс. человек в конце 2025 года.</w:t>
      </w:r>
    </w:p>
    <w:p w:rsidR="001A06A8" w:rsidRPr="0050653D" w:rsidRDefault="001A06A8" w:rsidP="00C51951">
      <w:pPr>
        <w:pStyle w:val="ac"/>
        <w:shd w:val="clear" w:color="auto" w:fill="FFFFFF" w:themeFill="background1"/>
        <w:spacing w:after="0"/>
        <w:ind w:firstLine="709"/>
        <w:contextualSpacing/>
        <w:jc w:val="both"/>
        <w:rPr>
          <w:sz w:val="28"/>
          <w:szCs w:val="28"/>
        </w:rPr>
      </w:pPr>
      <w:r w:rsidRPr="0050653D">
        <w:rPr>
          <w:sz w:val="28"/>
          <w:szCs w:val="28"/>
        </w:rPr>
        <w:t>Таким образом</w:t>
      </w:r>
      <w:r w:rsidR="00C51951" w:rsidRPr="0050653D">
        <w:rPr>
          <w:sz w:val="28"/>
          <w:szCs w:val="28"/>
        </w:rPr>
        <w:t xml:space="preserve">, </w:t>
      </w:r>
      <w:r w:rsidRPr="0050653D">
        <w:rPr>
          <w:sz w:val="28"/>
          <w:szCs w:val="28"/>
        </w:rPr>
        <w:t xml:space="preserve">прогнозируется, </w:t>
      </w:r>
      <w:r w:rsidR="00C51951" w:rsidRPr="0050653D">
        <w:rPr>
          <w:sz w:val="28"/>
          <w:szCs w:val="28"/>
        </w:rPr>
        <w:t xml:space="preserve">что реализуемые </w:t>
      </w:r>
      <w:r w:rsidRPr="0050653D">
        <w:rPr>
          <w:sz w:val="28"/>
          <w:szCs w:val="28"/>
        </w:rPr>
        <w:t>традиционные и дополнительные мероприятия</w:t>
      </w:r>
      <w:r w:rsidR="00C51951" w:rsidRPr="0050653D">
        <w:rPr>
          <w:sz w:val="28"/>
          <w:szCs w:val="28"/>
        </w:rPr>
        <w:t xml:space="preserve"> позволят на протяжении 2023-2025 годов поддержать стабильность на рынке труда Ленинградской области даже в условиях возникновения негативных факторов, как в сфере экономики, так и в других сферах жизни общества. </w:t>
      </w:r>
    </w:p>
    <w:p w:rsidR="00A803DB" w:rsidRPr="0050653D" w:rsidRDefault="00A803DB" w:rsidP="00A803DB">
      <w:pPr>
        <w:pStyle w:val="ac"/>
        <w:spacing w:after="0"/>
        <w:ind w:firstLine="709"/>
        <w:contextualSpacing/>
        <w:jc w:val="both"/>
        <w:rPr>
          <w:color w:val="000000" w:themeColor="text1"/>
          <w:sz w:val="16"/>
          <w:szCs w:val="16"/>
        </w:rPr>
      </w:pPr>
    </w:p>
    <w:p w:rsidR="00DA4C64" w:rsidRPr="0050653D" w:rsidRDefault="00B07D61" w:rsidP="00DA4C64">
      <w:pPr>
        <w:pStyle w:val="ac"/>
        <w:spacing w:after="0"/>
        <w:contextualSpacing/>
        <w:jc w:val="center"/>
        <w:rPr>
          <w:sz w:val="28"/>
          <w:szCs w:val="28"/>
        </w:rPr>
      </w:pPr>
      <w:r w:rsidRPr="0050653D">
        <w:rPr>
          <w:sz w:val="28"/>
          <w:szCs w:val="28"/>
        </w:rPr>
        <w:t>Основные параметры государственных программ Лени</w:t>
      </w:r>
      <w:r w:rsidR="00DA4C64" w:rsidRPr="0050653D">
        <w:rPr>
          <w:sz w:val="28"/>
          <w:szCs w:val="28"/>
        </w:rPr>
        <w:t>нградской области</w:t>
      </w:r>
    </w:p>
    <w:p w:rsidR="00DA4C64" w:rsidRPr="0050653D" w:rsidRDefault="00DA4C64" w:rsidP="00DA4C64">
      <w:pPr>
        <w:pStyle w:val="ac"/>
        <w:spacing w:after="0"/>
        <w:contextualSpacing/>
        <w:jc w:val="center"/>
        <w:rPr>
          <w:sz w:val="16"/>
          <w:szCs w:val="16"/>
        </w:rPr>
      </w:pPr>
    </w:p>
    <w:p w:rsidR="00B41C53" w:rsidRPr="0050653D" w:rsidRDefault="00B41C53" w:rsidP="0050653D">
      <w:pPr>
        <w:pStyle w:val="ac"/>
        <w:spacing w:after="0"/>
        <w:ind w:firstLine="709"/>
        <w:jc w:val="both"/>
        <w:rPr>
          <w:rFonts w:eastAsia="Calibri"/>
          <w:sz w:val="28"/>
          <w:szCs w:val="28"/>
        </w:rPr>
      </w:pPr>
      <w:r w:rsidRPr="0050653D">
        <w:rPr>
          <w:rFonts w:eastAsia="Calibri"/>
          <w:sz w:val="28"/>
          <w:szCs w:val="28"/>
        </w:rPr>
        <w:t xml:space="preserve">В 2021 году было предусмотрено финансирование 18 государственных программ Ленинградской области в объеме 249,07 </w:t>
      </w:r>
      <w:proofErr w:type="gramStart"/>
      <w:r w:rsidRPr="0050653D">
        <w:rPr>
          <w:rFonts w:eastAsia="Calibri"/>
          <w:sz w:val="28"/>
          <w:szCs w:val="28"/>
        </w:rPr>
        <w:t>млрд</w:t>
      </w:r>
      <w:proofErr w:type="gramEnd"/>
      <w:r w:rsidRPr="0050653D">
        <w:rPr>
          <w:rFonts w:eastAsia="Calibri"/>
          <w:sz w:val="28"/>
          <w:szCs w:val="28"/>
        </w:rPr>
        <w:t xml:space="preserve"> рублей (в 2020 году – 175,49 млрд рублей) за счет средств всех источников (в соответствии </w:t>
      </w:r>
      <w:r w:rsidRPr="0050653D">
        <w:rPr>
          <w:rFonts w:eastAsia="Calibri"/>
          <w:sz w:val="28"/>
          <w:szCs w:val="28"/>
        </w:rPr>
        <w:br/>
        <w:t>с утвержденными государственными программами</w:t>
      </w:r>
      <w:r w:rsidRPr="0050653D">
        <w:rPr>
          <w:sz w:val="28"/>
          <w:szCs w:val="28"/>
        </w:rPr>
        <w:t xml:space="preserve"> </w:t>
      </w:r>
      <w:r w:rsidRPr="0050653D">
        <w:rPr>
          <w:rFonts w:eastAsia="Calibri"/>
          <w:sz w:val="28"/>
          <w:szCs w:val="28"/>
        </w:rPr>
        <w:t>Ленинградской области).</w:t>
      </w:r>
    </w:p>
    <w:p w:rsidR="00B41C53" w:rsidRPr="0050653D" w:rsidRDefault="00B41C53" w:rsidP="0050653D">
      <w:pPr>
        <w:pStyle w:val="24"/>
        <w:shd w:val="clear" w:color="auto" w:fill="FFFFFF"/>
        <w:spacing w:after="0"/>
        <w:ind w:firstLine="709"/>
        <w:rPr>
          <w:szCs w:val="28"/>
        </w:rPr>
      </w:pPr>
      <w:r w:rsidRPr="0050653D">
        <w:rPr>
          <w:szCs w:val="28"/>
        </w:rPr>
        <w:t xml:space="preserve">Расходы областного бюджета на государственные программы </w:t>
      </w:r>
      <w:r w:rsidRPr="0050653D">
        <w:rPr>
          <w:szCs w:val="28"/>
        </w:rPr>
        <w:lastRenderedPageBreak/>
        <w:t xml:space="preserve">Ленинградской области с учетом межбюджетных трансфертов из федерального бюджета составили 95 проц. от общего объема расходов областного бюджета Ленинградской области, или 171,0 </w:t>
      </w:r>
      <w:proofErr w:type="gramStart"/>
      <w:r w:rsidRPr="0050653D">
        <w:rPr>
          <w:szCs w:val="28"/>
        </w:rPr>
        <w:t>млрд</w:t>
      </w:r>
      <w:proofErr w:type="gramEnd"/>
      <w:r w:rsidRPr="0050653D">
        <w:rPr>
          <w:szCs w:val="28"/>
        </w:rPr>
        <w:t xml:space="preserve"> рублей (в 2020 году программные расходы составили 94,3 проц., или 160,6 млрд рублей). </w:t>
      </w:r>
    </w:p>
    <w:p w:rsidR="00B41C53" w:rsidRPr="0050653D" w:rsidRDefault="00B41C53" w:rsidP="0050653D">
      <w:pPr>
        <w:pStyle w:val="24"/>
        <w:shd w:val="clear" w:color="auto" w:fill="FFFFFF"/>
        <w:spacing w:after="0"/>
        <w:ind w:firstLine="709"/>
        <w:rPr>
          <w:szCs w:val="28"/>
        </w:rPr>
      </w:pPr>
      <w:r w:rsidRPr="0050653D">
        <w:rPr>
          <w:szCs w:val="28"/>
        </w:rPr>
        <w:t xml:space="preserve">Фактическое финансирование государственных программ Ленинградской области из всех источников составило 242,23 </w:t>
      </w:r>
      <w:proofErr w:type="gramStart"/>
      <w:r w:rsidRPr="0050653D">
        <w:rPr>
          <w:szCs w:val="28"/>
        </w:rPr>
        <w:t>млрд</w:t>
      </w:r>
      <w:proofErr w:type="gramEnd"/>
      <w:r w:rsidRPr="0050653D">
        <w:rPr>
          <w:szCs w:val="28"/>
        </w:rPr>
        <w:t xml:space="preserve"> рублей, или 97,2 проц. </w:t>
      </w:r>
      <w:r w:rsidRPr="0050653D">
        <w:rPr>
          <w:szCs w:val="28"/>
        </w:rPr>
        <w:br/>
        <w:t>от запланированного объема финансирования по программам на год (в 2020 году – 179,31 млрд рублей, или 102,2 проц.).</w:t>
      </w:r>
    </w:p>
    <w:p w:rsidR="00B41C53" w:rsidRPr="0050653D" w:rsidRDefault="00B41C53" w:rsidP="0050653D">
      <w:pPr>
        <w:widowControl w:val="0"/>
        <w:ind w:firstLine="709"/>
        <w:jc w:val="both"/>
        <w:rPr>
          <w:rFonts w:eastAsia="Calibri"/>
          <w:sz w:val="28"/>
          <w:szCs w:val="28"/>
          <w:lang w:eastAsia="en-US"/>
        </w:rPr>
      </w:pPr>
      <w:r w:rsidRPr="0050653D">
        <w:rPr>
          <w:rFonts w:eastAsia="Calibri"/>
          <w:sz w:val="28"/>
          <w:szCs w:val="28"/>
        </w:rPr>
        <w:t xml:space="preserve">Финансирование из областного бюджета Ленинградской области осуществлялось по всем 18 государственным программам и составило </w:t>
      </w:r>
      <w:r w:rsidRPr="0050653D">
        <w:rPr>
          <w:rFonts w:eastAsia="Calibri"/>
          <w:sz w:val="28"/>
          <w:szCs w:val="28"/>
        </w:rPr>
        <w:br/>
        <w:t xml:space="preserve">142,64 </w:t>
      </w:r>
      <w:proofErr w:type="gramStart"/>
      <w:r w:rsidRPr="0050653D">
        <w:rPr>
          <w:rFonts w:eastAsia="Calibri"/>
          <w:sz w:val="28"/>
          <w:szCs w:val="28"/>
        </w:rPr>
        <w:t>млрд</w:t>
      </w:r>
      <w:proofErr w:type="gramEnd"/>
      <w:r w:rsidRPr="0050653D">
        <w:rPr>
          <w:rFonts w:eastAsia="Calibri"/>
          <w:sz w:val="28"/>
          <w:szCs w:val="28"/>
        </w:rPr>
        <w:t xml:space="preserve"> рублей, или 95,8 проц. (в 2020 году – 141,5 млрд рублей, или 96,9 проц.) от запланированного на год объема финансирования.</w:t>
      </w:r>
    </w:p>
    <w:p w:rsidR="00B41C53" w:rsidRPr="0050653D" w:rsidRDefault="00B41C53" w:rsidP="0050653D">
      <w:pPr>
        <w:pStyle w:val="11"/>
        <w:spacing w:after="0" w:line="240" w:lineRule="auto"/>
        <w:ind w:left="0" w:firstLine="709"/>
        <w:jc w:val="both"/>
        <w:rPr>
          <w:rFonts w:ascii="Times New Roman" w:hAnsi="Times New Roman"/>
          <w:sz w:val="28"/>
          <w:szCs w:val="28"/>
        </w:rPr>
      </w:pPr>
      <w:r w:rsidRPr="0050653D">
        <w:rPr>
          <w:rFonts w:ascii="Times New Roman" w:hAnsi="Times New Roman"/>
          <w:sz w:val="28"/>
          <w:szCs w:val="28"/>
        </w:rPr>
        <w:t>По итогам реализации государственных программ в 2021 год</w:t>
      </w:r>
      <w:r w:rsidR="0050653D">
        <w:rPr>
          <w:rFonts w:ascii="Times New Roman" w:hAnsi="Times New Roman"/>
          <w:sz w:val="28"/>
          <w:szCs w:val="28"/>
        </w:rPr>
        <w:t>у</w:t>
      </w:r>
      <w:r w:rsidRPr="0050653D">
        <w:rPr>
          <w:rFonts w:ascii="Times New Roman" w:hAnsi="Times New Roman"/>
          <w:sz w:val="28"/>
          <w:szCs w:val="28"/>
        </w:rPr>
        <w:t xml:space="preserve"> </w:t>
      </w:r>
      <w:r w:rsidR="0050653D">
        <w:rPr>
          <w:rFonts w:ascii="Times New Roman" w:hAnsi="Times New Roman"/>
          <w:sz w:val="28"/>
          <w:szCs w:val="28"/>
        </w:rPr>
        <w:t>достигнуты</w:t>
      </w:r>
      <w:r w:rsidRPr="0050653D">
        <w:rPr>
          <w:rFonts w:ascii="Times New Roman" w:hAnsi="Times New Roman"/>
          <w:sz w:val="28"/>
          <w:szCs w:val="28"/>
        </w:rPr>
        <w:t xml:space="preserve"> следующие основные результаты: </w:t>
      </w:r>
    </w:p>
    <w:p w:rsidR="00B41C53" w:rsidRPr="0050653D" w:rsidRDefault="00B41C53" w:rsidP="0050653D">
      <w:pPr>
        <w:pStyle w:val="11"/>
        <w:numPr>
          <w:ilvl w:val="0"/>
          <w:numId w:val="7"/>
        </w:numPr>
        <w:tabs>
          <w:tab w:val="left" w:pos="1134"/>
        </w:tabs>
        <w:spacing w:after="0" w:line="240" w:lineRule="auto"/>
        <w:ind w:left="0" w:firstLine="709"/>
        <w:jc w:val="both"/>
        <w:rPr>
          <w:rFonts w:ascii="Times New Roman" w:hAnsi="Times New Roman"/>
          <w:sz w:val="28"/>
          <w:szCs w:val="28"/>
        </w:rPr>
      </w:pPr>
      <w:proofErr w:type="gramStart"/>
      <w:r w:rsidRPr="0050653D">
        <w:rPr>
          <w:rFonts w:ascii="Times New Roman" w:hAnsi="Times New Roman"/>
          <w:sz w:val="28"/>
          <w:szCs w:val="28"/>
        </w:rPr>
        <w:t>введены</w:t>
      </w:r>
      <w:proofErr w:type="gramEnd"/>
      <w:r w:rsidRPr="0050653D">
        <w:rPr>
          <w:rFonts w:ascii="Times New Roman" w:hAnsi="Times New Roman"/>
          <w:sz w:val="28"/>
          <w:szCs w:val="28"/>
        </w:rPr>
        <w:t xml:space="preserve"> в эксплуатацию: </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4 детских сада на 280 мест в </w:t>
      </w:r>
      <w:proofErr w:type="spellStart"/>
      <w:r w:rsidRPr="0050653D">
        <w:rPr>
          <w:rFonts w:ascii="Times New Roman" w:hAnsi="Times New Roman"/>
          <w:sz w:val="28"/>
          <w:szCs w:val="28"/>
        </w:rPr>
        <w:t>п</w:t>
      </w:r>
      <w:proofErr w:type="gramStart"/>
      <w:r w:rsidRPr="0050653D">
        <w:rPr>
          <w:rFonts w:ascii="Times New Roman" w:hAnsi="Times New Roman"/>
          <w:sz w:val="28"/>
          <w:szCs w:val="28"/>
        </w:rPr>
        <w:t>.Н</w:t>
      </w:r>
      <w:proofErr w:type="gramEnd"/>
      <w:r w:rsidRPr="0050653D">
        <w:rPr>
          <w:rFonts w:ascii="Times New Roman" w:hAnsi="Times New Roman"/>
          <w:sz w:val="28"/>
          <w:szCs w:val="28"/>
        </w:rPr>
        <w:t>овогорелово</w:t>
      </w:r>
      <w:proofErr w:type="spellEnd"/>
      <w:r w:rsidRPr="0050653D">
        <w:rPr>
          <w:rFonts w:ascii="Times New Roman" w:hAnsi="Times New Roman"/>
          <w:sz w:val="28"/>
          <w:szCs w:val="28"/>
        </w:rPr>
        <w:t xml:space="preserve"> Ломоносовского района, на 270 мест в </w:t>
      </w:r>
      <w:proofErr w:type="spellStart"/>
      <w:r w:rsidRPr="0050653D">
        <w:rPr>
          <w:rFonts w:ascii="Times New Roman" w:hAnsi="Times New Roman"/>
          <w:sz w:val="28"/>
          <w:szCs w:val="28"/>
        </w:rPr>
        <w:t>п.Бугры</w:t>
      </w:r>
      <w:proofErr w:type="spellEnd"/>
      <w:r w:rsidRPr="0050653D">
        <w:rPr>
          <w:rFonts w:ascii="Times New Roman" w:hAnsi="Times New Roman"/>
          <w:sz w:val="28"/>
          <w:szCs w:val="28"/>
        </w:rPr>
        <w:t xml:space="preserve"> Всеволожского района, на 180 мест в </w:t>
      </w:r>
      <w:proofErr w:type="spellStart"/>
      <w:r w:rsidRPr="0050653D">
        <w:rPr>
          <w:rFonts w:ascii="Times New Roman" w:hAnsi="Times New Roman"/>
          <w:sz w:val="28"/>
          <w:szCs w:val="28"/>
        </w:rPr>
        <w:t>г.Тосно</w:t>
      </w:r>
      <w:proofErr w:type="spellEnd"/>
      <w:r w:rsidRPr="0050653D">
        <w:rPr>
          <w:rFonts w:ascii="Times New Roman" w:hAnsi="Times New Roman"/>
          <w:sz w:val="28"/>
          <w:szCs w:val="28"/>
        </w:rPr>
        <w:t xml:space="preserve"> и на 220 мест в п. Усть-Луга Кингисеппского района;</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2 школы на 825 мест (каждая) в </w:t>
      </w:r>
      <w:proofErr w:type="spellStart"/>
      <w:r w:rsidRPr="0050653D">
        <w:rPr>
          <w:rFonts w:ascii="Times New Roman" w:hAnsi="Times New Roman"/>
          <w:sz w:val="28"/>
          <w:szCs w:val="28"/>
        </w:rPr>
        <w:t>п</w:t>
      </w:r>
      <w:proofErr w:type="gramStart"/>
      <w:r w:rsidRPr="0050653D">
        <w:rPr>
          <w:rFonts w:ascii="Times New Roman" w:hAnsi="Times New Roman"/>
          <w:sz w:val="28"/>
          <w:szCs w:val="28"/>
        </w:rPr>
        <w:t>.Я</w:t>
      </w:r>
      <w:proofErr w:type="gramEnd"/>
      <w:r w:rsidRPr="0050653D">
        <w:rPr>
          <w:rFonts w:ascii="Times New Roman" w:hAnsi="Times New Roman"/>
          <w:sz w:val="28"/>
          <w:szCs w:val="28"/>
        </w:rPr>
        <w:t>нино</w:t>
      </w:r>
      <w:proofErr w:type="spellEnd"/>
      <w:r w:rsidRPr="0050653D">
        <w:rPr>
          <w:rFonts w:ascii="Times New Roman" w:hAnsi="Times New Roman"/>
          <w:sz w:val="28"/>
          <w:szCs w:val="28"/>
        </w:rPr>
        <w:t xml:space="preserve"> и </w:t>
      </w:r>
      <w:proofErr w:type="spellStart"/>
      <w:r w:rsidRPr="0050653D">
        <w:rPr>
          <w:rFonts w:ascii="Times New Roman" w:hAnsi="Times New Roman"/>
          <w:sz w:val="28"/>
          <w:szCs w:val="28"/>
        </w:rPr>
        <w:t>г.Сертолово</w:t>
      </w:r>
      <w:proofErr w:type="spellEnd"/>
      <w:r w:rsidRPr="0050653D">
        <w:rPr>
          <w:rFonts w:ascii="Times New Roman" w:hAnsi="Times New Roman"/>
          <w:sz w:val="28"/>
          <w:szCs w:val="28"/>
        </w:rPr>
        <w:t xml:space="preserve"> Всеволожского района;</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блок начальной школы на 400 мест в Сосновском центре образования в </w:t>
      </w:r>
      <w:proofErr w:type="spellStart"/>
      <w:r w:rsidRPr="0050653D">
        <w:rPr>
          <w:rFonts w:ascii="Times New Roman" w:hAnsi="Times New Roman"/>
          <w:sz w:val="28"/>
          <w:szCs w:val="28"/>
        </w:rPr>
        <w:t>п</w:t>
      </w:r>
      <w:proofErr w:type="gramStart"/>
      <w:r w:rsidRPr="0050653D">
        <w:rPr>
          <w:rFonts w:ascii="Times New Roman" w:hAnsi="Times New Roman"/>
          <w:sz w:val="28"/>
          <w:szCs w:val="28"/>
        </w:rPr>
        <w:t>.С</w:t>
      </w:r>
      <w:proofErr w:type="gramEnd"/>
      <w:r w:rsidRPr="0050653D">
        <w:rPr>
          <w:rFonts w:ascii="Times New Roman" w:hAnsi="Times New Roman"/>
          <w:sz w:val="28"/>
          <w:szCs w:val="28"/>
        </w:rPr>
        <w:t>осново</w:t>
      </w:r>
      <w:proofErr w:type="spellEnd"/>
      <w:r w:rsidRPr="0050653D">
        <w:rPr>
          <w:rFonts w:ascii="Times New Roman" w:hAnsi="Times New Roman"/>
          <w:sz w:val="28"/>
          <w:szCs w:val="28"/>
        </w:rPr>
        <w:t xml:space="preserve"> </w:t>
      </w:r>
      <w:proofErr w:type="spellStart"/>
      <w:r w:rsidRPr="0050653D">
        <w:rPr>
          <w:rFonts w:ascii="Times New Roman" w:hAnsi="Times New Roman"/>
          <w:sz w:val="28"/>
          <w:szCs w:val="28"/>
        </w:rPr>
        <w:t>Приозерского</w:t>
      </w:r>
      <w:proofErr w:type="spellEnd"/>
      <w:r w:rsidRPr="0050653D">
        <w:rPr>
          <w:rFonts w:ascii="Times New Roman" w:hAnsi="Times New Roman"/>
          <w:sz w:val="28"/>
          <w:szCs w:val="28"/>
        </w:rPr>
        <w:t xml:space="preserve"> района;</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 физкультурно-оздоровительный комплекс в </w:t>
      </w:r>
      <w:proofErr w:type="spellStart"/>
      <w:r w:rsidRPr="0050653D">
        <w:rPr>
          <w:rFonts w:ascii="Times New Roman" w:hAnsi="Times New Roman"/>
          <w:sz w:val="28"/>
          <w:szCs w:val="28"/>
        </w:rPr>
        <w:t>г</w:t>
      </w:r>
      <w:proofErr w:type="gramStart"/>
      <w:r w:rsidRPr="0050653D">
        <w:rPr>
          <w:rFonts w:ascii="Times New Roman" w:hAnsi="Times New Roman"/>
          <w:sz w:val="28"/>
          <w:szCs w:val="28"/>
        </w:rPr>
        <w:t>.К</w:t>
      </w:r>
      <w:proofErr w:type="gramEnd"/>
      <w:r w:rsidRPr="0050653D">
        <w:rPr>
          <w:rFonts w:ascii="Times New Roman" w:hAnsi="Times New Roman"/>
          <w:sz w:val="28"/>
          <w:szCs w:val="28"/>
        </w:rPr>
        <w:t>ировск</w:t>
      </w:r>
      <w:proofErr w:type="spellEnd"/>
      <w:r w:rsidRPr="0050653D">
        <w:rPr>
          <w:rFonts w:ascii="Times New Roman" w:hAnsi="Times New Roman"/>
          <w:sz w:val="28"/>
          <w:szCs w:val="28"/>
        </w:rPr>
        <w:t xml:space="preserve"> Кировского района;</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стадион в </w:t>
      </w:r>
      <w:proofErr w:type="spellStart"/>
      <w:r w:rsidRPr="0050653D">
        <w:rPr>
          <w:rFonts w:ascii="Times New Roman" w:hAnsi="Times New Roman"/>
          <w:sz w:val="28"/>
          <w:szCs w:val="28"/>
        </w:rPr>
        <w:t>г</w:t>
      </w:r>
      <w:proofErr w:type="gramStart"/>
      <w:r w:rsidRPr="0050653D">
        <w:rPr>
          <w:rFonts w:ascii="Times New Roman" w:hAnsi="Times New Roman"/>
          <w:sz w:val="28"/>
          <w:szCs w:val="28"/>
        </w:rPr>
        <w:t>.Н</w:t>
      </w:r>
      <w:proofErr w:type="gramEnd"/>
      <w:r w:rsidRPr="0050653D">
        <w:rPr>
          <w:rFonts w:ascii="Times New Roman" w:hAnsi="Times New Roman"/>
          <w:sz w:val="28"/>
          <w:szCs w:val="28"/>
        </w:rPr>
        <w:t>икольское</w:t>
      </w:r>
      <w:proofErr w:type="spellEnd"/>
      <w:r w:rsidRPr="0050653D">
        <w:rPr>
          <w:rFonts w:ascii="Times New Roman" w:hAnsi="Times New Roman"/>
          <w:sz w:val="28"/>
          <w:szCs w:val="28"/>
        </w:rPr>
        <w:t xml:space="preserve"> </w:t>
      </w:r>
      <w:proofErr w:type="spellStart"/>
      <w:r w:rsidRPr="0050653D">
        <w:rPr>
          <w:rFonts w:ascii="Times New Roman" w:hAnsi="Times New Roman"/>
          <w:sz w:val="28"/>
          <w:szCs w:val="28"/>
        </w:rPr>
        <w:t>Тосненского</w:t>
      </w:r>
      <w:proofErr w:type="spellEnd"/>
      <w:r w:rsidRPr="0050653D">
        <w:rPr>
          <w:rFonts w:ascii="Times New Roman" w:hAnsi="Times New Roman"/>
          <w:sz w:val="28"/>
          <w:szCs w:val="28"/>
        </w:rPr>
        <w:t xml:space="preserve"> района;</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2 очередь спортивного центра в </w:t>
      </w:r>
      <w:proofErr w:type="spellStart"/>
      <w:r w:rsidRPr="0050653D">
        <w:rPr>
          <w:rFonts w:ascii="Times New Roman" w:hAnsi="Times New Roman"/>
          <w:sz w:val="28"/>
          <w:szCs w:val="28"/>
        </w:rPr>
        <w:t>г</w:t>
      </w:r>
      <w:proofErr w:type="gramStart"/>
      <w:r w:rsidRPr="0050653D">
        <w:rPr>
          <w:rFonts w:ascii="Times New Roman" w:hAnsi="Times New Roman"/>
          <w:sz w:val="28"/>
          <w:szCs w:val="28"/>
        </w:rPr>
        <w:t>.В</w:t>
      </w:r>
      <w:proofErr w:type="gramEnd"/>
      <w:r w:rsidRPr="0050653D">
        <w:rPr>
          <w:rFonts w:ascii="Times New Roman" w:hAnsi="Times New Roman"/>
          <w:sz w:val="28"/>
          <w:szCs w:val="28"/>
        </w:rPr>
        <w:t>ыборг</w:t>
      </w:r>
      <w:proofErr w:type="spellEnd"/>
      <w:r w:rsidRPr="0050653D">
        <w:rPr>
          <w:rFonts w:ascii="Times New Roman" w:hAnsi="Times New Roman"/>
          <w:sz w:val="28"/>
          <w:szCs w:val="28"/>
        </w:rPr>
        <w:t>;</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бассейн при школе № 12 в </w:t>
      </w:r>
      <w:proofErr w:type="spellStart"/>
      <w:r w:rsidRPr="0050653D">
        <w:rPr>
          <w:rFonts w:ascii="Times New Roman" w:hAnsi="Times New Roman"/>
          <w:sz w:val="28"/>
          <w:szCs w:val="28"/>
        </w:rPr>
        <w:t>г</w:t>
      </w:r>
      <w:proofErr w:type="gramStart"/>
      <w:r w:rsidRPr="0050653D">
        <w:rPr>
          <w:rFonts w:ascii="Times New Roman" w:hAnsi="Times New Roman"/>
          <w:sz w:val="28"/>
          <w:szCs w:val="28"/>
        </w:rPr>
        <w:t>.С</w:t>
      </w:r>
      <w:proofErr w:type="gramEnd"/>
      <w:r w:rsidRPr="0050653D">
        <w:rPr>
          <w:rFonts w:ascii="Times New Roman" w:hAnsi="Times New Roman"/>
          <w:sz w:val="28"/>
          <w:szCs w:val="28"/>
        </w:rPr>
        <w:t>ланцы</w:t>
      </w:r>
      <w:proofErr w:type="spellEnd"/>
      <w:r w:rsidRPr="0050653D">
        <w:rPr>
          <w:rFonts w:ascii="Times New Roman" w:hAnsi="Times New Roman"/>
          <w:sz w:val="28"/>
          <w:szCs w:val="28"/>
        </w:rPr>
        <w:t>;</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2 дом</w:t>
      </w:r>
      <w:r w:rsidR="00C8481B" w:rsidRPr="0050653D">
        <w:rPr>
          <w:rFonts w:ascii="Times New Roman" w:hAnsi="Times New Roman"/>
          <w:sz w:val="28"/>
          <w:szCs w:val="28"/>
        </w:rPr>
        <w:t xml:space="preserve">а </w:t>
      </w:r>
      <w:r w:rsidRPr="0050653D">
        <w:rPr>
          <w:rFonts w:ascii="Times New Roman" w:hAnsi="Times New Roman"/>
          <w:sz w:val="28"/>
          <w:szCs w:val="28"/>
        </w:rPr>
        <w:t xml:space="preserve">культуры на 150 мест (каждый) в </w:t>
      </w:r>
      <w:proofErr w:type="spellStart"/>
      <w:r w:rsidRPr="0050653D">
        <w:rPr>
          <w:rFonts w:ascii="Times New Roman" w:hAnsi="Times New Roman"/>
          <w:sz w:val="28"/>
          <w:szCs w:val="28"/>
        </w:rPr>
        <w:t>п</w:t>
      </w:r>
      <w:proofErr w:type="gramStart"/>
      <w:r w:rsidRPr="0050653D">
        <w:rPr>
          <w:rFonts w:ascii="Times New Roman" w:hAnsi="Times New Roman"/>
          <w:sz w:val="28"/>
          <w:szCs w:val="28"/>
        </w:rPr>
        <w:t>.К</w:t>
      </w:r>
      <w:proofErr w:type="gramEnd"/>
      <w:r w:rsidRPr="0050653D">
        <w:rPr>
          <w:rFonts w:ascii="Times New Roman" w:hAnsi="Times New Roman"/>
          <w:sz w:val="28"/>
          <w:szCs w:val="28"/>
        </w:rPr>
        <w:t>урск</w:t>
      </w:r>
      <w:proofErr w:type="spellEnd"/>
      <w:r w:rsidRPr="0050653D">
        <w:rPr>
          <w:rFonts w:ascii="Times New Roman" w:hAnsi="Times New Roman"/>
          <w:sz w:val="28"/>
          <w:szCs w:val="28"/>
        </w:rPr>
        <w:t xml:space="preserve"> </w:t>
      </w:r>
      <w:proofErr w:type="spellStart"/>
      <w:r w:rsidRPr="0050653D">
        <w:rPr>
          <w:rFonts w:ascii="Times New Roman" w:hAnsi="Times New Roman"/>
          <w:sz w:val="28"/>
          <w:szCs w:val="28"/>
        </w:rPr>
        <w:t>Волосовского</w:t>
      </w:r>
      <w:proofErr w:type="spellEnd"/>
      <w:r w:rsidRPr="0050653D">
        <w:rPr>
          <w:rFonts w:ascii="Times New Roman" w:hAnsi="Times New Roman"/>
          <w:sz w:val="28"/>
          <w:szCs w:val="28"/>
        </w:rPr>
        <w:t xml:space="preserve"> района и </w:t>
      </w:r>
      <w:proofErr w:type="spellStart"/>
      <w:r w:rsidRPr="0050653D">
        <w:rPr>
          <w:rFonts w:ascii="Times New Roman" w:hAnsi="Times New Roman"/>
          <w:sz w:val="28"/>
          <w:szCs w:val="28"/>
        </w:rPr>
        <w:t>п.Пчевжа</w:t>
      </w:r>
      <w:proofErr w:type="spellEnd"/>
      <w:r w:rsidRPr="0050653D">
        <w:rPr>
          <w:rFonts w:ascii="Times New Roman" w:hAnsi="Times New Roman"/>
          <w:sz w:val="28"/>
          <w:szCs w:val="28"/>
        </w:rPr>
        <w:t xml:space="preserve"> </w:t>
      </w:r>
      <w:proofErr w:type="spellStart"/>
      <w:r w:rsidRPr="0050653D">
        <w:rPr>
          <w:rFonts w:ascii="Times New Roman" w:hAnsi="Times New Roman"/>
          <w:sz w:val="28"/>
          <w:szCs w:val="28"/>
        </w:rPr>
        <w:t>Киришского</w:t>
      </w:r>
      <w:proofErr w:type="spellEnd"/>
      <w:r w:rsidRPr="0050653D">
        <w:rPr>
          <w:rFonts w:ascii="Times New Roman" w:hAnsi="Times New Roman"/>
          <w:sz w:val="28"/>
          <w:szCs w:val="28"/>
        </w:rPr>
        <w:t xml:space="preserve"> района</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Сосновский центр образования (блок начальных классов) в </w:t>
      </w:r>
      <w:proofErr w:type="spellStart"/>
      <w:r w:rsidRPr="0050653D">
        <w:rPr>
          <w:rFonts w:ascii="Times New Roman" w:hAnsi="Times New Roman"/>
          <w:sz w:val="28"/>
          <w:szCs w:val="28"/>
        </w:rPr>
        <w:t>п</w:t>
      </w:r>
      <w:proofErr w:type="gramStart"/>
      <w:r w:rsidRPr="0050653D">
        <w:rPr>
          <w:rFonts w:ascii="Times New Roman" w:hAnsi="Times New Roman"/>
          <w:sz w:val="28"/>
          <w:szCs w:val="28"/>
        </w:rPr>
        <w:t>.С</w:t>
      </w:r>
      <w:proofErr w:type="gramEnd"/>
      <w:r w:rsidRPr="0050653D">
        <w:rPr>
          <w:rFonts w:ascii="Times New Roman" w:hAnsi="Times New Roman"/>
          <w:sz w:val="28"/>
          <w:szCs w:val="28"/>
        </w:rPr>
        <w:t>осново</w:t>
      </w:r>
      <w:proofErr w:type="spellEnd"/>
      <w:r w:rsidRPr="0050653D">
        <w:rPr>
          <w:rFonts w:ascii="Times New Roman" w:hAnsi="Times New Roman"/>
          <w:sz w:val="28"/>
          <w:szCs w:val="28"/>
        </w:rPr>
        <w:t xml:space="preserve"> </w:t>
      </w:r>
      <w:proofErr w:type="spellStart"/>
      <w:r w:rsidRPr="0050653D">
        <w:rPr>
          <w:rFonts w:ascii="Times New Roman" w:hAnsi="Times New Roman"/>
          <w:sz w:val="28"/>
          <w:szCs w:val="28"/>
        </w:rPr>
        <w:t>Приозерского</w:t>
      </w:r>
      <w:proofErr w:type="spellEnd"/>
      <w:r w:rsidRPr="0050653D">
        <w:rPr>
          <w:rFonts w:ascii="Times New Roman" w:hAnsi="Times New Roman"/>
          <w:sz w:val="28"/>
          <w:szCs w:val="28"/>
        </w:rPr>
        <w:t xml:space="preserve"> района;</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общежитие агропромышленного факультета государственного института экономики, финансов, права и технологий на 200 мест в </w:t>
      </w:r>
      <w:proofErr w:type="spellStart"/>
      <w:r w:rsidRPr="0050653D">
        <w:rPr>
          <w:rFonts w:ascii="Times New Roman" w:hAnsi="Times New Roman"/>
          <w:sz w:val="28"/>
          <w:szCs w:val="28"/>
        </w:rPr>
        <w:t>п</w:t>
      </w:r>
      <w:proofErr w:type="gramStart"/>
      <w:r w:rsidRPr="0050653D">
        <w:rPr>
          <w:rFonts w:ascii="Times New Roman" w:hAnsi="Times New Roman"/>
          <w:sz w:val="28"/>
          <w:szCs w:val="28"/>
        </w:rPr>
        <w:t>.Е</w:t>
      </w:r>
      <w:proofErr w:type="gramEnd"/>
      <w:r w:rsidRPr="0050653D">
        <w:rPr>
          <w:rFonts w:ascii="Times New Roman" w:hAnsi="Times New Roman"/>
          <w:sz w:val="28"/>
          <w:szCs w:val="28"/>
        </w:rPr>
        <w:t>лизаветено</w:t>
      </w:r>
      <w:proofErr w:type="spellEnd"/>
      <w:r w:rsidRPr="0050653D">
        <w:rPr>
          <w:rFonts w:ascii="Times New Roman" w:hAnsi="Times New Roman"/>
          <w:sz w:val="28"/>
          <w:szCs w:val="28"/>
        </w:rPr>
        <w:t xml:space="preserve"> Гатчинского района;</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пожарное депо II типа на 4 </w:t>
      </w:r>
      <w:proofErr w:type="spellStart"/>
      <w:r w:rsidRPr="0050653D">
        <w:rPr>
          <w:rFonts w:ascii="Times New Roman" w:hAnsi="Times New Roman"/>
          <w:sz w:val="28"/>
          <w:szCs w:val="28"/>
        </w:rPr>
        <w:t>машино</w:t>
      </w:r>
      <w:proofErr w:type="spellEnd"/>
      <w:r w:rsidRPr="0050653D">
        <w:rPr>
          <w:rFonts w:ascii="Times New Roman" w:hAnsi="Times New Roman"/>
          <w:sz w:val="28"/>
          <w:szCs w:val="28"/>
        </w:rPr>
        <w:t>-выезда в г. Сертолово Всеволожского района;</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2 автомобильные газонаполнительные компрессорные станции (АГНКС) в г. Подпорожье и в г. Волхов;</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автомобильная дорога «</w:t>
      </w:r>
      <w:proofErr w:type="spellStart"/>
      <w:r w:rsidRPr="0050653D">
        <w:rPr>
          <w:rFonts w:ascii="Times New Roman" w:hAnsi="Times New Roman"/>
          <w:sz w:val="28"/>
          <w:szCs w:val="28"/>
        </w:rPr>
        <w:t>Войпала</w:t>
      </w:r>
      <w:proofErr w:type="spellEnd"/>
      <w:r w:rsidRPr="0050653D">
        <w:rPr>
          <w:rFonts w:ascii="Times New Roman" w:hAnsi="Times New Roman"/>
          <w:sz w:val="28"/>
          <w:szCs w:val="28"/>
        </w:rPr>
        <w:t>-</w:t>
      </w:r>
      <w:proofErr w:type="spellStart"/>
      <w:r w:rsidRPr="0050653D">
        <w:rPr>
          <w:rFonts w:ascii="Times New Roman" w:hAnsi="Times New Roman"/>
          <w:sz w:val="28"/>
          <w:szCs w:val="28"/>
        </w:rPr>
        <w:t>Сирокасска</w:t>
      </w:r>
      <w:proofErr w:type="spellEnd"/>
      <w:r w:rsidRPr="0050653D">
        <w:rPr>
          <w:rFonts w:ascii="Times New Roman" w:hAnsi="Times New Roman"/>
          <w:sz w:val="28"/>
          <w:szCs w:val="28"/>
        </w:rPr>
        <w:t>-Васильково-</w:t>
      </w:r>
      <w:proofErr w:type="spellStart"/>
      <w:r w:rsidRPr="0050653D">
        <w:rPr>
          <w:rFonts w:ascii="Times New Roman" w:hAnsi="Times New Roman"/>
          <w:sz w:val="28"/>
          <w:szCs w:val="28"/>
        </w:rPr>
        <w:t>г</w:t>
      </w:r>
      <w:proofErr w:type="gramStart"/>
      <w:r w:rsidRPr="0050653D">
        <w:rPr>
          <w:rFonts w:ascii="Times New Roman" w:hAnsi="Times New Roman"/>
          <w:sz w:val="28"/>
          <w:szCs w:val="28"/>
        </w:rPr>
        <w:t>.Ш</w:t>
      </w:r>
      <w:proofErr w:type="gramEnd"/>
      <w:r w:rsidRPr="0050653D">
        <w:rPr>
          <w:rFonts w:ascii="Times New Roman" w:hAnsi="Times New Roman"/>
          <w:sz w:val="28"/>
          <w:szCs w:val="28"/>
        </w:rPr>
        <w:t>альдиха</w:t>
      </w:r>
      <w:proofErr w:type="spellEnd"/>
      <w:r w:rsidRPr="0050653D">
        <w:rPr>
          <w:rFonts w:ascii="Times New Roman" w:hAnsi="Times New Roman"/>
          <w:sz w:val="28"/>
          <w:szCs w:val="28"/>
        </w:rPr>
        <w:t>» на участке км 13-км 14 протяженностью - 0,243 км;</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мостовой переход через р. </w:t>
      </w:r>
      <w:proofErr w:type="spellStart"/>
      <w:r w:rsidRPr="0050653D">
        <w:rPr>
          <w:rFonts w:ascii="Times New Roman" w:hAnsi="Times New Roman"/>
          <w:sz w:val="28"/>
          <w:szCs w:val="28"/>
        </w:rPr>
        <w:t>Саба</w:t>
      </w:r>
      <w:proofErr w:type="spellEnd"/>
      <w:r w:rsidRPr="0050653D">
        <w:rPr>
          <w:rFonts w:ascii="Times New Roman" w:hAnsi="Times New Roman"/>
          <w:sz w:val="28"/>
          <w:szCs w:val="28"/>
        </w:rPr>
        <w:t xml:space="preserve"> в дер. Малый </w:t>
      </w:r>
      <w:proofErr w:type="spellStart"/>
      <w:r w:rsidRPr="0050653D">
        <w:rPr>
          <w:rFonts w:ascii="Times New Roman" w:hAnsi="Times New Roman"/>
          <w:sz w:val="28"/>
          <w:szCs w:val="28"/>
        </w:rPr>
        <w:t>Волосовского</w:t>
      </w:r>
      <w:proofErr w:type="spellEnd"/>
      <w:r w:rsidRPr="0050653D">
        <w:rPr>
          <w:rFonts w:ascii="Times New Roman" w:hAnsi="Times New Roman"/>
          <w:sz w:val="28"/>
          <w:szCs w:val="28"/>
        </w:rPr>
        <w:t xml:space="preserve"> района - 0,12634 км/36,75 </w:t>
      </w:r>
      <w:proofErr w:type="spellStart"/>
      <w:r w:rsidRPr="0050653D">
        <w:rPr>
          <w:rFonts w:ascii="Times New Roman" w:hAnsi="Times New Roman"/>
          <w:sz w:val="28"/>
          <w:szCs w:val="28"/>
        </w:rPr>
        <w:t>пог</w:t>
      </w:r>
      <w:proofErr w:type="spellEnd"/>
      <w:r w:rsidRPr="0050653D">
        <w:rPr>
          <w:rFonts w:ascii="Times New Roman" w:hAnsi="Times New Roman"/>
          <w:sz w:val="28"/>
          <w:szCs w:val="28"/>
        </w:rPr>
        <w:t>. м;</w:t>
      </w:r>
    </w:p>
    <w:p w:rsidR="00B41C53" w:rsidRPr="0050653D" w:rsidRDefault="00B41C53" w:rsidP="0050653D">
      <w:pPr>
        <w:pStyle w:val="ab"/>
        <w:numPr>
          <w:ilvl w:val="0"/>
          <w:numId w:val="12"/>
        </w:numPr>
        <w:tabs>
          <w:tab w:val="left" w:pos="993"/>
        </w:tabs>
        <w:ind w:left="0" w:firstLine="709"/>
        <w:contextualSpacing w:val="0"/>
        <w:jc w:val="both"/>
        <w:rPr>
          <w:rFonts w:cs="Calibri"/>
          <w:sz w:val="28"/>
          <w:szCs w:val="28"/>
        </w:rPr>
      </w:pPr>
      <w:r w:rsidRPr="0050653D">
        <w:rPr>
          <w:rFonts w:cs="Calibri"/>
          <w:sz w:val="28"/>
          <w:szCs w:val="28"/>
        </w:rPr>
        <w:t xml:space="preserve">продолжение ул. Слепнева (от ул. </w:t>
      </w:r>
      <w:proofErr w:type="spellStart"/>
      <w:r w:rsidRPr="0050653D">
        <w:rPr>
          <w:rFonts w:cs="Calibri"/>
          <w:sz w:val="28"/>
          <w:szCs w:val="28"/>
        </w:rPr>
        <w:t>Авиатриссы</w:t>
      </w:r>
      <w:proofErr w:type="spellEnd"/>
      <w:r w:rsidRPr="0050653D">
        <w:rPr>
          <w:rFonts w:cs="Calibri"/>
          <w:sz w:val="28"/>
          <w:szCs w:val="28"/>
        </w:rPr>
        <w:t xml:space="preserve"> Зверевой до примыкания к ул. Киевской) в г. Гатчина, протяженность 0,853 км.</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lastRenderedPageBreak/>
        <w:t xml:space="preserve">врачебная амбулатория на 110 посещений с постом скорой медицинской помощи в п. Толмачево </w:t>
      </w:r>
      <w:proofErr w:type="spellStart"/>
      <w:r w:rsidRPr="0050653D">
        <w:rPr>
          <w:rFonts w:ascii="Times New Roman" w:hAnsi="Times New Roman"/>
          <w:sz w:val="28"/>
          <w:szCs w:val="28"/>
        </w:rPr>
        <w:t>Лужского</w:t>
      </w:r>
      <w:proofErr w:type="spellEnd"/>
      <w:r w:rsidRPr="0050653D">
        <w:rPr>
          <w:rFonts w:ascii="Times New Roman" w:hAnsi="Times New Roman"/>
          <w:sz w:val="28"/>
          <w:szCs w:val="28"/>
        </w:rPr>
        <w:t xml:space="preserve"> района;</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водоочистные сооружения (ВОС) мощностью 600 м³/сутки в </w:t>
      </w:r>
      <w:proofErr w:type="spellStart"/>
      <w:r w:rsidRPr="0050653D">
        <w:rPr>
          <w:rFonts w:ascii="Times New Roman" w:hAnsi="Times New Roman"/>
          <w:sz w:val="28"/>
          <w:szCs w:val="28"/>
        </w:rPr>
        <w:t>д</w:t>
      </w:r>
      <w:proofErr w:type="gramStart"/>
      <w:r w:rsidRPr="0050653D">
        <w:rPr>
          <w:rFonts w:ascii="Times New Roman" w:hAnsi="Times New Roman"/>
          <w:sz w:val="28"/>
          <w:szCs w:val="28"/>
        </w:rPr>
        <w:t>.Р</w:t>
      </w:r>
      <w:proofErr w:type="gramEnd"/>
      <w:r w:rsidRPr="0050653D">
        <w:rPr>
          <w:rFonts w:ascii="Times New Roman" w:hAnsi="Times New Roman"/>
          <w:sz w:val="28"/>
          <w:szCs w:val="28"/>
        </w:rPr>
        <w:t>аздолье</w:t>
      </w:r>
      <w:proofErr w:type="spellEnd"/>
      <w:r w:rsidRPr="0050653D">
        <w:rPr>
          <w:rFonts w:ascii="Times New Roman" w:hAnsi="Times New Roman"/>
          <w:sz w:val="28"/>
          <w:szCs w:val="28"/>
        </w:rPr>
        <w:t xml:space="preserve"> </w:t>
      </w:r>
      <w:proofErr w:type="spellStart"/>
      <w:r w:rsidRPr="0050653D">
        <w:rPr>
          <w:rFonts w:ascii="Times New Roman" w:hAnsi="Times New Roman"/>
          <w:sz w:val="28"/>
          <w:szCs w:val="28"/>
        </w:rPr>
        <w:t>Приозерского</w:t>
      </w:r>
      <w:proofErr w:type="spellEnd"/>
      <w:r w:rsidRPr="0050653D">
        <w:rPr>
          <w:rFonts w:ascii="Times New Roman" w:hAnsi="Times New Roman"/>
          <w:sz w:val="28"/>
          <w:szCs w:val="28"/>
        </w:rPr>
        <w:t xml:space="preserve"> района;</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 водовод протяженностью 7069,2 </w:t>
      </w:r>
      <w:proofErr w:type="spellStart"/>
      <w:r w:rsidRPr="0050653D">
        <w:rPr>
          <w:rFonts w:ascii="Times New Roman" w:hAnsi="Times New Roman"/>
          <w:sz w:val="28"/>
          <w:szCs w:val="28"/>
        </w:rPr>
        <w:t>пог</w:t>
      </w:r>
      <w:proofErr w:type="spellEnd"/>
      <w:r w:rsidRPr="0050653D">
        <w:rPr>
          <w:rFonts w:ascii="Times New Roman" w:hAnsi="Times New Roman"/>
          <w:sz w:val="28"/>
          <w:szCs w:val="28"/>
        </w:rPr>
        <w:t xml:space="preserve">. м от магистрального водовода системы «Большой Невский водовод» до площадки резервуаров чистой воды в </w:t>
      </w:r>
      <w:proofErr w:type="spellStart"/>
      <w:r w:rsidRPr="0050653D">
        <w:rPr>
          <w:rFonts w:ascii="Times New Roman" w:hAnsi="Times New Roman"/>
          <w:sz w:val="28"/>
          <w:szCs w:val="28"/>
        </w:rPr>
        <w:t>г</w:t>
      </w:r>
      <w:proofErr w:type="gramStart"/>
      <w:r w:rsidRPr="0050653D">
        <w:rPr>
          <w:rFonts w:ascii="Times New Roman" w:hAnsi="Times New Roman"/>
          <w:sz w:val="28"/>
          <w:szCs w:val="28"/>
        </w:rPr>
        <w:t>.Н</w:t>
      </w:r>
      <w:proofErr w:type="gramEnd"/>
      <w:r w:rsidRPr="0050653D">
        <w:rPr>
          <w:rFonts w:ascii="Times New Roman" w:hAnsi="Times New Roman"/>
          <w:sz w:val="28"/>
          <w:szCs w:val="28"/>
        </w:rPr>
        <w:t>икольское</w:t>
      </w:r>
      <w:proofErr w:type="spellEnd"/>
      <w:r w:rsidRPr="0050653D">
        <w:rPr>
          <w:rFonts w:ascii="Times New Roman" w:hAnsi="Times New Roman"/>
          <w:sz w:val="28"/>
          <w:szCs w:val="28"/>
        </w:rPr>
        <w:t xml:space="preserve"> </w:t>
      </w:r>
      <w:proofErr w:type="spellStart"/>
      <w:r w:rsidRPr="0050653D">
        <w:rPr>
          <w:rFonts w:ascii="Times New Roman" w:hAnsi="Times New Roman"/>
          <w:sz w:val="28"/>
          <w:szCs w:val="28"/>
        </w:rPr>
        <w:t>Тосненского</w:t>
      </w:r>
      <w:proofErr w:type="spellEnd"/>
      <w:r w:rsidRPr="0050653D">
        <w:rPr>
          <w:rFonts w:ascii="Times New Roman" w:hAnsi="Times New Roman"/>
          <w:sz w:val="28"/>
          <w:szCs w:val="28"/>
        </w:rPr>
        <w:t xml:space="preserve"> района;</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наружный водопровод в </w:t>
      </w:r>
      <w:proofErr w:type="spellStart"/>
      <w:r w:rsidRPr="0050653D">
        <w:rPr>
          <w:rFonts w:ascii="Times New Roman" w:hAnsi="Times New Roman"/>
          <w:sz w:val="28"/>
          <w:szCs w:val="28"/>
        </w:rPr>
        <w:t>д</w:t>
      </w:r>
      <w:proofErr w:type="gramStart"/>
      <w:r w:rsidRPr="0050653D">
        <w:rPr>
          <w:rFonts w:ascii="Times New Roman" w:hAnsi="Times New Roman"/>
          <w:sz w:val="28"/>
          <w:szCs w:val="28"/>
        </w:rPr>
        <w:t>.Р</w:t>
      </w:r>
      <w:proofErr w:type="gramEnd"/>
      <w:r w:rsidRPr="0050653D">
        <w:rPr>
          <w:rFonts w:ascii="Times New Roman" w:hAnsi="Times New Roman"/>
          <w:sz w:val="28"/>
          <w:szCs w:val="28"/>
        </w:rPr>
        <w:t>ахья</w:t>
      </w:r>
      <w:proofErr w:type="spellEnd"/>
      <w:r w:rsidRPr="0050653D">
        <w:rPr>
          <w:rFonts w:ascii="Times New Roman" w:hAnsi="Times New Roman"/>
          <w:sz w:val="28"/>
          <w:szCs w:val="28"/>
        </w:rPr>
        <w:t xml:space="preserve"> Всеволожского района протяженностью 1861,53 </w:t>
      </w:r>
      <w:proofErr w:type="spellStart"/>
      <w:r w:rsidRPr="0050653D">
        <w:rPr>
          <w:rFonts w:ascii="Times New Roman" w:hAnsi="Times New Roman"/>
          <w:sz w:val="28"/>
          <w:szCs w:val="28"/>
        </w:rPr>
        <w:t>пог</w:t>
      </w:r>
      <w:proofErr w:type="spellEnd"/>
      <w:r w:rsidRPr="0050653D">
        <w:rPr>
          <w:rFonts w:ascii="Times New Roman" w:hAnsi="Times New Roman"/>
          <w:sz w:val="28"/>
          <w:szCs w:val="28"/>
        </w:rPr>
        <w:t>. м.;</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введены в эксплуатацию ВОС в </w:t>
      </w:r>
      <w:proofErr w:type="spellStart"/>
      <w:r w:rsidRPr="0050653D">
        <w:rPr>
          <w:rFonts w:ascii="Times New Roman" w:hAnsi="Times New Roman"/>
          <w:sz w:val="28"/>
          <w:szCs w:val="28"/>
        </w:rPr>
        <w:t>г.п</w:t>
      </w:r>
      <w:proofErr w:type="gramStart"/>
      <w:r w:rsidRPr="0050653D">
        <w:rPr>
          <w:rFonts w:ascii="Times New Roman" w:hAnsi="Times New Roman"/>
          <w:sz w:val="28"/>
          <w:szCs w:val="28"/>
        </w:rPr>
        <w:t>.К</w:t>
      </w:r>
      <w:proofErr w:type="gramEnd"/>
      <w:r w:rsidRPr="0050653D">
        <w:rPr>
          <w:rFonts w:ascii="Times New Roman" w:hAnsi="Times New Roman"/>
          <w:sz w:val="28"/>
          <w:szCs w:val="28"/>
        </w:rPr>
        <w:t>узьмоловский</w:t>
      </w:r>
      <w:proofErr w:type="spellEnd"/>
      <w:r w:rsidRPr="0050653D">
        <w:rPr>
          <w:rFonts w:ascii="Times New Roman" w:hAnsi="Times New Roman"/>
          <w:sz w:val="28"/>
          <w:szCs w:val="28"/>
        </w:rPr>
        <w:t xml:space="preserve"> Всеволожского района мощностью 4000 м³/сутки (1 этап);</w:t>
      </w:r>
    </w:p>
    <w:p w:rsidR="00B41C53" w:rsidRPr="0050653D" w:rsidRDefault="00B41C53" w:rsidP="0050653D">
      <w:pPr>
        <w:pStyle w:val="11"/>
        <w:numPr>
          <w:ilvl w:val="0"/>
          <w:numId w:val="12"/>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плавательный бассейн в г. Кингисепп.</w:t>
      </w:r>
    </w:p>
    <w:p w:rsidR="00B41C53" w:rsidRPr="0050653D" w:rsidRDefault="00B41C53" w:rsidP="0050653D">
      <w:pPr>
        <w:pStyle w:val="11"/>
        <w:numPr>
          <w:ilvl w:val="0"/>
          <w:numId w:val="7"/>
        </w:numPr>
        <w:tabs>
          <w:tab w:val="left" w:pos="1134"/>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завершено строительство (реконструкция):</w:t>
      </w:r>
    </w:p>
    <w:p w:rsidR="00B41C53" w:rsidRPr="0050653D" w:rsidRDefault="00B41C53" w:rsidP="0050653D">
      <w:pPr>
        <w:pStyle w:val="11"/>
        <w:numPr>
          <w:ilvl w:val="0"/>
          <w:numId w:val="14"/>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многофункциональной спортивной площадки в </w:t>
      </w:r>
      <w:proofErr w:type="spellStart"/>
      <w:r w:rsidRPr="0050653D">
        <w:rPr>
          <w:rFonts w:ascii="Times New Roman" w:hAnsi="Times New Roman"/>
          <w:sz w:val="28"/>
          <w:szCs w:val="28"/>
        </w:rPr>
        <w:t>д</w:t>
      </w:r>
      <w:proofErr w:type="gramStart"/>
      <w:r w:rsidRPr="0050653D">
        <w:rPr>
          <w:rFonts w:ascii="Times New Roman" w:hAnsi="Times New Roman"/>
          <w:sz w:val="28"/>
          <w:szCs w:val="28"/>
        </w:rPr>
        <w:t>.Б</w:t>
      </w:r>
      <w:proofErr w:type="gramEnd"/>
      <w:r w:rsidRPr="0050653D">
        <w:rPr>
          <w:rFonts w:ascii="Times New Roman" w:hAnsi="Times New Roman"/>
          <w:sz w:val="28"/>
          <w:szCs w:val="28"/>
        </w:rPr>
        <w:t>егуницы</w:t>
      </w:r>
      <w:proofErr w:type="spellEnd"/>
      <w:r w:rsidRPr="0050653D">
        <w:rPr>
          <w:rFonts w:ascii="Times New Roman" w:hAnsi="Times New Roman"/>
          <w:sz w:val="28"/>
          <w:szCs w:val="28"/>
        </w:rPr>
        <w:t xml:space="preserve"> </w:t>
      </w:r>
      <w:proofErr w:type="spellStart"/>
      <w:r w:rsidRPr="0050653D">
        <w:rPr>
          <w:rFonts w:ascii="Times New Roman" w:hAnsi="Times New Roman"/>
          <w:sz w:val="28"/>
          <w:szCs w:val="28"/>
        </w:rPr>
        <w:t>Волосовкого</w:t>
      </w:r>
      <w:proofErr w:type="spellEnd"/>
      <w:r w:rsidRPr="0050653D">
        <w:rPr>
          <w:rFonts w:ascii="Times New Roman" w:hAnsi="Times New Roman"/>
          <w:sz w:val="28"/>
          <w:szCs w:val="28"/>
        </w:rPr>
        <w:t xml:space="preserve"> района;</w:t>
      </w:r>
    </w:p>
    <w:p w:rsidR="00B41C53" w:rsidRPr="0050653D" w:rsidRDefault="00B41C53" w:rsidP="0050653D">
      <w:pPr>
        <w:pStyle w:val="11"/>
        <w:numPr>
          <w:ilvl w:val="0"/>
          <w:numId w:val="14"/>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дома культуры на 120 мест в </w:t>
      </w:r>
      <w:proofErr w:type="spellStart"/>
      <w:r w:rsidRPr="0050653D">
        <w:rPr>
          <w:rFonts w:ascii="Times New Roman" w:hAnsi="Times New Roman"/>
          <w:sz w:val="28"/>
          <w:szCs w:val="28"/>
        </w:rPr>
        <w:t>пос</w:t>
      </w:r>
      <w:proofErr w:type="gramStart"/>
      <w:r w:rsidRPr="0050653D">
        <w:rPr>
          <w:rFonts w:ascii="Times New Roman" w:hAnsi="Times New Roman"/>
          <w:sz w:val="28"/>
          <w:szCs w:val="28"/>
        </w:rPr>
        <w:t>.З</w:t>
      </w:r>
      <w:proofErr w:type="gramEnd"/>
      <w:r w:rsidRPr="0050653D">
        <w:rPr>
          <w:rFonts w:ascii="Times New Roman" w:hAnsi="Times New Roman"/>
          <w:sz w:val="28"/>
          <w:szCs w:val="28"/>
        </w:rPr>
        <w:t>аборье</w:t>
      </w:r>
      <w:proofErr w:type="spellEnd"/>
      <w:r w:rsidRPr="0050653D">
        <w:rPr>
          <w:rFonts w:ascii="Times New Roman" w:hAnsi="Times New Roman"/>
          <w:sz w:val="28"/>
          <w:szCs w:val="28"/>
        </w:rPr>
        <w:t xml:space="preserve"> </w:t>
      </w:r>
      <w:proofErr w:type="spellStart"/>
      <w:r w:rsidRPr="0050653D">
        <w:rPr>
          <w:rFonts w:ascii="Times New Roman" w:hAnsi="Times New Roman"/>
          <w:sz w:val="28"/>
          <w:szCs w:val="28"/>
        </w:rPr>
        <w:t>Бокситогорского</w:t>
      </w:r>
      <w:proofErr w:type="spellEnd"/>
      <w:r w:rsidRPr="0050653D">
        <w:rPr>
          <w:rFonts w:ascii="Times New Roman" w:hAnsi="Times New Roman"/>
          <w:sz w:val="28"/>
          <w:szCs w:val="28"/>
        </w:rPr>
        <w:t xml:space="preserve"> района</w:t>
      </w:r>
    </w:p>
    <w:p w:rsidR="00B41C53" w:rsidRPr="0050653D" w:rsidRDefault="00B41C53" w:rsidP="0050653D">
      <w:pPr>
        <w:pStyle w:val="11"/>
        <w:numPr>
          <w:ilvl w:val="0"/>
          <w:numId w:val="14"/>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теплотрассы от ТК-390 до ТК-7 по ул. </w:t>
      </w:r>
      <w:proofErr w:type="spellStart"/>
      <w:r w:rsidRPr="0050653D">
        <w:rPr>
          <w:rFonts w:ascii="Times New Roman" w:hAnsi="Times New Roman"/>
          <w:sz w:val="28"/>
          <w:szCs w:val="28"/>
        </w:rPr>
        <w:t>Киргетова</w:t>
      </w:r>
      <w:proofErr w:type="spellEnd"/>
      <w:r w:rsidRPr="0050653D">
        <w:rPr>
          <w:rFonts w:ascii="Times New Roman" w:hAnsi="Times New Roman"/>
          <w:sz w:val="28"/>
          <w:szCs w:val="28"/>
        </w:rPr>
        <w:t>, д.20, в г. Гатчина;</w:t>
      </w:r>
    </w:p>
    <w:p w:rsidR="00B41C53" w:rsidRPr="0050653D" w:rsidRDefault="00B41C53" w:rsidP="0050653D">
      <w:pPr>
        <w:pStyle w:val="11"/>
        <w:numPr>
          <w:ilvl w:val="0"/>
          <w:numId w:val="14"/>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канализационной насосной станции мощностью 400 м³/</w:t>
      </w:r>
      <w:proofErr w:type="spellStart"/>
      <w:r w:rsidRPr="0050653D">
        <w:rPr>
          <w:rFonts w:ascii="Times New Roman" w:hAnsi="Times New Roman"/>
          <w:sz w:val="28"/>
          <w:szCs w:val="28"/>
        </w:rPr>
        <w:t>сут</w:t>
      </w:r>
      <w:proofErr w:type="spellEnd"/>
      <w:r w:rsidRPr="0050653D">
        <w:rPr>
          <w:rFonts w:ascii="Times New Roman" w:hAnsi="Times New Roman"/>
          <w:sz w:val="28"/>
          <w:szCs w:val="28"/>
        </w:rPr>
        <w:t xml:space="preserve"> в пос. Курск </w:t>
      </w:r>
      <w:proofErr w:type="spellStart"/>
      <w:r w:rsidRPr="0050653D">
        <w:rPr>
          <w:rFonts w:ascii="Times New Roman" w:hAnsi="Times New Roman"/>
          <w:sz w:val="28"/>
          <w:szCs w:val="28"/>
        </w:rPr>
        <w:t>Волосовского</w:t>
      </w:r>
      <w:proofErr w:type="spellEnd"/>
      <w:r w:rsidRPr="0050653D">
        <w:rPr>
          <w:rFonts w:ascii="Times New Roman" w:hAnsi="Times New Roman"/>
          <w:sz w:val="28"/>
          <w:szCs w:val="28"/>
        </w:rPr>
        <w:t xml:space="preserve"> района;</w:t>
      </w:r>
    </w:p>
    <w:p w:rsidR="00B41C53" w:rsidRPr="0050653D" w:rsidRDefault="00B41C53" w:rsidP="0050653D">
      <w:pPr>
        <w:pStyle w:val="11"/>
        <w:numPr>
          <w:ilvl w:val="0"/>
          <w:numId w:val="14"/>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КОС в дер. Старая Слобода </w:t>
      </w:r>
      <w:proofErr w:type="spellStart"/>
      <w:r w:rsidRPr="0050653D">
        <w:rPr>
          <w:rFonts w:ascii="Times New Roman" w:hAnsi="Times New Roman"/>
          <w:sz w:val="28"/>
          <w:szCs w:val="28"/>
        </w:rPr>
        <w:t>Лодейнопольского</w:t>
      </w:r>
      <w:proofErr w:type="spellEnd"/>
      <w:r w:rsidRPr="0050653D">
        <w:rPr>
          <w:rFonts w:ascii="Times New Roman" w:hAnsi="Times New Roman"/>
          <w:sz w:val="28"/>
          <w:szCs w:val="28"/>
        </w:rPr>
        <w:t xml:space="preserve"> района мощностью               280 м³/сутки</w:t>
      </w:r>
    </w:p>
    <w:p w:rsidR="00B41C53" w:rsidRPr="0050653D" w:rsidRDefault="00B41C53" w:rsidP="0050653D">
      <w:pPr>
        <w:pStyle w:val="11"/>
        <w:numPr>
          <w:ilvl w:val="0"/>
          <w:numId w:val="14"/>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xml:space="preserve">водовода протяженностью 5000 </w:t>
      </w:r>
      <w:proofErr w:type="spellStart"/>
      <w:r w:rsidRPr="0050653D">
        <w:rPr>
          <w:rFonts w:ascii="Times New Roman" w:hAnsi="Times New Roman"/>
          <w:sz w:val="28"/>
          <w:szCs w:val="28"/>
        </w:rPr>
        <w:t>пог</w:t>
      </w:r>
      <w:proofErr w:type="spellEnd"/>
      <w:r w:rsidRPr="0050653D">
        <w:rPr>
          <w:rFonts w:ascii="Times New Roman" w:hAnsi="Times New Roman"/>
          <w:sz w:val="28"/>
          <w:szCs w:val="28"/>
        </w:rPr>
        <w:t xml:space="preserve">. м от магистрального водовода «Невский водопровод» до водопроводной насосной станции 3-го подъема в Ульяновском городском поселении </w:t>
      </w:r>
      <w:proofErr w:type="spellStart"/>
      <w:r w:rsidRPr="0050653D">
        <w:rPr>
          <w:rFonts w:ascii="Times New Roman" w:hAnsi="Times New Roman"/>
          <w:sz w:val="28"/>
          <w:szCs w:val="28"/>
        </w:rPr>
        <w:t>Тосненского</w:t>
      </w:r>
      <w:proofErr w:type="spellEnd"/>
      <w:r w:rsidRPr="0050653D">
        <w:rPr>
          <w:rFonts w:ascii="Times New Roman" w:hAnsi="Times New Roman"/>
          <w:sz w:val="28"/>
          <w:szCs w:val="28"/>
        </w:rPr>
        <w:t xml:space="preserve"> района.</w:t>
      </w:r>
    </w:p>
    <w:p w:rsidR="00B41C53" w:rsidRPr="0050653D" w:rsidRDefault="00B41C53" w:rsidP="0050653D">
      <w:pPr>
        <w:pStyle w:val="11"/>
        <w:numPr>
          <w:ilvl w:val="0"/>
          <w:numId w:val="7"/>
        </w:numPr>
        <w:tabs>
          <w:tab w:val="left" w:pos="1134"/>
        </w:tabs>
        <w:spacing w:after="0" w:line="240" w:lineRule="auto"/>
        <w:ind w:left="0" w:firstLine="709"/>
        <w:jc w:val="both"/>
        <w:rPr>
          <w:rFonts w:ascii="Times New Roman" w:hAnsi="Times New Roman"/>
          <w:sz w:val="28"/>
          <w:szCs w:val="28"/>
        </w:rPr>
      </w:pPr>
      <w:r w:rsidRPr="0050653D">
        <w:rPr>
          <w:rFonts w:ascii="Times New Roman" w:hAnsi="Times New Roman"/>
          <w:spacing w:val="-6"/>
          <w:sz w:val="28"/>
          <w:szCs w:val="28"/>
        </w:rPr>
        <w:t>приобретены:</w:t>
      </w:r>
      <w:r w:rsidR="0050653D" w:rsidRPr="0050653D">
        <w:rPr>
          <w:rFonts w:ascii="Times New Roman" w:hAnsi="Times New Roman"/>
          <w:spacing w:val="-6"/>
          <w:sz w:val="28"/>
          <w:szCs w:val="28"/>
        </w:rPr>
        <w:t xml:space="preserve"> </w:t>
      </w:r>
      <w:r w:rsidRPr="0050653D">
        <w:rPr>
          <w:rFonts w:ascii="Times New Roman" w:hAnsi="Times New Roman"/>
          <w:sz w:val="28"/>
          <w:szCs w:val="28"/>
        </w:rPr>
        <w:t xml:space="preserve">5 детских садов во Всеволожском районе на 670 мест (в </w:t>
      </w:r>
      <w:proofErr w:type="spellStart"/>
      <w:r w:rsidRPr="0050653D">
        <w:rPr>
          <w:rFonts w:ascii="Times New Roman" w:hAnsi="Times New Roman"/>
          <w:sz w:val="28"/>
          <w:szCs w:val="28"/>
        </w:rPr>
        <w:t>г</w:t>
      </w:r>
      <w:proofErr w:type="gramStart"/>
      <w:r w:rsidRPr="0050653D">
        <w:rPr>
          <w:rFonts w:ascii="Times New Roman" w:hAnsi="Times New Roman"/>
          <w:sz w:val="28"/>
          <w:szCs w:val="28"/>
        </w:rPr>
        <w:t>.М</w:t>
      </w:r>
      <w:proofErr w:type="gramEnd"/>
      <w:r w:rsidRPr="0050653D">
        <w:rPr>
          <w:rFonts w:ascii="Times New Roman" w:hAnsi="Times New Roman"/>
          <w:sz w:val="28"/>
          <w:szCs w:val="28"/>
        </w:rPr>
        <w:t>урино</w:t>
      </w:r>
      <w:proofErr w:type="spellEnd"/>
      <w:r w:rsidRPr="0050653D">
        <w:rPr>
          <w:rFonts w:ascii="Times New Roman" w:hAnsi="Times New Roman"/>
          <w:sz w:val="28"/>
          <w:szCs w:val="28"/>
        </w:rPr>
        <w:t xml:space="preserve"> –180 мест и 100 мест, в </w:t>
      </w:r>
      <w:proofErr w:type="spellStart"/>
      <w:r w:rsidRPr="0050653D">
        <w:rPr>
          <w:rFonts w:ascii="Times New Roman" w:hAnsi="Times New Roman"/>
          <w:sz w:val="28"/>
          <w:szCs w:val="28"/>
        </w:rPr>
        <w:t>г.Кудрово</w:t>
      </w:r>
      <w:proofErr w:type="spellEnd"/>
      <w:r w:rsidRPr="0050653D">
        <w:rPr>
          <w:rFonts w:ascii="Times New Roman" w:hAnsi="Times New Roman"/>
          <w:sz w:val="28"/>
          <w:szCs w:val="28"/>
        </w:rPr>
        <w:t xml:space="preserve"> – 150 мест и 160 мест) и на 80 </w:t>
      </w:r>
      <w:proofErr w:type="spellStart"/>
      <w:r w:rsidRPr="0050653D">
        <w:rPr>
          <w:rFonts w:ascii="Times New Roman" w:hAnsi="Times New Roman"/>
          <w:sz w:val="28"/>
          <w:szCs w:val="28"/>
        </w:rPr>
        <w:t>п.Федоровское</w:t>
      </w:r>
      <w:proofErr w:type="spellEnd"/>
      <w:r w:rsidRPr="0050653D">
        <w:rPr>
          <w:rFonts w:ascii="Times New Roman" w:hAnsi="Times New Roman"/>
          <w:sz w:val="28"/>
          <w:szCs w:val="28"/>
        </w:rPr>
        <w:t xml:space="preserve"> </w:t>
      </w:r>
      <w:proofErr w:type="spellStart"/>
      <w:r w:rsidRPr="0050653D">
        <w:rPr>
          <w:rFonts w:ascii="Times New Roman" w:hAnsi="Times New Roman"/>
          <w:sz w:val="28"/>
          <w:szCs w:val="28"/>
        </w:rPr>
        <w:t>Тосненского</w:t>
      </w:r>
      <w:proofErr w:type="spellEnd"/>
      <w:r w:rsidRPr="0050653D">
        <w:rPr>
          <w:rFonts w:ascii="Times New Roman" w:hAnsi="Times New Roman"/>
          <w:sz w:val="28"/>
          <w:szCs w:val="28"/>
        </w:rPr>
        <w:t xml:space="preserve"> района;</w:t>
      </w:r>
    </w:p>
    <w:p w:rsidR="00B41C53" w:rsidRPr="0050653D" w:rsidRDefault="00B41C53" w:rsidP="0050653D">
      <w:pPr>
        <w:pStyle w:val="11"/>
        <w:spacing w:after="0" w:line="240" w:lineRule="auto"/>
        <w:ind w:left="0" w:firstLine="709"/>
        <w:jc w:val="both"/>
        <w:rPr>
          <w:rFonts w:ascii="Times New Roman" w:hAnsi="Times New Roman"/>
          <w:sz w:val="28"/>
          <w:szCs w:val="28"/>
        </w:rPr>
      </w:pPr>
      <w:r w:rsidRPr="0050653D">
        <w:rPr>
          <w:rFonts w:ascii="Times New Roman" w:hAnsi="Times New Roman"/>
          <w:sz w:val="28"/>
          <w:szCs w:val="28"/>
        </w:rPr>
        <w:t>Кроме того:</w:t>
      </w:r>
    </w:p>
    <w:p w:rsidR="00B41C53" w:rsidRPr="0050653D" w:rsidRDefault="00B41C53" w:rsidP="0050653D">
      <w:pPr>
        <w:pStyle w:val="11"/>
        <w:spacing w:after="0" w:line="240" w:lineRule="auto"/>
        <w:ind w:left="0" w:firstLine="709"/>
        <w:jc w:val="both"/>
        <w:rPr>
          <w:rFonts w:ascii="Times New Roman" w:hAnsi="Times New Roman"/>
          <w:sz w:val="28"/>
          <w:szCs w:val="28"/>
        </w:rPr>
      </w:pPr>
      <w:r w:rsidRPr="0050653D">
        <w:rPr>
          <w:rFonts w:ascii="Times New Roman" w:hAnsi="Times New Roman"/>
          <w:sz w:val="28"/>
          <w:szCs w:val="28"/>
        </w:rPr>
        <w:t>-</w:t>
      </w:r>
      <w:r w:rsidR="0050653D">
        <w:rPr>
          <w:rFonts w:ascii="Times New Roman" w:hAnsi="Times New Roman"/>
          <w:sz w:val="28"/>
          <w:szCs w:val="28"/>
        </w:rPr>
        <w:t> </w:t>
      </w:r>
      <w:r w:rsidRPr="0050653D">
        <w:rPr>
          <w:rFonts w:ascii="Times New Roman" w:hAnsi="Times New Roman"/>
          <w:sz w:val="28"/>
          <w:szCs w:val="28"/>
        </w:rPr>
        <w:t xml:space="preserve">отремонтировано 8358,8 </w:t>
      </w:r>
      <w:proofErr w:type="spellStart"/>
      <w:r w:rsidRPr="0050653D">
        <w:rPr>
          <w:rFonts w:ascii="Times New Roman" w:hAnsi="Times New Roman"/>
          <w:sz w:val="28"/>
          <w:szCs w:val="28"/>
        </w:rPr>
        <w:t>пог</w:t>
      </w:r>
      <w:proofErr w:type="spellEnd"/>
      <w:r w:rsidRPr="0050653D">
        <w:rPr>
          <w:rFonts w:ascii="Times New Roman" w:hAnsi="Times New Roman"/>
          <w:sz w:val="28"/>
          <w:szCs w:val="28"/>
        </w:rPr>
        <w:t xml:space="preserve">. м водопроводных сетей, 1860 </w:t>
      </w:r>
      <w:proofErr w:type="spellStart"/>
      <w:r w:rsidRPr="0050653D">
        <w:rPr>
          <w:rFonts w:ascii="Times New Roman" w:hAnsi="Times New Roman"/>
          <w:sz w:val="28"/>
          <w:szCs w:val="28"/>
        </w:rPr>
        <w:t>пог</w:t>
      </w:r>
      <w:proofErr w:type="spellEnd"/>
      <w:r w:rsidRPr="0050653D">
        <w:rPr>
          <w:rFonts w:ascii="Times New Roman" w:hAnsi="Times New Roman"/>
          <w:sz w:val="28"/>
          <w:szCs w:val="28"/>
        </w:rPr>
        <w:t>. м магистрального канализационного трубопровода;</w:t>
      </w:r>
    </w:p>
    <w:p w:rsidR="00B41C53" w:rsidRPr="0050653D" w:rsidRDefault="00B41C53" w:rsidP="0050653D">
      <w:pPr>
        <w:pStyle w:val="11"/>
        <w:spacing w:after="0" w:line="240" w:lineRule="auto"/>
        <w:ind w:left="0" w:firstLine="709"/>
        <w:jc w:val="both"/>
        <w:rPr>
          <w:rFonts w:ascii="Times New Roman" w:hAnsi="Times New Roman"/>
          <w:sz w:val="28"/>
          <w:szCs w:val="28"/>
        </w:rPr>
      </w:pPr>
      <w:r w:rsidRPr="0050653D">
        <w:rPr>
          <w:rFonts w:ascii="Times New Roman" w:hAnsi="Times New Roman"/>
          <w:sz w:val="28"/>
          <w:szCs w:val="28"/>
        </w:rPr>
        <w:t>-</w:t>
      </w:r>
      <w:r w:rsidR="0050653D">
        <w:rPr>
          <w:rFonts w:ascii="Times New Roman" w:hAnsi="Times New Roman"/>
          <w:sz w:val="28"/>
          <w:szCs w:val="28"/>
        </w:rPr>
        <w:t> </w:t>
      </w:r>
      <w:r w:rsidRPr="0050653D">
        <w:rPr>
          <w:rFonts w:ascii="Times New Roman" w:hAnsi="Times New Roman"/>
          <w:sz w:val="28"/>
          <w:szCs w:val="28"/>
        </w:rPr>
        <w:t>к сетям газораспределения подключено 717 индивидуальных домовладений;</w:t>
      </w:r>
    </w:p>
    <w:p w:rsidR="00B41C53" w:rsidRPr="0050653D" w:rsidRDefault="00B41C53" w:rsidP="0050653D">
      <w:pPr>
        <w:pStyle w:val="11"/>
        <w:spacing w:after="0" w:line="240" w:lineRule="auto"/>
        <w:ind w:left="0" w:firstLine="709"/>
        <w:jc w:val="both"/>
        <w:rPr>
          <w:rFonts w:ascii="Times New Roman" w:hAnsi="Times New Roman"/>
          <w:sz w:val="28"/>
          <w:szCs w:val="28"/>
        </w:rPr>
      </w:pPr>
      <w:r w:rsidRPr="0050653D">
        <w:rPr>
          <w:rFonts w:ascii="Times New Roman" w:hAnsi="Times New Roman"/>
          <w:sz w:val="28"/>
          <w:szCs w:val="28"/>
        </w:rPr>
        <w:t>- улучшили жилищные условия:</w:t>
      </w:r>
    </w:p>
    <w:p w:rsidR="00B41C53" w:rsidRPr="0050653D" w:rsidRDefault="00B41C53" w:rsidP="0050653D">
      <w:pPr>
        <w:pStyle w:val="11"/>
        <w:numPr>
          <w:ilvl w:val="0"/>
          <w:numId w:val="13"/>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201 молодой гражданин (семья), приобретены жилые помещения общей площадью 11121,06 м</w:t>
      </w:r>
      <w:r w:rsidRPr="0050653D">
        <w:rPr>
          <w:rFonts w:ascii="Times New Roman" w:hAnsi="Times New Roman" w:cs="Times New Roman"/>
          <w:sz w:val="28"/>
          <w:szCs w:val="28"/>
        </w:rPr>
        <w:t>²</w:t>
      </w:r>
      <w:r w:rsidRPr="0050653D">
        <w:rPr>
          <w:rFonts w:ascii="Times New Roman" w:hAnsi="Times New Roman"/>
          <w:sz w:val="28"/>
          <w:szCs w:val="28"/>
        </w:rPr>
        <w:t>;</w:t>
      </w:r>
    </w:p>
    <w:p w:rsidR="00B41C53" w:rsidRPr="0050653D" w:rsidRDefault="00B41C53" w:rsidP="0050653D">
      <w:pPr>
        <w:pStyle w:val="11"/>
        <w:numPr>
          <w:ilvl w:val="0"/>
          <w:numId w:val="13"/>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39 граждан (семей) с использованием средств ипотечных кредитов, приобретено 2449,5 м</w:t>
      </w:r>
      <w:r w:rsidRPr="0050653D">
        <w:rPr>
          <w:rFonts w:ascii="Times New Roman" w:hAnsi="Times New Roman" w:cs="Times New Roman"/>
          <w:sz w:val="28"/>
          <w:szCs w:val="28"/>
        </w:rPr>
        <w:t>²;</w:t>
      </w:r>
    </w:p>
    <w:p w:rsidR="00B41C53" w:rsidRPr="0050653D" w:rsidRDefault="00B41C53" w:rsidP="0050653D">
      <w:pPr>
        <w:pStyle w:val="ab"/>
        <w:numPr>
          <w:ilvl w:val="0"/>
          <w:numId w:val="13"/>
        </w:numPr>
        <w:tabs>
          <w:tab w:val="left" w:pos="993"/>
        </w:tabs>
        <w:ind w:left="0" w:firstLine="709"/>
        <w:contextualSpacing w:val="0"/>
        <w:jc w:val="both"/>
        <w:rPr>
          <w:rFonts w:cs="Calibri"/>
          <w:sz w:val="28"/>
          <w:szCs w:val="28"/>
        </w:rPr>
      </w:pPr>
      <w:r w:rsidRPr="0050653D">
        <w:rPr>
          <w:rFonts w:cs="Calibri"/>
          <w:sz w:val="28"/>
          <w:szCs w:val="28"/>
        </w:rPr>
        <w:t>57 сельских семей, приобретены жилые помещения общей площадью 3938,41 м²;</w:t>
      </w:r>
    </w:p>
    <w:p w:rsidR="00B41C53" w:rsidRPr="0050653D" w:rsidRDefault="00B41C53" w:rsidP="0050653D">
      <w:pPr>
        <w:pStyle w:val="11"/>
        <w:numPr>
          <w:ilvl w:val="0"/>
          <w:numId w:val="13"/>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переселено 2245 человек из аварийного жилищного фонда общей площадью 35014,47 м</w:t>
      </w:r>
      <w:r w:rsidRPr="0050653D">
        <w:rPr>
          <w:rFonts w:ascii="Times New Roman" w:hAnsi="Times New Roman" w:cs="Times New Roman"/>
          <w:sz w:val="28"/>
          <w:szCs w:val="28"/>
        </w:rPr>
        <w:t>²</w:t>
      </w:r>
      <w:r w:rsidRPr="0050653D">
        <w:rPr>
          <w:rFonts w:ascii="Times New Roman" w:hAnsi="Times New Roman"/>
          <w:sz w:val="28"/>
          <w:szCs w:val="28"/>
        </w:rPr>
        <w:t>;</w:t>
      </w:r>
    </w:p>
    <w:p w:rsidR="00B41C53" w:rsidRPr="0050653D" w:rsidRDefault="00B41C53" w:rsidP="0050653D">
      <w:pPr>
        <w:pStyle w:val="11"/>
        <w:numPr>
          <w:ilvl w:val="0"/>
          <w:numId w:val="13"/>
        </w:numPr>
        <w:tabs>
          <w:tab w:val="left" w:pos="993"/>
        </w:tabs>
        <w:spacing w:after="0" w:line="240" w:lineRule="auto"/>
        <w:ind w:left="0" w:firstLine="709"/>
        <w:jc w:val="both"/>
        <w:rPr>
          <w:rFonts w:ascii="Times New Roman" w:hAnsi="Times New Roman"/>
          <w:sz w:val="28"/>
          <w:szCs w:val="28"/>
        </w:rPr>
      </w:pPr>
      <w:r w:rsidRPr="0050653D">
        <w:rPr>
          <w:rFonts w:ascii="Times New Roman" w:hAnsi="Times New Roman"/>
          <w:sz w:val="28"/>
          <w:szCs w:val="28"/>
        </w:rPr>
        <w:t>приобретено 10 жилых помещений общей площадью 512,1 кв. м для обеспечения жилыми помещениями 22 граждан, пострадавших в результате пожара муниципального жилищного фонда.</w:t>
      </w:r>
    </w:p>
    <w:p w:rsidR="00B41C53" w:rsidRPr="0050653D" w:rsidRDefault="00B41C53" w:rsidP="0050653D">
      <w:pPr>
        <w:pStyle w:val="11"/>
        <w:spacing w:after="0" w:line="240" w:lineRule="auto"/>
        <w:ind w:left="0" w:firstLine="709"/>
        <w:jc w:val="both"/>
        <w:rPr>
          <w:rFonts w:ascii="Times New Roman" w:hAnsi="Times New Roman"/>
          <w:sz w:val="28"/>
          <w:szCs w:val="28"/>
        </w:rPr>
      </w:pPr>
      <w:proofErr w:type="gramStart"/>
      <w:r w:rsidRPr="0050653D">
        <w:rPr>
          <w:rFonts w:ascii="Times New Roman" w:hAnsi="Times New Roman"/>
          <w:sz w:val="28"/>
          <w:szCs w:val="28"/>
        </w:rPr>
        <w:lastRenderedPageBreak/>
        <w:t xml:space="preserve">Обеспечены инженерной и транспортной инфраструктурой 115 земельных участков в районах массовой жилой застройки, в том числе 84 участка, предоставленных многодетным семьям. </w:t>
      </w:r>
      <w:proofErr w:type="gramEnd"/>
    </w:p>
    <w:p w:rsidR="00B41C53" w:rsidRPr="0050653D" w:rsidRDefault="00B41C53" w:rsidP="0050653D">
      <w:pPr>
        <w:pStyle w:val="11"/>
        <w:spacing w:after="0" w:line="240" w:lineRule="auto"/>
        <w:ind w:left="0" w:firstLine="709"/>
        <w:jc w:val="both"/>
        <w:rPr>
          <w:rFonts w:ascii="Times New Roman" w:hAnsi="Times New Roman"/>
          <w:sz w:val="28"/>
          <w:szCs w:val="28"/>
        </w:rPr>
      </w:pPr>
      <w:r w:rsidRPr="0050653D">
        <w:rPr>
          <w:rFonts w:ascii="Times New Roman" w:hAnsi="Times New Roman"/>
          <w:sz w:val="28"/>
          <w:szCs w:val="28"/>
        </w:rPr>
        <w:t>Учитывая результаты финансирования и выполнения запланированных мероприятий, итоги реализации государственных программ за 2021 год можно признать удовлетворительными.</w:t>
      </w:r>
    </w:p>
    <w:p w:rsidR="00F66AEF" w:rsidRPr="00F72216" w:rsidRDefault="00B07D61" w:rsidP="0050653D">
      <w:pPr>
        <w:ind w:firstLine="709"/>
        <w:jc w:val="both"/>
        <w:rPr>
          <w:sz w:val="28"/>
          <w:szCs w:val="28"/>
        </w:rPr>
      </w:pPr>
      <w:r w:rsidRPr="0050653D">
        <w:rPr>
          <w:sz w:val="28"/>
          <w:szCs w:val="28"/>
        </w:rPr>
        <w:t xml:space="preserve">На </w:t>
      </w:r>
      <w:r w:rsidR="00F12167" w:rsidRPr="0050653D">
        <w:rPr>
          <w:sz w:val="28"/>
          <w:szCs w:val="28"/>
        </w:rPr>
        <w:t>прогнозируемый период 202</w:t>
      </w:r>
      <w:r w:rsidR="007C3772" w:rsidRPr="0050653D">
        <w:rPr>
          <w:sz w:val="28"/>
          <w:szCs w:val="28"/>
        </w:rPr>
        <w:t>3</w:t>
      </w:r>
      <w:r w:rsidR="004D7AC9" w:rsidRPr="0050653D">
        <w:rPr>
          <w:sz w:val="28"/>
          <w:szCs w:val="28"/>
        </w:rPr>
        <w:t xml:space="preserve"> – </w:t>
      </w:r>
      <w:r w:rsidR="004E3022" w:rsidRPr="0050653D">
        <w:rPr>
          <w:sz w:val="28"/>
          <w:szCs w:val="28"/>
        </w:rPr>
        <w:t>202</w:t>
      </w:r>
      <w:r w:rsidR="007C3772" w:rsidRPr="0050653D">
        <w:rPr>
          <w:sz w:val="28"/>
          <w:szCs w:val="28"/>
        </w:rPr>
        <w:t>5</w:t>
      </w:r>
      <w:r w:rsidR="004E3022" w:rsidRPr="0050653D">
        <w:rPr>
          <w:sz w:val="28"/>
          <w:szCs w:val="28"/>
        </w:rPr>
        <w:t xml:space="preserve"> </w:t>
      </w:r>
      <w:r w:rsidRPr="0050653D">
        <w:rPr>
          <w:sz w:val="28"/>
          <w:szCs w:val="28"/>
        </w:rPr>
        <w:t>год</w:t>
      </w:r>
      <w:r w:rsidR="004D7AC9" w:rsidRPr="0050653D">
        <w:rPr>
          <w:sz w:val="28"/>
          <w:szCs w:val="28"/>
        </w:rPr>
        <w:t>ов</w:t>
      </w:r>
      <w:r w:rsidRPr="0050653D">
        <w:rPr>
          <w:sz w:val="28"/>
          <w:szCs w:val="28"/>
        </w:rPr>
        <w:t xml:space="preserve"> финансирование государственных программ Ленинградской области планируется в соответствии </w:t>
      </w:r>
      <w:r w:rsidR="004E3022" w:rsidRPr="0050653D">
        <w:rPr>
          <w:sz w:val="28"/>
          <w:szCs w:val="28"/>
        </w:rPr>
        <w:br/>
      </w:r>
      <w:r w:rsidRPr="0050653D">
        <w:rPr>
          <w:sz w:val="28"/>
          <w:szCs w:val="28"/>
        </w:rPr>
        <w:t xml:space="preserve">с постановлениями Правительства Ленинградской области об утверждении государственных программ Ленинградской области в рамках бюджетных ассигнований, которые будут определены в </w:t>
      </w:r>
      <w:r w:rsidR="004D7AC9" w:rsidRPr="0050653D">
        <w:rPr>
          <w:sz w:val="28"/>
          <w:szCs w:val="28"/>
        </w:rPr>
        <w:t xml:space="preserve">областном </w:t>
      </w:r>
      <w:r w:rsidRPr="0050653D">
        <w:rPr>
          <w:sz w:val="28"/>
          <w:szCs w:val="28"/>
        </w:rPr>
        <w:t xml:space="preserve">законе об областном бюджете Ленинградской области на очередной финансовый год и </w:t>
      </w:r>
      <w:r w:rsidR="00FF7BCA" w:rsidRPr="0050653D">
        <w:rPr>
          <w:sz w:val="28"/>
          <w:szCs w:val="28"/>
        </w:rPr>
        <w:t xml:space="preserve">на </w:t>
      </w:r>
      <w:r w:rsidRPr="0050653D">
        <w:rPr>
          <w:sz w:val="28"/>
          <w:szCs w:val="28"/>
        </w:rPr>
        <w:t>плановый период</w:t>
      </w:r>
      <w:r w:rsidRPr="007C3772">
        <w:rPr>
          <w:sz w:val="28"/>
          <w:szCs w:val="28"/>
        </w:rPr>
        <w:t>.</w:t>
      </w:r>
    </w:p>
    <w:sectPr w:rsidR="00F66AEF" w:rsidRPr="00F72216" w:rsidSect="00F66AEF">
      <w:pgSz w:w="11906" w:h="16838"/>
      <w:pgMar w:top="1134" w:right="850" w:bottom="1134"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EE" w:rsidRDefault="005331EE" w:rsidP="00F77777">
      <w:r>
        <w:separator/>
      </w:r>
    </w:p>
  </w:endnote>
  <w:endnote w:type="continuationSeparator" w:id="0">
    <w:p w:rsidR="005331EE" w:rsidRDefault="005331EE" w:rsidP="00F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Gotham Pro">
    <w:altName w:val="Times New Roman"/>
    <w:panose1 w:val="00000000000000000000"/>
    <w:charset w:val="00"/>
    <w:family w:val="modern"/>
    <w:notTrueType/>
    <w:pitch w:val="variable"/>
    <w:sig w:usb0="00000000" w:usb1="5000204A" w:usb2="00000000" w:usb3="00000000" w:csb0="0000003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EE" w:rsidRDefault="005331EE" w:rsidP="00F77777">
      <w:r>
        <w:separator/>
      </w:r>
    </w:p>
  </w:footnote>
  <w:footnote w:type="continuationSeparator" w:id="0">
    <w:p w:rsidR="005331EE" w:rsidRDefault="005331EE" w:rsidP="00F77777">
      <w:r>
        <w:continuationSeparator/>
      </w:r>
    </w:p>
  </w:footnote>
  <w:footnote w:id="1">
    <w:p w:rsidR="005331EE" w:rsidRPr="0027760C" w:rsidRDefault="005331EE" w:rsidP="00084118">
      <w:pPr>
        <w:pStyle w:val="af"/>
        <w:rPr>
          <w:rFonts w:ascii="Times New Roman" w:hAnsi="Times New Roman"/>
          <w:sz w:val="22"/>
          <w:szCs w:val="22"/>
          <w:lang w:val="ru-RU"/>
        </w:rPr>
      </w:pPr>
      <w:r w:rsidRPr="0027760C">
        <w:rPr>
          <w:rStyle w:val="af1"/>
          <w:rFonts w:ascii="Times New Roman" w:hAnsi="Times New Roman"/>
          <w:sz w:val="22"/>
          <w:szCs w:val="22"/>
        </w:rPr>
        <w:footnoteRef/>
      </w:r>
      <w:r w:rsidRPr="0027760C">
        <w:rPr>
          <w:rFonts w:ascii="Times New Roman" w:hAnsi="Times New Roman"/>
          <w:sz w:val="22"/>
          <w:szCs w:val="22"/>
        </w:rPr>
        <w:t xml:space="preserve"> https://cbr.ru/press/pr/?file=22072022_133000Key.htm</w:t>
      </w:r>
    </w:p>
  </w:footnote>
  <w:footnote w:id="2">
    <w:p w:rsidR="005331EE" w:rsidRPr="009A08E0" w:rsidRDefault="005331EE" w:rsidP="009A08E0">
      <w:pPr>
        <w:pStyle w:val="af"/>
        <w:spacing w:after="120" w:line="240" w:lineRule="auto"/>
        <w:rPr>
          <w:rFonts w:ascii="Times New Roman" w:hAnsi="Times New Roman"/>
          <w:lang w:val="ru-RU"/>
        </w:rPr>
      </w:pPr>
      <w:r w:rsidRPr="009A08E0">
        <w:rPr>
          <w:rFonts w:ascii="Times New Roman" w:hAnsi="Times New Roman"/>
        </w:rPr>
        <w:footnoteRef/>
      </w:r>
      <w:r w:rsidRPr="009A08E0">
        <w:rPr>
          <w:rFonts w:ascii="Times New Roman" w:hAnsi="Times New Roman"/>
        </w:rPr>
        <w:t xml:space="preserve"> Стратеги</w:t>
      </w:r>
      <w:r>
        <w:rPr>
          <w:rFonts w:ascii="Times New Roman" w:hAnsi="Times New Roman"/>
          <w:lang w:val="ru-RU"/>
        </w:rPr>
        <w:t>я</w:t>
      </w:r>
      <w:r w:rsidRPr="009A08E0">
        <w:rPr>
          <w:rFonts w:ascii="Times New Roman" w:hAnsi="Times New Roman"/>
        </w:rPr>
        <w:t xml:space="preserve"> социально-экономического развития Ленинградской области до 2030 года (областной закон от 19</w:t>
      </w:r>
      <w:r>
        <w:rPr>
          <w:rFonts w:ascii="Times New Roman" w:hAnsi="Times New Roman"/>
          <w:lang w:val="ru-RU"/>
        </w:rPr>
        <w:t>.12.</w:t>
      </w:r>
      <w:r w:rsidRPr="009A08E0">
        <w:rPr>
          <w:rFonts w:ascii="Times New Roman" w:hAnsi="Times New Roman"/>
        </w:rPr>
        <w:t xml:space="preserve">2019 </w:t>
      </w:r>
      <w:r>
        <w:rPr>
          <w:rFonts w:ascii="Times New Roman" w:hAnsi="Times New Roman"/>
        </w:rPr>
        <w:t>№ 100-оз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976983"/>
      <w:docPartObj>
        <w:docPartGallery w:val="Page Numbers (Top of Page)"/>
        <w:docPartUnique/>
      </w:docPartObj>
    </w:sdtPr>
    <w:sdtEndPr/>
    <w:sdtContent>
      <w:p w:rsidR="005331EE" w:rsidRDefault="005331EE">
        <w:pPr>
          <w:pStyle w:val="a3"/>
          <w:jc w:val="center"/>
        </w:pPr>
        <w:r>
          <w:fldChar w:fldCharType="begin"/>
        </w:r>
        <w:r>
          <w:instrText>PAGE   \* MERGEFORMAT</w:instrText>
        </w:r>
        <w:r>
          <w:fldChar w:fldCharType="separate"/>
        </w:r>
        <w:r w:rsidR="00512CF1">
          <w:rPr>
            <w:noProof/>
          </w:rPr>
          <w:t>37</w:t>
        </w:r>
        <w:r>
          <w:fldChar w:fldCharType="end"/>
        </w:r>
      </w:p>
    </w:sdtContent>
  </w:sdt>
  <w:p w:rsidR="005331EE" w:rsidRDefault="005331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E" w:rsidRDefault="005331EE">
    <w:pPr>
      <w:pStyle w:val="a3"/>
      <w:jc w:val="center"/>
    </w:pPr>
  </w:p>
  <w:p w:rsidR="005331EE" w:rsidRDefault="005331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3BF"/>
    <w:multiLevelType w:val="hybridMultilevel"/>
    <w:tmpl w:val="166463D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13350A"/>
    <w:multiLevelType w:val="hybridMultilevel"/>
    <w:tmpl w:val="DF5A2082"/>
    <w:lvl w:ilvl="0" w:tplc="0896DF6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1E404F"/>
    <w:multiLevelType w:val="hybridMultilevel"/>
    <w:tmpl w:val="CCB2801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D345D85"/>
    <w:multiLevelType w:val="hybridMultilevel"/>
    <w:tmpl w:val="DE7CE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E130FF"/>
    <w:multiLevelType w:val="hybridMultilevel"/>
    <w:tmpl w:val="93127FDC"/>
    <w:lvl w:ilvl="0" w:tplc="DC66E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6E0FE0"/>
    <w:multiLevelType w:val="hybridMultilevel"/>
    <w:tmpl w:val="9FDE7E14"/>
    <w:lvl w:ilvl="0" w:tplc="A19C7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C50E81"/>
    <w:multiLevelType w:val="multilevel"/>
    <w:tmpl w:val="4BC50E8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CC72396"/>
    <w:multiLevelType w:val="hybridMultilevel"/>
    <w:tmpl w:val="2B34C372"/>
    <w:lvl w:ilvl="0" w:tplc="126AE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C73000"/>
    <w:multiLevelType w:val="hybridMultilevel"/>
    <w:tmpl w:val="7ED077A2"/>
    <w:lvl w:ilvl="0" w:tplc="0896DF6A">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BE1CEB"/>
    <w:multiLevelType w:val="hybridMultilevel"/>
    <w:tmpl w:val="218417C0"/>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33A024A"/>
    <w:multiLevelType w:val="hybridMultilevel"/>
    <w:tmpl w:val="F36AE7E8"/>
    <w:lvl w:ilvl="0" w:tplc="91388D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B864842"/>
    <w:multiLevelType w:val="hybridMultilevel"/>
    <w:tmpl w:val="7D98CAD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F864772"/>
    <w:multiLevelType w:val="hybridMultilevel"/>
    <w:tmpl w:val="27BA4CB8"/>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77D91E36"/>
    <w:multiLevelType w:val="hybridMultilevel"/>
    <w:tmpl w:val="7EB2EB52"/>
    <w:lvl w:ilvl="0" w:tplc="0F9E635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1"/>
  </w:num>
  <w:num w:numId="2">
    <w:abstractNumId w:val="1"/>
  </w:num>
  <w:num w:numId="3">
    <w:abstractNumId w:val="8"/>
  </w:num>
  <w:num w:numId="4">
    <w:abstractNumId w:val="9"/>
  </w:num>
  <w:num w:numId="5">
    <w:abstractNumId w:val="13"/>
  </w:num>
  <w:num w:numId="6">
    <w:abstractNumId w:val="6"/>
  </w:num>
  <w:num w:numId="7">
    <w:abstractNumId w:val="7"/>
  </w:num>
  <w:num w:numId="8">
    <w:abstractNumId w:val="4"/>
  </w:num>
  <w:num w:numId="9">
    <w:abstractNumId w:val="5"/>
  </w:num>
  <w:num w:numId="10">
    <w:abstractNumId w:val="10"/>
  </w:num>
  <w:num w:numId="11">
    <w:abstractNumId w:val="3"/>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872dc4f-2144-4fa6-9350-f3a483199be9"/>
  </w:docVars>
  <w:rsids>
    <w:rsidRoot w:val="0085636C"/>
    <w:rsid w:val="000002EE"/>
    <w:rsid w:val="00013CC5"/>
    <w:rsid w:val="00021412"/>
    <w:rsid w:val="000223E2"/>
    <w:rsid w:val="00032214"/>
    <w:rsid w:val="00032BE3"/>
    <w:rsid w:val="00040A42"/>
    <w:rsid w:val="00041B5A"/>
    <w:rsid w:val="00047F56"/>
    <w:rsid w:val="000578CB"/>
    <w:rsid w:val="00062E30"/>
    <w:rsid w:val="00076F55"/>
    <w:rsid w:val="000836D0"/>
    <w:rsid w:val="00084118"/>
    <w:rsid w:val="000848F5"/>
    <w:rsid w:val="00084C01"/>
    <w:rsid w:val="000933B0"/>
    <w:rsid w:val="00093A3E"/>
    <w:rsid w:val="000A3B41"/>
    <w:rsid w:val="000A7DAC"/>
    <w:rsid w:val="000B0800"/>
    <w:rsid w:val="000B2C74"/>
    <w:rsid w:val="000B7C24"/>
    <w:rsid w:val="000C4D0A"/>
    <w:rsid w:val="000D2E34"/>
    <w:rsid w:val="000D54A6"/>
    <w:rsid w:val="000D7061"/>
    <w:rsid w:val="000E70B6"/>
    <w:rsid w:val="000F5DDE"/>
    <w:rsid w:val="001251B7"/>
    <w:rsid w:val="00126744"/>
    <w:rsid w:val="00136A22"/>
    <w:rsid w:val="00137DD1"/>
    <w:rsid w:val="00141582"/>
    <w:rsid w:val="00143692"/>
    <w:rsid w:val="00147A8F"/>
    <w:rsid w:val="001530A6"/>
    <w:rsid w:val="00156C2A"/>
    <w:rsid w:val="00162E8F"/>
    <w:rsid w:val="00174BAA"/>
    <w:rsid w:val="0017791B"/>
    <w:rsid w:val="00190D26"/>
    <w:rsid w:val="00191FBA"/>
    <w:rsid w:val="00196680"/>
    <w:rsid w:val="001A06A8"/>
    <w:rsid w:val="001A31AF"/>
    <w:rsid w:val="001B4AA4"/>
    <w:rsid w:val="001D03E7"/>
    <w:rsid w:val="001D0C34"/>
    <w:rsid w:val="001D2161"/>
    <w:rsid w:val="001D358E"/>
    <w:rsid w:val="001D7655"/>
    <w:rsid w:val="001E1625"/>
    <w:rsid w:val="001E26FD"/>
    <w:rsid w:val="001E7823"/>
    <w:rsid w:val="001F0B65"/>
    <w:rsid w:val="001F750E"/>
    <w:rsid w:val="00211CC1"/>
    <w:rsid w:val="00215501"/>
    <w:rsid w:val="002160A5"/>
    <w:rsid w:val="00221F01"/>
    <w:rsid w:val="00222BE4"/>
    <w:rsid w:val="002250E0"/>
    <w:rsid w:val="002265EE"/>
    <w:rsid w:val="00230230"/>
    <w:rsid w:val="0023119F"/>
    <w:rsid w:val="002312F2"/>
    <w:rsid w:val="00240919"/>
    <w:rsid w:val="00246663"/>
    <w:rsid w:val="00250580"/>
    <w:rsid w:val="00261F8F"/>
    <w:rsid w:val="00264928"/>
    <w:rsid w:val="00264FA8"/>
    <w:rsid w:val="00272E29"/>
    <w:rsid w:val="0027760C"/>
    <w:rsid w:val="00277E45"/>
    <w:rsid w:val="0028059C"/>
    <w:rsid w:val="00283993"/>
    <w:rsid w:val="00284604"/>
    <w:rsid w:val="002861E1"/>
    <w:rsid w:val="00290FEF"/>
    <w:rsid w:val="00296668"/>
    <w:rsid w:val="002A07B4"/>
    <w:rsid w:val="002A30EC"/>
    <w:rsid w:val="002B2B77"/>
    <w:rsid w:val="002C3EF4"/>
    <w:rsid w:val="002C662C"/>
    <w:rsid w:val="002C75B4"/>
    <w:rsid w:val="002D5568"/>
    <w:rsid w:val="002E13C6"/>
    <w:rsid w:val="002E3AD1"/>
    <w:rsid w:val="002F0984"/>
    <w:rsid w:val="002F22E6"/>
    <w:rsid w:val="002F7733"/>
    <w:rsid w:val="00301B6B"/>
    <w:rsid w:val="00305BA7"/>
    <w:rsid w:val="00305C3A"/>
    <w:rsid w:val="003158D4"/>
    <w:rsid w:val="00315CB1"/>
    <w:rsid w:val="00325745"/>
    <w:rsid w:val="003304D4"/>
    <w:rsid w:val="00337BD6"/>
    <w:rsid w:val="00340D73"/>
    <w:rsid w:val="00343365"/>
    <w:rsid w:val="00344FE9"/>
    <w:rsid w:val="00354020"/>
    <w:rsid w:val="00355C0B"/>
    <w:rsid w:val="00361BFE"/>
    <w:rsid w:val="00362BE4"/>
    <w:rsid w:val="00367834"/>
    <w:rsid w:val="00383233"/>
    <w:rsid w:val="00386D53"/>
    <w:rsid w:val="00387D44"/>
    <w:rsid w:val="003A3F37"/>
    <w:rsid w:val="003D54F9"/>
    <w:rsid w:val="003E1CC3"/>
    <w:rsid w:val="003E5773"/>
    <w:rsid w:val="003F3844"/>
    <w:rsid w:val="003F48CC"/>
    <w:rsid w:val="00400436"/>
    <w:rsid w:val="00405363"/>
    <w:rsid w:val="0040676B"/>
    <w:rsid w:val="004102CE"/>
    <w:rsid w:val="00415B81"/>
    <w:rsid w:val="0043327F"/>
    <w:rsid w:val="00440F00"/>
    <w:rsid w:val="00452100"/>
    <w:rsid w:val="00452F52"/>
    <w:rsid w:val="004535C2"/>
    <w:rsid w:val="00454EAB"/>
    <w:rsid w:val="004553D2"/>
    <w:rsid w:val="004570BD"/>
    <w:rsid w:val="00457FD3"/>
    <w:rsid w:val="00471570"/>
    <w:rsid w:val="00481531"/>
    <w:rsid w:val="00481FAB"/>
    <w:rsid w:val="004820D8"/>
    <w:rsid w:val="004834F1"/>
    <w:rsid w:val="00486213"/>
    <w:rsid w:val="00492694"/>
    <w:rsid w:val="00494DB7"/>
    <w:rsid w:val="00496B9E"/>
    <w:rsid w:val="004A2399"/>
    <w:rsid w:val="004A53A4"/>
    <w:rsid w:val="004A7E93"/>
    <w:rsid w:val="004B235C"/>
    <w:rsid w:val="004B3C4B"/>
    <w:rsid w:val="004C18C3"/>
    <w:rsid w:val="004C2722"/>
    <w:rsid w:val="004C3251"/>
    <w:rsid w:val="004D2468"/>
    <w:rsid w:val="004D7AC9"/>
    <w:rsid w:val="004E10F6"/>
    <w:rsid w:val="004E3022"/>
    <w:rsid w:val="004F5C50"/>
    <w:rsid w:val="004F5FDF"/>
    <w:rsid w:val="0050114A"/>
    <w:rsid w:val="0050340F"/>
    <w:rsid w:val="0050653D"/>
    <w:rsid w:val="005116A3"/>
    <w:rsid w:val="00512CF1"/>
    <w:rsid w:val="00514FE5"/>
    <w:rsid w:val="00517FBC"/>
    <w:rsid w:val="005331EE"/>
    <w:rsid w:val="00536A7A"/>
    <w:rsid w:val="005423C7"/>
    <w:rsid w:val="0054252B"/>
    <w:rsid w:val="0054279D"/>
    <w:rsid w:val="00543548"/>
    <w:rsid w:val="00545878"/>
    <w:rsid w:val="0054697D"/>
    <w:rsid w:val="0057468E"/>
    <w:rsid w:val="0057588D"/>
    <w:rsid w:val="00587A02"/>
    <w:rsid w:val="00592498"/>
    <w:rsid w:val="00593B71"/>
    <w:rsid w:val="005A00C4"/>
    <w:rsid w:val="005C1D40"/>
    <w:rsid w:val="005C1DF1"/>
    <w:rsid w:val="005C289A"/>
    <w:rsid w:val="005E356A"/>
    <w:rsid w:val="005F2A68"/>
    <w:rsid w:val="006004B9"/>
    <w:rsid w:val="00604606"/>
    <w:rsid w:val="006175B6"/>
    <w:rsid w:val="006206DD"/>
    <w:rsid w:val="00621325"/>
    <w:rsid w:val="0062324A"/>
    <w:rsid w:val="006242CD"/>
    <w:rsid w:val="00624A1A"/>
    <w:rsid w:val="00627F43"/>
    <w:rsid w:val="00640193"/>
    <w:rsid w:val="00647698"/>
    <w:rsid w:val="00654DFA"/>
    <w:rsid w:val="00656827"/>
    <w:rsid w:val="00661A38"/>
    <w:rsid w:val="0066303D"/>
    <w:rsid w:val="006702B8"/>
    <w:rsid w:val="00670DD0"/>
    <w:rsid w:val="00676E59"/>
    <w:rsid w:val="00683F1C"/>
    <w:rsid w:val="006848EF"/>
    <w:rsid w:val="006A4376"/>
    <w:rsid w:val="006A526C"/>
    <w:rsid w:val="006A720C"/>
    <w:rsid w:val="006B4949"/>
    <w:rsid w:val="006B553F"/>
    <w:rsid w:val="006B6E80"/>
    <w:rsid w:val="006C4A9F"/>
    <w:rsid w:val="006D4FBE"/>
    <w:rsid w:val="006E15AA"/>
    <w:rsid w:val="006E17FE"/>
    <w:rsid w:val="006E3F39"/>
    <w:rsid w:val="006E4001"/>
    <w:rsid w:val="00704FB9"/>
    <w:rsid w:val="00707D7B"/>
    <w:rsid w:val="00715CF9"/>
    <w:rsid w:val="007209F9"/>
    <w:rsid w:val="0072224C"/>
    <w:rsid w:val="00725C08"/>
    <w:rsid w:val="00730E89"/>
    <w:rsid w:val="00736AF1"/>
    <w:rsid w:val="00742F28"/>
    <w:rsid w:val="00753ACB"/>
    <w:rsid w:val="00754803"/>
    <w:rsid w:val="00760406"/>
    <w:rsid w:val="00760962"/>
    <w:rsid w:val="00761037"/>
    <w:rsid w:val="007638F9"/>
    <w:rsid w:val="00770FBF"/>
    <w:rsid w:val="007807E8"/>
    <w:rsid w:val="007835FD"/>
    <w:rsid w:val="00791612"/>
    <w:rsid w:val="00794D1B"/>
    <w:rsid w:val="007A245B"/>
    <w:rsid w:val="007A2F03"/>
    <w:rsid w:val="007A48FA"/>
    <w:rsid w:val="007B5F14"/>
    <w:rsid w:val="007C2272"/>
    <w:rsid w:val="007C3772"/>
    <w:rsid w:val="007C4A5C"/>
    <w:rsid w:val="007C7500"/>
    <w:rsid w:val="007D505A"/>
    <w:rsid w:val="007E50D5"/>
    <w:rsid w:val="007F17A4"/>
    <w:rsid w:val="00800BB0"/>
    <w:rsid w:val="008138FD"/>
    <w:rsid w:val="008208B9"/>
    <w:rsid w:val="00825923"/>
    <w:rsid w:val="00830991"/>
    <w:rsid w:val="00832A83"/>
    <w:rsid w:val="00832FB8"/>
    <w:rsid w:val="0083320D"/>
    <w:rsid w:val="008337D8"/>
    <w:rsid w:val="008421DD"/>
    <w:rsid w:val="00845068"/>
    <w:rsid w:val="0085636C"/>
    <w:rsid w:val="008608AB"/>
    <w:rsid w:val="00872D5C"/>
    <w:rsid w:val="008822FC"/>
    <w:rsid w:val="00890DE9"/>
    <w:rsid w:val="008A4803"/>
    <w:rsid w:val="008A51FC"/>
    <w:rsid w:val="008B009E"/>
    <w:rsid w:val="008B5E95"/>
    <w:rsid w:val="008C53C6"/>
    <w:rsid w:val="008D0C74"/>
    <w:rsid w:val="008D249A"/>
    <w:rsid w:val="008D424E"/>
    <w:rsid w:val="008E0015"/>
    <w:rsid w:val="008E5A21"/>
    <w:rsid w:val="008E790E"/>
    <w:rsid w:val="008F6374"/>
    <w:rsid w:val="00904966"/>
    <w:rsid w:val="009118E1"/>
    <w:rsid w:val="00912A01"/>
    <w:rsid w:val="0091468D"/>
    <w:rsid w:val="009241D2"/>
    <w:rsid w:val="00927CAE"/>
    <w:rsid w:val="00934F99"/>
    <w:rsid w:val="009364F6"/>
    <w:rsid w:val="00940CD0"/>
    <w:rsid w:val="00947E68"/>
    <w:rsid w:val="00952A86"/>
    <w:rsid w:val="00952E05"/>
    <w:rsid w:val="00955FDE"/>
    <w:rsid w:val="0096276E"/>
    <w:rsid w:val="00965A9F"/>
    <w:rsid w:val="00966323"/>
    <w:rsid w:val="009753FD"/>
    <w:rsid w:val="0098086A"/>
    <w:rsid w:val="009863F9"/>
    <w:rsid w:val="009909C7"/>
    <w:rsid w:val="00991A82"/>
    <w:rsid w:val="0099487F"/>
    <w:rsid w:val="00994E35"/>
    <w:rsid w:val="009955DB"/>
    <w:rsid w:val="009A08E0"/>
    <w:rsid w:val="009A2F66"/>
    <w:rsid w:val="009A5B24"/>
    <w:rsid w:val="009B0B14"/>
    <w:rsid w:val="009B1A50"/>
    <w:rsid w:val="009B55E2"/>
    <w:rsid w:val="009B5C2F"/>
    <w:rsid w:val="009C1911"/>
    <w:rsid w:val="009C3AFF"/>
    <w:rsid w:val="009E20BF"/>
    <w:rsid w:val="009E50FE"/>
    <w:rsid w:val="009F5643"/>
    <w:rsid w:val="009F6DE5"/>
    <w:rsid w:val="00A151E9"/>
    <w:rsid w:val="00A228BF"/>
    <w:rsid w:val="00A22EEE"/>
    <w:rsid w:val="00A24505"/>
    <w:rsid w:val="00A3072F"/>
    <w:rsid w:val="00A37605"/>
    <w:rsid w:val="00A42E46"/>
    <w:rsid w:val="00A45D17"/>
    <w:rsid w:val="00A525A4"/>
    <w:rsid w:val="00A533A9"/>
    <w:rsid w:val="00A718BF"/>
    <w:rsid w:val="00A74853"/>
    <w:rsid w:val="00A800E2"/>
    <w:rsid w:val="00A803DB"/>
    <w:rsid w:val="00A80B97"/>
    <w:rsid w:val="00A85EAA"/>
    <w:rsid w:val="00A90AA9"/>
    <w:rsid w:val="00A92CC7"/>
    <w:rsid w:val="00AA048F"/>
    <w:rsid w:val="00AB0145"/>
    <w:rsid w:val="00AB0A17"/>
    <w:rsid w:val="00AB0D1B"/>
    <w:rsid w:val="00AB4441"/>
    <w:rsid w:val="00AB4835"/>
    <w:rsid w:val="00AC6586"/>
    <w:rsid w:val="00AC69F3"/>
    <w:rsid w:val="00AD62B2"/>
    <w:rsid w:val="00AD6753"/>
    <w:rsid w:val="00AD6EF0"/>
    <w:rsid w:val="00AF0A4D"/>
    <w:rsid w:val="00AF26B9"/>
    <w:rsid w:val="00AF7C49"/>
    <w:rsid w:val="00B026EB"/>
    <w:rsid w:val="00B05E53"/>
    <w:rsid w:val="00B07D61"/>
    <w:rsid w:val="00B10EF9"/>
    <w:rsid w:val="00B122CD"/>
    <w:rsid w:val="00B20387"/>
    <w:rsid w:val="00B247DF"/>
    <w:rsid w:val="00B262C0"/>
    <w:rsid w:val="00B41C53"/>
    <w:rsid w:val="00B450E2"/>
    <w:rsid w:val="00B4587D"/>
    <w:rsid w:val="00B45C7E"/>
    <w:rsid w:val="00B45CC2"/>
    <w:rsid w:val="00B50C97"/>
    <w:rsid w:val="00B52272"/>
    <w:rsid w:val="00B53B55"/>
    <w:rsid w:val="00B57010"/>
    <w:rsid w:val="00B66744"/>
    <w:rsid w:val="00B70B03"/>
    <w:rsid w:val="00B72E54"/>
    <w:rsid w:val="00B75CEE"/>
    <w:rsid w:val="00B8007E"/>
    <w:rsid w:val="00B902F2"/>
    <w:rsid w:val="00B90E3A"/>
    <w:rsid w:val="00BA18DE"/>
    <w:rsid w:val="00BA1A7E"/>
    <w:rsid w:val="00BB1CBA"/>
    <w:rsid w:val="00BB6F13"/>
    <w:rsid w:val="00BB7AE6"/>
    <w:rsid w:val="00BD7686"/>
    <w:rsid w:val="00BE0659"/>
    <w:rsid w:val="00BE233B"/>
    <w:rsid w:val="00BE6842"/>
    <w:rsid w:val="00BE7C04"/>
    <w:rsid w:val="00BF2526"/>
    <w:rsid w:val="00C0511C"/>
    <w:rsid w:val="00C13F99"/>
    <w:rsid w:val="00C219C9"/>
    <w:rsid w:val="00C247F9"/>
    <w:rsid w:val="00C24B91"/>
    <w:rsid w:val="00C27501"/>
    <w:rsid w:val="00C31A7D"/>
    <w:rsid w:val="00C356D4"/>
    <w:rsid w:val="00C403E7"/>
    <w:rsid w:val="00C438AA"/>
    <w:rsid w:val="00C47F51"/>
    <w:rsid w:val="00C505B3"/>
    <w:rsid w:val="00C51951"/>
    <w:rsid w:val="00C553A6"/>
    <w:rsid w:val="00C5675E"/>
    <w:rsid w:val="00C63F32"/>
    <w:rsid w:val="00C73255"/>
    <w:rsid w:val="00C74799"/>
    <w:rsid w:val="00C80F5A"/>
    <w:rsid w:val="00C8481B"/>
    <w:rsid w:val="00C91D2C"/>
    <w:rsid w:val="00C950FC"/>
    <w:rsid w:val="00C95C13"/>
    <w:rsid w:val="00CA52D0"/>
    <w:rsid w:val="00CC5A8B"/>
    <w:rsid w:val="00CC5FE5"/>
    <w:rsid w:val="00CD3AE9"/>
    <w:rsid w:val="00D016AD"/>
    <w:rsid w:val="00D066FA"/>
    <w:rsid w:val="00D0740E"/>
    <w:rsid w:val="00D117AB"/>
    <w:rsid w:val="00D15B89"/>
    <w:rsid w:val="00D16758"/>
    <w:rsid w:val="00D20ADF"/>
    <w:rsid w:val="00D2118E"/>
    <w:rsid w:val="00D2158D"/>
    <w:rsid w:val="00D408ED"/>
    <w:rsid w:val="00D4150D"/>
    <w:rsid w:val="00D43AB1"/>
    <w:rsid w:val="00D6219D"/>
    <w:rsid w:val="00D62DCF"/>
    <w:rsid w:val="00D63F8C"/>
    <w:rsid w:val="00D72527"/>
    <w:rsid w:val="00D7345C"/>
    <w:rsid w:val="00D82955"/>
    <w:rsid w:val="00D842CB"/>
    <w:rsid w:val="00D867C9"/>
    <w:rsid w:val="00D909C6"/>
    <w:rsid w:val="00D910B7"/>
    <w:rsid w:val="00D92454"/>
    <w:rsid w:val="00D948D6"/>
    <w:rsid w:val="00DA0E31"/>
    <w:rsid w:val="00DA2F56"/>
    <w:rsid w:val="00DA4C64"/>
    <w:rsid w:val="00DB1E44"/>
    <w:rsid w:val="00DD28A8"/>
    <w:rsid w:val="00DD69EF"/>
    <w:rsid w:val="00DE27FC"/>
    <w:rsid w:val="00DE3A19"/>
    <w:rsid w:val="00DE7116"/>
    <w:rsid w:val="00DF6810"/>
    <w:rsid w:val="00E02853"/>
    <w:rsid w:val="00E03656"/>
    <w:rsid w:val="00E04B96"/>
    <w:rsid w:val="00E0550B"/>
    <w:rsid w:val="00E105D7"/>
    <w:rsid w:val="00E2069C"/>
    <w:rsid w:val="00E261E9"/>
    <w:rsid w:val="00E26A06"/>
    <w:rsid w:val="00E27020"/>
    <w:rsid w:val="00E30C78"/>
    <w:rsid w:val="00E311ED"/>
    <w:rsid w:val="00E34F80"/>
    <w:rsid w:val="00E51F2A"/>
    <w:rsid w:val="00E63A55"/>
    <w:rsid w:val="00E66846"/>
    <w:rsid w:val="00E7136D"/>
    <w:rsid w:val="00E8222C"/>
    <w:rsid w:val="00E8654C"/>
    <w:rsid w:val="00E917D3"/>
    <w:rsid w:val="00EA0429"/>
    <w:rsid w:val="00EA1742"/>
    <w:rsid w:val="00EB0189"/>
    <w:rsid w:val="00EB3177"/>
    <w:rsid w:val="00EB40FE"/>
    <w:rsid w:val="00EC1D8F"/>
    <w:rsid w:val="00EC2E78"/>
    <w:rsid w:val="00EC735E"/>
    <w:rsid w:val="00ED6626"/>
    <w:rsid w:val="00ED6E4F"/>
    <w:rsid w:val="00ED7AB6"/>
    <w:rsid w:val="00EF60F0"/>
    <w:rsid w:val="00F00D90"/>
    <w:rsid w:val="00F00EBC"/>
    <w:rsid w:val="00F019A7"/>
    <w:rsid w:val="00F055ED"/>
    <w:rsid w:val="00F12167"/>
    <w:rsid w:val="00F15733"/>
    <w:rsid w:val="00F17BCE"/>
    <w:rsid w:val="00F345B5"/>
    <w:rsid w:val="00F367FC"/>
    <w:rsid w:val="00F37057"/>
    <w:rsid w:val="00F37438"/>
    <w:rsid w:val="00F409BE"/>
    <w:rsid w:val="00F450A5"/>
    <w:rsid w:val="00F52EEB"/>
    <w:rsid w:val="00F57E21"/>
    <w:rsid w:val="00F57EFF"/>
    <w:rsid w:val="00F6077D"/>
    <w:rsid w:val="00F62863"/>
    <w:rsid w:val="00F64DEB"/>
    <w:rsid w:val="00F66AEF"/>
    <w:rsid w:val="00F66D55"/>
    <w:rsid w:val="00F72216"/>
    <w:rsid w:val="00F77777"/>
    <w:rsid w:val="00F80391"/>
    <w:rsid w:val="00F81201"/>
    <w:rsid w:val="00F83B3D"/>
    <w:rsid w:val="00F8448A"/>
    <w:rsid w:val="00F84A8C"/>
    <w:rsid w:val="00F86B9E"/>
    <w:rsid w:val="00FA6ECE"/>
    <w:rsid w:val="00FB53EC"/>
    <w:rsid w:val="00FC174E"/>
    <w:rsid w:val="00FC5A2D"/>
    <w:rsid w:val="00FD0A12"/>
    <w:rsid w:val="00FF0D60"/>
    <w:rsid w:val="00FF7BC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4DB7"/>
    <w:pPr>
      <w:keepNext/>
      <w:spacing w:after="200" w:line="276" w:lineRule="auto"/>
      <w:outlineLvl w:val="0"/>
    </w:pPr>
    <w:rPr>
      <w:i/>
      <w:iCs/>
    </w:rPr>
  </w:style>
  <w:style w:type="paragraph" w:styleId="2">
    <w:name w:val="heading 2"/>
    <w:basedOn w:val="a"/>
    <w:next w:val="a"/>
    <w:link w:val="20"/>
    <w:uiPriority w:val="9"/>
    <w:semiHidden/>
    <w:unhideWhenUsed/>
    <w:qFormat/>
    <w:rsid w:val="00191F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777"/>
    <w:pPr>
      <w:tabs>
        <w:tab w:val="center" w:pos="4677"/>
        <w:tab w:val="right" w:pos="9355"/>
      </w:tabs>
    </w:pPr>
  </w:style>
  <w:style w:type="character" w:customStyle="1" w:styleId="a4">
    <w:name w:val="Верхний колонтитул Знак"/>
    <w:basedOn w:val="a0"/>
    <w:link w:val="a3"/>
    <w:uiPriority w:val="99"/>
    <w:rsid w:val="00F7777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77777"/>
    <w:pPr>
      <w:tabs>
        <w:tab w:val="center" w:pos="4677"/>
        <w:tab w:val="right" w:pos="9355"/>
      </w:tabs>
    </w:pPr>
  </w:style>
  <w:style w:type="character" w:customStyle="1" w:styleId="a6">
    <w:name w:val="Нижний колонтитул Знак"/>
    <w:basedOn w:val="a0"/>
    <w:link w:val="a5"/>
    <w:uiPriority w:val="99"/>
    <w:rsid w:val="00F7777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A52D0"/>
    <w:rPr>
      <w:rFonts w:ascii="Tahoma" w:hAnsi="Tahoma" w:cs="Tahoma"/>
      <w:sz w:val="16"/>
      <w:szCs w:val="16"/>
    </w:rPr>
  </w:style>
  <w:style w:type="character" w:customStyle="1" w:styleId="a8">
    <w:name w:val="Текст выноски Знак"/>
    <w:basedOn w:val="a0"/>
    <w:link w:val="a7"/>
    <w:uiPriority w:val="99"/>
    <w:semiHidden/>
    <w:rsid w:val="00CA52D0"/>
    <w:rPr>
      <w:rFonts w:ascii="Tahoma" w:eastAsia="Times New Roman" w:hAnsi="Tahoma" w:cs="Tahoma"/>
      <w:sz w:val="16"/>
      <w:szCs w:val="16"/>
      <w:lang w:eastAsia="ru-RU"/>
    </w:rPr>
  </w:style>
  <w:style w:type="paragraph" w:styleId="a9">
    <w:name w:val="Body Text Indent"/>
    <w:basedOn w:val="a"/>
    <w:link w:val="aa"/>
    <w:rsid w:val="002C3EF4"/>
    <w:pPr>
      <w:spacing w:after="120"/>
      <w:ind w:left="283"/>
    </w:pPr>
  </w:style>
  <w:style w:type="character" w:customStyle="1" w:styleId="aa">
    <w:name w:val="Основной текст с отступом Знак"/>
    <w:basedOn w:val="a0"/>
    <w:link w:val="a9"/>
    <w:rsid w:val="002C3EF4"/>
    <w:rPr>
      <w:rFonts w:ascii="Times New Roman" w:eastAsia="Times New Roman" w:hAnsi="Times New Roman" w:cs="Times New Roman"/>
      <w:sz w:val="24"/>
      <w:szCs w:val="24"/>
      <w:lang w:eastAsia="ru-RU"/>
    </w:rPr>
  </w:style>
  <w:style w:type="paragraph" w:styleId="ab">
    <w:name w:val="List Paragraph"/>
    <w:basedOn w:val="a"/>
    <w:uiPriority w:val="34"/>
    <w:qFormat/>
    <w:rsid w:val="00D117AB"/>
    <w:pPr>
      <w:ind w:left="720"/>
      <w:contextualSpacing/>
    </w:pPr>
  </w:style>
  <w:style w:type="paragraph" w:styleId="ac">
    <w:name w:val="Body Text"/>
    <w:basedOn w:val="a"/>
    <w:link w:val="ad"/>
    <w:uiPriority w:val="99"/>
    <w:unhideWhenUsed/>
    <w:rsid w:val="007A48FA"/>
    <w:pPr>
      <w:spacing w:after="120"/>
    </w:pPr>
  </w:style>
  <w:style w:type="character" w:customStyle="1" w:styleId="ad">
    <w:name w:val="Основной текст Знак"/>
    <w:basedOn w:val="a0"/>
    <w:link w:val="ac"/>
    <w:uiPriority w:val="99"/>
    <w:rsid w:val="007A48FA"/>
    <w:rPr>
      <w:rFonts w:ascii="Times New Roman" w:eastAsia="Times New Roman" w:hAnsi="Times New Roman" w:cs="Times New Roman"/>
      <w:sz w:val="24"/>
      <w:szCs w:val="24"/>
      <w:lang w:eastAsia="ru-RU"/>
    </w:rPr>
  </w:style>
  <w:style w:type="paragraph" w:customStyle="1" w:styleId="24">
    <w:name w:val="Основной текст 24"/>
    <w:basedOn w:val="a"/>
    <w:qFormat/>
    <w:rsid w:val="007A48FA"/>
    <w:pPr>
      <w:widowControl w:val="0"/>
      <w:spacing w:after="60"/>
      <w:ind w:firstLine="720"/>
      <w:jc w:val="both"/>
    </w:pPr>
    <w:rPr>
      <w:sz w:val="28"/>
      <w:szCs w:val="20"/>
    </w:rPr>
  </w:style>
  <w:style w:type="character" w:styleId="ae">
    <w:name w:val="annotation reference"/>
    <w:uiPriority w:val="99"/>
    <w:unhideWhenUsed/>
    <w:rsid w:val="001E1625"/>
    <w:rPr>
      <w:sz w:val="16"/>
      <w:szCs w:val="16"/>
    </w:rPr>
  </w:style>
  <w:style w:type="paragraph" w:styleId="af">
    <w:name w:val="footnote text"/>
    <w:basedOn w:val="a"/>
    <w:link w:val="af0"/>
    <w:uiPriority w:val="99"/>
    <w:rsid w:val="004B3C4B"/>
    <w:pPr>
      <w:spacing w:after="200" w:line="276" w:lineRule="auto"/>
    </w:pPr>
    <w:rPr>
      <w:rFonts w:ascii="Arial" w:hAnsi="Arial"/>
      <w:bCs/>
      <w:sz w:val="20"/>
      <w:szCs w:val="20"/>
      <w:lang w:val="zh-CN" w:eastAsia="zh-CN"/>
    </w:rPr>
  </w:style>
  <w:style w:type="character" w:customStyle="1" w:styleId="af0">
    <w:name w:val="Текст сноски Знак"/>
    <w:basedOn w:val="a0"/>
    <w:link w:val="af"/>
    <w:uiPriority w:val="99"/>
    <w:rsid w:val="004B3C4B"/>
    <w:rPr>
      <w:rFonts w:ascii="Arial" w:eastAsia="Times New Roman" w:hAnsi="Arial" w:cs="Times New Roman"/>
      <w:bCs/>
      <w:sz w:val="20"/>
      <w:szCs w:val="20"/>
      <w:lang w:val="zh-CN" w:eastAsia="zh-CN"/>
    </w:rPr>
  </w:style>
  <w:style w:type="character" w:styleId="af1">
    <w:name w:val="footnote reference"/>
    <w:uiPriority w:val="99"/>
    <w:rsid w:val="004B3C4B"/>
    <w:rPr>
      <w:vertAlign w:val="superscript"/>
    </w:rPr>
  </w:style>
  <w:style w:type="character" w:customStyle="1" w:styleId="10">
    <w:name w:val="Заголовок 1 Знак"/>
    <w:basedOn w:val="a0"/>
    <w:link w:val="1"/>
    <w:qFormat/>
    <w:rsid w:val="00494DB7"/>
    <w:rPr>
      <w:rFonts w:ascii="Times New Roman" w:eastAsia="Times New Roman" w:hAnsi="Times New Roman" w:cs="Times New Roman"/>
      <w:i/>
      <w:iCs/>
      <w:sz w:val="24"/>
      <w:szCs w:val="24"/>
      <w:lang w:eastAsia="ru-RU"/>
    </w:rPr>
  </w:style>
  <w:style w:type="table" w:styleId="af2">
    <w:name w:val="Table Grid"/>
    <w:basedOn w:val="a1"/>
    <w:uiPriority w:val="59"/>
    <w:rsid w:val="00DD2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14 Знак Знак"/>
    <w:basedOn w:val="a"/>
    <w:qFormat/>
    <w:rsid w:val="00D15B89"/>
    <w:pPr>
      <w:spacing w:after="200" w:line="276" w:lineRule="auto"/>
      <w:ind w:firstLine="709"/>
      <w:jc w:val="both"/>
    </w:pPr>
    <w:rPr>
      <w:sz w:val="28"/>
      <w:szCs w:val="20"/>
    </w:rPr>
  </w:style>
  <w:style w:type="paragraph" w:styleId="af3">
    <w:name w:val="Document Map"/>
    <w:basedOn w:val="a"/>
    <w:link w:val="af4"/>
    <w:rsid w:val="00A803DB"/>
    <w:pPr>
      <w:spacing w:after="200" w:line="276" w:lineRule="auto"/>
    </w:pPr>
    <w:rPr>
      <w:rFonts w:ascii="Tahoma" w:hAnsi="Tahoma"/>
      <w:sz w:val="16"/>
      <w:szCs w:val="16"/>
      <w:lang w:val="zh-CN" w:eastAsia="zh-CN"/>
    </w:rPr>
  </w:style>
  <w:style w:type="character" w:customStyle="1" w:styleId="af4">
    <w:name w:val="Схема документа Знак"/>
    <w:basedOn w:val="a0"/>
    <w:link w:val="af3"/>
    <w:rsid w:val="00A803DB"/>
    <w:rPr>
      <w:rFonts w:ascii="Tahoma" w:eastAsia="Times New Roman" w:hAnsi="Tahoma" w:cs="Times New Roman"/>
      <w:sz w:val="16"/>
      <w:szCs w:val="16"/>
      <w:lang w:val="zh-CN" w:eastAsia="zh-CN"/>
    </w:rPr>
  </w:style>
  <w:style w:type="paragraph" w:customStyle="1" w:styleId="21">
    <w:name w:val="Основной текст 21"/>
    <w:basedOn w:val="a"/>
    <w:qFormat/>
    <w:rsid w:val="009C1911"/>
    <w:pPr>
      <w:spacing w:after="60"/>
      <w:ind w:firstLine="720"/>
      <w:jc w:val="both"/>
    </w:pPr>
    <w:rPr>
      <w:sz w:val="28"/>
      <w:szCs w:val="20"/>
    </w:rPr>
  </w:style>
  <w:style w:type="paragraph" w:customStyle="1" w:styleId="Default">
    <w:name w:val="Default"/>
    <w:rsid w:val="00AF26B9"/>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semiHidden/>
    <w:rsid w:val="00191FBA"/>
    <w:rPr>
      <w:rFonts w:asciiTheme="majorHAnsi" w:eastAsiaTheme="majorEastAsia" w:hAnsiTheme="majorHAnsi" w:cstheme="majorBidi"/>
      <w:b/>
      <w:bCs/>
      <w:color w:val="4F81BD" w:themeColor="accent1"/>
      <w:sz w:val="26"/>
      <w:szCs w:val="26"/>
      <w:lang w:eastAsia="ru-RU"/>
    </w:rPr>
  </w:style>
  <w:style w:type="paragraph" w:styleId="3">
    <w:name w:val="toc 3"/>
    <w:basedOn w:val="a"/>
    <w:next w:val="a"/>
    <w:uiPriority w:val="39"/>
    <w:qFormat/>
    <w:rsid w:val="00191FBA"/>
    <w:pPr>
      <w:spacing w:after="200" w:line="276" w:lineRule="auto"/>
      <w:ind w:left="480"/>
    </w:pPr>
  </w:style>
  <w:style w:type="character" w:styleId="af5">
    <w:name w:val="Emphasis"/>
    <w:basedOn w:val="a0"/>
    <w:uiPriority w:val="20"/>
    <w:qFormat/>
    <w:rsid w:val="00041B5A"/>
    <w:rPr>
      <w:i/>
      <w:iCs/>
    </w:rPr>
  </w:style>
  <w:style w:type="paragraph" w:customStyle="1" w:styleId="11">
    <w:name w:val="Абзац списка1"/>
    <w:aliases w:val="Варианты ответов,SL_Абзац списка,Bakin_Абзац списка"/>
    <w:basedOn w:val="a"/>
    <w:link w:val="ListParagraphChar"/>
    <w:rsid w:val="00B41C53"/>
    <w:pPr>
      <w:spacing w:after="200" w:line="276" w:lineRule="auto"/>
      <w:ind w:left="720"/>
    </w:pPr>
    <w:rPr>
      <w:rFonts w:ascii="Calibri" w:hAnsi="Calibri" w:cs="Calibri"/>
      <w:sz w:val="22"/>
      <w:szCs w:val="22"/>
    </w:rPr>
  </w:style>
  <w:style w:type="character" w:customStyle="1" w:styleId="ListParagraphChar">
    <w:name w:val="List Paragraph Char"/>
    <w:aliases w:val="SL_Абзац списка Char,Bakin_Абзац списка Char,Абзац списка1 Char"/>
    <w:link w:val="11"/>
    <w:locked/>
    <w:rsid w:val="00B41C53"/>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4DB7"/>
    <w:pPr>
      <w:keepNext/>
      <w:spacing w:after="200" w:line="276" w:lineRule="auto"/>
      <w:outlineLvl w:val="0"/>
    </w:pPr>
    <w:rPr>
      <w:i/>
      <w:iCs/>
    </w:rPr>
  </w:style>
  <w:style w:type="paragraph" w:styleId="2">
    <w:name w:val="heading 2"/>
    <w:basedOn w:val="a"/>
    <w:next w:val="a"/>
    <w:link w:val="20"/>
    <w:uiPriority w:val="9"/>
    <w:semiHidden/>
    <w:unhideWhenUsed/>
    <w:qFormat/>
    <w:rsid w:val="00191F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777"/>
    <w:pPr>
      <w:tabs>
        <w:tab w:val="center" w:pos="4677"/>
        <w:tab w:val="right" w:pos="9355"/>
      </w:tabs>
    </w:pPr>
  </w:style>
  <w:style w:type="character" w:customStyle="1" w:styleId="a4">
    <w:name w:val="Верхний колонтитул Знак"/>
    <w:basedOn w:val="a0"/>
    <w:link w:val="a3"/>
    <w:uiPriority w:val="99"/>
    <w:rsid w:val="00F7777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77777"/>
    <w:pPr>
      <w:tabs>
        <w:tab w:val="center" w:pos="4677"/>
        <w:tab w:val="right" w:pos="9355"/>
      </w:tabs>
    </w:pPr>
  </w:style>
  <w:style w:type="character" w:customStyle="1" w:styleId="a6">
    <w:name w:val="Нижний колонтитул Знак"/>
    <w:basedOn w:val="a0"/>
    <w:link w:val="a5"/>
    <w:uiPriority w:val="99"/>
    <w:rsid w:val="00F7777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A52D0"/>
    <w:rPr>
      <w:rFonts w:ascii="Tahoma" w:hAnsi="Tahoma" w:cs="Tahoma"/>
      <w:sz w:val="16"/>
      <w:szCs w:val="16"/>
    </w:rPr>
  </w:style>
  <w:style w:type="character" w:customStyle="1" w:styleId="a8">
    <w:name w:val="Текст выноски Знак"/>
    <w:basedOn w:val="a0"/>
    <w:link w:val="a7"/>
    <w:uiPriority w:val="99"/>
    <w:semiHidden/>
    <w:rsid w:val="00CA52D0"/>
    <w:rPr>
      <w:rFonts w:ascii="Tahoma" w:eastAsia="Times New Roman" w:hAnsi="Tahoma" w:cs="Tahoma"/>
      <w:sz w:val="16"/>
      <w:szCs w:val="16"/>
      <w:lang w:eastAsia="ru-RU"/>
    </w:rPr>
  </w:style>
  <w:style w:type="paragraph" w:styleId="a9">
    <w:name w:val="Body Text Indent"/>
    <w:basedOn w:val="a"/>
    <w:link w:val="aa"/>
    <w:rsid w:val="002C3EF4"/>
    <w:pPr>
      <w:spacing w:after="120"/>
      <w:ind w:left="283"/>
    </w:pPr>
  </w:style>
  <w:style w:type="character" w:customStyle="1" w:styleId="aa">
    <w:name w:val="Основной текст с отступом Знак"/>
    <w:basedOn w:val="a0"/>
    <w:link w:val="a9"/>
    <w:rsid w:val="002C3EF4"/>
    <w:rPr>
      <w:rFonts w:ascii="Times New Roman" w:eastAsia="Times New Roman" w:hAnsi="Times New Roman" w:cs="Times New Roman"/>
      <w:sz w:val="24"/>
      <w:szCs w:val="24"/>
      <w:lang w:eastAsia="ru-RU"/>
    </w:rPr>
  </w:style>
  <w:style w:type="paragraph" w:styleId="ab">
    <w:name w:val="List Paragraph"/>
    <w:basedOn w:val="a"/>
    <w:uiPriority w:val="34"/>
    <w:qFormat/>
    <w:rsid w:val="00D117AB"/>
    <w:pPr>
      <w:ind w:left="720"/>
      <w:contextualSpacing/>
    </w:pPr>
  </w:style>
  <w:style w:type="paragraph" w:styleId="ac">
    <w:name w:val="Body Text"/>
    <w:basedOn w:val="a"/>
    <w:link w:val="ad"/>
    <w:uiPriority w:val="99"/>
    <w:unhideWhenUsed/>
    <w:rsid w:val="007A48FA"/>
    <w:pPr>
      <w:spacing w:after="120"/>
    </w:pPr>
  </w:style>
  <w:style w:type="character" w:customStyle="1" w:styleId="ad">
    <w:name w:val="Основной текст Знак"/>
    <w:basedOn w:val="a0"/>
    <w:link w:val="ac"/>
    <w:uiPriority w:val="99"/>
    <w:rsid w:val="007A48FA"/>
    <w:rPr>
      <w:rFonts w:ascii="Times New Roman" w:eastAsia="Times New Roman" w:hAnsi="Times New Roman" w:cs="Times New Roman"/>
      <w:sz w:val="24"/>
      <w:szCs w:val="24"/>
      <w:lang w:eastAsia="ru-RU"/>
    </w:rPr>
  </w:style>
  <w:style w:type="paragraph" w:customStyle="1" w:styleId="24">
    <w:name w:val="Основной текст 24"/>
    <w:basedOn w:val="a"/>
    <w:qFormat/>
    <w:rsid w:val="007A48FA"/>
    <w:pPr>
      <w:widowControl w:val="0"/>
      <w:spacing w:after="60"/>
      <w:ind w:firstLine="720"/>
      <w:jc w:val="both"/>
    </w:pPr>
    <w:rPr>
      <w:sz w:val="28"/>
      <w:szCs w:val="20"/>
    </w:rPr>
  </w:style>
  <w:style w:type="character" w:styleId="ae">
    <w:name w:val="annotation reference"/>
    <w:uiPriority w:val="99"/>
    <w:unhideWhenUsed/>
    <w:rsid w:val="001E1625"/>
    <w:rPr>
      <w:sz w:val="16"/>
      <w:szCs w:val="16"/>
    </w:rPr>
  </w:style>
  <w:style w:type="paragraph" w:styleId="af">
    <w:name w:val="footnote text"/>
    <w:basedOn w:val="a"/>
    <w:link w:val="af0"/>
    <w:uiPriority w:val="99"/>
    <w:rsid w:val="004B3C4B"/>
    <w:pPr>
      <w:spacing w:after="200" w:line="276" w:lineRule="auto"/>
    </w:pPr>
    <w:rPr>
      <w:rFonts w:ascii="Arial" w:hAnsi="Arial"/>
      <w:bCs/>
      <w:sz w:val="20"/>
      <w:szCs w:val="20"/>
      <w:lang w:val="zh-CN" w:eastAsia="zh-CN"/>
    </w:rPr>
  </w:style>
  <w:style w:type="character" w:customStyle="1" w:styleId="af0">
    <w:name w:val="Текст сноски Знак"/>
    <w:basedOn w:val="a0"/>
    <w:link w:val="af"/>
    <w:uiPriority w:val="99"/>
    <w:rsid w:val="004B3C4B"/>
    <w:rPr>
      <w:rFonts w:ascii="Arial" w:eastAsia="Times New Roman" w:hAnsi="Arial" w:cs="Times New Roman"/>
      <w:bCs/>
      <w:sz w:val="20"/>
      <w:szCs w:val="20"/>
      <w:lang w:val="zh-CN" w:eastAsia="zh-CN"/>
    </w:rPr>
  </w:style>
  <w:style w:type="character" w:styleId="af1">
    <w:name w:val="footnote reference"/>
    <w:uiPriority w:val="99"/>
    <w:rsid w:val="004B3C4B"/>
    <w:rPr>
      <w:vertAlign w:val="superscript"/>
    </w:rPr>
  </w:style>
  <w:style w:type="character" w:customStyle="1" w:styleId="10">
    <w:name w:val="Заголовок 1 Знак"/>
    <w:basedOn w:val="a0"/>
    <w:link w:val="1"/>
    <w:qFormat/>
    <w:rsid w:val="00494DB7"/>
    <w:rPr>
      <w:rFonts w:ascii="Times New Roman" w:eastAsia="Times New Roman" w:hAnsi="Times New Roman" w:cs="Times New Roman"/>
      <w:i/>
      <w:iCs/>
      <w:sz w:val="24"/>
      <w:szCs w:val="24"/>
      <w:lang w:eastAsia="ru-RU"/>
    </w:rPr>
  </w:style>
  <w:style w:type="table" w:styleId="af2">
    <w:name w:val="Table Grid"/>
    <w:basedOn w:val="a1"/>
    <w:uiPriority w:val="59"/>
    <w:rsid w:val="00DD2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14 Знак Знак"/>
    <w:basedOn w:val="a"/>
    <w:qFormat/>
    <w:rsid w:val="00D15B89"/>
    <w:pPr>
      <w:spacing w:after="200" w:line="276" w:lineRule="auto"/>
      <w:ind w:firstLine="709"/>
      <w:jc w:val="both"/>
    </w:pPr>
    <w:rPr>
      <w:sz w:val="28"/>
      <w:szCs w:val="20"/>
    </w:rPr>
  </w:style>
  <w:style w:type="paragraph" w:styleId="af3">
    <w:name w:val="Document Map"/>
    <w:basedOn w:val="a"/>
    <w:link w:val="af4"/>
    <w:rsid w:val="00A803DB"/>
    <w:pPr>
      <w:spacing w:after="200" w:line="276" w:lineRule="auto"/>
    </w:pPr>
    <w:rPr>
      <w:rFonts w:ascii="Tahoma" w:hAnsi="Tahoma"/>
      <w:sz w:val="16"/>
      <w:szCs w:val="16"/>
      <w:lang w:val="zh-CN" w:eastAsia="zh-CN"/>
    </w:rPr>
  </w:style>
  <w:style w:type="character" w:customStyle="1" w:styleId="af4">
    <w:name w:val="Схема документа Знак"/>
    <w:basedOn w:val="a0"/>
    <w:link w:val="af3"/>
    <w:rsid w:val="00A803DB"/>
    <w:rPr>
      <w:rFonts w:ascii="Tahoma" w:eastAsia="Times New Roman" w:hAnsi="Tahoma" w:cs="Times New Roman"/>
      <w:sz w:val="16"/>
      <w:szCs w:val="16"/>
      <w:lang w:val="zh-CN" w:eastAsia="zh-CN"/>
    </w:rPr>
  </w:style>
  <w:style w:type="paragraph" w:customStyle="1" w:styleId="21">
    <w:name w:val="Основной текст 21"/>
    <w:basedOn w:val="a"/>
    <w:qFormat/>
    <w:rsid w:val="009C1911"/>
    <w:pPr>
      <w:spacing w:after="60"/>
      <w:ind w:firstLine="720"/>
      <w:jc w:val="both"/>
    </w:pPr>
    <w:rPr>
      <w:sz w:val="28"/>
      <w:szCs w:val="20"/>
    </w:rPr>
  </w:style>
  <w:style w:type="paragraph" w:customStyle="1" w:styleId="Default">
    <w:name w:val="Default"/>
    <w:rsid w:val="00AF26B9"/>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semiHidden/>
    <w:rsid w:val="00191FBA"/>
    <w:rPr>
      <w:rFonts w:asciiTheme="majorHAnsi" w:eastAsiaTheme="majorEastAsia" w:hAnsiTheme="majorHAnsi" w:cstheme="majorBidi"/>
      <w:b/>
      <w:bCs/>
      <w:color w:val="4F81BD" w:themeColor="accent1"/>
      <w:sz w:val="26"/>
      <w:szCs w:val="26"/>
      <w:lang w:eastAsia="ru-RU"/>
    </w:rPr>
  </w:style>
  <w:style w:type="paragraph" w:styleId="3">
    <w:name w:val="toc 3"/>
    <w:basedOn w:val="a"/>
    <w:next w:val="a"/>
    <w:uiPriority w:val="39"/>
    <w:qFormat/>
    <w:rsid w:val="00191FBA"/>
    <w:pPr>
      <w:spacing w:after="200" w:line="276" w:lineRule="auto"/>
      <w:ind w:left="480"/>
    </w:pPr>
  </w:style>
  <w:style w:type="character" w:styleId="af5">
    <w:name w:val="Emphasis"/>
    <w:basedOn w:val="a0"/>
    <w:uiPriority w:val="20"/>
    <w:qFormat/>
    <w:rsid w:val="00041B5A"/>
    <w:rPr>
      <w:i/>
      <w:iCs/>
    </w:rPr>
  </w:style>
  <w:style w:type="paragraph" w:customStyle="1" w:styleId="11">
    <w:name w:val="Абзац списка1"/>
    <w:aliases w:val="Варианты ответов,SL_Абзац списка,Bakin_Абзац списка"/>
    <w:basedOn w:val="a"/>
    <w:link w:val="ListParagraphChar"/>
    <w:rsid w:val="00B41C53"/>
    <w:pPr>
      <w:spacing w:after="200" w:line="276" w:lineRule="auto"/>
      <w:ind w:left="720"/>
    </w:pPr>
    <w:rPr>
      <w:rFonts w:ascii="Calibri" w:hAnsi="Calibri" w:cs="Calibri"/>
      <w:sz w:val="22"/>
      <w:szCs w:val="22"/>
    </w:rPr>
  </w:style>
  <w:style w:type="character" w:customStyle="1" w:styleId="ListParagraphChar">
    <w:name w:val="List Paragraph Char"/>
    <w:aliases w:val="SL_Абзац списка Char,Bakin_Абзац списка Char,Абзац списка1 Char"/>
    <w:link w:val="11"/>
    <w:locked/>
    <w:rsid w:val="00B41C53"/>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3613">
      <w:bodyDiv w:val="1"/>
      <w:marLeft w:val="0"/>
      <w:marRight w:val="0"/>
      <w:marTop w:val="0"/>
      <w:marBottom w:val="0"/>
      <w:divBdr>
        <w:top w:val="none" w:sz="0" w:space="0" w:color="auto"/>
        <w:left w:val="none" w:sz="0" w:space="0" w:color="auto"/>
        <w:bottom w:val="none" w:sz="0" w:space="0" w:color="auto"/>
        <w:right w:val="none" w:sz="0" w:space="0" w:color="auto"/>
      </w:divBdr>
    </w:div>
    <w:div w:id="93285199">
      <w:bodyDiv w:val="1"/>
      <w:marLeft w:val="0"/>
      <w:marRight w:val="0"/>
      <w:marTop w:val="0"/>
      <w:marBottom w:val="0"/>
      <w:divBdr>
        <w:top w:val="none" w:sz="0" w:space="0" w:color="auto"/>
        <w:left w:val="none" w:sz="0" w:space="0" w:color="auto"/>
        <w:bottom w:val="none" w:sz="0" w:space="0" w:color="auto"/>
        <w:right w:val="none" w:sz="0" w:space="0" w:color="auto"/>
      </w:divBdr>
    </w:div>
    <w:div w:id="99684569">
      <w:bodyDiv w:val="1"/>
      <w:marLeft w:val="0"/>
      <w:marRight w:val="0"/>
      <w:marTop w:val="0"/>
      <w:marBottom w:val="0"/>
      <w:divBdr>
        <w:top w:val="none" w:sz="0" w:space="0" w:color="auto"/>
        <w:left w:val="none" w:sz="0" w:space="0" w:color="auto"/>
        <w:bottom w:val="none" w:sz="0" w:space="0" w:color="auto"/>
        <w:right w:val="none" w:sz="0" w:space="0" w:color="auto"/>
      </w:divBdr>
    </w:div>
    <w:div w:id="150684497">
      <w:bodyDiv w:val="1"/>
      <w:marLeft w:val="0"/>
      <w:marRight w:val="0"/>
      <w:marTop w:val="0"/>
      <w:marBottom w:val="0"/>
      <w:divBdr>
        <w:top w:val="none" w:sz="0" w:space="0" w:color="auto"/>
        <w:left w:val="none" w:sz="0" w:space="0" w:color="auto"/>
        <w:bottom w:val="none" w:sz="0" w:space="0" w:color="auto"/>
        <w:right w:val="none" w:sz="0" w:space="0" w:color="auto"/>
      </w:divBdr>
    </w:div>
    <w:div w:id="163520689">
      <w:bodyDiv w:val="1"/>
      <w:marLeft w:val="0"/>
      <w:marRight w:val="0"/>
      <w:marTop w:val="0"/>
      <w:marBottom w:val="0"/>
      <w:divBdr>
        <w:top w:val="none" w:sz="0" w:space="0" w:color="auto"/>
        <w:left w:val="none" w:sz="0" w:space="0" w:color="auto"/>
        <w:bottom w:val="none" w:sz="0" w:space="0" w:color="auto"/>
        <w:right w:val="none" w:sz="0" w:space="0" w:color="auto"/>
      </w:divBdr>
    </w:div>
    <w:div w:id="181818113">
      <w:bodyDiv w:val="1"/>
      <w:marLeft w:val="0"/>
      <w:marRight w:val="0"/>
      <w:marTop w:val="0"/>
      <w:marBottom w:val="0"/>
      <w:divBdr>
        <w:top w:val="none" w:sz="0" w:space="0" w:color="auto"/>
        <w:left w:val="none" w:sz="0" w:space="0" w:color="auto"/>
        <w:bottom w:val="none" w:sz="0" w:space="0" w:color="auto"/>
        <w:right w:val="none" w:sz="0" w:space="0" w:color="auto"/>
      </w:divBdr>
    </w:div>
    <w:div w:id="194202374">
      <w:bodyDiv w:val="1"/>
      <w:marLeft w:val="0"/>
      <w:marRight w:val="0"/>
      <w:marTop w:val="0"/>
      <w:marBottom w:val="0"/>
      <w:divBdr>
        <w:top w:val="none" w:sz="0" w:space="0" w:color="auto"/>
        <w:left w:val="none" w:sz="0" w:space="0" w:color="auto"/>
        <w:bottom w:val="none" w:sz="0" w:space="0" w:color="auto"/>
        <w:right w:val="none" w:sz="0" w:space="0" w:color="auto"/>
      </w:divBdr>
    </w:div>
    <w:div w:id="457341311">
      <w:bodyDiv w:val="1"/>
      <w:marLeft w:val="0"/>
      <w:marRight w:val="0"/>
      <w:marTop w:val="0"/>
      <w:marBottom w:val="0"/>
      <w:divBdr>
        <w:top w:val="none" w:sz="0" w:space="0" w:color="auto"/>
        <w:left w:val="none" w:sz="0" w:space="0" w:color="auto"/>
        <w:bottom w:val="none" w:sz="0" w:space="0" w:color="auto"/>
        <w:right w:val="none" w:sz="0" w:space="0" w:color="auto"/>
      </w:divBdr>
    </w:div>
    <w:div w:id="589122415">
      <w:bodyDiv w:val="1"/>
      <w:marLeft w:val="0"/>
      <w:marRight w:val="0"/>
      <w:marTop w:val="0"/>
      <w:marBottom w:val="0"/>
      <w:divBdr>
        <w:top w:val="none" w:sz="0" w:space="0" w:color="auto"/>
        <w:left w:val="none" w:sz="0" w:space="0" w:color="auto"/>
        <w:bottom w:val="none" w:sz="0" w:space="0" w:color="auto"/>
        <w:right w:val="none" w:sz="0" w:space="0" w:color="auto"/>
      </w:divBdr>
    </w:div>
    <w:div w:id="652562711">
      <w:bodyDiv w:val="1"/>
      <w:marLeft w:val="0"/>
      <w:marRight w:val="0"/>
      <w:marTop w:val="0"/>
      <w:marBottom w:val="0"/>
      <w:divBdr>
        <w:top w:val="none" w:sz="0" w:space="0" w:color="auto"/>
        <w:left w:val="none" w:sz="0" w:space="0" w:color="auto"/>
        <w:bottom w:val="none" w:sz="0" w:space="0" w:color="auto"/>
        <w:right w:val="none" w:sz="0" w:space="0" w:color="auto"/>
      </w:divBdr>
    </w:div>
    <w:div w:id="735860271">
      <w:bodyDiv w:val="1"/>
      <w:marLeft w:val="0"/>
      <w:marRight w:val="0"/>
      <w:marTop w:val="0"/>
      <w:marBottom w:val="0"/>
      <w:divBdr>
        <w:top w:val="none" w:sz="0" w:space="0" w:color="auto"/>
        <w:left w:val="none" w:sz="0" w:space="0" w:color="auto"/>
        <w:bottom w:val="none" w:sz="0" w:space="0" w:color="auto"/>
        <w:right w:val="none" w:sz="0" w:space="0" w:color="auto"/>
      </w:divBdr>
    </w:div>
    <w:div w:id="785857602">
      <w:bodyDiv w:val="1"/>
      <w:marLeft w:val="0"/>
      <w:marRight w:val="0"/>
      <w:marTop w:val="0"/>
      <w:marBottom w:val="0"/>
      <w:divBdr>
        <w:top w:val="none" w:sz="0" w:space="0" w:color="auto"/>
        <w:left w:val="none" w:sz="0" w:space="0" w:color="auto"/>
        <w:bottom w:val="none" w:sz="0" w:space="0" w:color="auto"/>
        <w:right w:val="none" w:sz="0" w:space="0" w:color="auto"/>
      </w:divBdr>
    </w:div>
    <w:div w:id="813645168">
      <w:bodyDiv w:val="1"/>
      <w:marLeft w:val="0"/>
      <w:marRight w:val="0"/>
      <w:marTop w:val="0"/>
      <w:marBottom w:val="0"/>
      <w:divBdr>
        <w:top w:val="none" w:sz="0" w:space="0" w:color="auto"/>
        <w:left w:val="none" w:sz="0" w:space="0" w:color="auto"/>
        <w:bottom w:val="none" w:sz="0" w:space="0" w:color="auto"/>
        <w:right w:val="none" w:sz="0" w:space="0" w:color="auto"/>
      </w:divBdr>
    </w:div>
    <w:div w:id="907300184">
      <w:bodyDiv w:val="1"/>
      <w:marLeft w:val="0"/>
      <w:marRight w:val="0"/>
      <w:marTop w:val="0"/>
      <w:marBottom w:val="0"/>
      <w:divBdr>
        <w:top w:val="none" w:sz="0" w:space="0" w:color="auto"/>
        <w:left w:val="none" w:sz="0" w:space="0" w:color="auto"/>
        <w:bottom w:val="none" w:sz="0" w:space="0" w:color="auto"/>
        <w:right w:val="none" w:sz="0" w:space="0" w:color="auto"/>
      </w:divBdr>
    </w:div>
    <w:div w:id="1087917418">
      <w:bodyDiv w:val="1"/>
      <w:marLeft w:val="0"/>
      <w:marRight w:val="0"/>
      <w:marTop w:val="0"/>
      <w:marBottom w:val="0"/>
      <w:divBdr>
        <w:top w:val="none" w:sz="0" w:space="0" w:color="auto"/>
        <w:left w:val="none" w:sz="0" w:space="0" w:color="auto"/>
        <w:bottom w:val="none" w:sz="0" w:space="0" w:color="auto"/>
        <w:right w:val="none" w:sz="0" w:space="0" w:color="auto"/>
      </w:divBdr>
    </w:div>
    <w:div w:id="1278372424">
      <w:bodyDiv w:val="1"/>
      <w:marLeft w:val="0"/>
      <w:marRight w:val="0"/>
      <w:marTop w:val="0"/>
      <w:marBottom w:val="0"/>
      <w:divBdr>
        <w:top w:val="none" w:sz="0" w:space="0" w:color="auto"/>
        <w:left w:val="none" w:sz="0" w:space="0" w:color="auto"/>
        <w:bottom w:val="none" w:sz="0" w:space="0" w:color="auto"/>
        <w:right w:val="none" w:sz="0" w:space="0" w:color="auto"/>
      </w:divBdr>
    </w:div>
    <w:div w:id="1392927288">
      <w:bodyDiv w:val="1"/>
      <w:marLeft w:val="0"/>
      <w:marRight w:val="0"/>
      <w:marTop w:val="0"/>
      <w:marBottom w:val="0"/>
      <w:divBdr>
        <w:top w:val="none" w:sz="0" w:space="0" w:color="auto"/>
        <w:left w:val="none" w:sz="0" w:space="0" w:color="auto"/>
        <w:bottom w:val="none" w:sz="0" w:space="0" w:color="auto"/>
        <w:right w:val="none" w:sz="0" w:space="0" w:color="auto"/>
      </w:divBdr>
    </w:div>
    <w:div w:id="1443844475">
      <w:bodyDiv w:val="1"/>
      <w:marLeft w:val="0"/>
      <w:marRight w:val="0"/>
      <w:marTop w:val="0"/>
      <w:marBottom w:val="0"/>
      <w:divBdr>
        <w:top w:val="none" w:sz="0" w:space="0" w:color="auto"/>
        <w:left w:val="none" w:sz="0" w:space="0" w:color="auto"/>
        <w:bottom w:val="none" w:sz="0" w:space="0" w:color="auto"/>
        <w:right w:val="none" w:sz="0" w:space="0" w:color="auto"/>
      </w:divBdr>
    </w:div>
    <w:div w:id="1622690599">
      <w:bodyDiv w:val="1"/>
      <w:marLeft w:val="0"/>
      <w:marRight w:val="0"/>
      <w:marTop w:val="0"/>
      <w:marBottom w:val="0"/>
      <w:divBdr>
        <w:top w:val="none" w:sz="0" w:space="0" w:color="auto"/>
        <w:left w:val="none" w:sz="0" w:space="0" w:color="auto"/>
        <w:bottom w:val="none" w:sz="0" w:space="0" w:color="auto"/>
        <w:right w:val="none" w:sz="0" w:space="0" w:color="auto"/>
      </w:divBdr>
    </w:div>
    <w:div w:id="1715691749">
      <w:bodyDiv w:val="1"/>
      <w:marLeft w:val="0"/>
      <w:marRight w:val="0"/>
      <w:marTop w:val="0"/>
      <w:marBottom w:val="0"/>
      <w:divBdr>
        <w:top w:val="none" w:sz="0" w:space="0" w:color="auto"/>
        <w:left w:val="none" w:sz="0" w:space="0" w:color="auto"/>
        <w:bottom w:val="none" w:sz="0" w:space="0" w:color="auto"/>
        <w:right w:val="none" w:sz="0" w:space="0" w:color="auto"/>
      </w:divBdr>
    </w:div>
    <w:div w:id="2077236735">
      <w:bodyDiv w:val="1"/>
      <w:marLeft w:val="0"/>
      <w:marRight w:val="0"/>
      <w:marTop w:val="0"/>
      <w:marBottom w:val="0"/>
      <w:divBdr>
        <w:top w:val="none" w:sz="0" w:space="0" w:color="auto"/>
        <w:left w:val="none" w:sz="0" w:space="0" w:color="auto"/>
        <w:bottom w:val="none" w:sz="0" w:space="0" w:color="auto"/>
        <w:right w:val="none" w:sz="0" w:space="0" w:color="auto"/>
      </w:divBdr>
    </w:div>
    <w:div w:id="20945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5C131-E88D-4E93-8DA5-F5732E51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13797</Words>
  <Characters>78643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Ковалёва</dc:creator>
  <cp:lastModifiedBy>Юлия Вячеславовна Ковалёва</cp:lastModifiedBy>
  <cp:revision>2</cp:revision>
  <cp:lastPrinted>2022-07-26T08:35:00Z</cp:lastPrinted>
  <dcterms:created xsi:type="dcterms:W3CDTF">2022-07-27T11:58:00Z</dcterms:created>
  <dcterms:modified xsi:type="dcterms:W3CDTF">2022-07-27T11:58:00Z</dcterms:modified>
</cp:coreProperties>
</file>