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Ind w:w="10598" w:type="dxa"/>
        <w:tblLook w:val="04A0" w:firstRow="1" w:lastRow="0" w:firstColumn="1" w:lastColumn="0" w:noHBand="0" w:noVBand="1"/>
      </w:tblPr>
      <w:tblGrid>
        <w:gridCol w:w="4471"/>
      </w:tblGrid>
      <w:tr w:rsidR="00DD28A8" w:rsidTr="00B90E3A"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DD28A8" w:rsidRPr="00DD28A8" w:rsidRDefault="00DD28A8" w:rsidP="00DD28A8">
            <w:pPr>
              <w:jc w:val="center"/>
              <w:rPr>
                <w:sz w:val="28"/>
                <w:szCs w:val="28"/>
              </w:rPr>
            </w:pPr>
            <w:r w:rsidRPr="00DD28A8">
              <w:rPr>
                <w:sz w:val="28"/>
                <w:szCs w:val="28"/>
              </w:rPr>
              <w:t>Приложение</w:t>
            </w:r>
          </w:p>
          <w:p w:rsidR="00DD28A8" w:rsidRPr="00DD28A8" w:rsidRDefault="00DD28A8" w:rsidP="00DD28A8">
            <w:pPr>
              <w:rPr>
                <w:sz w:val="28"/>
                <w:szCs w:val="28"/>
              </w:rPr>
            </w:pPr>
            <w:r w:rsidRPr="00DD28A8">
              <w:rPr>
                <w:sz w:val="28"/>
                <w:szCs w:val="28"/>
              </w:rPr>
              <w:t>к распоряжению Правительства</w:t>
            </w:r>
          </w:p>
          <w:p w:rsidR="00DD28A8" w:rsidRDefault="00DD28A8" w:rsidP="00DD28A8">
            <w:pPr>
              <w:rPr>
                <w:sz w:val="28"/>
                <w:szCs w:val="28"/>
              </w:rPr>
            </w:pPr>
            <w:r w:rsidRPr="00DD28A8">
              <w:rPr>
                <w:sz w:val="28"/>
                <w:szCs w:val="28"/>
              </w:rPr>
              <w:t>Ленинградской области</w:t>
            </w:r>
          </w:p>
          <w:p w:rsidR="00B90E3A" w:rsidRDefault="00B90E3A" w:rsidP="004B235C">
            <w:r>
              <w:rPr>
                <w:sz w:val="28"/>
                <w:szCs w:val="28"/>
              </w:rPr>
              <w:t xml:space="preserve">от </w:t>
            </w:r>
            <w:r w:rsidR="004B235C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="004B235C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202</w:t>
            </w:r>
            <w:r w:rsidR="004B23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№ </w:t>
            </w:r>
            <w:r w:rsidR="004B235C">
              <w:rPr>
                <w:sz w:val="28"/>
                <w:szCs w:val="28"/>
              </w:rPr>
              <w:t>____</w:t>
            </w:r>
          </w:p>
        </w:tc>
      </w:tr>
    </w:tbl>
    <w:p w:rsidR="00DD28A8" w:rsidRDefault="00DD28A8" w:rsidP="00BE7C04">
      <w:pPr>
        <w:ind w:left="10773"/>
        <w:jc w:val="center"/>
      </w:pPr>
    </w:p>
    <w:p w:rsidR="00BE7C04" w:rsidRDefault="00BE7C04" w:rsidP="00BE7C04">
      <w:pPr>
        <w:ind w:left="10065"/>
        <w:jc w:val="center"/>
      </w:pPr>
    </w:p>
    <w:p w:rsidR="00DD28A8" w:rsidRPr="00DD28A8" w:rsidRDefault="00DD28A8" w:rsidP="00DF6810">
      <w:pPr>
        <w:jc w:val="center"/>
        <w:rPr>
          <w:sz w:val="28"/>
          <w:szCs w:val="28"/>
        </w:rPr>
      </w:pPr>
      <w:r w:rsidRPr="00DD28A8">
        <w:rPr>
          <w:sz w:val="28"/>
          <w:szCs w:val="28"/>
        </w:rPr>
        <w:t>ПРОГНОЗ</w:t>
      </w:r>
      <w:r w:rsidR="0085636C" w:rsidRPr="00DD28A8">
        <w:rPr>
          <w:sz w:val="28"/>
          <w:szCs w:val="28"/>
        </w:rPr>
        <w:t xml:space="preserve"> </w:t>
      </w:r>
    </w:p>
    <w:p w:rsidR="0085636C" w:rsidRPr="00DD28A8" w:rsidRDefault="0085636C" w:rsidP="00DF6810">
      <w:pPr>
        <w:jc w:val="center"/>
        <w:rPr>
          <w:sz w:val="28"/>
          <w:szCs w:val="28"/>
        </w:rPr>
      </w:pPr>
      <w:r w:rsidRPr="00DD28A8">
        <w:rPr>
          <w:sz w:val="28"/>
          <w:szCs w:val="28"/>
        </w:rPr>
        <w:t>социально-экономического развития Ленинградской области</w:t>
      </w:r>
    </w:p>
    <w:p w:rsidR="0085636C" w:rsidRDefault="0085636C" w:rsidP="00DF6810">
      <w:pPr>
        <w:jc w:val="center"/>
        <w:rPr>
          <w:sz w:val="28"/>
          <w:szCs w:val="28"/>
        </w:rPr>
      </w:pPr>
      <w:r w:rsidRPr="00DD28A8">
        <w:rPr>
          <w:sz w:val="28"/>
          <w:szCs w:val="28"/>
        </w:rPr>
        <w:t xml:space="preserve">на </w:t>
      </w:r>
      <w:r w:rsidR="00683F1C" w:rsidRPr="00DD28A8">
        <w:rPr>
          <w:sz w:val="28"/>
          <w:szCs w:val="28"/>
        </w:rPr>
        <w:t>2</w:t>
      </w:r>
      <w:r w:rsidRPr="00DD28A8">
        <w:rPr>
          <w:sz w:val="28"/>
          <w:szCs w:val="28"/>
        </w:rPr>
        <w:t>0</w:t>
      </w:r>
      <w:r w:rsidR="00683F1C" w:rsidRPr="00DD28A8">
        <w:rPr>
          <w:sz w:val="28"/>
          <w:szCs w:val="28"/>
        </w:rPr>
        <w:t>2</w:t>
      </w:r>
      <w:r w:rsidR="004B235C">
        <w:rPr>
          <w:sz w:val="28"/>
          <w:szCs w:val="28"/>
        </w:rPr>
        <w:t>2</w:t>
      </w:r>
      <w:r w:rsidR="00D117AB" w:rsidRPr="00DD28A8">
        <w:rPr>
          <w:sz w:val="28"/>
          <w:szCs w:val="28"/>
        </w:rPr>
        <w:t xml:space="preserve"> </w:t>
      </w:r>
      <w:r w:rsidR="00DD28A8">
        <w:rPr>
          <w:sz w:val="28"/>
          <w:szCs w:val="28"/>
        </w:rPr>
        <w:t>–</w:t>
      </w:r>
      <w:r w:rsidR="00D117AB" w:rsidRPr="00DD28A8">
        <w:rPr>
          <w:sz w:val="28"/>
          <w:szCs w:val="28"/>
        </w:rPr>
        <w:t xml:space="preserve"> 202</w:t>
      </w:r>
      <w:r w:rsidR="004B235C">
        <w:rPr>
          <w:sz w:val="28"/>
          <w:szCs w:val="28"/>
        </w:rPr>
        <w:t>4</w:t>
      </w:r>
      <w:r w:rsidRPr="00DD28A8">
        <w:rPr>
          <w:sz w:val="28"/>
          <w:szCs w:val="28"/>
        </w:rPr>
        <w:t xml:space="preserve"> год</w:t>
      </w:r>
      <w:r w:rsidR="00683F1C" w:rsidRPr="00DD28A8">
        <w:rPr>
          <w:sz w:val="28"/>
          <w:szCs w:val="28"/>
        </w:rPr>
        <w:t>ы</w:t>
      </w:r>
    </w:p>
    <w:p w:rsidR="00DF6810" w:rsidRPr="00DD28A8" w:rsidRDefault="00DF6810" w:rsidP="00DF6810">
      <w:pPr>
        <w:jc w:val="center"/>
        <w:rPr>
          <w:sz w:val="28"/>
          <w:szCs w:val="28"/>
        </w:rPr>
      </w:pPr>
    </w:p>
    <w:p w:rsidR="0085636C" w:rsidRPr="008822FC" w:rsidRDefault="002C3EF4" w:rsidP="00DF6810">
      <w:pPr>
        <w:ind w:firstLine="720"/>
        <w:jc w:val="both"/>
        <w:rPr>
          <w:sz w:val="28"/>
          <w:szCs w:val="28"/>
        </w:rPr>
      </w:pPr>
      <w:r w:rsidRPr="008822FC">
        <w:rPr>
          <w:sz w:val="28"/>
          <w:szCs w:val="28"/>
        </w:rPr>
        <w:t xml:space="preserve">1. </w:t>
      </w:r>
      <w:r w:rsidR="00D117AB" w:rsidRPr="008822FC">
        <w:rPr>
          <w:sz w:val="28"/>
          <w:szCs w:val="28"/>
        </w:rPr>
        <w:t>П</w:t>
      </w:r>
      <w:r w:rsidRPr="008822FC">
        <w:rPr>
          <w:sz w:val="28"/>
          <w:szCs w:val="28"/>
        </w:rPr>
        <w:t>оказатели прогноза социально-экономического развития Ленинградской области</w:t>
      </w:r>
      <w:r w:rsidR="00DD28A8">
        <w:rPr>
          <w:sz w:val="28"/>
          <w:szCs w:val="28"/>
        </w:rPr>
        <w:t xml:space="preserve"> </w:t>
      </w:r>
      <w:r w:rsidRPr="008822FC">
        <w:rPr>
          <w:sz w:val="28"/>
          <w:szCs w:val="28"/>
        </w:rPr>
        <w:t>на 20</w:t>
      </w:r>
      <w:r w:rsidR="00EB3177" w:rsidRPr="008822FC">
        <w:rPr>
          <w:sz w:val="28"/>
          <w:szCs w:val="28"/>
        </w:rPr>
        <w:t>2</w:t>
      </w:r>
      <w:r w:rsidR="004B235C">
        <w:rPr>
          <w:sz w:val="28"/>
          <w:szCs w:val="28"/>
        </w:rPr>
        <w:t>2</w:t>
      </w:r>
      <w:r w:rsidR="00D117AB" w:rsidRPr="008822FC">
        <w:rPr>
          <w:sz w:val="28"/>
          <w:szCs w:val="28"/>
        </w:rPr>
        <w:t xml:space="preserve"> </w:t>
      </w:r>
      <w:r w:rsidR="00DD28A8">
        <w:rPr>
          <w:sz w:val="28"/>
          <w:szCs w:val="28"/>
        </w:rPr>
        <w:t>–</w:t>
      </w:r>
      <w:r w:rsidR="00D117AB" w:rsidRPr="008822FC">
        <w:rPr>
          <w:sz w:val="28"/>
          <w:szCs w:val="28"/>
        </w:rPr>
        <w:t xml:space="preserve"> 202</w:t>
      </w:r>
      <w:r w:rsidR="004B235C">
        <w:rPr>
          <w:sz w:val="28"/>
          <w:szCs w:val="28"/>
        </w:rPr>
        <w:t>4</w:t>
      </w:r>
      <w:r w:rsidRPr="008822FC">
        <w:rPr>
          <w:sz w:val="28"/>
          <w:szCs w:val="28"/>
        </w:rPr>
        <w:t xml:space="preserve"> год</w:t>
      </w:r>
      <w:r w:rsidR="00EB3177" w:rsidRPr="008822FC">
        <w:rPr>
          <w:sz w:val="28"/>
          <w:szCs w:val="28"/>
        </w:rPr>
        <w:t>ы</w:t>
      </w:r>
    </w:p>
    <w:p w:rsidR="00315CB1" w:rsidRPr="008822FC" w:rsidRDefault="00315CB1" w:rsidP="00DF6810">
      <w:pPr>
        <w:jc w:val="center"/>
        <w:rPr>
          <w:sz w:val="28"/>
          <w:szCs w:val="28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8"/>
        <w:gridCol w:w="3818"/>
        <w:gridCol w:w="2425"/>
        <w:gridCol w:w="1880"/>
        <w:gridCol w:w="1232"/>
        <w:gridCol w:w="1362"/>
        <w:gridCol w:w="1139"/>
        <w:gridCol w:w="1151"/>
        <w:gridCol w:w="1284"/>
      </w:tblGrid>
      <w:tr w:rsidR="00F367FC" w:rsidRPr="00DD28A8" w:rsidTr="00DD28A8">
        <w:trPr>
          <w:trHeight w:val="283"/>
          <w:tblHeader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DD28A8" w:rsidRPr="00DD28A8" w:rsidRDefault="00343365" w:rsidP="00DD28A8">
            <w:pPr>
              <w:jc w:val="center"/>
            </w:pPr>
            <w:bookmarkStart w:id="0" w:name="RANGE!B1:M118"/>
            <w:bookmarkEnd w:id="0"/>
            <w:r w:rsidRPr="00DD28A8">
              <w:t>№</w:t>
            </w:r>
          </w:p>
          <w:p w:rsidR="00343365" w:rsidRPr="00DD28A8" w:rsidRDefault="00F57E21" w:rsidP="00DD28A8">
            <w:pPr>
              <w:jc w:val="center"/>
            </w:pPr>
            <w:proofErr w:type="gramStart"/>
            <w:r w:rsidRPr="00DD28A8">
              <w:t>п</w:t>
            </w:r>
            <w:proofErr w:type="gramEnd"/>
            <w:r w:rsidRPr="00DD28A8">
              <w:t>/п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343365" w:rsidRPr="00DD28A8" w:rsidRDefault="00343365" w:rsidP="00DD28A8">
            <w:pPr>
              <w:jc w:val="center"/>
            </w:pPr>
            <w:r w:rsidRPr="00DD28A8">
              <w:t>Показатели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343365" w:rsidRPr="00DD28A8" w:rsidRDefault="00343365" w:rsidP="00DD28A8">
            <w:pPr>
              <w:jc w:val="center"/>
            </w:pPr>
            <w:r w:rsidRPr="00DD28A8">
              <w:t>Единица измерения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343365" w:rsidRPr="00DD28A8" w:rsidRDefault="00343365" w:rsidP="00DD28A8">
            <w:pPr>
              <w:jc w:val="center"/>
            </w:pPr>
            <w:r w:rsidRPr="00DD28A8">
              <w:rPr>
                <w:bCs/>
              </w:rPr>
              <w:t>Вариант прогноза</w:t>
            </w:r>
          </w:p>
        </w:tc>
        <w:tc>
          <w:tcPr>
            <w:tcW w:w="1232" w:type="dxa"/>
            <w:shd w:val="clear" w:color="auto" w:fill="auto"/>
            <w:noWrap/>
          </w:tcPr>
          <w:p w:rsidR="00343365" w:rsidRPr="00DD28A8" w:rsidRDefault="00DD28A8" w:rsidP="00DD28A8">
            <w:pPr>
              <w:jc w:val="center"/>
            </w:pPr>
            <w:r w:rsidRPr="00DD28A8">
              <w:t>О</w:t>
            </w:r>
            <w:r w:rsidR="00343365" w:rsidRPr="00DD28A8">
              <w:t>тчет</w:t>
            </w:r>
          </w:p>
        </w:tc>
        <w:tc>
          <w:tcPr>
            <w:tcW w:w="1362" w:type="dxa"/>
            <w:shd w:val="clear" w:color="auto" w:fill="auto"/>
            <w:noWrap/>
          </w:tcPr>
          <w:p w:rsidR="00343365" w:rsidRPr="00DD28A8" w:rsidRDefault="00DD28A8" w:rsidP="00DD28A8">
            <w:pPr>
              <w:jc w:val="center"/>
            </w:pPr>
            <w:r w:rsidRPr="00DD28A8">
              <w:t>О</w:t>
            </w:r>
            <w:r w:rsidR="00343365" w:rsidRPr="00DD28A8">
              <w:t>ценка</w:t>
            </w:r>
          </w:p>
        </w:tc>
        <w:tc>
          <w:tcPr>
            <w:tcW w:w="3574" w:type="dxa"/>
            <w:gridSpan w:val="3"/>
            <w:shd w:val="clear" w:color="auto" w:fill="auto"/>
            <w:noWrap/>
          </w:tcPr>
          <w:p w:rsidR="00343365" w:rsidRPr="00DD28A8" w:rsidRDefault="00DD28A8" w:rsidP="00DD28A8">
            <w:pPr>
              <w:jc w:val="center"/>
            </w:pPr>
            <w:r w:rsidRPr="00DD28A8">
              <w:t>П</w:t>
            </w:r>
            <w:r w:rsidR="00343365" w:rsidRPr="00DD28A8">
              <w:t>рогноз</w:t>
            </w:r>
          </w:p>
        </w:tc>
      </w:tr>
      <w:tr w:rsidR="00F367FC" w:rsidRPr="00DD28A8" w:rsidTr="00DD28A8">
        <w:trPr>
          <w:trHeight w:val="283"/>
          <w:tblHeader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343365" w:rsidRPr="00DD28A8" w:rsidRDefault="00343365" w:rsidP="00DD28A8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343365" w:rsidRPr="00DD28A8" w:rsidRDefault="00343365" w:rsidP="00DD28A8">
            <w:pPr>
              <w:jc w:val="center"/>
            </w:pPr>
          </w:p>
        </w:tc>
        <w:tc>
          <w:tcPr>
            <w:tcW w:w="2425" w:type="dxa"/>
            <w:vMerge/>
            <w:shd w:val="clear" w:color="auto" w:fill="auto"/>
          </w:tcPr>
          <w:p w:rsidR="00343365" w:rsidRPr="00DD28A8" w:rsidRDefault="00343365" w:rsidP="00DD28A8">
            <w:pPr>
              <w:jc w:val="center"/>
            </w:pPr>
          </w:p>
        </w:tc>
        <w:tc>
          <w:tcPr>
            <w:tcW w:w="1880" w:type="dxa"/>
            <w:vMerge/>
            <w:shd w:val="clear" w:color="auto" w:fill="auto"/>
          </w:tcPr>
          <w:p w:rsidR="00343365" w:rsidRPr="00DD28A8" w:rsidRDefault="00343365" w:rsidP="00DD28A8">
            <w:pPr>
              <w:jc w:val="center"/>
            </w:pPr>
          </w:p>
        </w:tc>
        <w:tc>
          <w:tcPr>
            <w:tcW w:w="1232" w:type="dxa"/>
            <w:shd w:val="clear" w:color="auto" w:fill="auto"/>
            <w:noWrap/>
          </w:tcPr>
          <w:p w:rsidR="00343365" w:rsidRPr="00DD28A8" w:rsidRDefault="00343365" w:rsidP="004B235C">
            <w:pPr>
              <w:jc w:val="center"/>
            </w:pPr>
            <w:r w:rsidRPr="00DD28A8">
              <w:rPr>
                <w:bCs/>
              </w:rPr>
              <w:t>20</w:t>
            </w:r>
            <w:r w:rsidR="004B235C">
              <w:rPr>
                <w:bCs/>
              </w:rPr>
              <w:t>20</w:t>
            </w:r>
            <w:r w:rsidR="0099487F" w:rsidRPr="00DD28A8">
              <w:rPr>
                <w:bCs/>
              </w:rPr>
              <w:t xml:space="preserve"> год</w:t>
            </w:r>
          </w:p>
        </w:tc>
        <w:tc>
          <w:tcPr>
            <w:tcW w:w="1362" w:type="dxa"/>
            <w:shd w:val="clear" w:color="auto" w:fill="auto"/>
            <w:noWrap/>
          </w:tcPr>
          <w:p w:rsidR="00343365" w:rsidRPr="00DD28A8" w:rsidRDefault="00343365" w:rsidP="004B235C">
            <w:pPr>
              <w:jc w:val="center"/>
            </w:pPr>
            <w:r w:rsidRPr="00DD28A8">
              <w:rPr>
                <w:bCs/>
              </w:rPr>
              <w:t>202</w:t>
            </w:r>
            <w:r w:rsidR="004B235C">
              <w:rPr>
                <w:bCs/>
              </w:rPr>
              <w:t>1</w:t>
            </w:r>
            <w:r w:rsidR="0099487F" w:rsidRPr="00DD28A8">
              <w:rPr>
                <w:bCs/>
              </w:rPr>
              <w:t xml:space="preserve"> год</w:t>
            </w:r>
          </w:p>
        </w:tc>
        <w:tc>
          <w:tcPr>
            <w:tcW w:w="1139" w:type="dxa"/>
            <w:shd w:val="clear" w:color="auto" w:fill="auto"/>
            <w:noWrap/>
          </w:tcPr>
          <w:p w:rsidR="00343365" w:rsidRPr="00DD28A8" w:rsidRDefault="00343365" w:rsidP="004B235C">
            <w:pPr>
              <w:jc w:val="center"/>
            </w:pPr>
            <w:r w:rsidRPr="00DD28A8">
              <w:rPr>
                <w:bCs/>
              </w:rPr>
              <w:t>202</w:t>
            </w:r>
            <w:r w:rsidR="004B235C">
              <w:rPr>
                <w:bCs/>
              </w:rPr>
              <w:t>2</w:t>
            </w:r>
            <w:r w:rsidR="0099487F" w:rsidRPr="00DD28A8">
              <w:rPr>
                <w:bCs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</w:tcPr>
          <w:p w:rsidR="00343365" w:rsidRPr="00DD28A8" w:rsidRDefault="00343365" w:rsidP="004B235C">
            <w:pPr>
              <w:jc w:val="center"/>
            </w:pPr>
            <w:r w:rsidRPr="00DD28A8">
              <w:rPr>
                <w:bCs/>
              </w:rPr>
              <w:t>202</w:t>
            </w:r>
            <w:r w:rsidR="004B235C">
              <w:rPr>
                <w:bCs/>
              </w:rPr>
              <w:t>3</w:t>
            </w:r>
            <w:r w:rsidR="0099487F" w:rsidRPr="00DD28A8">
              <w:rPr>
                <w:bCs/>
              </w:rPr>
              <w:t xml:space="preserve"> год</w:t>
            </w:r>
          </w:p>
        </w:tc>
        <w:tc>
          <w:tcPr>
            <w:tcW w:w="1284" w:type="dxa"/>
            <w:shd w:val="clear" w:color="auto" w:fill="auto"/>
            <w:noWrap/>
          </w:tcPr>
          <w:p w:rsidR="00343365" w:rsidRPr="00DD28A8" w:rsidRDefault="00343365" w:rsidP="004B235C">
            <w:pPr>
              <w:jc w:val="center"/>
            </w:pPr>
            <w:r w:rsidRPr="00DD28A8">
              <w:rPr>
                <w:bCs/>
              </w:rPr>
              <w:t>202</w:t>
            </w:r>
            <w:r w:rsidR="004B235C">
              <w:rPr>
                <w:bCs/>
              </w:rPr>
              <w:t>4</w:t>
            </w:r>
            <w:r w:rsidR="0099487F" w:rsidRPr="00DD28A8">
              <w:rPr>
                <w:bCs/>
              </w:rPr>
              <w:t xml:space="preserve"> год</w:t>
            </w:r>
          </w:p>
        </w:tc>
      </w:tr>
    </w:tbl>
    <w:p w:rsidR="00DD28A8" w:rsidRDefault="00DD28A8" w:rsidP="00DD28A8">
      <w:pPr>
        <w:spacing w:line="20" w:lineRule="exact"/>
      </w:pPr>
    </w:p>
    <w:tbl>
      <w:tblPr>
        <w:tblW w:w="15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8"/>
        <w:gridCol w:w="3818"/>
        <w:gridCol w:w="2425"/>
        <w:gridCol w:w="1880"/>
        <w:gridCol w:w="1232"/>
        <w:gridCol w:w="1362"/>
        <w:gridCol w:w="1191"/>
        <w:gridCol w:w="1151"/>
        <w:gridCol w:w="1284"/>
      </w:tblGrid>
      <w:tr w:rsidR="00DD28A8" w:rsidRPr="00DD28A8" w:rsidTr="00ED6E4F">
        <w:trPr>
          <w:trHeight w:val="52"/>
          <w:tblHeader/>
          <w:jc w:val="center"/>
        </w:trPr>
        <w:tc>
          <w:tcPr>
            <w:tcW w:w="778" w:type="dxa"/>
            <w:shd w:val="clear" w:color="auto" w:fill="auto"/>
            <w:noWrap/>
          </w:tcPr>
          <w:p w:rsidR="00DD28A8" w:rsidRPr="003304D4" w:rsidRDefault="00DD28A8" w:rsidP="00F8448A">
            <w:pPr>
              <w:jc w:val="center"/>
            </w:pPr>
            <w:r w:rsidRPr="003304D4">
              <w:t>1</w:t>
            </w:r>
          </w:p>
        </w:tc>
        <w:tc>
          <w:tcPr>
            <w:tcW w:w="3818" w:type="dxa"/>
            <w:shd w:val="clear" w:color="auto" w:fill="auto"/>
          </w:tcPr>
          <w:p w:rsidR="00DD28A8" w:rsidRPr="00DF6810" w:rsidRDefault="00DD28A8" w:rsidP="00DD28A8">
            <w:pPr>
              <w:jc w:val="center"/>
            </w:pPr>
            <w:r w:rsidRPr="00DF6810">
              <w:t>2</w:t>
            </w:r>
          </w:p>
        </w:tc>
        <w:tc>
          <w:tcPr>
            <w:tcW w:w="2425" w:type="dxa"/>
            <w:shd w:val="clear" w:color="auto" w:fill="auto"/>
          </w:tcPr>
          <w:p w:rsidR="00DD28A8" w:rsidRPr="00DF6810" w:rsidRDefault="00DD28A8" w:rsidP="00DD28A8">
            <w:pPr>
              <w:jc w:val="center"/>
            </w:pPr>
            <w:r w:rsidRPr="00DF6810">
              <w:t>3</w:t>
            </w:r>
          </w:p>
        </w:tc>
        <w:tc>
          <w:tcPr>
            <w:tcW w:w="1880" w:type="dxa"/>
            <w:shd w:val="clear" w:color="auto" w:fill="auto"/>
          </w:tcPr>
          <w:p w:rsidR="00DD28A8" w:rsidRPr="00DF6810" w:rsidRDefault="00DD28A8" w:rsidP="00DD28A8">
            <w:pPr>
              <w:jc w:val="center"/>
            </w:pPr>
            <w:r w:rsidRPr="00DF6810">
              <w:t>4</w:t>
            </w:r>
          </w:p>
        </w:tc>
        <w:tc>
          <w:tcPr>
            <w:tcW w:w="1232" w:type="dxa"/>
            <w:shd w:val="clear" w:color="auto" w:fill="auto"/>
            <w:noWrap/>
          </w:tcPr>
          <w:p w:rsidR="00DD28A8" w:rsidRPr="00DF6810" w:rsidRDefault="00DD28A8" w:rsidP="00DD28A8">
            <w:pPr>
              <w:jc w:val="center"/>
            </w:pPr>
            <w:r w:rsidRPr="00DF6810">
              <w:t>5</w:t>
            </w:r>
          </w:p>
        </w:tc>
        <w:tc>
          <w:tcPr>
            <w:tcW w:w="1362" w:type="dxa"/>
            <w:shd w:val="clear" w:color="auto" w:fill="auto"/>
            <w:noWrap/>
          </w:tcPr>
          <w:p w:rsidR="00DD28A8" w:rsidRPr="00DF6810" w:rsidRDefault="00DD28A8" w:rsidP="00DD28A8">
            <w:pPr>
              <w:jc w:val="center"/>
            </w:pPr>
            <w:r w:rsidRPr="00DF6810">
              <w:t>6</w:t>
            </w:r>
          </w:p>
        </w:tc>
        <w:tc>
          <w:tcPr>
            <w:tcW w:w="1191" w:type="dxa"/>
            <w:shd w:val="clear" w:color="auto" w:fill="auto"/>
            <w:noWrap/>
          </w:tcPr>
          <w:p w:rsidR="00DD28A8" w:rsidRPr="00DF6810" w:rsidRDefault="00DD28A8" w:rsidP="00DD28A8">
            <w:pPr>
              <w:jc w:val="center"/>
            </w:pPr>
            <w:r w:rsidRPr="00DF6810">
              <w:t>7</w:t>
            </w:r>
          </w:p>
        </w:tc>
        <w:tc>
          <w:tcPr>
            <w:tcW w:w="1151" w:type="dxa"/>
            <w:shd w:val="clear" w:color="auto" w:fill="auto"/>
            <w:noWrap/>
          </w:tcPr>
          <w:p w:rsidR="00DD28A8" w:rsidRPr="00DF6810" w:rsidRDefault="00DD28A8" w:rsidP="00DD28A8">
            <w:pPr>
              <w:jc w:val="center"/>
            </w:pPr>
            <w:r w:rsidRPr="00DF6810">
              <w:t>8</w:t>
            </w:r>
          </w:p>
        </w:tc>
        <w:tc>
          <w:tcPr>
            <w:tcW w:w="1284" w:type="dxa"/>
            <w:shd w:val="clear" w:color="auto" w:fill="auto"/>
            <w:noWrap/>
          </w:tcPr>
          <w:p w:rsidR="00DD28A8" w:rsidRPr="00DF6810" w:rsidRDefault="00DD28A8" w:rsidP="00DD28A8">
            <w:pPr>
              <w:jc w:val="center"/>
            </w:pPr>
            <w:r w:rsidRPr="00DF6810">
              <w:t>9</w:t>
            </w:r>
          </w:p>
        </w:tc>
      </w:tr>
      <w:tr w:rsidR="00BB7AE6" w:rsidRPr="00DD28A8" w:rsidTr="00ED6E4F">
        <w:trPr>
          <w:trHeight w:val="170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BB7AE6" w:rsidRPr="003304D4" w:rsidRDefault="00BB7AE6" w:rsidP="00F8448A">
            <w:pPr>
              <w:jc w:val="center"/>
            </w:pPr>
            <w:r w:rsidRPr="003304D4">
              <w:t>1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BB7AE6" w:rsidRPr="00DF6810" w:rsidRDefault="00BB7AE6" w:rsidP="00DD28A8">
            <w:r w:rsidRPr="00DF6810">
              <w:t>Численность населения                                           (в среднегодовом исчислении)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BB7AE6" w:rsidRPr="00DF6810" w:rsidRDefault="00BB7AE6" w:rsidP="00DD28A8">
            <w:pPr>
              <w:jc w:val="center"/>
            </w:pPr>
            <w:r>
              <w:t>т</w:t>
            </w:r>
            <w:r w:rsidRPr="00DF6810">
              <w:t>ыс. чел.</w:t>
            </w:r>
          </w:p>
        </w:tc>
        <w:tc>
          <w:tcPr>
            <w:tcW w:w="1880" w:type="dxa"/>
            <w:shd w:val="clear" w:color="auto" w:fill="auto"/>
            <w:hideMark/>
          </w:tcPr>
          <w:p w:rsidR="00BB7AE6" w:rsidRPr="00DF6810" w:rsidRDefault="00BB7AE6" w:rsidP="00DD28A8">
            <w:r w:rsidRPr="00DF6810"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1 884,3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1 901,3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1 915,1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1 925,3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1 934,5</w:t>
            </w:r>
          </w:p>
        </w:tc>
      </w:tr>
      <w:tr w:rsidR="00BB7AE6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</w:tcPr>
          <w:p w:rsidR="00BB7AE6" w:rsidRPr="003304D4" w:rsidRDefault="00BB7AE6" w:rsidP="00F8448A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BB7AE6" w:rsidRPr="00DF6810" w:rsidRDefault="00BB7AE6" w:rsidP="00DD28A8"/>
        </w:tc>
        <w:tc>
          <w:tcPr>
            <w:tcW w:w="2425" w:type="dxa"/>
            <w:vMerge/>
            <w:shd w:val="clear" w:color="auto" w:fill="auto"/>
            <w:hideMark/>
          </w:tcPr>
          <w:p w:rsidR="00BB7AE6" w:rsidRPr="00DF6810" w:rsidRDefault="00BB7AE6" w:rsidP="00DD28A8">
            <w:pPr>
              <w:jc w:val="center"/>
            </w:pPr>
          </w:p>
        </w:tc>
        <w:tc>
          <w:tcPr>
            <w:tcW w:w="1880" w:type="dxa"/>
            <w:shd w:val="clear" w:color="auto" w:fill="auto"/>
            <w:hideMark/>
          </w:tcPr>
          <w:p w:rsidR="00BB7AE6" w:rsidRPr="00DF6810" w:rsidRDefault="00BB7AE6" w:rsidP="00DD28A8">
            <w:r w:rsidRPr="00DF6810"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BB7AE6" w:rsidRPr="00DF6810" w:rsidRDefault="00BB7AE6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B7AE6" w:rsidRPr="00DF6810" w:rsidRDefault="00BB7AE6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1 918,8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1 936,7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1 954,1</w:t>
            </w:r>
          </w:p>
        </w:tc>
      </w:tr>
      <w:tr w:rsidR="00BB7AE6" w:rsidRPr="00DD28A8" w:rsidTr="00ED6E4F">
        <w:trPr>
          <w:trHeight w:val="78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BB7AE6" w:rsidRPr="003304D4" w:rsidRDefault="00BB7AE6" w:rsidP="00F8448A">
            <w:pPr>
              <w:jc w:val="center"/>
            </w:pPr>
            <w:r w:rsidRPr="003304D4">
              <w:t>2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BB7AE6" w:rsidRPr="00DF6810" w:rsidRDefault="00BB7AE6" w:rsidP="00DD28A8">
            <w:r w:rsidRPr="00DF6810">
              <w:t>Ожидаемая продолжительность жизни при рождении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BB7AE6" w:rsidRPr="00DF6810" w:rsidRDefault="00BB7AE6" w:rsidP="00DD28A8">
            <w:pPr>
              <w:jc w:val="center"/>
            </w:pPr>
            <w:r>
              <w:t>ч</w:t>
            </w:r>
            <w:r w:rsidRPr="00DF6810">
              <w:t>исло лет</w:t>
            </w:r>
          </w:p>
        </w:tc>
        <w:tc>
          <w:tcPr>
            <w:tcW w:w="1880" w:type="dxa"/>
            <w:shd w:val="clear" w:color="auto" w:fill="auto"/>
            <w:hideMark/>
          </w:tcPr>
          <w:p w:rsidR="00BB7AE6" w:rsidRPr="00DF6810" w:rsidRDefault="00BB7AE6" w:rsidP="00DD28A8">
            <w:r w:rsidRPr="00DF6810"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BB7AE6" w:rsidRPr="00BB7AE6" w:rsidRDefault="00BB7AE6" w:rsidP="00ED6E4F">
            <w:pPr>
              <w:jc w:val="center"/>
            </w:pPr>
            <w:r w:rsidRPr="00BB7AE6">
              <w:t>71,5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BB7AE6" w:rsidRPr="00BB7AE6" w:rsidRDefault="00BB7AE6" w:rsidP="00ED6E4F">
            <w:pPr>
              <w:jc w:val="center"/>
            </w:pPr>
            <w:r w:rsidRPr="00BB7AE6">
              <w:t>71,7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71,9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72,1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72,3</w:t>
            </w:r>
          </w:p>
        </w:tc>
      </w:tr>
      <w:tr w:rsidR="00BB7AE6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</w:tcPr>
          <w:p w:rsidR="00BB7AE6" w:rsidRPr="003304D4" w:rsidRDefault="00BB7AE6" w:rsidP="00F8448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BB7AE6" w:rsidRPr="00DF6810" w:rsidRDefault="00BB7AE6" w:rsidP="00DD28A8"/>
        </w:tc>
        <w:tc>
          <w:tcPr>
            <w:tcW w:w="2425" w:type="dxa"/>
            <w:vMerge/>
            <w:shd w:val="clear" w:color="auto" w:fill="auto"/>
            <w:hideMark/>
          </w:tcPr>
          <w:p w:rsidR="00BB7AE6" w:rsidRPr="00DF6810" w:rsidRDefault="00BB7AE6" w:rsidP="00DD28A8">
            <w:pPr>
              <w:jc w:val="center"/>
            </w:pPr>
          </w:p>
        </w:tc>
        <w:tc>
          <w:tcPr>
            <w:tcW w:w="1880" w:type="dxa"/>
            <w:shd w:val="clear" w:color="auto" w:fill="auto"/>
            <w:hideMark/>
          </w:tcPr>
          <w:p w:rsidR="00BB7AE6" w:rsidRPr="00DF6810" w:rsidRDefault="00BB7AE6" w:rsidP="00DD28A8">
            <w:r w:rsidRPr="00DF6810"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BB7AE6" w:rsidRPr="00BB7AE6" w:rsidRDefault="00BB7AE6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B7AE6" w:rsidRPr="00BB7AE6" w:rsidRDefault="00BB7AE6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73,1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73,7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74,4</w:t>
            </w:r>
          </w:p>
        </w:tc>
      </w:tr>
      <w:tr w:rsidR="00BB7AE6" w:rsidRPr="00DD28A8" w:rsidTr="00ED6E4F">
        <w:trPr>
          <w:trHeight w:val="454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BB7AE6" w:rsidRPr="003304D4" w:rsidRDefault="00BB7AE6" w:rsidP="00F8448A">
            <w:pPr>
              <w:jc w:val="center"/>
            </w:pPr>
            <w:r w:rsidRPr="003304D4">
              <w:t>3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BB7AE6" w:rsidRPr="00DF6810" w:rsidRDefault="00BB7AE6" w:rsidP="00DD28A8">
            <w:r w:rsidRPr="00DF6810">
              <w:t>Общий коэффициент рождаемости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BB7AE6" w:rsidRPr="00DF6810" w:rsidRDefault="00BB7AE6" w:rsidP="00DF6810">
            <w:pPr>
              <w:ind w:left="-51" w:right="-51"/>
              <w:jc w:val="center"/>
            </w:pPr>
            <w:r>
              <w:t>ч</w:t>
            </w:r>
            <w:r w:rsidRPr="00DF6810">
              <w:t xml:space="preserve">исло </w:t>
            </w:r>
            <w:proofErr w:type="gramStart"/>
            <w:r w:rsidRPr="00DF6810">
              <w:t>родившихся</w:t>
            </w:r>
            <w:proofErr w:type="gramEnd"/>
            <w:r w:rsidRPr="00DF6810">
              <w:t xml:space="preserve"> </w:t>
            </w:r>
          </w:p>
          <w:p w:rsidR="00BB7AE6" w:rsidRPr="00DF6810" w:rsidRDefault="00BB7AE6" w:rsidP="00DF6810">
            <w:pPr>
              <w:ind w:left="-51" w:right="-51"/>
              <w:jc w:val="center"/>
            </w:pPr>
            <w:r w:rsidRPr="00DF6810">
              <w:t>на 1000 человек населения</w:t>
            </w:r>
          </w:p>
        </w:tc>
        <w:tc>
          <w:tcPr>
            <w:tcW w:w="1880" w:type="dxa"/>
            <w:shd w:val="clear" w:color="auto" w:fill="auto"/>
            <w:hideMark/>
          </w:tcPr>
          <w:p w:rsidR="00BB7AE6" w:rsidRPr="00DF6810" w:rsidRDefault="00BB7AE6" w:rsidP="00DD28A8">
            <w:r w:rsidRPr="00DF6810"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7,1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7,1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6,2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6,0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5,9</w:t>
            </w:r>
          </w:p>
        </w:tc>
      </w:tr>
      <w:tr w:rsidR="00BB7AE6" w:rsidRPr="00DD28A8" w:rsidTr="00ED6E4F">
        <w:trPr>
          <w:trHeight w:val="132"/>
          <w:jc w:val="center"/>
        </w:trPr>
        <w:tc>
          <w:tcPr>
            <w:tcW w:w="778" w:type="dxa"/>
            <w:vMerge/>
            <w:shd w:val="clear" w:color="auto" w:fill="auto"/>
          </w:tcPr>
          <w:p w:rsidR="00BB7AE6" w:rsidRPr="003304D4" w:rsidRDefault="00BB7AE6" w:rsidP="00F8448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BB7AE6" w:rsidRPr="00DF6810" w:rsidRDefault="00BB7AE6" w:rsidP="00DD28A8">
            <w:pPr>
              <w:rPr>
                <w:color w:val="FF0000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BB7AE6" w:rsidRPr="00DF6810" w:rsidRDefault="00BB7AE6" w:rsidP="00DF6810">
            <w:pPr>
              <w:ind w:left="-51" w:right="-51"/>
              <w:jc w:val="center"/>
              <w:rPr>
                <w:color w:val="FF0000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BB7AE6" w:rsidRPr="00DF6810" w:rsidRDefault="00BB7AE6" w:rsidP="00DD28A8">
            <w:r w:rsidRPr="00DF6810"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BB7AE6" w:rsidRPr="00DF6810" w:rsidRDefault="00BB7AE6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B7AE6" w:rsidRPr="00DF6810" w:rsidRDefault="00BB7AE6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7,0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6,7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6,6</w:t>
            </w:r>
          </w:p>
        </w:tc>
      </w:tr>
      <w:tr w:rsidR="00BB7AE6" w:rsidRPr="00DD28A8" w:rsidTr="00ED6E4F">
        <w:trPr>
          <w:trHeight w:val="397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BB7AE6" w:rsidRPr="003304D4" w:rsidRDefault="00BB7AE6" w:rsidP="00F8448A">
            <w:pPr>
              <w:jc w:val="center"/>
            </w:pPr>
            <w:r w:rsidRPr="003304D4">
              <w:t>4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BB7AE6" w:rsidRPr="00DF6810" w:rsidRDefault="00BB7AE6" w:rsidP="00DD28A8">
            <w:r w:rsidRPr="00DF6810">
              <w:t>Общий коэффициент смертности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BB7AE6" w:rsidRPr="00DF6810" w:rsidRDefault="00BB7AE6" w:rsidP="00DF6810">
            <w:pPr>
              <w:ind w:left="-51" w:right="-51"/>
              <w:jc w:val="center"/>
            </w:pPr>
            <w:r>
              <w:t>ч</w:t>
            </w:r>
            <w:r w:rsidRPr="00DF6810">
              <w:t xml:space="preserve">исло </w:t>
            </w:r>
            <w:proofErr w:type="gramStart"/>
            <w:r w:rsidRPr="00DF6810">
              <w:t>умерших</w:t>
            </w:r>
            <w:proofErr w:type="gramEnd"/>
            <w:r w:rsidRPr="00DF6810">
              <w:t xml:space="preserve"> </w:t>
            </w:r>
          </w:p>
          <w:p w:rsidR="00BB7AE6" w:rsidRPr="00DF6810" w:rsidRDefault="00BB7AE6" w:rsidP="00DF6810">
            <w:pPr>
              <w:ind w:left="-51" w:right="-51"/>
              <w:jc w:val="center"/>
            </w:pPr>
            <w:r w:rsidRPr="00DF6810">
              <w:t>на 1000 человек населения</w:t>
            </w:r>
          </w:p>
        </w:tc>
        <w:tc>
          <w:tcPr>
            <w:tcW w:w="1880" w:type="dxa"/>
            <w:shd w:val="clear" w:color="auto" w:fill="auto"/>
            <w:hideMark/>
          </w:tcPr>
          <w:p w:rsidR="00BB7AE6" w:rsidRPr="00DF6810" w:rsidRDefault="00BB7AE6" w:rsidP="00DD28A8">
            <w:r w:rsidRPr="00DF6810"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15,0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14,9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14,8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14,6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14,4</w:t>
            </w:r>
          </w:p>
        </w:tc>
      </w:tr>
      <w:tr w:rsidR="00BB7AE6" w:rsidRPr="00DD28A8" w:rsidTr="00ED6E4F">
        <w:trPr>
          <w:trHeight w:val="340"/>
          <w:jc w:val="center"/>
        </w:trPr>
        <w:tc>
          <w:tcPr>
            <w:tcW w:w="778" w:type="dxa"/>
            <w:vMerge/>
            <w:shd w:val="clear" w:color="auto" w:fill="auto"/>
          </w:tcPr>
          <w:p w:rsidR="00BB7AE6" w:rsidRPr="003304D4" w:rsidRDefault="00BB7AE6" w:rsidP="00F8448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BB7AE6" w:rsidRPr="00DF6810" w:rsidRDefault="00BB7AE6" w:rsidP="00DD28A8"/>
        </w:tc>
        <w:tc>
          <w:tcPr>
            <w:tcW w:w="2425" w:type="dxa"/>
            <w:vMerge/>
            <w:shd w:val="clear" w:color="auto" w:fill="auto"/>
            <w:hideMark/>
          </w:tcPr>
          <w:p w:rsidR="00BB7AE6" w:rsidRPr="00DF6810" w:rsidRDefault="00BB7AE6" w:rsidP="00DF6810">
            <w:pPr>
              <w:ind w:left="-51" w:right="-51"/>
              <w:jc w:val="center"/>
            </w:pPr>
          </w:p>
        </w:tc>
        <w:tc>
          <w:tcPr>
            <w:tcW w:w="1880" w:type="dxa"/>
            <w:shd w:val="clear" w:color="auto" w:fill="auto"/>
            <w:hideMark/>
          </w:tcPr>
          <w:p w:rsidR="00BB7AE6" w:rsidRPr="00DF6810" w:rsidRDefault="00BB7AE6" w:rsidP="00DD28A8">
            <w:r w:rsidRPr="00DF6810"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BB7AE6" w:rsidRPr="00DF6810" w:rsidRDefault="00BB7AE6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B7AE6" w:rsidRPr="00DF6810" w:rsidRDefault="00BB7AE6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14,0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13,0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BB7AE6">
              <w:t>12,8</w:t>
            </w:r>
          </w:p>
        </w:tc>
      </w:tr>
      <w:tr w:rsidR="00BB7AE6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BB7AE6" w:rsidRPr="003304D4" w:rsidRDefault="00BB7AE6" w:rsidP="00F8448A">
            <w:pPr>
              <w:jc w:val="center"/>
            </w:pPr>
            <w:r w:rsidRPr="003304D4">
              <w:t>5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BB7AE6" w:rsidRPr="00DF6810" w:rsidRDefault="00BB7AE6" w:rsidP="00DD28A8">
            <w:r w:rsidRPr="00DF6810">
              <w:t>Коэффициент естественного прироста населения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BB7AE6" w:rsidRPr="00DF6810" w:rsidRDefault="00BB7AE6" w:rsidP="00DF6810">
            <w:pPr>
              <w:ind w:left="-51" w:right="-51"/>
              <w:jc w:val="center"/>
            </w:pPr>
            <w:r>
              <w:t>н</w:t>
            </w:r>
            <w:r w:rsidRPr="00DF6810">
              <w:t>а 1000 человек населения</w:t>
            </w:r>
          </w:p>
        </w:tc>
        <w:tc>
          <w:tcPr>
            <w:tcW w:w="1880" w:type="dxa"/>
            <w:shd w:val="clear" w:color="auto" w:fill="auto"/>
            <w:hideMark/>
          </w:tcPr>
          <w:p w:rsidR="00BB7AE6" w:rsidRPr="00DF6810" w:rsidRDefault="00BB7AE6" w:rsidP="00DD28A8">
            <w:r w:rsidRPr="00DF6810"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-7,9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-7,8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-8,6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-8,6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-8,5</w:t>
            </w:r>
          </w:p>
        </w:tc>
      </w:tr>
      <w:tr w:rsidR="00BB7AE6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</w:tcPr>
          <w:p w:rsidR="00BB7AE6" w:rsidRPr="003304D4" w:rsidRDefault="00BB7AE6" w:rsidP="00F8448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BB7AE6" w:rsidRPr="00DF6810" w:rsidRDefault="00BB7AE6" w:rsidP="00DD28A8"/>
        </w:tc>
        <w:tc>
          <w:tcPr>
            <w:tcW w:w="2425" w:type="dxa"/>
            <w:vMerge/>
            <w:shd w:val="clear" w:color="auto" w:fill="auto"/>
            <w:hideMark/>
          </w:tcPr>
          <w:p w:rsidR="00BB7AE6" w:rsidRPr="00DF6810" w:rsidRDefault="00BB7AE6" w:rsidP="00DF6810">
            <w:pPr>
              <w:ind w:left="-51" w:right="-51"/>
              <w:jc w:val="center"/>
            </w:pPr>
          </w:p>
        </w:tc>
        <w:tc>
          <w:tcPr>
            <w:tcW w:w="1880" w:type="dxa"/>
            <w:shd w:val="clear" w:color="auto" w:fill="auto"/>
            <w:hideMark/>
          </w:tcPr>
          <w:p w:rsidR="00BB7AE6" w:rsidRPr="00DF6810" w:rsidRDefault="00BB7AE6" w:rsidP="00DD28A8">
            <w:r w:rsidRPr="00DF6810"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BB7AE6" w:rsidRPr="00DF6810" w:rsidRDefault="00BB7AE6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B7AE6" w:rsidRPr="00DF6810" w:rsidRDefault="00BB7AE6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-7,0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-6,3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-6,2</w:t>
            </w:r>
          </w:p>
        </w:tc>
      </w:tr>
      <w:tr w:rsidR="00BB7AE6" w:rsidRPr="00DD28A8" w:rsidTr="00ED6E4F">
        <w:trPr>
          <w:trHeight w:val="283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BB7AE6" w:rsidRPr="003304D4" w:rsidRDefault="00BB7AE6" w:rsidP="00F8448A">
            <w:pPr>
              <w:jc w:val="center"/>
            </w:pPr>
            <w:r w:rsidRPr="003304D4">
              <w:t>6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BB7AE6" w:rsidRPr="00DF6810" w:rsidRDefault="00BB7AE6" w:rsidP="00DD28A8">
            <w:r w:rsidRPr="00DF6810">
              <w:t>Миграционный прирост (убыль)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BB7AE6" w:rsidRPr="00DF6810" w:rsidRDefault="00BB7AE6" w:rsidP="00DF6810">
            <w:pPr>
              <w:ind w:left="-51" w:right="-51"/>
              <w:jc w:val="center"/>
            </w:pPr>
            <w:r>
              <w:t>т</w:t>
            </w:r>
            <w:r w:rsidRPr="00DF6810">
              <w:t>ыс. чел.</w:t>
            </w:r>
          </w:p>
        </w:tc>
        <w:tc>
          <w:tcPr>
            <w:tcW w:w="1880" w:type="dxa"/>
            <w:shd w:val="clear" w:color="auto" w:fill="auto"/>
            <w:hideMark/>
          </w:tcPr>
          <w:p w:rsidR="00BB7AE6" w:rsidRPr="00DF6810" w:rsidRDefault="00BB7AE6" w:rsidP="00DD28A8">
            <w:r w:rsidRPr="00DF6810"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31,6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32,0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27,0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26,4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BB7AE6" w:rsidRPr="00DF6810" w:rsidRDefault="00BB7AE6" w:rsidP="00ED6E4F">
            <w:pPr>
              <w:jc w:val="center"/>
            </w:pPr>
            <w:r w:rsidRPr="00AB0A17">
              <w:t>24,7</w:t>
            </w:r>
          </w:p>
        </w:tc>
      </w:tr>
      <w:tr w:rsidR="00AB0A17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</w:tcPr>
          <w:p w:rsidR="00AB0A17" w:rsidRPr="003304D4" w:rsidRDefault="00AB0A17" w:rsidP="00F8448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AB0A17" w:rsidRPr="00DF6810" w:rsidRDefault="00AB0A17" w:rsidP="00DD28A8"/>
        </w:tc>
        <w:tc>
          <w:tcPr>
            <w:tcW w:w="2425" w:type="dxa"/>
            <w:vMerge/>
            <w:shd w:val="clear" w:color="auto" w:fill="auto"/>
            <w:hideMark/>
          </w:tcPr>
          <w:p w:rsidR="00AB0A17" w:rsidRPr="00DF6810" w:rsidRDefault="00AB0A17" w:rsidP="00DF6810">
            <w:pPr>
              <w:ind w:left="-51" w:right="-51"/>
              <w:jc w:val="center"/>
            </w:pPr>
          </w:p>
        </w:tc>
        <w:tc>
          <w:tcPr>
            <w:tcW w:w="1880" w:type="dxa"/>
            <w:shd w:val="clear" w:color="auto" w:fill="auto"/>
            <w:hideMark/>
          </w:tcPr>
          <w:p w:rsidR="00AB0A17" w:rsidRPr="00DF6810" w:rsidRDefault="00AB0A17" w:rsidP="00DD28A8">
            <w:r w:rsidRPr="00DF6810"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B0A17" w:rsidRPr="00DF6810" w:rsidRDefault="00AB0A17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B0A17" w:rsidRPr="00DF6810" w:rsidRDefault="00AB0A17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DF6810" w:rsidRDefault="00AB0A17" w:rsidP="00ED6E4F">
            <w:pPr>
              <w:jc w:val="center"/>
            </w:pPr>
            <w:r w:rsidRPr="00AB0A17">
              <w:t>29,9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DF6810" w:rsidRDefault="00AB0A17" w:rsidP="00ED6E4F">
            <w:pPr>
              <w:jc w:val="center"/>
            </w:pPr>
            <w:r w:rsidRPr="00AB0A17">
              <w:t>29,1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DF6810" w:rsidRDefault="00AB0A17" w:rsidP="00ED6E4F">
            <w:pPr>
              <w:jc w:val="center"/>
            </w:pPr>
            <w:r w:rsidRPr="00AB0A17">
              <w:t>26,4</w:t>
            </w:r>
          </w:p>
        </w:tc>
      </w:tr>
      <w:tr w:rsidR="00AB0A17" w:rsidRPr="00DD28A8" w:rsidTr="00ED6E4F">
        <w:trPr>
          <w:trHeight w:val="340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AB0A17" w:rsidRPr="003304D4" w:rsidRDefault="00AB0A17" w:rsidP="00F8448A">
            <w:pPr>
              <w:jc w:val="center"/>
            </w:pPr>
            <w:r w:rsidRPr="003304D4">
              <w:t>7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AB0A17" w:rsidRPr="00DF6810" w:rsidRDefault="00AB0A17" w:rsidP="00DD28A8">
            <w:r w:rsidRPr="00DF6810">
              <w:t>Валовой региональный продукт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AB0A17" w:rsidRPr="00DF6810" w:rsidRDefault="00AB0A17" w:rsidP="00DF6810">
            <w:pPr>
              <w:ind w:left="-51" w:right="-51"/>
              <w:jc w:val="center"/>
            </w:pPr>
            <w:proofErr w:type="gramStart"/>
            <w:r>
              <w:t>м</w:t>
            </w:r>
            <w:r w:rsidRPr="00DF6810">
              <w:t>лрд</w:t>
            </w:r>
            <w:proofErr w:type="gramEnd"/>
            <w:r w:rsidRPr="00DF6810">
              <w:t xml:space="preserve"> руб.</w:t>
            </w:r>
          </w:p>
        </w:tc>
        <w:tc>
          <w:tcPr>
            <w:tcW w:w="1880" w:type="dxa"/>
            <w:shd w:val="clear" w:color="auto" w:fill="auto"/>
            <w:hideMark/>
          </w:tcPr>
          <w:p w:rsidR="00AB0A17" w:rsidRPr="00DF6810" w:rsidRDefault="00AB0A17" w:rsidP="00DD28A8">
            <w:r w:rsidRPr="00DF6810"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AB0A17" w:rsidRPr="00DF6810" w:rsidRDefault="00AB0A17" w:rsidP="00ED6E4F">
            <w:pPr>
              <w:jc w:val="center"/>
            </w:pPr>
            <w:r>
              <w:t>1 262,5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AB0A17" w:rsidRPr="00DF6810" w:rsidRDefault="00AB0A17" w:rsidP="00ED6E4F">
            <w:pPr>
              <w:jc w:val="center"/>
            </w:pPr>
            <w:r>
              <w:t>1 365,2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DF6810" w:rsidRDefault="00AB0A17" w:rsidP="00ED6E4F">
            <w:pPr>
              <w:jc w:val="center"/>
            </w:pPr>
            <w:r w:rsidRPr="00AB0A17">
              <w:t>1 428,7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DF6810" w:rsidRDefault="00AB0A17" w:rsidP="00ED6E4F">
            <w:pPr>
              <w:jc w:val="center"/>
            </w:pPr>
            <w:r w:rsidRPr="00AB0A17">
              <w:t>1 515,7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DF6810" w:rsidRDefault="00AB0A17" w:rsidP="00ED6E4F">
            <w:pPr>
              <w:jc w:val="center"/>
            </w:pPr>
            <w:r w:rsidRPr="00AB0A17">
              <w:t>1 619,0</w:t>
            </w:r>
          </w:p>
        </w:tc>
      </w:tr>
      <w:tr w:rsidR="00AB0A17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</w:tcPr>
          <w:p w:rsidR="00AB0A17" w:rsidRPr="003304D4" w:rsidRDefault="00AB0A17" w:rsidP="00F8448A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AB0A17" w:rsidRPr="00DF6810" w:rsidRDefault="00AB0A17" w:rsidP="00DD28A8"/>
        </w:tc>
        <w:tc>
          <w:tcPr>
            <w:tcW w:w="2425" w:type="dxa"/>
            <w:vMerge/>
            <w:shd w:val="clear" w:color="auto" w:fill="auto"/>
            <w:hideMark/>
          </w:tcPr>
          <w:p w:rsidR="00AB0A17" w:rsidRPr="00DF6810" w:rsidRDefault="00AB0A17" w:rsidP="00DF6810">
            <w:pPr>
              <w:ind w:left="-51" w:right="-51"/>
              <w:jc w:val="center"/>
            </w:pPr>
          </w:p>
        </w:tc>
        <w:tc>
          <w:tcPr>
            <w:tcW w:w="1880" w:type="dxa"/>
            <w:shd w:val="clear" w:color="auto" w:fill="auto"/>
            <w:hideMark/>
          </w:tcPr>
          <w:p w:rsidR="00AB0A17" w:rsidRPr="00DF6810" w:rsidRDefault="00AB0A17" w:rsidP="00DD28A8">
            <w:r w:rsidRPr="00DF6810"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B0A17" w:rsidRPr="00DF6810" w:rsidRDefault="00AB0A17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B0A17" w:rsidRPr="00DF6810" w:rsidRDefault="00AB0A17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DF6810" w:rsidRDefault="00AB0A17" w:rsidP="00ED6E4F">
            <w:pPr>
              <w:jc w:val="center"/>
            </w:pPr>
            <w:r w:rsidRPr="00AB0A17">
              <w:t>1 465,3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DF6810" w:rsidRDefault="00AB0A17" w:rsidP="00ED6E4F">
            <w:pPr>
              <w:jc w:val="center"/>
            </w:pPr>
            <w:r w:rsidRPr="00AB0A17">
              <w:t>1 563,6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DF6810" w:rsidRDefault="00AB0A17" w:rsidP="00ED6E4F">
            <w:pPr>
              <w:jc w:val="center"/>
            </w:pPr>
            <w:r w:rsidRPr="00AB0A17">
              <w:t>1 679,8</w:t>
            </w:r>
          </w:p>
        </w:tc>
      </w:tr>
      <w:tr w:rsidR="00AB0A17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AB0A17" w:rsidRPr="003304D4" w:rsidRDefault="00AB0A17" w:rsidP="00F8448A">
            <w:pPr>
              <w:jc w:val="center"/>
            </w:pPr>
            <w:r w:rsidRPr="003304D4">
              <w:lastRenderedPageBreak/>
              <w:t>8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Темп роста объема валового регионального продукта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AB0A17" w:rsidRPr="00DD28A8" w:rsidRDefault="00AB0A17" w:rsidP="00A92CC7">
            <w:pPr>
              <w:ind w:left="-51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 в сопоставимых ценах</w:t>
            </w:r>
          </w:p>
        </w:tc>
        <w:tc>
          <w:tcPr>
            <w:tcW w:w="1880" w:type="dxa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100,1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103,1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102,4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102,5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103,0</w:t>
            </w:r>
          </w:p>
        </w:tc>
      </w:tr>
      <w:tr w:rsidR="00AB0A17" w:rsidRPr="00DD28A8" w:rsidTr="00ED6E4F">
        <w:trPr>
          <w:trHeight w:val="169"/>
          <w:jc w:val="center"/>
        </w:trPr>
        <w:tc>
          <w:tcPr>
            <w:tcW w:w="778" w:type="dxa"/>
            <w:vMerge/>
            <w:shd w:val="clear" w:color="auto" w:fill="auto"/>
          </w:tcPr>
          <w:p w:rsidR="00AB0A17" w:rsidRPr="003304D4" w:rsidRDefault="00AB0A17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AB0A17" w:rsidRPr="00DD28A8" w:rsidRDefault="00AB0A17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B0A17" w:rsidRPr="00ED6E4F" w:rsidRDefault="00AB0A17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B0A17" w:rsidRPr="00ED6E4F" w:rsidRDefault="00AB0A17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103,1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103,4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103,8</w:t>
            </w:r>
          </w:p>
        </w:tc>
      </w:tr>
      <w:tr w:rsidR="00AB0A17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AB0A17" w:rsidRPr="003304D4" w:rsidRDefault="00AB0A17" w:rsidP="00F8448A">
            <w:pPr>
              <w:jc w:val="center"/>
            </w:pPr>
            <w:r w:rsidRPr="003304D4">
              <w:t>9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 xml:space="preserve">Объем отгруженной продукции            (работ, услуг) 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AB0A17" w:rsidRPr="00DD28A8" w:rsidRDefault="00AB0A17" w:rsidP="00DD28A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r w:rsidRPr="00DD28A8">
              <w:rPr>
                <w:sz w:val="22"/>
                <w:szCs w:val="22"/>
              </w:rPr>
              <w:t>лрд</w:t>
            </w:r>
            <w:proofErr w:type="gramEnd"/>
            <w:r w:rsidRPr="00DD28A8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880" w:type="dxa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1 266,4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1 411,8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1 487,5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1 587,7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1 699,6</w:t>
            </w:r>
          </w:p>
        </w:tc>
      </w:tr>
      <w:tr w:rsidR="00AB0A17" w:rsidRPr="00DD28A8" w:rsidTr="00ED6E4F">
        <w:trPr>
          <w:trHeight w:val="62"/>
          <w:jc w:val="center"/>
        </w:trPr>
        <w:tc>
          <w:tcPr>
            <w:tcW w:w="778" w:type="dxa"/>
            <w:vMerge/>
            <w:shd w:val="clear" w:color="auto" w:fill="auto"/>
          </w:tcPr>
          <w:p w:rsidR="00AB0A17" w:rsidRPr="003304D4" w:rsidRDefault="00AB0A17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AB0A17" w:rsidRPr="00DD28A8" w:rsidRDefault="00AB0A17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B0A17" w:rsidRPr="00ED6E4F" w:rsidRDefault="00AB0A17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B0A17" w:rsidRPr="00ED6E4F" w:rsidRDefault="00AB0A17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1 499,0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1 604,3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1 723,1</w:t>
            </w:r>
          </w:p>
        </w:tc>
      </w:tr>
      <w:tr w:rsidR="00AB0A17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AB0A17" w:rsidRPr="003304D4" w:rsidRDefault="00AB0A17" w:rsidP="00F8448A">
            <w:pPr>
              <w:jc w:val="center"/>
            </w:pPr>
            <w:r w:rsidRPr="003304D4">
              <w:t>10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 xml:space="preserve">Индекс промышленного производства 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AB0A17" w:rsidRPr="00DD28A8" w:rsidRDefault="00AB0A17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 в сопоставимых ценах</w:t>
            </w:r>
          </w:p>
        </w:tc>
        <w:tc>
          <w:tcPr>
            <w:tcW w:w="1880" w:type="dxa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98,6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103,3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102,1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102,4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104,3</w:t>
            </w:r>
          </w:p>
        </w:tc>
      </w:tr>
      <w:tr w:rsidR="00AB0A17" w:rsidRPr="00DD28A8" w:rsidTr="00ED6E4F">
        <w:trPr>
          <w:trHeight w:val="112"/>
          <w:jc w:val="center"/>
        </w:trPr>
        <w:tc>
          <w:tcPr>
            <w:tcW w:w="778" w:type="dxa"/>
            <w:vMerge/>
            <w:shd w:val="clear" w:color="auto" w:fill="auto"/>
          </w:tcPr>
          <w:p w:rsidR="00AB0A17" w:rsidRPr="003304D4" w:rsidRDefault="00AB0A17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AB0A17" w:rsidRPr="00DD28A8" w:rsidRDefault="00AB0A17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B0A17" w:rsidRPr="00ED6E4F" w:rsidRDefault="00AB0A17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B0A17" w:rsidRPr="00ED6E4F" w:rsidRDefault="00AB0A17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102,4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103,0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104,6</w:t>
            </w:r>
          </w:p>
        </w:tc>
      </w:tr>
      <w:tr w:rsidR="00AB0A17" w:rsidRPr="00DD28A8" w:rsidTr="00ED6E4F">
        <w:trPr>
          <w:trHeight w:val="130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AB0A17" w:rsidRPr="003304D4" w:rsidRDefault="00AB0A17" w:rsidP="00F8448A">
            <w:pPr>
              <w:jc w:val="center"/>
            </w:pPr>
            <w:r w:rsidRPr="003304D4">
              <w:t>11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AB0A17" w:rsidRDefault="00AB0A17" w:rsidP="00DF6810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 xml:space="preserve"> Добыча полезных ископаемых </w:t>
            </w:r>
          </w:p>
          <w:p w:rsidR="00AB0A17" w:rsidRPr="00DD28A8" w:rsidRDefault="00AB0A17" w:rsidP="00DF6810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(раздел В)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AB0A17" w:rsidRPr="00DD28A8" w:rsidRDefault="00AB0A17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 в сопоставимых ценах</w:t>
            </w:r>
          </w:p>
        </w:tc>
        <w:tc>
          <w:tcPr>
            <w:tcW w:w="1880" w:type="dxa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102,5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97,0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101,8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101,2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104,9</w:t>
            </w:r>
          </w:p>
        </w:tc>
      </w:tr>
      <w:tr w:rsidR="00AB0A17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</w:tcPr>
          <w:p w:rsidR="00AB0A17" w:rsidRPr="003304D4" w:rsidRDefault="00AB0A17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AB0A17" w:rsidRPr="00DD28A8" w:rsidRDefault="00AB0A17" w:rsidP="00DF6810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AB0A17" w:rsidRPr="00DD28A8" w:rsidRDefault="00AB0A17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B0A17" w:rsidRPr="00ED6E4F" w:rsidRDefault="00AB0A17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B0A17" w:rsidRPr="00ED6E4F" w:rsidRDefault="00AB0A17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102,5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101,5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105,2</w:t>
            </w:r>
          </w:p>
        </w:tc>
      </w:tr>
      <w:tr w:rsidR="00AB0A17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AB0A17" w:rsidRPr="003304D4" w:rsidRDefault="00AB0A17" w:rsidP="00F8448A">
            <w:pPr>
              <w:jc w:val="center"/>
            </w:pPr>
            <w:r w:rsidRPr="003304D4">
              <w:t>12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AB0A17" w:rsidRPr="00DD28A8" w:rsidRDefault="00AB0A17" w:rsidP="00DF6810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Обрабатывающие производства (раздел С)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AB0A17" w:rsidRPr="00DD28A8" w:rsidRDefault="00AB0A17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 в сопоставимых ценах</w:t>
            </w:r>
          </w:p>
        </w:tc>
        <w:tc>
          <w:tcPr>
            <w:tcW w:w="1880" w:type="dxa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100,2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103,2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100,5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102,0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104,3</w:t>
            </w:r>
          </w:p>
        </w:tc>
      </w:tr>
      <w:tr w:rsidR="00AB0A17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</w:tcPr>
          <w:p w:rsidR="00AB0A17" w:rsidRPr="003304D4" w:rsidRDefault="00AB0A17" w:rsidP="00F8448A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AB0A17" w:rsidRPr="00DD28A8" w:rsidRDefault="00AB0A17" w:rsidP="00DF6810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AB0A17" w:rsidRPr="00DD28A8" w:rsidRDefault="00AB0A17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AB0A17" w:rsidRPr="00DD28A8" w:rsidRDefault="00AB0A17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B0A17" w:rsidRPr="00ED6E4F" w:rsidRDefault="00AB0A17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B0A17" w:rsidRPr="00ED6E4F" w:rsidRDefault="00AB0A17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103,3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104,8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AB0A17" w:rsidRPr="00ED6E4F" w:rsidRDefault="00AB0A17" w:rsidP="00ED6E4F">
            <w:pPr>
              <w:jc w:val="center"/>
            </w:pPr>
            <w:r w:rsidRPr="00ED6E4F">
              <w:t>104,8</w:t>
            </w:r>
          </w:p>
        </w:tc>
      </w:tr>
      <w:tr w:rsidR="00760962" w:rsidRPr="00DD28A8" w:rsidTr="00ED6E4F">
        <w:trPr>
          <w:trHeight w:val="74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760962" w:rsidRPr="003304D4" w:rsidRDefault="00760962" w:rsidP="00F8448A">
            <w:pPr>
              <w:jc w:val="center"/>
            </w:pPr>
            <w:r w:rsidRPr="003304D4">
              <w:t>13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 xml:space="preserve">роизводство пищевых продуктов 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760962" w:rsidRPr="00DD28A8" w:rsidRDefault="00760962" w:rsidP="00A92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109,7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107,0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105,3</w:t>
            </w:r>
          </w:p>
        </w:tc>
      </w:tr>
      <w:tr w:rsidR="00760962" w:rsidRPr="00DD28A8" w:rsidTr="00ED6E4F">
        <w:trPr>
          <w:trHeight w:val="92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760962" w:rsidRPr="003304D4" w:rsidRDefault="00760962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760962" w:rsidRPr="00DD28A8" w:rsidRDefault="00760962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105,0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105,3</w:t>
            </w:r>
          </w:p>
        </w:tc>
      </w:tr>
      <w:tr w:rsidR="00760962" w:rsidRPr="00DD28A8" w:rsidTr="00ED6E4F">
        <w:trPr>
          <w:trHeight w:val="283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760962" w:rsidRPr="003304D4" w:rsidRDefault="00760962" w:rsidP="00F8448A">
            <w:pPr>
              <w:jc w:val="center"/>
            </w:pPr>
            <w:r>
              <w:t>14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напитков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760962" w:rsidRPr="00DD28A8" w:rsidRDefault="00760962" w:rsidP="00A92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138,0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120,0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102,7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102,8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100,1</w:t>
            </w:r>
          </w:p>
        </w:tc>
      </w:tr>
      <w:tr w:rsidR="00760962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760962" w:rsidRPr="003304D4" w:rsidRDefault="00760962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760962" w:rsidRPr="00DD28A8" w:rsidRDefault="00760962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100,3</w:t>
            </w:r>
          </w:p>
        </w:tc>
      </w:tr>
      <w:tr w:rsidR="00760962" w:rsidRPr="00DD28A8" w:rsidTr="00ED6E4F">
        <w:trPr>
          <w:trHeight w:val="283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760962" w:rsidRPr="003304D4" w:rsidRDefault="00760962" w:rsidP="00F8448A">
            <w:pPr>
              <w:jc w:val="center"/>
            </w:pPr>
            <w:r>
              <w:t>15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табачных изделий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760962" w:rsidRPr="00DD28A8" w:rsidRDefault="00760962" w:rsidP="00A92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108,2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110,0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100,5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101,5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103,3</w:t>
            </w:r>
          </w:p>
        </w:tc>
      </w:tr>
      <w:tr w:rsidR="00760962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760962" w:rsidRPr="003304D4" w:rsidRDefault="00760962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760962" w:rsidRPr="00DD28A8" w:rsidRDefault="00760962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101,0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102,0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103,4</w:t>
            </w:r>
          </w:p>
        </w:tc>
      </w:tr>
      <w:tr w:rsidR="00760962" w:rsidRPr="00DD28A8" w:rsidTr="00ED6E4F">
        <w:trPr>
          <w:trHeight w:val="283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760962" w:rsidRPr="003304D4" w:rsidRDefault="00760962" w:rsidP="00F8448A">
            <w:pPr>
              <w:jc w:val="center"/>
            </w:pPr>
            <w:r>
              <w:t>16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текстильных изделий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760962" w:rsidRPr="00DD28A8" w:rsidRDefault="00760962" w:rsidP="00A92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144,0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120,0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103,5</w:t>
            </w:r>
          </w:p>
        </w:tc>
      </w:tr>
      <w:tr w:rsidR="00760962" w:rsidRPr="00DD28A8" w:rsidTr="00ED6E4F">
        <w:trPr>
          <w:trHeight w:val="290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760962" w:rsidRPr="003304D4" w:rsidRDefault="00760962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760962" w:rsidRPr="00DD28A8" w:rsidRDefault="00760962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104,1</w:t>
            </w:r>
          </w:p>
        </w:tc>
      </w:tr>
      <w:tr w:rsidR="00760962" w:rsidRPr="00DD28A8" w:rsidTr="00ED6E4F">
        <w:trPr>
          <w:trHeight w:val="283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760962" w:rsidRPr="003304D4" w:rsidRDefault="00760962" w:rsidP="00F8448A">
            <w:pPr>
              <w:jc w:val="center"/>
            </w:pPr>
            <w:r>
              <w:t>17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одежды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760962" w:rsidRPr="00DD28A8" w:rsidRDefault="00760962" w:rsidP="00A92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106,8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102,0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100,4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101,0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102,3</w:t>
            </w:r>
          </w:p>
        </w:tc>
      </w:tr>
      <w:tr w:rsidR="00760962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760962" w:rsidRPr="003304D4" w:rsidRDefault="00760962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760962" w:rsidRPr="00DD28A8" w:rsidRDefault="00760962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101,0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101,2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102,6</w:t>
            </w:r>
          </w:p>
        </w:tc>
      </w:tr>
      <w:tr w:rsidR="00760962" w:rsidRPr="00DD28A8" w:rsidTr="00ED6E4F">
        <w:trPr>
          <w:trHeight w:val="283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760962" w:rsidRPr="003304D4" w:rsidRDefault="00760962" w:rsidP="00F8448A">
            <w:pPr>
              <w:jc w:val="center"/>
            </w:pPr>
            <w:r>
              <w:t>18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кожи и изделий                    из кожи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760962" w:rsidRPr="00DD28A8" w:rsidRDefault="00760962" w:rsidP="00A92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58,7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75,0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85,0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85,2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80,0</w:t>
            </w:r>
          </w:p>
        </w:tc>
      </w:tr>
      <w:tr w:rsidR="00760962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760962" w:rsidRPr="003304D4" w:rsidRDefault="00760962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760962" w:rsidRPr="00DD28A8" w:rsidRDefault="00760962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91,0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91,2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80,1</w:t>
            </w:r>
          </w:p>
        </w:tc>
      </w:tr>
      <w:tr w:rsidR="00760962" w:rsidRPr="00DD28A8" w:rsidTr="00ED6E4F">
        <w:trPr>
          <w:trHeight w:val="1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760962" w:rsidRPr="003304D4" w:rsidRDefault="00760962" w:rsidP="007B5F14">
            <w:pPr>
              <w:pageBreakBefore/>
              <w:jc w:val="center"/>
            </w:pPr>
            <w:r>
              <w:lastRenderedPageBreak/>
              <w:t>19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760962" w:rsidRDefault="00760962" w:rsidP="00DF6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D28A8">
              <w:rPr>
                <w:sz w:val="22"/>
                <w:szCs w:val="22"/>
              </w:rPr>
              <w:t xml:space="preserve">бработка древесины и производство изделий из дерева и пробки, кроме мебели, производство изделий </w:t>
            </w:r>
          </w:p>
          <w:p w:rsidR="00760962" w:rsidRPr="00DD28A8" w:rsidRDefault="00760962" w:rsidP="00DF6810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из соломки и материалов для плетения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760962" w:rsidRPr="00DD28A8" w:rsidRDefault="00760962" w:rsidP="00A92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90,7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111,7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101,5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102,1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102,0</w:t>
            </w:r>
          </w:p>
        </w:tc>
      </w:tr>
      <w:tr w:rsidR="00760962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760962" w:rsidRPr="003304D4" w:rsidRDefault="00760962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760962" w:rsidRPr="00DD28A8" w:rsidRDefault="00760962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104,6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104,2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104,0</w:t>
            </w:r>
          </w:p>
        </w:tc>
      </w:tr>
      <w:tr w:rsidR="00760962" w:rsidRPr="00DD28A8" w:rsidTr="00ED6E4F">
        <w:trPr>
          <w:trHeight w:val="283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760962" w:rsidRPr="003304D4" w:rsidRDefault="00760962" w:rsidP="00F8448A">
            <w:pPr>
              <w:jc w:val="center"/>
            </w:pPr>
            <w:r>
              <w:t>20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760962" w:rsidRPr="00DD28A8" w:rsidRDefault="00760962" w:rsidP="00DF6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бумаги и бумажных изделий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760962" w:rsidRPr="00DD28A8" w:rsidRDefault="00760962" w:rsidP="005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760962" w:rsidRPr="00DD28A8" w:rsidRDefault="00760962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104,5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102,4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101,4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102,4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760962" w:rsidRPr="00ED6E4F" w:rsidRDefault="00760962" w:rsidP="00ED6E4F">
            <w:pPr>
              <w:jc w:val="center"/>
            </w:pPr>
            <w:r w:rsidRPr="00ED6E4F">
              <w:t>103,2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119F" w:rsidRPr="00DD28A8" w:rsidRDefault="0023119F" w:rsidP="00DF6810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102,6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104,2</w:t>
            </w:r>
          </w:p>
        </w:tc>
      </w:tr>
      <w:tr w:rsidR="0023119F" w:rsidRPr="00DD28A8" w:rsidTr="00ED6E4F">
        <w:trPr>
          <w:trHeight w:val="283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21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9F" w:rsidRDefault="0023119F" w:rsidP="00DF6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D28A8">
              <w:rPr>
                <w:sz w:val="22"/>
                <w:szCs w:val="22"/>
              </w:rPr>
              <w:t xml:space="preserve">еятельность полиграфическая </w:t>
            </w:r>
          </w:p>
          <w:p w:rsidR="0023119F" w:rsidRPr="00DD28A8" w:rsidRDefault="0023119F" w:rsidP="00DF6810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и копирование носителей информации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9F" w:rsidRPr="00DD28A8" w:rsidRDefault="0023119F" w:rsidP="005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148,3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120,0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101,6</w:t>
            </w:r>
          </w:p>
        </w:tc>
      </w:tr>
      <w:tr w:rsidR="0023119F" w:rsidRPr="00DD28A8" w:rsidTr="00ED6E4F">
        <w:trPr>
          <w:trHeight w:val="108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9F" w:rsidRPr="00DD28A8" w:rsidRDefault="0023119F" w:rsidP="00DF6810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101,8</w:t>
            </w:r>
          </w:p>
        </w:tc>
      </w:tr>
      <w:tr w:rsidR="0023119F" w:rsidRPr="00DD28A8" w:rsidTr="00ED6E4F">
        <w:trPr>
          <w:trHeight w:val="140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22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9F" w:rsidRPr="00DD28A8" w:rsidRDefault="0023119F" w:rsidP="00DF6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</w:t>
            </w:r>
            <w:r w:rsidRPr="00DD28A8">
              <w:rPr>
                <w:sz w:val="22"/>
                <w:szCs w:val="22"/>
              </w:rPr>
              <w:t>кокса и нефтепродуктов</w:t>
            </w:r>
          </w:p>
          <w:p w:rsidR="0023119F" w:rsidRPr="00DD28A8" w:rsidRDefault="0023119F" w:rsidP="00DF6810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9F" w:rsidRPr="00DD28A8" w:rsidRDefault="0023119F" w:rsidP="005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100,1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95,0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101,7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101,9</w:t>
            </w:r>
          </w:p>
        </w:tc>
      </w:tr>
      <w:tr w:rsidR="0023119F" w:rsidRPr="00DD28A8" w:rsidTr="00ED6E4F">
        <w:trPr>
          <w:trHeight w:val="283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23119F" w:rsidRPr="003304D4" w:rsidRDefault="0023119F" w:rsidP="00047F56">
            <w:pPr>
              <w:jc w:val="center"/>
            </w:pPr>
            <w:r>
              <w:t>23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119F" w:rsidRDefault="0023119F" w:rsidP="003304D4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 xml:space="preserve">роизводство химических веществ     </w:t>
            </w:r>
          </w:p>
          <w:p w:rsidR="0023119F" w:rsidRPr="00DD28A8" w:rsidRDefault="0023119F" w:rsidP="003304D4">
            <w:pPr>
              <w:pageBreakBefore/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и химических продуктов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106,8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105,3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106,0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106,0</w:t>
            </w:r>
          </w:p>
        </w:tc>
      </w:tr>
      <w:tr w:rsidR="0023119F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106,7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106,4</w:t>
            </w:r>
          </w:p>
        </w:tc>
      </w:tr>
      <w:tr w:rsidR="0023119F" w:rsidRPr="00DD28A8" w:rsidTr="00ED6E4F">
        <w:trPr>
          <w:trHeight w:val="131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24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 xml:space="preserve">роизводство лекарственных средств </w:t>
            </w:r>
          </w:p>
          <w:p w:rsidR="0023119F" w:rsidRDefault="0023119F" w:rsidP="003304D4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 xml:space="preserve">и материалов, применяемых </w:t>
            </w:r>
          </w:p>
          <w:p w:rsidR="0023119F" w:rsidRPr="00DD28A8" w:rsidRDefault="0023119F" w:rsidP="003304D4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 xml:space="preserve">в медицинских целях 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98,1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104,2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100,0</w:t>
            </w:r>
          </w:p>
        </w:tc>
      </w:tr>
      <w:tr w:rsidR="0023119F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104,0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101,0</w:t>
            </w:r>
          </w:p>
        </w:tc>
      </w:tr>
      <w:tr w:rsidR="0023119F" w:rsidRPr="00DD28A8" w:rsidTr="00ED6E4F">
        <w:trPr>
          <w:trHeight w:val="283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25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 xml:space="preserve">роизводство </w:t>
            </w:r>
            <w:proofErr w:type="gramStart"/>
            <w:r w:rsidRPr="00DD28A8">
              <w:rPr>
                <w:sz w:val="22"/>
                <w:szCs w:val="22"/>
              </w:rPr>
              <w:t>резиновых</w:t>
            </w:r>
            <w:proofErr w:type="gramEnd"/>
            <w:r w:rsidRPr="00DD28A8">
              <w:rPr>
                <w:sz w:val="22"/>
                <w:szCs w:val="22"/>
              </w:rPr>
              <w:t xml:space="preserve"> </w:t>
            </w:r>
          </w:p>
          <w:p w:rsidR="0023119F" w:rsidRPr="00DD28A8" w:rsidRDefault="0023119F" w:rsidP="003304D4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и пластмассовых изделий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98,1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100,6</w:t>
            </w:r>
          </w:p>
        </w:tc>
      </w:tr>
      <w:tr w:rsidR="0023119F" w:rsidRPr="00DD28A8" w:rsidTr="00ED6E4F">
        <w:trPr>
          <w:trHeight w:val="60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100,7</w:t>
            </w:r>
          </w:p>
        </w:tc>
      </w:tr>
      <w:tr w:rsidR="0023119F" w:rsidRPr="00DD28A8" w:rsidTr="00ED6E4F">
        <w:trPr>
          <w:trHeight w:val="283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26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Pr="00DD28A8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 xml:space="preserve">роизводство прочей неметаллической минеральной продукции 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106,4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101,0</w:t>
            </w:r>
          </w:p>
        </w:tc>
      </w:tr>
      <w:tr w:rsidR="0023119F" w:rsidRPr="00DD28A8" w:rsidTr="00ED6E4F">
        <w:trPr>
          <w:trHeight w:val="68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101,5</w:t>
            </w:r>
          </w:p>
        </w:tc>
      </w:tr>
      <w:tr w:rsidR="0023119F" w:rsidRPr="00DD28A8" w:rsidTr="00ED6E4F">
        <w:trPr>
          <w:trHeight w:val="100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27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Pr="00DD28A8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металлургическое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92,7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92,7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101,7</w:t>
            </w:r>
          </w:p>
        </w:tc>
      </w:tr>
      <w:tr w:rsidR="0023119F" w:rsidRPr="00DD28A8" w:rsidTr="00ED6E4F">
        <w:trPr>
          <w:trHeight w:val="118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101,9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28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Pr="00DD28A8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готовых металлических изделий, кроме машин и оборудования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проц. </w:t>
            </w:r>
            <w:r w:rsidRPr="00DD28A8">
              <w:rPr>
                <w:sz w:val="22"/>
                <w:szCs w:val="22"/>
              </w:rPr>
              <w:t xml:space="preserve"> к предыдущему 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93,5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102,7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106,1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106,1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103,0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29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Pr="00DD28A8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компьютеров, электронных и оптических изделий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128,3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90,0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102,5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102,7</w:t>
            </w:r>
          </w:p>
        </w:tc>
      </w:tr>
      <w:tr w:rsidR="0023119F" w:rsidRPr="00DD28A8" w:rsidTr="00ED6E4F">
        <w:trPr>
          <w:trHeight w:val="79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367834">
            <w:pPr>
              <w:pageBreakBefore/>
              <w:jc w:val="center"/>
            </w:pPr>
            <w:r>
              <w:lastRenderedPageBreak/>
              <w:t>30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Pr="00DD28A8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электрического оборудования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80,7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102,2</w:t>
            </w:r>
          </w:p>
        </w:tc>
      </w:tr>
      <w:tr w:rsidR="0023119F" w:rsidRPr="00DD28A8" w:rsidTr="00ED6E4F">
        <w:trPr>
          <w:trHeight w:val="84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107,3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103,2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31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Pr="00DD28A8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 xml:space="preserve">роизводство машин и оборудования, не включенных в другие группировки 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89,2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108,5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102,8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104,1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104,0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103,0</w:t>
            </w:r>
          </w:p>
        </w:tc>
      </w:tr>
      <w:tr w:rsidR="0023119F" w:rsidRPr="00DD28A8" w:rsidTr="00ED6E4F">
        <w:trPr>
          <w:trHeight w:val="1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32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Pr="00DD28A8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автотранспортных средств, прицепов и полуприцепов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69,6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90,0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100,2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101,4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367834">
            <w:pPr>
              <w:jc w:val="center"/>
            </w:pPr>
            <w:r>
              <w:t>33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Pr="00DD28A8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 xml:space="preserve">роизводство прочих транспортных средств и оборудования 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87,5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98,0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103,7</w:t>
            </w:r>
          </w:p>
        </w:tc>
      </w:tr>
      <w:tr w:rsidR="0023119F" w:rsidRPr="00DD28A8" w:rsidTr="00ED6E4F">
        <w:trPr>
          <w:trHeight w:val="78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104,1</w:t>
            </w:r>
          </w:p>
        </w:tc>
      </w:tr>
      <w:tr w:rsidR="0023119F" w:rsidRPr="00DD28A8" w:rsidTr="00ED6E4F">
        <w:trPr>
          <w:trHeight w:val="96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34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Pr="00DD28A8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мебели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37,8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102,2</w:t>
            </w:r>
          </w:p>
        </w:tc>
      </w:tr>
      <w:tr w:rsidR="0023119F" w:rsidRPr="00DD28A8" w:rsidTr="00ED6E4F">
        <w:trPr>
          <w:trHeight w:val="114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104,1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102,9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35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Pr="00DD28A8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28A8">
              <w:rPr>
                <w:sz w:val="22"/>
                <w:szCs w:val="22"/>
              </w:rPr>
              <w:t>роизводство прочих готовых изделий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124,5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102,3</w:t>
            </w:r>
          </w:p>
        </w:tc>
      </w:tr>
      <w:tr w:rsidR="0023119F" w:rsidRPr="00DD28A8" w:rsidTr="00ED6E4F">
        <w:trPr>
          <w:trHeight w:val="135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103,9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36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23119F" w:rsidRDefault="0023119F" w:rsidP="0033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D28A8">
              <w:rPr>
                <w:sz w:val="22"/>
                <w:szCs w:val="22"/>
              </w:rPr>
              <w:t xml:space="preserve">емонт и монтаж машин </w:t>
            </w:r>
          </w:p>
          <w:p w:rsidR="0023119F" w:rsidRPr="00DD28A8" w:rsidRDefault="0023119F" w:rsidP="003304D4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и оборудования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23119F" w:rsidRPr="00DD28A8" w:rsidRDefault="0023119F" w:rsidP="00367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  <w:r>
              <w:rPr>
                <w:sz w:val="22"/>
                <w:szCs w:val="22"/>
              </w:rPr>
              <w:t xml:space="preserve"> </w:t>
            </w:r>
            <w:r w:rsidRPr="00DD28A8">
              <w:rPr>
                <w:sz w:val="22"/>
                <w:szCs w:val="22"/>
              </w:rPr>
              <w:t>в сопоставимых ценах</w:t>
            </w: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83,2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103,4</w:t>
            </w:r>
          </w:p>
        </w:tc>
      </w:tr>
      <w:tr w:rsidR="0023119F" w:rsidRPr="00DD28A8" w:rsidTr="00ED6E4F">
        <w:trPr>
          <w:trHeight w:val="58"/>
          <w:jc w:val="center"/>
        </w:trPr>
        <w:tc>
          <w:tcPr>
            <w:tcW w:w="778" w:type="dxa"/>
            <w:vMerge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103,7</w:t>
            </w:r>
          </w:p>
        </w:tc>
      </w:tr>
      <w:tr w:rsidR="0023119F" w:rsidRPr="00DD28A8" w:rsidTr="00ED6E4F">
        <w:trPr>
          <w:trHeight w:val="76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F8448A">
            <w:pPr>
              <w:jc w:val="center"/>
            </w:pPr>
            <w:r>
              <w:t>37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23119F" w:rsidRPr="00DD28A8" w:rsidRDefault="0023119F" w:rsidP="00F8448A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 в сопоставимых ценах</w:t>
            </w:r>
          </w:p>
        </w:tc>
        <w:tc>
          <w:tcPr>
            <w:tcW w:w="1880" w:type="dxa"/>
            <w:shd w:val="clear" w:color="auto" w:fill="auto"/>
            <w:hideMark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91,9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105,0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102,0</w:t>
            </w:r>
          </w:p>
        </w:tc>
      </w:tr>
      <w:tr w:rsidR="0023119F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23119F" w:rsidRPr="00DD28A8" w:rsidRDefault="0023119F" w:rsidP="00DD28A8">
            <w:pPr>
              <w:ind w:left="153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102,1</w:t>
            </w:r>
          </w:p>
        </w:tc>
      </w:tr>
      <w:tr w:rsidR="0023119F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23119F" w:rsidRPr="003304D4" w:rsidRDefault="0023119F" w:rsidP="00047F56">
            <w:pPr>
              <w:jc w:val="center"/>
            </w:pPr>
            <w:r>
              <w:t>38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23119F" w:rsidRPr="00DD28A8" w:rsidRDefault="0023119F" w:rsidP="00F8448A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 в сопоставимых ценах</w:t>
            </w:r>
          </w:p>
        </w:tc>
        <w:tc>
          <w:tcPr>
            <w:tcW w:w="1880" w:type="dxa"/>
            <w:shd w:val="clear" w:color="auto" w:fill="auto"/>
            <w:hideMark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101,9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100,7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101,7</w:t>
            </w:r>
          </w:p>
        </w:tc>
      </w:tr>
      <w:tr w:rsidR="0023119F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</w:tcPr>
          <w:p w:rsidR="0023119F" w:rsidRPr="003304D4" w:rsidRDefault="0023119F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23119F" w:rsidRPr="00DD28A8" w:rsidRDefault="0023119F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23119F" w:rsidRPr="00DD28A8" w:rsidRDefault="0023119F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19F" w:rsidRPr="00ED6E4F" w:rsidRDefault="0023119F" w:rsidP="00ED6E4F">
            <w:pPr>
              <w:jc w:val="center"/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102,0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23119F" w:rsidRPr="00ED6E4F" w:rsidRDefault="0023119F" w:rsidP="00ED6E4F">
            <w:pPr>
              <w:jc w:val="center"/>
            </w:pPr>
            <w:r w:rsidRPr="00ED6E4F">
              <w:t>101,8</w:t>
            </w:r>
          </w:p>
        </w:tc>
      </w:tr>
      <w:tr w:rsidR="00FC174E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FC174E" w:rsidRPr="003304D4" w:rsidRDefault="00FC174E" w:rsidP="00F8448A">
            <w:pPr>
              <w:jc w:val="center"/>
            </w:pPr>
            <w:r>
              <w:t>39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Потребление электроэнергии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FC174E" w:rsidRPr="00DD28A8" w:rsidRDefault="00FC174E" w:rsidP="00DD28A8">
            <w:pPr>
              <w:jc w:val="center"/>
              <w:rPr>
                <w:sz w:val="22"/>
                <w:szCs w:val="22"/>
              </w:rPr>
            </w:pPr>
            <w:proofErr w:type="gramStart"/>
            <w:r w:rsidRPr="00DD28A8">
              <w:rPr>
                <w:sz w:val="22"/>
                <w:szCs w:val="22"/>
              </w:rPr>
              <w:t>млрд</w:t>
            </w:r>
            <w:proofErr w:type="gramEnd"/>
            <w:r w:rsidRPr="00DD28A8">
              <w:rPr>
                <w:sz w:val="22"/>
                <w:szCs w:val="22"/>
              </w:rPr>
              <w:t xml:space="preserve"> </w:t>
            </w:r>
            <w:proofErr w:type="spellStart"/>
            <w:r w:rsidRPr="00DD28A8">
              <w:rPr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15,7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16,5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17,0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17,5</w:t>
            </w:r>
          </w:p>
        </w:tc>
      </w:tr>
      <w:tr w:rsidR="00FC174E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</w:tcPr>
          <w:p w:rsidR="00FC174E" w:rsidRPr="003304D4" w:rsidRDefault="00FC174E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FC174E" w:rsidRPr="00DD28A8" w:rsidRDefault="00FC174E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4E" w:rsidRPr="00ED6E4F" w:rsidRDefault="00FC174E" w:rsidP="00ED6E4F">
            <w:pPr>
              <w:jc w:val="center"/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4E" w:rsidRPr="00ED6E4F" w:rsidRDefault="00FC174E" w:rsidP="00ED6E4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16,6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17,3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18,0</w:t>
            </w:r>
          </w:p>
        </w:tc>
      </w:tr>
      <w:tr w:rsidR="00FC174E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FC174E" w:rsidRPr="003304D4" w:rsidRDefault="00FC174E" w:rsidP="00F8448A">
            <w:pPr>
              <w:jc w:val="center"/>
            </w:pPr>
            <w:r>
              <w:t>40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FC174E" w:rsidRPr="00DD28A8" w:rsidRDefault="00FC174E" w:rsidP="00DD28A8">
            <w:pPr>
              <w:jc w:val="center"/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 xml:space="preserve">руб./тыс. </w:t>
            </w:r>
            <w:proofErr w:type="spellStart"/>
            <w:r w:rsidRPr="00DD28A8">
              <w:rPr>
                <w:sz w:val="22"/>
                <w:szCs w:val="22"/>
              </w:rPr>
              <w:t>кВт</w:t>
            </w:r>
            <w:proofErr w:type="gramStart"/>
            <w:r w:rsidRPr="00DD28A8">
              <w:rPr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4 471,2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4 500,8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4 590,8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4 728,6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4 870,4</w:t>
            </w:r>
          </w:p>
        </w:tc>
      </w:tr>
      <w:tr w:rsidR="00FC174E" w:rsidRPr="00DD28A8" w:rsidTr="00ED6E4F">
        <w:trPr>
          <w:trHeight w:val="317"/>
          <w:jc w:val="center"/>
        </w:trPr>
        <w:tc>
          <w:tcPr>
            <w:tcW w:w="778" w:type="dxa"/>
            <w:vMerge/>
            <w:shd w:val="clear" w:color="auto" w:fill="auto"/>
          </w:tcPr>
          <w:p w:rsidR="00FC174E" w:rsidRPr="003304D4" w:rsidRDefault="00FC174E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FC174E" w:rsidRPr="00DD28A8" w:rsidRDefault="00FC174E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4E" w:rsidRPr="00ED6E4F" w:rsidRDefault="00FC174E" w:rsidP="00ED6E4F">
            <w:pPr>
              <w:jc w:val="center"/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4E" w:rsidRPr="00ED6E4F" w:rsidRDefault="00FC174E" w:rsidP="00ED6E4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4 698,6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4 886,5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5 082,0</w:t>
            </w:r>
          </w:p>
        </w:tc>
      </w:tr>
      <w:tr w:rsidR="00FC174E" w:rsidRPr="00DD28A8" w:rsidTr="00ED6E4F">
        <w:trPr>
          <w:trHeight w:val="84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FC174E" w:rsidRPr="003304D4" w:rsidRDefault="00FC174E" w:rsidP="00F8448A">
            <w:pPr>
              <w:jc w:val="center"/>
            </w:pPr>
            <w:r>
              <w:t>41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Продукция сельского хозяйства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FC174E" w:rsidRPr="00DD28A8" w:rsidRDefault="00FC174E" w:rsidP="00DD28A8">
            <w:pPr>
              <w:jc w:val="center"/>
              <w:rPr>
                <w:sz w:val="22"/>
                <w:szCs w:val="22"/>
              </w:rPr>
            </w:pPr>
            <w:proofErr w:type="gramStart"/>
            <w:r w:rsidRPr="00DD28A8">
              <w:rPr>
                <w:sz w:val="22"/>
                <w:szCs w:val="22"/>
              </w:rPr>
              <w:t>млрд</w:t>
            </w:r>
            <w:proofErr w:type="gramEnd"/>
            <w:r w:rsidRPr="00DD28A8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85,2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90,4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93,0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97,1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101,7</w:t>
            </w:r>
          </w:p>
        </w:tc>
      </w:tr>
      <w:tr w:rsidR="00FC174E" w:rsidRPr="00DD28A8" w:rsidTr="00ED6E4F">
        <w:trPr>
          <w:trHeight w:val="116"/>
          <w:jc w:val="center"/>
        </w:trPr>
        <w:tc>
          <w:tcPr>
            <w:tcW w:w="778" w:type="dxa"/>
            <w:vMerge/>
            <w:shd w:val="clear" w:color="auto" w:fill="auto"/>
          </w:tcPr>
          <w:p w:rsidR="00FC174E" w:rsidRPr="003304D4" w:rsidRDefault="00FC174E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FC174E" w:rsidRPr="00DD28A8" w:rsidRDefault="00FC174E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4E" w:rsidRPr="00ED6E4F" w:rsidRDefault="00FC174E" w:rsidP="00ED6E4F">
            <w:pPr>
              <w:jc w:val="center"/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4E" w:rsidRPr="00ED6E4F" w:rsidRDefault="00FC174E" w:rsidP="00ED6E4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95,3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99,9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105,0</w:t>
            </w:r>
          </w:p>
        </w:tc>
      </w:tr>
      <w:tr w:rsidR="00FC174E" w:rsidRPr="00DD28A8" w:rsidTr="00ED6E4F">
        <w:trPr>
          <w:trHeight w:val="283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FC174E" w:rsidRPr="003304D4" w:rsidRDefault="00FC174E" w:rsidP="00F8448A">
            <w:pPr>
              <w:jc w:val="center"/>
            </w:pPr>
            <w:r>
              <w:lastRenderedPageBreak/>
              <w:t>42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FC174E" w:rsidRPr="00DD28A8" w:rsidRDefault="00FC174E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 в сопоставимых ценах</w:t>
            </w: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100,1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99,3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100,4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100,6</w:t>
            </w:r>
          </w:p>
        </w:tc>
      </w:tr>
      <w:tr w:rsidR="00FC174E" w:rsidRPr="00DD28A8" w:rsidTr="00ED6E4F">
        <w:trPr>
          <w:trHeight w:val="124"/>
          <w:jc w:val="center"/>
        </w:trPr>
        <w:tc>
          <w:tcPr>
            <w:tcW w:w="778" w:type="dxa"/>
            <w:vMerge/>
            <w:shd w:val="clear" w:color="auto" w:fill="auto"/>
          </w:tcPr>
          <w:p w:rsidR="00FC174E" w:rsidRPr="003304D4" w:rsidRDefault="00FC174E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FC174E" w:rsidRPr="00DD28A8" w:rsidRDefault="00FC174E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74E" w:rsidRPr="00ED6E4F" w:rsidRDefault="00FC174E" w:rsidP="00ED6E4F">
            <w:pPr>
              <w:jc w:val="center"/>
            </w:pPr>
          </w:p>
        </w:tc>
        <w:tc>
          <w:tcPr>
            <w:tcW w:w="13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74E" w:rsidRPr="00ED6E4F" w:rsidRDefault="00FC174E" w:rsidP="00ED6E4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101,9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101,0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101,0</w:t>
            </w:r>
          </w:p>
        </w:tc>
      </w:tr>
      <w:tr w:rsidR="00FC174E" w:rsidRPr="00DD28A8" w:rsidTr="00ED6E4F">
        <w:trPr>
          <w:trHeight w:val="14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FC174E" w:rsidRPr="003304D4" w:rsidRDefault="00FC174E" w:rsidP="00F8448A">
            <w:pPr>
              <w:jc w:val="center"/>
            </w:pPr>
            <w:r>
              <w:t>43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Объем работ, выполненных по виду деятельности "Строительство"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FC174E" w:rsidRPr="00DD28A8" w:rsidRDefault="00FC174E" w:rsidP="00DD28A8">
            <w:pPr>
              <w:jc w:val="center"/>
              <w:rPr>
                <w:sz w:val="22"/>
                <w:szCs w:val="22"/>
              </w:rPr>
            </w:pPr>
            <w:proofErr w:type="gramStart"/>
            <w:r w:rsidRPr="00DD28A8">
              <w:rPr>
                <w:sz w:val="22"/>
                <w:szCs w:val="22"/>
              </w:rPr>
              <w:t>млрд</w:t>
            </w:r>
            <w:proofErr w:type="gramEnd"/>
            <w:r w:rsidRPr="00DD28A8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880" w:type="dxa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206,8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200,3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211,0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223,2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236,5</w:t>
            </w:r>
          </w:p>
        </w:tc>
      </w:tr>
      <w:tr w:rsidR="00FC174E" w:rsidRPr="00DD28A8" w:rsidTr="00ED6E4F">
        <w:trPr>
          <w:trHeight w:val="160"/>
          <w:jc w:val="center"/>
        </w:trPr>
        <w:tc>
          <w:tcPr>
            <w:tcW w:w="778" w:type="dxa"/>
            <w:vMerge/>
            <w:shd w:val="clear" w:color="auto" w:fill="auto"/>
          </w:tcPr>
          <w:p w:rsidR="00FC174E" w:rsidRPr="003304D4" w:rsidRDefault="00FC174E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FC174E" w:rsidRPr="00DD28A8" w:rsidRDefault="00FC174E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FC174E" w:rsidRPr="00ED6E4F" w:rsidRDefault="00FC174E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FC174E" w:rsidRPr="00ED6E4F" w:rsidRDefault="00FC174E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211,5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224,7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240,7</w:t>
            </w:r>
          </w:p>
        </w:tc>
      </w:tr>
      <w:tr w:rsidR="00FC174E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FC174E" w:rsidRPr="003304D4" w:rsidRDefault="00FC174E" w:rsidP="00F8448A">
            <w:pPr>
              <w:jc w:val="center"/>
            </w:pPr>
            <w:r>
              <w:t>44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Индекс производства по виду деятельности "Строительство"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FC174E" w:rsidRPr="00DD28A8" w:rsidRDefault="00FC174E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 в сопоставимых ценах</w:t>
            </w:r>
          </w:p>
        </w:tc>
        <w:tc>
          <w:tcPr>
            <w:tcW w:w="1880" w:type="dxa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82,1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93,5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101,0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101,5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101,7</w:t>
            </w:r>
          </w:p>
        </w:tc>
      </w:tr>
      <w:tr w:rsidR="00FC174E" w:rsidRPr="00DD28A8" w:rsidTr="00ED6E4F">
        <w:trPr>
          <w:trHeight w:val="68"/>
          <w:jc w:val="center"/>
        </w:trPr>
        <w:tc>
          <w:tcPr>
            <w:tcW w:w="778" w:type="dxa"/>
            <w:vMerge/>
            <w:shd w:val="clear" w:color="auto" w:fill="auto"/>
          </w:tcPr>
          <w:p w:rsidR="00FC174E" w:rsidRPr="003304D4" w:rsidRDefault="00FC174E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FC174E" w:rsidRPr="00DD28A8" w:rsidRDefault="00FC174E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FC174E" w:rsidRPr="00ED6E4F" w:rsidRDefault="00FC174E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FC174E" w:rsidRPr="00ED6E4F" w:rsidRDefault="00FC174E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101,3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101,8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C174E" w:rsidRPr="00ED6E4F" w:rsidRDefault="00FC174E" w:rsidP="00ED6E4F">
            <w:pPr>
              <w:jc w:val="center"/>
            </w:pPr>
            <w:r w:rsidRPr="00ED6E4F">
              <w:t>102,5</w:t>
            </w:r>
          </w:p>
        </w:tc>
      </w:tr>
      <w:tr w:rsidR="00FC174E" w:rsidRPr="00DD28A8" w:rsidTr="00ED6E4F">
        <w:trPr>
          <w:trHeight w:val="283"/>
          <w:jc w:val="center"/>
        </w:trPr>
        <w:tc>
          <w:tcPr>
            <w:tcW w:w="778" w:type="dxa"/>
            <w:shd w:val="clear" w:color="auto" w:fill="auto"/>
            <w:noWrap/>
          </w:tcPr>
          <w:p w:rsidR="00FC174E" w:rsidRPr="003304D4" w:rsidRDefault="00FC174E" w:rsidP="00F8448A">
            <w:pPr>
              <w:jc w:val="center"/>
            </w:pPr>
            <w:r>
              <w:t>45</w:t>
            </w:r>
          </w:p>
        </w:tc>
        <w:tc>
          <w:tcPr>
            <w:tcW w:w="3818" w:type="dxa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2425" w:type="dxa"/>
            <w:shd w:val="clear" w:color="auto" w:fill="auto"/>
            <w:hideMark/>
          </w:tcPr>
          <w:p w:rsidR="00FC174E" w:rsidRPr="00DD28A8" w:rsidRDefault="00FC174E" w:rsidP="00AA048F">
            <w:pPr>
              <w:jc w:val="center"/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тыс. кв. м общей площади</w:t>
            </w:r>
          </w:p>
        </w:tc>
        <w:tc>
          <w:tcPr>
            <w:tcW w:w="1880" w:type="dxa"/>
            <w:shd w:val="clear" w:color="auto" w:fill="auto"/>
            <w:hideMark/>
          </w:tcPr>
          <w:p w:rsidR="00FC174E" w:rsidRPr="00DD28A8" w:rsidRDefault="00FC174E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FC174E" w:rsidRPr="00ED6E4F" w:rsidRDefault="00FC174E" w:rsidP="000836D0">
            <w:pPr>
              <w:jc w:val="center"/>
            </w:pPr>
            <w:r w:rsidRPr="00ED6E4F">
              <w:t>2 667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FC174E" w:rsidRPr="00ED6E4F" w:rsidRDefault="00FC174E" w:rsidP="000836D0">
            <w:pPr>
              <w:jc w:val="center"/>
            </w:pPr>
            <w:r w:rsidRPr="00ED6E4F">
              <w:t>2 270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FC174E" w:rsidRPr="00ED6E4F" w:rsidRDefault="00FC174E" w:rsidP="000836D0">
            <w:pPr>
              <w:jc w:val="center"/>
            </w:pPr>
            <w:r w:rsidRPr="00ED6E4F">
              <w:t>2 650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C174E" w:rsidRPr="00ED6E4F" w:rsidRDefault="00FC174E" w:rsidP="000836D0">
            <w:pPr>
              <w:jc w:val="center"/>
            </w:pPr>
            <w:r w:rsidRPr="00ED6E4F">
              <w:t>2 950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C174E" w:rsidRPr="00ED6E4F" w:rsidRDefault="00FC174E" w:rsidP="000836D0">
            <w:pPr>
              <w:jc w:val="center"/>
            </w:pPr>
            <w:r w:rsidRPr="00ED6E4F">
              <w:t>3 300</w:t>
            </w:r>
          </w:p>
        </w:tc>
      </w:tr>
      <w:tr w:rsidR="00832FB8" w:rsidRPr="00DD28A8" w:rsidTr="00486213">
        <w:trPr>
          <w:trHeight w:val="136"/>
          <w:jc w:val="center"/>
        </w:trPr>
        <w:tc>
          <w:tcPr>
            <w:tcW w:w="778" w:type="dxa"/>
            <w:shd w:val="clear" w:color="auto" w:fill="auto"/>
            <w:noWrap/>
          </w:tcPr>
          <w:p w:rsidR="00832FB8" w:rsidRPr="003304D4" w:rsidRDefault="00832FB8" w:rsidP="00F8448A">
            <w:pPr>
              <w:jc w:val="center"/>
            </w:pPr>
            <w:r>
              <w:t>46</w:t>
            </w:r>
          </w:p>
        </w:tc>
        <w:tc>
          <w:tcPr>
            <w:tcW w:w="3818" w:type="dxa"/>
            <w:shd w:val="clear" w:color="auto" w:fill="auto"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грузооборота портов Ленинградской области  </w:t>
            </w:r>
          </w:p>
        </w:tc>
        <w:tc>
          <w:tcPr>
            <w:tcW w:w="2425" w:type="dxa"/>
            <w:shd w:val="clear" w:color="auto" w:fill="auto"/>
          </w:tcPr>
          <w:p w:rsidR="00832FB8" w:rsidRPr="00832FB8" w:rsidRDefault="00832FB8" w:rsidP="00832FB8">
            <w:pPr>
              <w:jc w:val="center"/>
            </w:pPr>
            <w:proofErr w:type="gramStart"/>
            <w:r>
              <w:t>млн</w:t>
            </w:r>
            <w:proofErr w:type="gramEnd"/>
            <w:r>
              <w:t xml:space="preserve"> тонн</w:t>
            </w:r>
          </w:p>
        </w:tc>
        <w:tc>
          <w:tcPr>
            <w:tcW w:w="1880" w:type="dxa"/>
            <w:shd w:val="clear" w:color="auto" w:fill="auto"/>
          </w:tcPr>
          <w:p w:rsidR="00832FB8" w:rsidRPr="00DD28A8" w:rsidRDefault="00486213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832FB8" w:rsidRPr="00ED6E4F" w:rsidRDefault="00832FB8" w:rsidP="00832FB8">
            <w:pPr>
              <w:jc w:val="center"/>
            </w:pPr>
            <w:r>
              <w:t>171,2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832FB8" w:rsidRPr="00ED6E4F" w:rsidRDefault="00832FB8" w:rsidP="00832FB8">
            <w:pPr>
              <w:jc w:val="center"/>
            </w:pPr>
            <w:r>
              <w:t>173,1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486213">
            <w:pPr>
              <w:jc w:val="center"/>
            </w:pPr>
            <w:r w:rsidRPr="00832FB8">
              <w:t>202,1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486213">
            <w:pPr>
              <w:jc w:val="center"/>
            </w:pPr>
            <w:r w:rsidRPr="00832FB8">
              <w:t>219,0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486213">
            <w:pPr>
              <w:jc w:val="center"/>
            </w:pPr>
            <w:r w:rsidRPr="00832FB8">
              <w:t>269,4</w:t>
            </w:r>
          </w:p>
        </w:tc>
      </w:tr>
      <w:tr w:rsidR="00832FB8" w:rsidRPr="00DD28A8" w:rsidTr="00ED6E4F">
        <w:trPr>
          <w:trHeight w:val="283"/>
          <w:jc w:val="center"/>
        </w:trPr>
        <w:tc>
          <w:tcPr>
            <w:tcW w:w="778" w:type="dxa"/>
            <w:shd w:val="clear" w:color="auto" w:fill="auto"/>
            <w:noWrap/>
          </w:tcPr>
          <w:p w:rsidR="00832FB8" w:rsidRPr="003304D4" w:rsidRDefault="00832FB8" w:rsidP="00F8448A">
            <w:pPr>
              <w:jc w:val="center"/>
            </w:pPr>
            <w:r>
              <w:t>47</w:t>
            </w:r>
          </w:p>
        </w:tc>
        <w:tc>
          <w:tcPr>
            <w:tcW w:w="3818" w:type="dxa"/>
            <w:shd w:val="clear" w:color="auto" w:fill="auto"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Плотность автомобильных дорог общего пользования с твердым покрытием (на конец года)</w:t>
            </w:r>
          </w:p>
        </w:tc>
        <w:tc>
          <w:tcPr>
            <w:tcW w:w="2425" w:type="dxa"/>
            <w:shd w:val="clear" w:color="auto" w:fill="auto"/>
          </w:tcPr>
          <w:p w:rsidR="00832FB8" w:rsidRPr="00DD28A8" w:rsidRDefault="00832FB8" w:rsidP="00F8448A">
            <w:pPr>
              <w:ind w:left="-51" w:right="-51"/>
              <w:jc w:val="center"/>
              <w:rPr>
                <w:sz w:val="22"/>
                <w:szCs w:val="22"/>
              </w:rPr>
            </w:pPr>
            <w:proofErr w:type="gramStart"/>
            <w:r w:rsidRPr="00DD28A8">
              <w:rPr>
                <w:sz w:val="22"/>
                <w:szCs w:val="22"/>
              </w:rPr>
              <w:t>км</w:t>
            </w:r>
            <w:proofErr w:type="gramEnd"/>
            <w:r w:rsidRPr="00DD28A8">
              <w:rPr>
                <w:sz w:val="22"/>
                <w:szCs w:val="22"/>
              </w:rPr>
              <w:t xml:space="preserve"> путей на 10000 кв. км территории</w:t>
            </w:r>
          </w:p>
        </w:tc>
        <w:tc>
          <w:tcPr>
            <w:tcW w:w="1880" w:type="dxa"/>
            <w:shd w:val="clear" w:color="auto" w:fill="auto"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832FB8">
              <w:t>2 102,9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832FB8">
              <w:t>2 104,9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>
              <w:t>2 105,1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>
              <w:t>2 105,2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>
              <w:t>2 105,4</w:t>
            </w:r>
          </w:p>
        </w:tc>
      </w:tr>
      <w:tr w:rsidR="00832FB8" w:rsidRPr="00DD28A8" w:rsidTr="00ED6E4F">
        <w:trPr>
          <w:trHeight w:val="55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F8448A">
            <w:pPr>
              <w:jc w:val="center"/>
            </w:pPr>
            <w:r>
              <w:t>48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 xml:space="preserve">Индекс  потребительских цен </w:t>
            </w:r>
          </w:p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декабрю предыдущего года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104,1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105,0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104,0</w:t>
            </w:r>
          </w:p>
        </w:tc>
      </w:tr>
      <w:tr w:rsidR="00832FB8" w:rsidRPr="00DD28A8" w:rsidTr="00ED6E4F">
        <w:trPr>
          <w:trHeight w:val="74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103,5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104,0</w:t>
            </w:r>
          </w:p>
        </w:tc>
      </w:tr>
      <w:tr w:rsidR="00832FB8" w:rsidRPr="00DD28A8" w:rsidTr="00ED6E4F">
        <w:trPr>
          <w:trHeight w:val="9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F8448A">
            <w:pPr>
              <w:jc w:val="center"/>
            </w:pPr>
            <w:r>
              <w:t>49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 xml:space="preserve">Индекс  потребительских цен </w:t>
            </w:r>
          </w:p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B9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102,9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105,0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104,0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104,0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F8448A">
            <w:pPr>
              <w:jc w:val="center"/>
            </w:pPr>
            <w:r>
              <w:t>50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proofErr w:type="gramStart"/>
            <w:r w:rsidRPr="00DD28A8">
              <w:rPr>
                <w:sz w:val="22"/>
                <w:szCs w:val="22"/>
              </w:rPr>
              <w:t>млрд</w:t>
            </w:r>
            <w:proofErr w:type="gramEnd"/>
            <w:r w:rsidRPr="00DD28A8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481,7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531,6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566,7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604,0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643,3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567,2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605,9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647,7</w:t>
            </w:r>
          </w:p>
        </w:tc>
      </w:tr>
      <w:tr w:rsidR="00832FB8" w:rsidRPr="00DD28A8" w:rsidTr="00ED6E4F">
        <w:trPr>
          <w:trHeight w:val="178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F8448A">
            <w:pPr>
              <w:jc w:val="center"/>
            </w:pPr>
            <w:r>
              <w:t>51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Темп роста оборота розничной торговли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B9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 в сопоставимых ценах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106,7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102,3</w:t>
            </w:r>
          </w:p>
        </w:tc>
      </w:tr>
      <w:tr w:rsidR="00832FB8" w:rsidRPr="00DD28A8" w:rsidTr="00ED6E4F">
        <w:trPr>
          <w:trHeight w:val="54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102,8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F8448A">
            <w:pPr>
              <w:jc w:val="center"/>
            </w:pPr>
            <w:r>
              <w:t>52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B90E3A">
            <w:pPr>
              <w:jc w:val="center"/>
              <w:rPr>
                <w:sz w:val="22"/>
                <w:szCs w:val="22"/>
              </w:rPr>
            </w:pPr>
            <w:proofErr w:type="gramStart"/>
            <w:r w:rsidRPr="00DD28A8">
              <w:rPr>
                <w:sz w:val="22"/>
                <w:szCs w:val="22"/>
              </w:rPr>
              <w:t>млрд</w:t>
            </w:r>
            <w:proofErr w:type="gramEnd"/>
            <w:r w:rsidRPr="00DD28A8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80,4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86,5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93,2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99,1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105,4</w:t>
            </w:r>
          </w:p>
        </w:tc>
      </w:tr>
      <w:tr w:rsidR="00832FB8" w:rsidRPr="00DD28A8" w:rsidTr="00ED6E4F">
        <w:trPr>
          <w:trHeight w:val="90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94,3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101,2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108,5</w:t>
            </w:r>
          </w:p>
        </w:tc>
      </w:tr>
      <w:tr w:rsidR="00832FB8" w:rsidRPr="00DD28A8" w:rsidTr="00ED6E4F">
        <w:trPr>
          <w:trHeight w:val="151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047F56">
            <w:pPr>
              <w:jc w:val="center"/>
            </w:pPr>
            <w:r>
              <w:t>53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Темп роста объема платных услуг населению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 к предыдущему году в сопоставимых ценах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94,1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103,9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102,8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104,8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103,0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103,0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54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Экспорт товаров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млн. долл. США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5 396,9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6 686,8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6 767,0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6 943,0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7 102,7</w:t>
            </w:r>
          </w:p>
        </w:tc>
      </w:tr>
      <w:tr w:rsidR="00832FB8" w:rsidRPr="00DD28A8" w:rsidTr="00ED6E4F">
        <w:trPr>
          <w:trHeight w:val="62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6 994,4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7 239,2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7 543,2</w:t>
            </w:r>
          </w:p>
        </w:tc>
      </w:tr>
      <w:tr w:rsidR="00832FB8" w:rsidRPr="00DD28A8" w:rsidTr="00ED6E4F">
        <w:trPr>
          <w:trHeight w:val="80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55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Импорт товаров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млн. долл. США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3 562,4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3 929,3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4 172,9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4 410,8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4 640,1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4 220,0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4 473,3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4 714,8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934F99">
            <w:pPr>
              <w:pageBreakBefore/>
              <w:jc w:val="center"/>
            </w:pPr>
            <w:r>
              <w:lastRenderedPageBreak/>
              <w:t>56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 xml:space="preserve">Количество малых и средних предприятий, включая </w:t>
            </w:r>
            <w:proofErr w:type="spellStart"/>
            <w:r w:rsidRPr="00DD28A8">
              <w:rPr>
                <w:sz w:val="22"/>
                <w:szCs w:val="22"/>
              </w:rPr>
              <w:t>микропредприятия</w:t>
            </w:r>
            <w:proofErr w:type="spellEnd"/>
            <w:r w:rsidRPr="00DD28A8">
              <w:rPr>
                <w:sz w:val="22"/>
                <w:szCs w:val="22"/>
              </w:rPr>
              <w:t xml:space="preserve"> (на конец года)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единиц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64 410,0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68 742,0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70 268,0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72 756,0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75 419,0</w:t>
            </w:r>
          </w:p>
        </w:tc>
      </w:tr>
      <w:tr w:rsidR="00832FB8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70 660,0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73 385,0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76 479,0</w:t>
            </w:r>
          </w:p>
        </w:tc>
      </w:tr>
      <w:tr w:rsidR="00832FB8" w:rsidRPr="00DD28A8" w:rsidTr="00ED6E4F">
        <w:trPr>
          <w:trHeight w:val="69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57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Среднесписочная численность работников малых и средних предприятий, включая микро</w:t>
            </w:r>
            <w:r>
              <w:rPr>
                <w:sz w:val="22"/>
                <w:szCs w:val="22"/>
              </w:rPr>
              <w:t>-</w:t>
            </w:r>
            <w:r w:rsidRPr="00DD28A8">
              <w:rPr>
                <w:sz w:val="22"/>
                <w:szCs w:val="22"/>
              </w:rPr>
              <w:t>предприятия (без внешних совместителей)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тыс. чел.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162,3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162,9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163,9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165,3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168,1</w:t>
            </w:r>
          </w:p>
        </w:tc>
      </w:tr>
      <w:tr w:rsidR="00832FB8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164,7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166,5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169,8</w:t>
            </w:r>
          </w:p>
        </w:tc>
      </w:tr>
      <w:tr w:rsidR="00832FB8" w:rsidRPr="00DD28A8" w:rsidTr="00ED6E4F">
        <w:trPr>
          <w:trHeight w:val="60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58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 xml:space="preserve">Оборот малых и средних предприятий, включая </w:t>
            </w:r>
            <w:proofErr w:type="spellStart"/>
            <w:r w:rsidRPr="00DD28A8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proofErr w:type="gramStart"/>
            <w:r w:rsidRPr="00DD28A8">
              <w:rPr>
                <w:sz w:val="22"/>
                <w:szCs w:val="22"/>
              </w:rPr>
              <w:t>млрд</w:t>
            </w:r>
            <w:proofErr w:type="gramEnd"/>
            <w:r w:rsidRPr="00DD28A8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660,6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716,8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732,7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758,7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786,4</w:t>
            </w:r>
          </w:p>
        </w:tc>
      </w:tr>
      <w:tr w:rsidR="00832FB8" w:rsidRPr="00DD28A8" w:rsidTr="00ED6E4F">
        <w:trPr>
          <w:trHeight w:val="78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736,8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765,2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797,5</w:t>
            </w:r>
          </w:p>
        </w:tc>
      </w:tr>
      <w:tr w:rsidR="00832FB8" w:rsidRPr="00DD28A8" w:rsidTr="00ED6E4F">
        <w:trPr>
          <w:trHeight w:val="110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59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B90E3A">
            <w:pPr>
              <w:jc w:val="center"/>
              <w:rPr>
                <w:sz w:val="22"/>
                <w:szCs w:val="22"/>
              </w:rPr>
            </w:pPr>
            <w:proofErr w:type="gramStart"/>
            <w:r w:rsidRPr="00DD28A8">
              <w:rPr>
                <w:sz w:val="22"/>
                <w:szCs w:val="22"/>
              </w:rPr>
              <w:t>млрд</w:t>
            </w:r>
            <w:proofErr w:type="gramEnd"/>
            <w:r w:rsidRPr="00DD28A8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458,1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512,1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577,8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657,7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739,0</w:t>
            </w:r>
          </w:p>
        </w:tc>
      </w:tr>
      <w:tr w:rsidR="00832FB8" w:rsidRPr="00DD28A8" w:rsidTr="00ED6E4F">
        <w:trPr>
          <w:trHeight w:val="128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607,9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733,6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862,1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60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Темп рост объема инвестиций                        в основной капитал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 в сопоставимых ценах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105,2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106,4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107,1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108,0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106,5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112,9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114,6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111,4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61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Инвестиции в основной капитал к ВРП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36,3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37,5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40,4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43,4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45,6</w:t>
            </w:r>
          </w:p>
        </w:tc>
      </w:tr>
      <w:tr w:rsidR="00832FB8" w:rsidRPr="00DD28A8" w:rsidTr="00ED6E4F">
        <w:trPr>
          <w:trHeight w:val="72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41,5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46,9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51,3</w:t>
            </w:r>
          </w:p>
        </w:tc>
      </w:tr>
      <w:tr w:rsidR="00832FB8" w:rsidRPr="00DD28A8" w:rsidTr="00ED6E4F">
        <w:trPr>
          <w:trHeight w:val="231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62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Реальные располагаемые денежные доходы населения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 в сопоставимых ценах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100,4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101,0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101,8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102,3</w:t>
            </w:r>
          </w:p>
        </w:tc>
      </w:tr>
      <w:tr w:rsidR="00832FB8" w:rsidRPr="00DD28A8" w:rsidTr="00ED6E4F">
        <w:trPr>
          <w:trHeight w:val="94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103,0</w:t>
            </w:r>
          </w:p>
        </w:tc>
      </w:tr>
      <w:tr w:rsidR="00832FB8" w:rsidRPr="00DD28A8" w:rsidTr="00ED6E4F">
        <w:trPr>
          <w:trHeight w:val="126"/>
          <w:jc w:val="center"/>
        </w:trPr>
        <w:tc>
          <w:tcPr>
            <w:tcW w:w="778" w:type="dxa"/>
            <w:shd w:val="clear" w:color="auto" w:fill="auto"/>
            <w:noWrap/>
          </w:tcPr>
          <w:p w:rsidR="00832FB8" w:rsidRPr="003304D4" w:rsidRDefault="00832FB8" w:rsidP="00934F99">
            <w:pPr>
              <w:jc w:val="center"/>
            </w:pPr>
            <w:r>
              <w:t>63</w:t>
            </w:r>
          </w:p>
        </w:tc>
        <w:tc>
          <w:tcPr>
            <w:tcW w:w="3818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Прожиточный минимум в среднем                  на душу населения (в среднем за год)</w:t>
            </w:r>
          </w:p>
        </w:tc>
        <w:tc>
          <w:tcPr>
            <w:tcW w:w="2425" w:type="dxa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руб./мес.</w:t>
            </w:r>
          </w:p>
        </w:tc>
        <w:tc>
          <w:tcPr>
            <w:tcW w:w="1880" w:type="dxa"/>
            <w:shd w:val="clear" w:color="auto" w:fill="auto"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11 192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11 289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32FB8" w:rsidRPr="00ED6E4F" w:rsidRDefault="00832FB8" w:rsidP="000836D0">
            <w:pPr>
              <w:jc w:val="center"/>
            </w:pPr>
            <w:r w:rsidRPr="00ED6E4F">
              <w:t>11 950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32FB8" w:rsidRPr="00ED6E4F" w:rsidRDefault="00832FB8" w:rsidP="000836D0">
            <w:pPr>
              <w:jc w:val="center"/>
            </w:pPr>
            <w:r w:rsidRPr="00ED6E4F">
              <w:t>12 552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32FB8" w:rsidRPr="00ED6E4F" w:rsidRDefault="00832FB8" w:rsidP="000836D0">
            <w:pPr>
              <w:jc w:val="center"/>
            </w:pPr>
            <w:r w:rsidRPr="00ED6E4F">
              <w:t>13 313</w:t>
            </w:r>
          </w:p>
        </w:tc>
      </w:tr>
      <w:tr w:rsidR="00832FB8" w:rsidRPr="00DD28A8" w:rsidTr="00ED6E4F">
        <w:trPr>
          <w:trHeight w:val="161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64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 xml:space="preserve">Численность населения с денежными доходами </w:t>
            </w:r>
            <w:proofErr w:type="gramStart"/>
            <w:r w:rsidRPr="00DD28A8">
              <w:rPr>
                <w:sz w:val="22"/>
                <w:szCs w:val="22"/>
              </w:rPr>
              <w:t>ниже прожиточного минимума к общей численности населения</w:t>
            </w:r>
            <w:proofErr w:type="gramEnd"/>
            <w:r w:rsidRPr="00DD28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8,8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8,9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8,6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8,3</w:t>
            </w:r>
          </w:p>
        </w:tc>
      </w:tr>
      <w:tr w:rsidR="00832FB8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8,2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7,9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7,6</w:t>
            </w:r>
          </w:p>
        </w:tc>
      </w:tr>
      <w:tr w:rsidR="00832FB8" w:rsidRPr="00DD28A8" w:rsidTr="00ED6E4F">
        <w:trPr>
          <w:trHeight w:val="134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65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Численность рабочей силы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тыс. чел.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981,5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988,9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987,8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990,8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996,9</w:t>
            </w:r>
          </w:p>
        </w:tc>
      </w:tr>
      <w:tr w:rsidR="00832FB8" w:rsidRPr="00DD28A8" w:rsidTr="00ED6E4F">
        <w:trPr>
          <w:trHeight w:val="151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990,7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995,7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1 000,7</w:t>
            </w:r>
          </w:p>
        </w:tc>
      </w:tr>
      <w:tr w:rsidR="00832FB8" w:rsidRPr="00DD28A8" w:rsidTr="00ED6E4F">
        <w:trPr>
          <w:trHeight w:val="170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66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B57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DD28A8">
              <w:rPr>
                <w:sz w:val="22"/>
                <w:szCs w:val="22"/>
              </w:rPr>
              <w:t xml:space="preserve">исленность занятых </w:t>
            </w:r>
            <w:r>
              <w:rPr>
                <w:sz w:val="22"/>
                <w:szCs w:val="22"/>
              </w:rPr>
              <w:t>в</w:t>
            </w:r>
            <w:r w:rsidRPr="00DD28A8">
              <w:rPr>
                <w:sz w:val="22"/>
                <w:szCs w:val="22"/>
              </w:rPr>
              <w:t xml:space="preserve"> экономике (по данным баланса трудовых ресурсов)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тыс. чел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794,1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800,1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810,7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823,8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837,2</w:t>
            </w:r>
          </w:p>
        </w:tc>
      </w:tr>
      <w:tr w:rsidR="00832FB8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822,1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835,3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845,7</w:t>
            </w:r>
          </w:p>
        </w:tc>
      </w:tr>
      <w:tr w:rsidR="00832FB8" w:rsidRPr="00DD28A8" w:rsidTr="00ED6E4F">
        <w:trPr>
          <w:trHeight w:val="151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67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руб./мес.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48 286,1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0836D0">
            <w:pPr>
              <w:jc w:val="center"/>
            </w:pPr>
            <w:r w:rsidRPr="00ED6E4F">
              <w:t>51 470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832FB8">
            <w:pPr>
              <w:jc w:val="center"/>
            </w:pPr>
            <w:r w:rsidRPr="00ED6E4F">
              <w:t>54 510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832FB8">
            <w:pPr>
              <w:jc w:val="center"/>
            </w:pPr>
            <w:r w:rsidRPr="00ED6E4F">
              <w:t>57 840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832FB8">
            <w:pPr>
              <w:jc w:val="center"/>
            </w:pPr>
            <w:r w:rsidRPr="00ED6E4F">
              <w:t>61 370</w:t>
            </w:r>
          </w:p>
        </w:tc>
      </w:tr>
      <w:tr w:rsidR="00832FB8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832FB8">
            <w:pPr>
              <w:jc w:val="center"/>
            </w:pPr>
            <w:r w:rsidRPr="00ED6E4F">
              <w:t>54 610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832FB8">
            <w:pPr>
              <w:jc w:val="center"/>
            </w:pPr>
            <w:r w:rsidRPr="00ED6E4F">
              <w:t>58 160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832FB8">
            <w:pPr>
              <w:jc w:val="center"/>
            </w:pPr>
            <w:r w:rsidRPr="00ED6E4F">
              <w:t>61 940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934F99">
            <w:pPr>
              <w:pageBreakBefore/>
              <w:jc w:val="center"/>
            </w:pPr>
            <w:r>
              <w:lastRenderedPageBreak/>
              <w:t>68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103,2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106,8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103,0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106,1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106,1</w:t>
            </w:r>
          </w:p>
        </w:tc>
      </w:tr>
      <w:tr w:rsidR="00832FB8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105,8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106,5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106,5</w:t>
            </w:r>
          </w:p>
        </w:tc>
      </w:tr>
      <w:tr w:rsidR="00832FB8" w:rsidRPr="00DD28A8" w:rsidTr="00ED6E4F">
        <w:trPr>
          <w:trHeight w:val="158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69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Реальная заработная плата  работников организаций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101,1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101,5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101,4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102,0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102,4</w:t>
            </w:r>
          </w:p>
        </w:tc>
      </w:tr>
      <w:tr w:rsidR="00832FB8" w:rsidRPr="00DD28A8" w:rsidTr="00ED6E4F">
        <w:trPr>
          <w:trHeight w:val="66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70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 xml:space="preserve">Численность безработных, зарегистрированных в  </w:t>
            </w:r>
            <w:proofErr w:type="spellStart"/>
            <w:proofErr w:type="gramStart"/>
            <w:r w:rsidRPr="00DD28A8">
              <w:rPr>
                <w:sz w:val="22"/>
                <w:szCs w:val="22"/>
              </w:rPr>
              <w:t>государствен</w:t>
            </w:r>
            <w:r>
              <w:rPr>
                <w:sz w:val="22"/>
                <w:szCs w:val="22"/>
              </w:rPr>
              <w:t>-</w:t>
            </w:r>
            <w:r w:rsidRPr="00DD28A8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DD28A8">
              <w:rPr>
                <w:sz w:val="22"/>
                <w:szCs w:val="22"/>
              </w:rPr>
              <w:t xml:space="preserve"> учреждениях службы занятости населения (на конец года)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тыс. чел.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30,2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4,4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6,9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5,9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6,0</w:t>
            </w:r>
          </w:p>
        </w:tc>
      </w:tr>
      <w:tr w:rsidR="00832FB8" w:rsidRPr="00DD28A8" w:rsidTr="00ED6E4F">
        <w:trPr>
          <w:trHeight w:val="283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ED6E4F" w:rsidRDefault="00832FB8" w:rsidP="00ED6E4F">
            <w:pPr>
              <w:jc w:val="center"/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4,0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3,9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3,8</w:t>
            </w:r>
          </w:p>
        </w:tc>
      </w:tr>
      <w:tr w:rsidR="00832FB8" w:rsidRPr="00DD28A8" w:rsidTr="00ED6E4F">
        <w:trPr>
          <w:trHeight w:val="52"/>
          <w:jc w:val="center"/>
        </w:trPr>
        <w:tc>
          <w:tcPr>
            <w:tcW w:w="778" w:type="dxa"/>
            <w:vMerge w:val="restart"/>
            <w:shd w:val="clear" w:color="auto" w:fill="auto"/>
            <w:noWrap/>
          </w:tcPr>
          <w:p w:rsidR="00832FB8" w:rsidRPr="003304D4" w:rsidRDefault="00832FB8" w:rsidP="006A720C">
            <w:pPr>
              <w:jc w:val="center"/>
            </w:pPr>
            <w:r>
              <w:t>71</w:t>
            </w:r>
          </w:p>
        </w:tc>
        <w:tc>
          <w:tcPr>
            <w:tcW w:w="3818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2425" w:type="dxa"/>
            <w:vMerge w:val="restart"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проц.</w:t>
            </w:r>
            <w:r w:rsidRPr="00DD28A8">
              <w:rPr>
                <w:sz w:val="22"/>
                <w:szCs w:val="22"/>
              </w:rPr>
              <w:t xml:space="preserve"> к рабочей силе</w:t>
            </w: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3,1</w:t>
            </w:r>
          </w:p>
        </w:tc>
        <w:tc>
          <w:tcPr>
            <w:tcW w:w="1362" w:type="dxa"/>
            <w:vMerge w:val="restart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0,4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0,7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0,6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0,6</w:t>
            </w:r>
          </w:p>
        </w:tc>
      </w:tr>
      <w:tr w:rsidR="00832FB8" w:rsidRPr="00DD28A8" w:rsidTr="00ED6E4F">
        <w:trPr>
          <w:trHeight w:val="56"/>
          <w:jc w:val="center"/>
        </w:trPr>
        <w:tc>
          <w:tcPr>
            <w:tcW w:w="778" w:type="dxa"/>
            <w:vMerge/>
            <w:shd w:val="clear" w:color="auto" w:fill="auto"/>
          </w:tcPr>
          <w:p w:rsidR="00832FB8" w:rsidRPr="003304D4" w:rsidRDefault="00832FB8" w:rsidP="00F8448A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shd w:val="clear" w:color="auto" w:fill="auto"/>
            <w:hideMark/>
          </w:tcPr>
          <w:p w:rsidR="00832FB8" w:rsidRPr="00DD28A8" w:rsidRDefault="00832FB8" w:rsidP="00DD2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832FB8" w:rsidRPr="00DD28A8" w:rsidRDefault="00832FB8" w:rsidP="00DD28A8">
            <w:pPr>
              <w:rPr>
                <w:sz w:val="22"/>
                <w:szCs w:val="22"/>
              </w:rPr>
            </w:pPr>
            <w:r w:rsidRPr="00DD28A8">
              <w:rPr>
                <w:sz w:val="22"/>
                <w:szCs w:val="22"/>
              </w:rPr>
              <w:t>базовый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32FB8" w:rsidRPr="00DD28A8" w:rsidRDefault="00832FB8" w:rsidP="00ED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32FB8" w:rsidRPr="00DD28A8" w:rsidRDefault="00832FB8" w:rsidP="00ED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0,4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0,4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32FB8" w:rsidRPr="00ED6E4F" w:rsidRDefault="00832FB8" w:rsidP="00ED6E4F">
            <w:pPr>
              <w:jc w:val="center"/>
            </w:pPr>
            <w:r w:rsidRPr="00ED6E4F">
              <w:t>0,4</w:t>
            </w:r>
          </w:p>
        </w:tc>
      </w:tr>
    </w:tbl>
    <w:p w:rsidR="00F66AEF" w:rsidRPr="008822FC" w:rsidRDefault="00F66AEF" w:rsidP="0085636C">
      <w:pPr>
        <w:jc w:val="center"/>
      </w:pPr>
    </w:p>
    <w:p w:rsidR="002C3EF4" w:rsidRPr="008822FC" w:rsidRDefault="002C3EF4">
      <w:pPr>
        <w:sectPr w:rsidR="002C3EF4" w:rsidRPr="008822FC" w:rsidSect="00DD28A8">
          <w:headerReference w:type="default" r:id="rId9"/>
          <w:headerReference w:type="first" r:id="rId10"/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2C3EF4" w:rsidRPr="008822FC" w:rsidRDefault="002C3EF4" w:rsidP="00C553A6">
      <w:pPr>
        <w:jc w:val="center"/>
        <w:rPr>
          <w:sz w:val="28"/>
          <w:szCs w:val="28"/>
        </w:rPr>
      </w:pPr>
      <w:r w:rsidRPr="008822FC">
        <w:rPr>
          <w:sz w:val="28"/>
          <w:szCs w:val="28"/>
        </w:rPr>
        <w:lastRenderedPageBreak/>
        <w:t xml:space="preserve">2. Пояснительная записка </w:t>
      </w:r>
    </w:p>
    <w:p w:rsidR="00141582" w:rsidRPr="008822FC" w:rsidRDefault="00141582" w:rsidP="00C553A6">
      <w:pPr>
        <w:jc w:val="center"/>
        <w:rPr>
          <w:sz w:val="28"/>
          <w:szCs w:val="28"/>
        </w:rPr>
      </w:pPr>
      <w:r w:rsidRPr="008822FC">
        <w:rPr>
          <w:sz w:val="28"/>
          <w:szCs w:val="28"/>
        </w:rPr>
        <w:t xml:space="preserve">к показателям прогноза социально-экономического развития </w:t>
      </w:r>
      <w:r w:rsidR="00481531" w:rsidRPr="008822FC">
        <w:rPr>
          <w:sz w:val="28"/>
          <w:szCs w:val="28"/>
        </w:rPr>
        <w:br/>
      </w:r>
      <w:r w:rsidRPr="008822FC">
        <w:rPr>
          <w:sz w:val="28"/>
          <w:szCs w:val="28"/>
        </w:rPr>
        <w:t>Ленинградской области на 20</w:t>
      </w:r>
      <w:r w:rsidR="00EB3177" w:rsidRPr="008822FC">
        <w:rPr>
          <w:sz w:val="28"/>
          <w:szCs w:val="28"/>
        </w:rPr>
        <w:t>2</w:t>
      </w:r>
      <w:r w:rsidR="004B235C">
        <w:rPr>
          <w:sz w:val="28"/>
          <w:szCs w:val="28"/>
        </w:rPr>
        <w:t>2</w:t>
      </w:r>
      <w:r w:rsidR="00C80F5A" w:rsidRPr="008822FC">
        <w:rPr>
          <w:sz w:val="28"/>
          <w:szCs w:val="28"/>
        </w:rPr>
        <w:t xml:space="preserve"> </w:t>
      </w:r>
      <w:r w:rsidR="00C553A6">
        <w:rPr>
          <w:sz w:val="28"/>
          <w:szCs w:val="28"/>
        </w:rPr>
        <w:t>–</w:t>
      </w:r>
      <w:r w:rsidR="00C80F5A" w:rsidRPr="008822FC">
        <w:rPr>
          <w:sz w:val="28"/>
          <w:szCs w:val="28"/>
        </w:rPr>
        <w:t xml:space="preserve"> 202</w:t>
      </w:r>
      <w:r w:rsidR="004B235C">
        <w:rPr>
          <w:sz w:val="28"/>
          <w:szCs w:val="28"/>
        </w:rPr>
        <w:t>4</w:t>
      </w:r>
      <w:r w:rsidRPr="008822FC">
        <w:rPr>
          <w:sz w:val="28"/>
          <w:szCs w:val="28"/>
        </w:rPr>
        <w:t xml:space="preserve"> год</w:t>
      </w:r>
      <w:r w:rsidR="00EB3177" w:rsidRPr="008822FC">
        <w:rPr>
          <w:sz w:val="28"/>
          <w:szCs w:val="28"/>
        </w:rPr>
        <w:t>ы</w:t>
      </w:r>
    </w:p>
    <w:p w:rsidR="007A48FA" w:rsidRPr="00D2118E" w:rsidRDefault="007A48FA" w:rsidP="007A48FA">
      <w:pPr>
        <w:jc w:val="center"/>
        <w:rPr>
          <w:sz w:val="16"/>
          <w:szCs w:val="16"/>
        </w:rPr>
      </w:pPr>
    </w:p>
    <w:p w:rsidR="002D5568" w:rsidRPr="00C97A74" w:rsidRDefault="002D5568" w:rsidP="002D5568">
      <w:pPr>
        <w:shd w:val="clear" w:color="auto" w:fill="FFFFFF"/>
        <w:ind w:firstLine="709"/>
        <w:jc w:val="both"/>
        <w:rPr>
          <w:sz w:val="28"/>
          <w:szCs w:val="28"/>
        </w:rPr>
      </w:pPr>
      <w:r w:rsidRPr="00C97A74">
        <w:rPr>
          <w:sz w:val="28"/>
          <w:szCs w:val="28"/>
        </w:rPr>
        <w:t xml:space="preserve">Прогноз социально-экономического развития Ленинградской области </w:t>
      </w:r>
      <w:r w:rsidRPr="00C97A74">
        <w:rPr>
          <w:sz w:val="28"/>
          <w:szCs w:val="28"/>
        </w:rPr>
        <w:br/>
        <w:t>на 2022 - 2024 годы разработан с учетом сценарных условий функционирования экономики Российской Федерации, ретроспективного анализа социально-экономического развития Ленинградской области, итогов социально-экономического развития за 2020 год и за январь-май 2021 года.</w:t>
      </w:r>
    </w:p>
    <w:p w:rsidR="002D5568" w:rsidRPr="002D5568" w:rsidRDefault="002D5568" w:rsidP="002D55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5F5DA4">
        <w:rPr>
          <w:sz w:val="28"/>
          <w:szCs w:val="28"/>
        </w:rPr>
        <w:t xml:space="preserve">С момента подготовки и одобрения прогноза социально-экономического развития Ленинградской области на 2021-2023 годы (распоряжение Правительства </w:t>
      </w:r>
      <w:r w:rsidRPr="00517F9A">
        <w:rPr>
          <w:sz w:val="28"/>
          <w:szCs w:val="28"/>
        </w:rPr>
        <w:t xml:space="preserve">Ленинградской области от 17.09.2020 № 680-р) наблюдается улучшение как внешних, так и внутренних условий развития экономики России </w:t>
      </w:r>
      <w:r>
        <w:rPr>
          <w:sz w:val="28"/>
          <w:szCs w:val="28"/>
        </w:rPr>
        <w:br/>
      </w:r>
      <w:r w:rsidRPr="00517F9A">
        <w:rPr>
          <w:sz w:val="28"/>
          <w:szCs w:val="28"/>
        </w:rPr>
        <w:t xml:space="preserve">и Ленинградской </w:t>
      </w:r>
      <w:r w:rsidRPr="002D5568">
        <w:rPr>
          <w:sz w:val="28"/>
          <w:szCs w:val="28"/>
        </w:rPr>
        <w:t>области. Траектория развития в 2021 году и на период до 2024</w:t>
      </w:r>
      <w:r w:rsidR="000D7061">
        <w:rPr>
          <w:sz w:val="28"/>
          <w:szCs w:val="28"/>
        </w:rPr>
        <w:t> </w:t>
      </w:r>
      <w:r w:rsidRPr="002D5568">
        <w:rPr>
          <w:sz w:val="28"/>
          <w:szCs w:val="28"/>
        </w:rPr>
        <w:t>года определяется не только экономическими, но и сохраняющимися эпидемиологическими факторами и в связи с этим характеризуется относительной степенью неопределенности.</w:t>
      </w:r>
    </w:p>
    <w:p w:rsidR="002D5568" w:rsidRPr="002D5568" w:rsidRDefault="002D5568" w:rsidP="002D5568">
      <w:pPr>
        <w:shd w:val="clear" w:color="auto" w:fill="FFFFFF"/>
        <w:ind w:firstLine="709"/>
        <w:jc w:val="both"/>
        <w:rPr>
          <w:sz w:val="28"/>
          <w:szCs w:val="28"/>
        </w:rPr>
      </w:pPr>
      <w:r w:rsidRPr="002D5568">
        <w:rPr>
          <w:sz w:val="28"/>
          <w:szCs w:val="28"/>
        </w:rPr>
        <w:t>Сценарные условия, основные параметры прогноза социально-экономического развития Российской Федерации на 2022 год и на плановый период 2023 и 2024 годов разработаны в двух вариантах:</w:t>
      </w:r>
    </w:p>
    <w:p w:rsidR="002D5568" w:rsidRPr="002D5568" w:rsidRDefault="002D5568" w:rsidP="002D5568">
      <w:pPr>
        <w:shd w:val="clear" w:color="auto" w:fill="FFFFFF"/>
        <w:ind w:firstLine="709"/>
        <w:jc w:val="both"/>
        <w:rPr>
          <w:sz w:val="28"/>
          <w:szCs w:val="28"/>
        </w:rPr>
      </w:pPr>
      <w:r w:rsidRPr="002D5568">
        <w:rPr>
          <w:sz w:val="28"/>
          <w:szCs w:val="28"/>
        </w:rPr>
        <w:t>базовый вариант характеризует наиболее вероятный сценарий развития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экономике;</w:t>
      </w:r>
    </w:p>
    <w:p w:rsidR="002D5568" w:rsidRPr="002D5568" w:rsidRDefault="002D5568" w:rsidP="002D5568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2D5568">
        <w:rPr>
          <w:sz w:val="28"/>
          <w:szCs w:val="28"/>
        </w:rPr>
        <w:t>консервативный вариант основан на предпосылке</w:t>
      </w:r>
      <w:r>
        <w:rPr>
          <w:sz w:val="28"/>
          <w:szCs w:val="28"/>
        </w:rPr>
        <w:t xml:space="preserve"> </w:t>
      </w:r>
      <w:r w:rsidRPr="002D5568">
        <w:rPr>
          <w:sz w:val="28"/>
          <w:szCs w:val="28"/>
        </w:rPr>
        <w:t>о более затяжном восстановлении мировой экономики и структурном</w:t>
      </w:r>
      <w:r>
        <w:rPr>
          <w:sz w:val="28"/>
          <w:szCs w:val="28"/>
        </w:rPr>
        <w:t xml:space="preserve"> </w:t>
      </w:r>
      <w:r w:rsidRPr="002D5568">
        <w:rPr>
          <w:sz w:val="28"/>
          <w:szCs w:val="28"/>
        </w:rPr>
        <w:t>замедлении темпов ее роста в среднесрочной перспективе из-за последствий распространения новой коронавирусной инфекции.</w:t>
      </w:r>
    </w:p>
    <w:p w:rsidR="002D5568" w:rsidRPr="002D5568" w:rsidRDefault="002D5568" w:rsidP="002D5568">
      <w:pPr>
        <w:shd w:val="clear" w:color="auto" w:fill="FFFFFF"/>
        <w:ind w:firstLine="709"/>
        <w:jc w:val="both"/>
        <w:rPr>
          <w:sz w:val="28"/>
          <w:szCs w:val="28"/>
        </w:rPr>
      </w:pPr>
      <w:r w:rsidRPr="002D5568">
        <w:rPr>
          <w:sz w:val="28"/>
          <w:szCs w:val="28"/>
        </w:rPr>
        <w:t>При успешной реализации всего комплекса антикризисных мер экономической политики в целом по России темпы экономического развития (рост ВВП России) после снижения в 2020 году на 3</w:t>
      </w:r>
      <w:r w:rsidR="000D7061">
        <w:rPr>
          <w:sz w:val="28"/>
          <w:szCs w:val="28"/>
        </w:rPr>
        <w:t>проц.</w:t>
      </w:r>
      <w:r w:rsidRPr="002D5568">
        <w:rPr>
          <w:sz w:val="28"/>
          <w:szCs w:val="28"/>
        </w:rPr>
        <w:t xml:space="preserve"> к уровню 2019 года прогнозируется восстановление динамики на прогнозном периоде до уровня 3</w:t>
      </w:r>
      <w:r w:rsidR="000D7061">
        <w:rPr>
          <w:sz w:val="28"/>
          <w:szCs w:val="28"/>
        </w:rPr>
        <w:t>проц.</w:t>
      </w:r>
      <w:r w:rsidRPr="002D5568">
        <w:rPr>
          <w:sz w:val="28"/>
          <w:szCs w:val="28"/>
        </w:rPr>
        <w:t xml:space="preserve"> за год (в среднем). </w:t>
      </w:r>
    </w:p>
    <w:p w:rsidR="002D5568" w:rsidRPr="002D5568" w:rsidRDefault="002D5568" w:rsidP="002D5568">
      <w:pPr>
        <w:shd w:val="clear" w:color="auto" w:fill="FFFFFF"/>
        <w:ind w:firstLine="709"/>
        <w:jc w:val="both"/>
        <w:rPr>
          <w:sz w:val="28"/>
          <w:szCs w:val="28"/>
        </w:rPr>
      </w:pPr>
      <w:r w:rsidRPr="002D5568">
        <w:rPr>
          <w:sz w:val="28"/>
          <w:szCs w:val="28"/>
        </w:rPr>
        <w:t xml:space="preserve">Прогноз социально-экономического развития Ленинградской области </w:t>
      </w:r>
      <w:r w:rsidRPr="002D5568">
        <w:rPr>
          <w:sz w:val="28"/>
          <w:szCs w:val="28"/>
        </w:rPr>
        <w:br/>
        <w:t>на 2022-2024 годы разработан также в 2 сопоставимых вариантах (таблица 1).</w:t>
      </w:r>
    </w:p>
    <w:p w:rsidR="002D5568" w:rsidRPr="002D5568" w:rsidRDefault="002D5568" w:rsidP="002D5568">
      <w:pPr>
        <w:shd w:val="clear" w:color="auto" w:fill="FFFFFF"/>
        <w:ind w:firstLine="709"/>
        <w:jc w:val="both"/>
        <w:rPr>
          <w:sz w:val="20"/>
          <w:szCs w:val="28"/>
        </w:rPr>
      </w:pPr>
    </w:p>
    <w:p w:rsidR="002D5568" w:rsidRPr="002D5568" w:rsidRDefault="002D5568" w:rsidP="002D5568">
      <w:pPr>
        <w:shd w:val="clear" w:color="auto" w:fill="FFFFFF"/>
        <w:ind w:right="-5"/>
        <w:jc w:val="both"/>
        <w:rPr>
          <w:sz w:val="28"/>
          <w:szCs w:val="28"/>
        </w:rPr>
      </w:pPr>
      <w:r w:rsidRPr="002D5568">
        <w:rPr>
          <w:sz w:val="28"/>
          <w:szCs w:val="28"/>
        </w:rPr>
        <w:t>Таблица 1 – Основные показатели прогноза социально-экономического развития Ленинградской области на 2022-2024 годы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1469"/>
        <w:gridCol w:w="1303"/>
        <w:gridCol w:w="1140"/>
        <w:gridCol w:w="1105"/>
        <w:gridCol w:w="1121"/>
      </w:tblGrid>
      <w:tr w:rsidR="002D5568" w:rsidRPr="002D5568" w:rsidTr="001D7655">
        <w:trPr>
          <w:trHeight w:val="170"/>
          <w:tblHeader/>
          <w:jc w:val="center"/>
        </w:trPr>
        <w:tc>
          <w:tcPr>
            <w:tcW w:w="4075" w:type="dxa"/>
            <w:vMerge w:val="restart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Наименование показателя</w:t>
            </w:r>
          </w:p>
        </w:tc>
        <w:tc>
          <w:tcPr>
            <w:tcW w:w="1469" w:type="dxa"/>
            <w:vMerge w:val="restart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</w:pPr>
            <w:r w:rsidRPr="002D5568">
              <w:t>2020</w:t>
            </w:r>
          </w:p>
          <w:p w:rsidR="002D5568" w:rsidRPr="002D5568" w:rsidRDefault="002D5568" w:rsidP="001D7655">
            <w:pPr>
              <w:shd w:val="clear" w:color="auto" w:fill="FFFFFF"/>
              <w:jc w:val="center"/>
            </w:pPr>
            <w:r w:rsidRPr="002D5568">
              <w:t>отчет</w:t>
            </w:r>
          </w:p>
        </w:tc>
        <w:tc>
          <w:tcPr>
            <w:tcW w:w="1303" w:type="dxa"/>
            <w:vMerge w:val="restart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</w:pPr>
            <w:r w:rsidRPr="002D5568">
              <w:t>2021</w:t>
            </w:r>
          </w:p>
          <w:p w:rsidR="002D5568" w:rsidRPr="002D5568" w:rsidRDefault="002D5568" w:rsidP="001D7655">
            <w:pPr>
              <w:shd w:val="clear" w:color="auto" w:fill="FFFFFF"/>
              <w:jc w:val="center"/>
            </w:pPr>
            <w:r w:rsidRPr="002D5568">
              <w:t>оценка</w:t>
            </w:r>
          </w:p>
        </w:tc>
        <w:tc>
          <w:tcPr>
            <w:tcW w:w="1140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</w:pPr>
            <w:r w:rsidRPr="002D5568">
              <w:t>2022</w:t>
            </w:r>
          </w:p>
        </w:tc>
        <w:tc>
          <w:tcPr>
            <w:tcW w:w="1105" w:type="dxa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lang w:val="en-US"/>
              </w:rPr>
            </w:pPr>
            <w:r w:rsidRPr="002D5568">
              <w:rPr>
                <w:lang w:val="en-US"/>
              </w:rPr>
              <w:t>20</w:t>
            </w:r>
            <w:r w:rsidRPr="002D5568">
              <w:t>23</w:t>
            </w:r>
          </w:p>
        </w:tc>
        <w:tc>
          <w:tcPr>
            <w:tcW w:w="1121" w:type="dxa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lang w:val="en-US"/>
              </w:rPr>
            </w:pPr>
            <w:r w:rsidRPr="002D5568">
              <w:rPr>
                <w:lang w:val="en-US"/>
              </w:rPr>
              <w:t>20</w:t>
            </w:r>
            <w:r w:rsidRPr="002D5568">
              <w:t>24</w:t>
            </w:r>
          </w:p>
        </w:tc>
      </w:tr>
      <w:tr w:rsidR="002D5568" w:rsidRPr="002D5568" w:rsidTr="001D7655">
        <w:trPr>
          <w:trHeight w:val="170"/>
          <w:tblHeader/>
          <w:jc w:val="center"/>
        </w:trPr>
        <w:tc>
          <w:tcPr>
            <w:tcW w:w="4075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rPr>
                <w:bCs/>
              </w:rPr>
            </w:pPr>
          </w:p>
        </w:tc>
        <w:tc>
          <w:tcPr>
            <w:tcW w:w="1469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</w:pPr>
          </w:p>
        </w:tc>
        <w:tc>
          <w:tcPr>
            <w:tcW w:w="3366" w:type="dxa"/>
            <w:gridSpan w:val="3"/>
          </w:tcPr>
          <w:p w:rsidR="002D5568" w:rsidRPr="002D5568" w:rsidRDefault="002D5568" w:rsidP="001D7655">
            <w:pPr>
              <w:shd w:val="clear" w:color="auto" w:fill="FFFFFF"/>
              <w:jc w:val="center"/>
            </w:pPr>
            <w:r w:rsidRPr="002D5568">
              <w:t>прогноз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10213" w:type="dxa"/>
            <w:gridSpan w:val="6"/>
          </w:tcPr>
          <w:p w:rsidR="002D5568" w:rsidRPr="002D5568" w:rsidRDefault="002D5568" w:rsidP="001D7655">
            <w:pPr>
              <w:shd w:val="clear" w:color="auto" w:fill="FFFFFF"/>
              <w:rPr>
                <w:bCs/>
                <w:color w:val="FF0000"/>
              </w:rPr>
            </w:pPr>
            <w:r w:rsidRPr="002D5568">
              <w:rPr>
                <w:bCs/>
              </w:rPr>
              <w:t xml:space="preserve">Валовой региональный продукт, прирост, </w:t>
            </w:r>
            <w:r w:rsidR="000D7061">
              <w:rPr>
                <w:bCs/>
              </w:rPr>
              <w:t>проц.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vAlign w:val="center"/>
          </w:tcPr>
          <w:p w:rsidR="002D5568" w:rsidRPr="002D5568" w:rsidRDefault="002D5568" w:rsidP="001D7655">
            <w:pPr>
              <w:jc w:val="center"/>
            </w:pPr>
            <w:r w:rsidRPr="002D5568">
              <w:t>100,1</w:t>
            </w:r>
          </w:p>
        </w:tc>
        <w:tc>
          <w:tcPr>
            <w:tcW w:w="1303" w:type="dxa"/>
            <w:vMerge w:val="restart"/>
            <w:vAlign w:val="center"/>
          </w:tcPr>
          <w:p w:rsidR="002D5568" w:rsidRPr="002D5568" w:rsidRDefault="002D5568" w:rsidP="001D7655">
            <w:pPr>
              <w:jc w:val="center"/>
            </w:pPr>
            <w:r w:rsidRPr="002D5568">
              <w:t>103,1</w:t>
            </w:r>
          </w:p>
        </w:tc>
        <w:tc>
          <w:tcPr>
            <w:tcW w:w="1140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102,4</w:t>
            </w:r>
          </w:p>
        </w:tc>
        <w:tc>
          <w:tcPr>
            <w:tcW w:w="1105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102,5</w:t>
            </w:r>
          </w:p>
        </w:tc>
        <w:tc>
          <w:tcPr>
            <w:tcW w:w="1121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103,0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базовый вариант</w:t>
            </w:r>
          </w:p>
        </w:tc>
        <w:tc>
          <w:tcPr>
            <w:tcW w:w="1469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303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40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103,1</w:t>
            </w:r>
          </w:p>
        </w:tc>
        <w:tc>
          <w:tcPr>
            <w:tcW w:w="1105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103,4</w:t>
            </w:r>
          </w:p>
        </w:tc>
        <w:tc>
          <w:tcPr>
            <w:tcW w:w="1121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103,8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10213" w:type="dxa"/>
            <w:gridSpan w:val="6"/>
          </w:tcPr>
          <w:p w:rsidR="002D5568" w:rsidRPr="002D5568" w:rsidRDefault="002D5568" w:rsidP="001D7655">
            <w:pPr>
              <w:shd w:val="clear" w:color="auto" w:fill="FFFFFF"/>
              <w:rPr>
                <w:bCs/>
                <w:color w:val="FF0000"/>
              </w:rPr>
            </w:pPr>
            <w:r w:rsidRPr="002D5568">
              <w:rPr>
                <w:bCs/>
              </w:rPr>
              <w:t xml:space="preserve">Промышленность, прирост, </w:t>
            </w:r>
            <w:r w:rsidR="000D7061">
              <w:rPr>
                <w:bCs/>
              </w:rPr>
              <w:t>проц.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  <w:color w:val="FF0000"/>
              </w:rPr>
            </w:pPr>
            <w:r w:rsidRPr="002D5568">
              <w:rPr>
                <w:bCs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98,6</w:t>
            </w:r>
          </w:p>
        </w:tc>
        <w:tc>
          <w:tcPr>
            <w:tcW w:w="1303" w:type="dxa"/>
            <w:vMerge w:val="restart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</w:pPr>
            <w:r w:rsidRPr="002D5568">
              <w:t>103,3</w:t>
            </w:r>
          </w:p>
        </w:tc>
        <w:tc>
          <w:tcPr>
            <w:tcW w:w="1140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102,1</w:t>
            </w:r>
          </w:p>
        </w:tc>
        <w:tc>
          <w:tcPr>
            <w:tcW w:w="1105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102,4</w:t>
            </w:r>
          </w:p>
        </w:tc>
        <w:tc>
          <w:tcPr>
            <w:tcW w:w="1121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104,3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  <w:color w:val="FF0000"/>
              </w:rPr>
            </w:pPr>
            <w:r w:rsidRPr="002D5568">
              <w:rPr>
                <w:bCs/>
              </w:rPr>
              <w:lastRenderedPageBreak/>
              <w:t>базовый вариант</w:t>
            </w:r>
          </w:p>
        </w:tc>
        <w:tc>
          <w:tcPr>
            <w:tcW w:w="1469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303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40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102,4</w:t>
            </w:r>
          </w:p>
        </w:tc>
        <w:tc>
          <w:tcPr>
            <w:tcW w:w="1105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103,0</w:t>
            </w:r>
          </w:p>
        </w:tc>
        <w:tc>
          <w:tcPr>
            <w:tcW w:w="1121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104,6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10213" w:type="dxa"/>
            <w:gridSpan w:val="6"/>
          </w:tcPr>
          <w:p w:rsidR="002D5568" w:rsidRPr="002D5568" w:rsidRDefault="002D5568" w:rsidP="001D7655">
            <w:pPr>
              <w:shd w:val="clear" w:color="auto" w:fill="FFFFFF"/>
              <w:rPr>
                <w:bCs/>
              </w:rPr>
            </w:pPr>
            <w:r w:rsidRPr="002D5568">
              <w:rPr>
                <w:bCs/>
              </w:rPr>
              <w:t xml:space="preserve">Сельское хозяйство, прирост, </w:t>
            </w:r>
            <w:r w:rsidR="000D7061">
              <w:rPr>
                <w:bCs/>
              </w:rPr>
              <w:t>проц.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vAlign w:val="center"/>
          </w:tcPr>
          <w:p w:rsidR="002D5568" w:rsidRPr="002D5568" w:rsidRDefault="002D5568" w:rsidP="001D7655">
            <w:pPr>
              <w:jc w:val="center"/>
              <w:rPr>
                <w:color w:val="FF0000"/>
              </w:rPr>
            </w:pPr>
            <w:r w:rsidRPr="002D5568">
              <w:t>100,1</w:t>
            </w:r>
          </w:p>
        </w:tc>
        <w:tc>
          <w:tcPr>
            <w:tcW w:w="1303" w:type="dxa"/>
            <w:vMerge w:val="restart"/>
            <w:vAlign w:val="center"/>
          </w:tcPr>
          <w:p w:rsidR="002D5568" w:rsidRPr="002D5568" w:rsidRDefault="002D5568" w:rsidP="001D7655">
            <w:pPr>
              <w:jc w:val="center"/>
              <w:rPr>
                <w:color w:val="FF0000"/>
              </w:rPr>
            </w:pPr>
            <w:r w:rsidRPr="002D5568">
              <w:t>101,1</w:t>
            </w:r>
          </w:p>
        </w:tc>
        <w:tc>
          <w:tcPr>
            <w:tcW w:w="1140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99,3</w:t>
            </w:r>
          </w:p>
        </w:tc>
        <w:tc>
          <w:tcPr>
            <w:tcW w:w="110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100,4</w:t>
            </w:r>
          </w:p>
        </w:tc>
        <w:tc>
          <w:tcPr>
            <w:tcW w:w="1121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100,6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базовый вариант</w:t>
            </w:r>
          </w:p>
        </w:tc>
        <w:tc>
          <w:tcPr>
            <w:tcW w:w="1469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  <w:color w:val="FF0000"/>
              </w:rPr>
            </w:pPr>
          </w:p>
        </w:tc>
        <w:tc>
          <w:tcPr>
            <w:tcW w:w="1303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1140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101,9</w:t>
            </w:r>
          </w:p>
        </w:tc>
        <w:tc>
          <w:tcPr>
            <w:tcW w:w="110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101,0</w:t>
            </w:r>
          </w:p>
        </w:tc>
        <w:tc>
          <w:tcPr>
            <w:tcW w:w="1121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101,0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10213" w:type="dxa"/>
            <w:gridSpan w:val="6"/>
          </w:tcPr>
          <w:p w:rsidR="002D5568" w:rsidRPr="002D5568" w:rsidRDefault="002D5568" w:rsidP="001D7655">
            <w:pPr>
              <w:shd w:val="clear" w:color="auto" w:fill="FFFFFF"/>
              <w:rPr>
                <w:bCs/>
                <w:color w:val="FF0000"/>
              </w:rPr>
            </w:pPr>
            <w:r w:rsidRPr="002D5568">
              <w:rPr>
                <w:bCs/>
              </w:rPr>
              <w:t xml:space="preserve">Инвестиции в основной капитал, прирост, </w:t>
            </w:r>
            <w:r w:rsidR="000D7061">
              <w:rPr>
                <w:bCs/>
              </w:rPr>
              <w:t>проц.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 xml:space="preserve">105,2 </w:t>
            </w:r>
          </w:p>
        </w:tc>
        <w:tc>
          <w:tcPr>
            <w:tcW w:w="1303" w:type="dxa"/>
            <w:vMerge w:val="restart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</w:pPr>
            <w:r w:rsidRPr="002D5568">
              <w:t>106,4</w:t>
            </w:r>
          </w:p>
        </w:tc>
        <w:tc>
          <w:tcPr>
            <w:tcW w:w="1140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107,1</w:t>
            </w:r>
          </w:p>
        </w:tc>
        <w:tc>
          <w:tcPr>
            <w:tcW w:w="1105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108,0</w:t>
            </w:r>
          </w:p>
        </w:tc>
        <w:tc>
          <w:tcPr>
            <w:tcW w:w="1121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106,5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базовый вариант</w:t>
            </w:r>
          </w:p>
        </w:tc>
        <w:tc>
          <w:tcPr>
            <w:tcW w:w="1469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303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</w:pPr>
          </w:p>
        </w:tc>
        <w:tc>
          <w:tcPr>
            <w:tcW w:w="1140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112,9</w:t>
            </w:r>
          </w:p>
        </w:tc>
        <w:tc>
          <w:tcPr>
            <w:tcW w:w="1105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114,6</w:t>
            </w:r>
          </w:p>
        </w:tc>
        <w:tc>
          <w:tcPr>
            <w:tcW w:w="1121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111,4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10213" w:type="dxa"/>
            <w:gridSpan w:val="6"/>
          </w:tcPr>
          <w:p w:rsidR="002D5568" w:rsidRPr="002D5568" w:rsidRDefault="002D5568" w:rsidP="001D7655">
            <w:pPr>
              <w:shd w:val="clear" w:color="auto" w:fill="FFFFFF"/>
              <w:rPr>
                <w:bCs/>
                <w:color w:val="FF0000"/>
              </w:rPr>
            </w:pPr>
            <w:r w:rsidRPr="002D5568">
              <w:rPr>
                <w:bCs/>
              </w:rPr>
              <w:t xml:space="preserve">Реальная заработная плата, прирост, </w:t>
            </w:r>
            <w:r w:rsidR="000D7061">
              <w:rPr>
                <w:bCs/>
              </w:rPr>
              <w:t>проц.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101,1</w:t>
            </w:r>
          </w:p>
        </w:tc>
        <w:tc>
          <w:tcPr>
            <w:tcW w:w="1303" w:type="dxa"/>
            <w:vMerge w:val="restart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</w:pPr>
            <w:r w:rsidRPr="002D5568">
              <w:t>101,5</w:t>
            </w:r>
          </w:p>
        </w:tc>
        <w:tc>
          <w:tcPr>
            <w:tcW w:w="1140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101,4</w:t>
            </w:r>
          </w:p>
        </w:tc>
        <w:tc>
          <w:tcPr>
            <w:tcW w:w="1105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102,0</w:t>
            </w:r>
          </w:p>
        </w:tc>
        <w:tc>
          <w:tcPr>
            <w:tcW w:w="1121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102,0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базовый вариант</w:t>
            </w:r>
          </w:p>
        </w:tc>
        <w:tc>
          <w:tcPr>
            <w:tcW w:w="1469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303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40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102,0</w:t>
            </w:r>
          </w:p>
        </w:tc>
        <w:tc>
          <w:tcPr>
            <w:tcW w:w="1105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102,4</w:t>
            </w:r>
          </w:p>
        </w:tc>
        <w:tc>
          <w:tcPr>
            <w:tcW w:w="1121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102,4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10213" w:type="dxa"/>
            <w:gridSpan w:val="6"/>
          </w:tcPr>
          <w:p w:rsidR="002D5568" w:rsidRPr="002D5568" w:rsidRDefault="002D5568" w:rsidP="001D7655">
            <w:pPr>
              <w:shd w:val="clear" w:color="auto" w:fill="FFFFFF"/>
              <w:rPr>
                <w:bCs/>
                <w:color w:val="FF0000"/>
              </w:rPr>
            </w:pPr>
            <w:r w:rsidRPr="002D5568">
              <w:rPr>
                <w:bCs/>
              </w:rPr>
              <w:t xml:space="preserve">Оборот розничной торговли, прирост, </w:t>
            </w:r>
            <w:r w:rsidR="000D7061">
              <w:rPr>
                <w:bCs/>
              </w:rPr>
              <w:t>проц.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vAlign w:val="center"/>
          </w:tcPr>
          <w:p w:rsidR="002D5568" w:rsidRPr="002D5568" w:rsidRDefault="002D5568" w:rsidP="001D7655">
            <w:pPr>
              <w:jc w:val="center"/>
            </w:pPr>
            <w:r w:rsidRPr="002D5568">
              <w:t>106,7</w:t>
            </w:r>
          </w:p>
        </w:tc>
        <w:tc>
          <w:tcPr>
            <w:tcW w:w="1303" w:type="dxa"/>
            <w:vMerge w:val="restart"/>
            <w:vAlign w:val="center"/>
          </w:tcPr>
          <w:p w:rsidR="002D5568" w:rsidRPr="002D5568" w:rsidRDefault="002D5568" w:rsidP="001D7655">
            <w:pPr>
              <w:jc w:val="center"/>
            </w:pPr>
            <w:r w:rsidRPr="002D5568">
              <w:t>104,5</w:t>
            </w:r>
          </w:p>
        </w:tc>
        <w:tc>
          <w:tcPr>
            <w:tcW w:w="1140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102,4</w:t>
            </w:r>
          </w:p>
        </w:tc>
        <w:tc>
          <w:tcPr>
            <w:tcW w:w="110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102,3</w:t>
            </w:r>
          </w:p>
        </w:tc>
        <w:tc>
          <w:tcPr>
            <w:tcW w:w="1121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102,3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базовый вариант</w:t>
            </w:r>
          </w:p>
        </w:tc>
        <w:tc>
          <w:tcPr>
            <w:tcW w:w="1469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  <w:color w:val="FF0000"/>
              </w:rPr>
            </w:pPr>
          </w:p>
        </w:tc>
        <w:tc>
          <w:tcPr>
            <w:tcW w:w="1303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1140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102,9</w:t>
            </w:r>
          </w:p>
        </w:tc>
        <w:tc>
          <w:tcPr>
            <w:tcW w:w="110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102,8</w:t>
            </w:r>
          </w:p>
        </w:tc>
        <w:tc>
          <w:tcPr>
            <w:tcW w:w="1121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102,8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10213" w:type="dxa"/>
            <w:gridSpan w:val="6"/>
          </w:tcPr>
          <w:p w:rsidR="002D5568" w:rsidRPr="002D5568" w:rsidRDefault="002D5568" w:rsidP="001D7655">
            <w:pPr>
              <w:shd w:val="clear" w:color="auto" w:fill="FFFFFF"/>
              <w:rPr>
                <w:bCs/>
                <w:color w:val="FF0000"/>
              </w:rPr>
            </w:pPr>
            <w:r w:rsidRPr="002D5568">
              <w:rPr>
                <w:bCs/>
              </w:rPr>
              <w:t xml:space="preserve">Индекс потребительских цен, прирост, </w:t>
            </w:r>
            <w:r w:rsidR="000D7061">
              <w:rPr>
                <w:bCs/>
              </w:rPr>
              <w:t>проц.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  <w:color w:val="FF0000"/>
              </w:rPr>
            </w:pPr>
            <w:r w:rsidRPr="002D5568">
              <w:rPr>
                <w:bCs/>
              </w:rPr>
              <w:t>104,1</w:t>
            </w:r>
          </w:p>
        </w:tc>
        <w:tc>
          <w:tcPr>
            <w:tcW w:w="1303" w:type="dxa"/>
            <w:vMerge w:val="restart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color w:val="FF0000"/>
              </w:rPr>
            </w:pPr>
            <w:r w:rsidRPr="002D5568">
              <w:t>105,0</w:t>
            </w:r>
          </w:p>
        </w:tc>
        <w:tc>
          <w:tcPr>
            <w:tcW w:w="1140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104,0</w:t>
            </w:r>
          </w:p>
        </w:tc>
        <w:tc>
          <w:tcPr>
            <w:tcW w:w="1105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104,0</w:t>
            </w:r>
          </w:p>
        </w:tc>
        <w:tc>
          <w:tcPr>
            <w:tcW w:w="1121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104,0</w:t>
            </w:r>
          </w:p>
        </w:tc>
      </w:tr>
      <w:tr w:rsidR="002D5568" w:rsidRPr="002D5568" w:rsidTr="001D7655">
        <w:trPr>
          <w:trHeight w:val="283"/>
          <w:jc w:val="center"/>
        </w:trPr>
        <w:tc>
          <w:tcPr>
            <w:tcW w:w="4075" w:type="dxa"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</w:rPr>
            </w:pPr>
            <w:r w:rsidRPr="002D5568">
              <w:rPr>
                <w:bCs/>
              </w:rPr>
              <w:t>базовый вариант</w:t>
            </w:r>
          </w:p>
        </w:tc>
        <w:tc>
          <w:tcPr>
            <w:tcW w:w="1469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bCs/>
                <w:color w:val="FF0000"/>
              </w:rPr>
            </w:pPr>
          </w:p>
        </w:tc>
        <w:tc>
          <w:tcPr>
            <w:tcW w:w="1303" w:type="dxa"/>
            <w:vMerge/>
            <w:vAlign w:val="center"/>
          </w:tcPr>
          <w:p w:rsidR="002D5568" w:rsidRPr="002D5568" w:rsidRDefault="002D5568" w:rsidP="001D7655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40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103,5</w:t>
            </w:r>
          </w:p>
        </w:tc>
        <w:tc>
          <w:tcPr>
            <w:tcW w:w="1105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104,0</w:t>
            </w:r>
          </w:p>
        </w:tc>
        <w:tc>
          <w:tcPr>
            <w:tcW w:w="1121" w:type="dxa"/>
          </w:tcPr>
          <w:p w:rsidR="002D5568" w:rsidRPr="002D5568" w:rsidRDefault="002D5568" w:rsidP="001D765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5568">
              <w:t>104,0</w:t>
            </w:r>
          </w:p>
        </w:tc>
      </w:tr>
    </w:tbl>
    <w:p w:rsidR="002D5568" w:rsidRPr="002D5568" w:rsidRDefault="002D5568" w:rsidP="002D5568">
      <w:pPr>
        <w:shd w:val="clear" w:color="auto" w:fill="FFFFFF"/>
        <w:ind w:right="-5" w:firstLine="709"/>
        <w:jc w:val="both"/>
        <w:rPr>
          <w:color w:val="FF0000"/>
          <w:sz w:val="28"/>
          <w:szCs w:val="28"/>
        </w:rPr>
      </w:pPr>
    </w:p>
    <w:p w:rsidR="002D5568" w:rsidRPr="002D5568" w:rsidRDefault="002D5568" w:rsidP="004D246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D5568">
        <w:rPr>
          <w:sz w:val="28"/>
          <w:szCs w:val="28"/>
          <w:lang w:eastAsia="en-US"/>
        </w:rPr>
        <w:t xml:space="preserve">Для формирования </w:t>
      </w:r>
      <w:r w:rsidRPr="002D5568">
        <w:rPr>
          <w:sz w:val="28"/>
          <w:szCs w:val="28"/>
        </w:rPr>
        <w:t>параметров консолидированного бюджета Ленинградской области на среднесрочный период</w:t>
      </w:r>
      <w:r w:rsidRPr="002D5568">
        <w:rPr>
          <w:sz w:val="28"/>
          <w:szCs w:val="28"/>
          <w:lang w:eastAsia="en-US"/>
        </w:rPr>
        <w:t xml:space="preserve">, в качестве основного рекомендован базовый </w:t>
      </w:r>
      <w:r w:rsidRPr="002D5568">
        <w:rPr>
          <w:color w:val="000000" w:themeColor="text1"/>
          <w:sz w:val="28"/>
          <w:szCs w:val="28"/>
          <w:lang w:eastAsia="en-US"/>
        </w:rPr>
        <w:t>вариант</w:t>
      </w:r>
      <w:r w:rsidRPr="002D5568">
        <w:rPr>
          <w:rFonts w:eastAsia="Calibri"/>
          <w:color w:val="000000" w:themeColor="text1"/>
          <w:sz w:val="28"/>
          <w:szCs w:val="28"/>
        </w:rPr>
        <w:t xml:space="preserve">. </w:t>
      </w:r>
    </w:p>
    <w:p w:rsidR="002D5568" w:rsidRPr="00BE419C" w:rsidRDefault="002D5568" w:rsidP="004D246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E419C">
        <w:rPr>
          <w:sz w:val="28"/>
          <w:szCs w:val="28"/>
        </w:rPr>
        <w:t xml:space="preserve">Изменение сценарных условий функционирования экономики России </w:t>
      </w:r>
      <w:r w:rsidRPr="00BE419C">
        <w:rPr>
          <w:sz w:val="28"/>
          <w:szCs w:val="28"/>
        </w:rPr>
        <w:br/>
        <w:t xml:space="preserve">в зависимости от внешних и внутренних условий развития, экономических </w:t>
      </w:r>
      <w:r>
        <w:rPr>
          <w:sz w:val="28"/>
          <w:szCs w:val="28"/>
        </w:rPr>
        <w:br/>
      </w:r>
      <w:r w:rsidRPr="00BE419C">
        <w:rPr>
          <w:sz w:val="28"/>
          <w:szCs w:val="28"/>
        </w:rPr>
        <w:t>и эпидемиологических факторов, сложившаяся текущая социально-экономическая ситуация в Ленинградской области и результаты мониторинга ключевых показателей социально-экономического развития Ленинградской области</w:t>
      </w:r>
      <w:r w:rsidRPr="00BE419C">
        <w:rPr>
          <w:rStyle w:val="af1"/>
          <w:sz w:val="28"/>
          <w:szCs w:val="28"/>
        </w:rPr>
        <w:footnoteReference w:id="1"/>
      </w:r>
      <w:r w:rsidRPr="00BE419C">
        <w:rPr>
          <w:sz w:val="28"/>
          <w:szCs w:val="28"/>
        </w:rPr>
        <w:t xml:space="preserve"> привели к необходимости уточнения и актуализации прогнозных показателей социально-экономического развития Ленинградской области на</w:t>
      </w:r>
      <w:r>
        <w:rPr>
          <w:sz w:val="28"/>
          <w:szCs w:val="28"/>
        </w:rPr>
        <w:t xml:space="preserve"> </w:t>
      </w:r>
      <w:r w:rsidRPr="00BE419C">
        <w:rPr>
          <w:sz w:val="28"/>
          <w:szCs w:val="28"/>
        </w:rPr>
        <w:t>202</w:t>
      </w:r>
      <w:r>
        <w:rPr>
          <w:sz w:val="28"/>
          <w:szCs w:val="28"/>
        </w:rPr>
        <w:t xml:space="preserve">2 и </w:t>
      </w:r>
      <w:r w:rsidRPr="00BE419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E419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BE419C">
        <w:rPr>
          <w:sz w:val="28"/>
          <w:szCs w:val="28"/>
        </w:rPr>
        <w:t>, разработанных в 2020 году в рамках прогноза социально-экономического развития</w:t>
      </w:r>
      <w:proofErr w:type="gramEnd"/>
      <w:r w:rsidRPr="00BE419C">
        <w:rPr>
          <w:sz w:val="28"/>
          <w:szCs w:val="28"/>
        </w:rPr>
        <w:t xml:space="preserve"> Ленинградской области на 2021-2023 год</w:t>
      </w:r>
      <w:r>
        <w:rPr>
          <w:sz w:val="28"/>
          <w:szCs w:val="28"/>
        </w:rPr>
        <w:t>ы</w:t>
      </w:r>
      <w:r w:rsidRPr="00BE419C">
        <w:rPr>
          <w:sz w:val="28"/>
          <w:szCs w:val="28"/>
        </w:rPr>
        <w:t xml:space="preserve"> (распоряжение Правительства Ленинградской области от 17.09.2020 № 680-р). </w:t>
      </w:r>
    </w:p>
    <w:p w:rsidR="002D5568" w:rsidRPr="000D7061" w:rsidRDefault="002D5568" w:rsidP="004D2468">
      <w:pPr>
        <w:shd w:val="clear" w:color="auto" w:fill="FFFFFF"/>
        <w:ind w:firstLine="709"/>
        <w:jc w:val="both"/>
        <w:rPr>
          <w:sz w:val="28"/>
          <w:szCs w:val="28"/>
        </w:rPr>
      </w:pPr>
      <w:r w:rsidRPr="000D7061">
        <w:rPr>
          <w:sz w:val="28"/>
          <w:szCs w:val="28"/>
        </w:rPr>
        <w:t xml:space="preserve">Актуальные параметры прогноза социально-экономического развития Ленинградской области на среднесрочный период позволяют адекватно отразить складывающиеся в 2021 году тенденции и оценивать перспективы, динамику </w:t>
      </w:r>
      <w:r w:rsidRPr="000D7061">
        <w:rPr>
          <w:sz w:val="28"/>
          <w:szCs w:val="28"/>
        </w:rPr>
        <w:br/>
        <w:t xml:space="preserve">и направления развития региона на среднесрочный период. </w:t>
      </w:r>
    </w:p>
    <w:p w:rsidR="007A48FA" w:rsidRPr="000D7061" w:rsidRDefault="00C27501" w:rsidP="004D246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D7061">
        <w:rPr>
          <w:color w:val="000000" w:themeColor="text1"/>
          <w:sz w:val="28"/>
          <w:szCs w:val="28"/>
        </w:rPr>
        <w:t xml:space="preserve">При прогнозировании макроэкономических индикаторов социально-экономического развития Ленинградской области на период </w:t>
      </w:r>
      <w:r w:rsidR="000578CB" w:rsidRPr="000D7061">
        <w:rPr>
          <w:color w:val="000000" w:themeColor="text1"/>
          <w:sz w:val="28"/>
          <w:szCs w:val="28"/>
        </w:rPr>
        <w:t>202</w:t>
      </w:r>
      <w:r w:rsidR="002D5568" w:rsidRPr="000D7061">
        <w:rPr>
          <w:color w:val="000000" w:themeColor="text1"/>
          <w:sz w:val="28"/>
          <w:szCs w:val="28"/>
        </w:rPr>
        <w:t>2</w:t>
      </w:r>
      <w:r w:rsidR="002E13C6" w:rsidRPr="000D7061">
        <w:rPr>
          <w:color w:val="000000" w:themeColor="text1"/>
          <w:sz w:val="28"/>
          <w:szCs w:val="28"/>
        </w:rPr>
        <w:t xml:space="preserve"> – </w:t>
      </w:r>
      <w:r w:rsidRPr="000D7061">
        <w:rPr>
          <w:color w:val="000000" w:themeColor="text1"/>
          <w:sz w:val="28"/>
          <w:szCs w:val="28"/>
        </w:rPr>
        <w:t>202</w:t>
      </w:r>
      <w:r w:rsidR="002D5568" w:rsidRPr="000D7061">
        <w:rPr>
          <w:color w:val="000000" w:themeColor="text1"/>
          <w:sz w:val="28"/>
          <w:szCs w:val="28"/>
        </w:rPr>
        <w:t>4</w:t>
      </w:r>
      <w:r w:rsidRPr="000D7061">
        <w:rPr>
          <w:color w:val="000000" w:themeColor="text1"/>
          <w:sz w:val="28"/>
          <w:szCs w:val="28"/>
        </w:rPr>
        <w:t xml:space="preserve"> год</w:t>
      </w:r>
      <w:r w:rsidR="001F0B65" w:rsidRPr="000D7061">
        <w:rPr>
          <w:color w:val="000000" w:themeColor="text1"/>
          <w:sz w:val="28"/>
          <w:szCs w:val="28"/>
        </w:rPr>
        <w:t>ов</w:t>
      </w:r>
      <w:r w:rsidRPr="000D7061">
        <w:rPr>
          <w:color w:val="000000" w:themeColor="text1"/>
          <w:sz w:val="28"/>
          <w:szCs w:val="28"/>
        </w:rPr>
        <w:t xml:space="preserve"> </w:t>
      </w:r>
      <w:r w:rsidR="00486213" w:rsidRPr="000D7061">
        <w:rPr>
          <w:color w:val="000000" w:themeColor="text1"/>
          <w:sz w:val="28"/>
          <w:szCs w:val="28"/>
        </w:rPr>
        <w:t xml:space="preserve">было </w:t>
      </w:r>
      <w:r w:rsidRPr="000D7061">
        <w:rPr>
          <w:color w:val="000000" w:themeColor="text1"/>
          <w:sz w:val="28"/>
          <w:szCs w:val="28"/>
        </w:rPr>
        <w:t>учтен</w:t>
      </w:r>
      <w:r w:rsidR="00486213" w:rsidRPr="000D7061">
        <w:rPr>
          <w:color w:val="000000" w:themeColor="text1"/>
          <w:sz w:val="28"/>
          <w:szCs w:val="28"/>
        </w:rPr>
        <w:t>о</w:t>
      </w:r>
      <w:r w:rsidRPr="000D7061">
        <w:rPr>
          <w:color w:val="000000" w:themeColor="text1"/>
          <w:sz w:val="28"/>
          <w:szCs w:val="28"/>
        </w:rPr>
        <w:t xml:space="preserve"> влияние </w:t>
      </w:r>
      <w:r w:rsidR="00486213" w:rsidRPr="000D7061">
        <w:rPr>
          <w:color w:val="000000" w:themeColor="text1"/>
          <w:sz w:val="28"/>
          <w:szCs w:val="28"/>
        </w:rPr>
        <w:t xml:space="preserve">как </w:t>
      </w:r>
      <w:r w:rsidR="000578CB" w:rsidRPr="000D7061">
        <w:rPr>
          <w:color w:val="000000" w:themeColor="text1"/>
          <w:sz w:val="28"/>
          <w:szCs w:val="28"/>
        </w:rPr>
        <w:t>традиционных,</w:t>
      </w:r>
      <w:r w:rsidR="00486213" w:rsidRPr="000D7061">
        <w:rPr>
          <w:color w:val="000000" w:themeColor="text1"/>
          <w:sz w:val="28"/>
          <w:szCs w:val="28"/>
        </w:rPr>
        <w:t xml:space="preserve"> так и </w:t>
      </w:r>
      <w:r w:rsidR="000578CB" w:rsidRPr="000D7061">
        <w:rPr>
          <w:color w:val="000000" w:themeColor="text1"/>
          <w:sz w:val="28"/>
          <w:szCs w:val="28"/>
        </w:rPr>
        <w:t xml:space="preserve">новых </w:t>
      </w:r>
      <w:r w:rsidR="00486213" w:rsidRPr="000D7061">
        <w:rPr>
          <w:color w:val="000000" w:themeColor="text1"/>
          <w:sz w:val="28"/>
          <w:szCs w:val="28"/>
        </w:rPr>
        <w:t xml:space="preserve">сформировавшихся в 2020  году </w:t>
      </w:r>
      <w:r w:rsidRPr="000D7061">
        <w:rPr>
          <w:color w:val="000000" w:themeColor="text1"/>
          <w:sz w:val="28"/>
          <w:szCs w:val="28"/>
        </w:rPr>
        <w:t>внешних и внутренних факторов и ограничений</w:t>
      </w:r>
      <w:r w:rsidR="00486213" w:rsidRPr="000D7061">
        <w:rPr>
          <w:color w:val="000000" w:themeColor="text1"/>
          <w:sz w:val="28"/>
          <w:szCs w:val="28"/>
        </w:rPr>
        <w:t>, связанных с распространением новой коронавирусной инфекции</w:t>
      </w:r>
      <w:r w:rsidRPr="000D7061">
        <w:rPr>
          <w:color w:val="000000" w:themeColor="text1"/>
          <w:sz w:val="28"/>
          <w:szCs w:val="28"/>
        </w:rPr>
        <w:t xml:space="preserve">, </w:t>
      </w:r>
      <w:r w:rsidR="007A48FA" w:rsidRPr="000D7061">
        <w:rPr>
          <w:color w:val="000000" w:themeColor="text1"/>
          <w:sz w:val="28"/>
          <w:szCs w:val="28"/>
        </w:rPr>
        <w:t xml:space="preserve">на преодоление которых направлены совместные действия Правительства Ленинградской области, органов </w:t>
      </w:r>
      <w:r w:rsidR="007A48FA" w:rsidRPr="000D7061">
        <w:rPr>
          <w:color w:val="000000" w:themeColor="text1"/>
          <w:sz w:val="28"/>
          <w:szCs w:val="28"/>
        </w:rPr>
        <w:lastRenderedPageBreak/>
        <w:t xml:space="preserve">исполнительной власти и местного самоуправления Ленинградской области, участников бизнес-сообщества и общественных организаций. </w:t>
      </w:r>
      <w:proofErr w:type="gramEnd"/>
    </w:p>
    <w:p w:rsidR="002C75B4" w:rsidRPr="000D7061" w:rsidRDefault="002C75B4" w:rsidP="004D2468">
      <w:pPr>
        <w:ind w:firstLine="709"/>
        <w:jc w:val="both"/>
        <w:rPr>
          <w:color w:val="000000" w:themeColor="text1"/>
          <w:sz w:val="28"/>
          <w:szCs w:val="28"/>
        </w:rPr>
      </w:pPr>
      <w:r w:rsidRPr="000D7061">
        <w:rPr>
          <w:color w:val="000000" w:themeColor="text1"/>
          <w:sz w:val="28"/>
          <w:szCs w:val="28"/>
        </w:rPr>
        <w:t>На период 2021</w:t>
      </w:r>
      <w:r w:rsidR="002E13C6" w:rsidRPr="000D7061">
        <w:rPr>
          <w:color w:val="000000" w:themeColor="text1"/>
          <w:sz w:val="28"/>
          <w:szCs w:val="28"/>
        </w:rPr>
        <w:t xml:space="preserve"> – </w:t>
      </w:r>
      <w:r w:rsidRPr="000D7061">
        <w:rPr>
          <w:color w:val="000000" w:themeColor="text1"/>
          <w:sz w:val="28"/>
          <w:szCs w:val="28"/>
        </w:rPr>
        <w:t>2023 год</w:t>
      </w:r>
      <w:r w:rsidR="001F0B65" w:rsidRPr="000D7061">
        <w:rPr>
          <w:color w:val="000000" w:themeColor="text1"/>
          <w:sz w:val="28"/>
          <w:szCs w:val="28"/>
        </w:rPr>
        <w:t>ов</w:t>
      </w:r>
      <w:r w:rsidRPr="000D7061">
        <w:rPr>
          <w:color w:val="000000" w:themeColor="text1"/>
          <w:sz w:val="28"/>
          <w:szCs w:val="28"/>
        </w:rPr>
        <w:t xml:space="preserve"> сохранится влияние традиционных </w:t>
      </w:r>
      <w:r w:rsidR="00E63A55" w:rsidRPr="000D7061">
        <w:rPr>
          <w:color w:val="000000" w:themeColor="text1"/>
          <w:sz w:val="28"/>
          <w:szCs w:val="28"/>
        </w:rPr>
        <w:t xml:space="preserve">внешних </w:t>
      </w:r>
      <w:r w:rsidRPr="000D7061">
        <w:rPr>
          <w:color w:val="000000" w:themeColor="text1"/>
          <w:sz w:val="28"/>
          <w:szCs w:val="28"/>
        </w:rPr>
        <w:t xml:space="preserve">факторов </w:t>
      </w:r>
      <w:r w:rsidR="00E63A55" w:rsidRPr="000D7061">
        <w:rPr>
          <w:color w:val="000000" w:themeColor="text1"/>
          <w:sz w:val="28"/>
          <w:szCs w:val="28"/>
        </w:rPr>
        <w:t>развития Ленинградской области:</w:t>
      </w:r>
    </w:p>
    <w:p w:rsidR="00E63A55" w:rsidRPr="000D7061" w:rsidRDefault="00E63A55" w:rsidP="004D2468">
      <w:pPr>
        <w:ind w:firstLine="709"/>
        <w:jc w:val="both"/>
        <w:rPr>
          <w:color w:val="000000" w:themeColor="text1"/>
          <w:sz w:val="28"/>
          <w:szCs w:val="28"/>
        </w:rPr>
      </w:pPr>
      <w:r w:rsidRPr="000D7061">
        <w:rPr>
          <w:color w:val="000000" w:themeColor="text1"/>
          <w:sz w:val="28"/>
          <w:szCs w:val="28"/>
        </w:rPr>
        <w:t xml:space="preserve">несбалансированность системы расселения и мест приложения труда </w:t>
      </w:r>
      <w:r w:rsidR="002E13C6" w:rsidRPr="000D7061">
        <w:rPr>
          <w:color w:val="000000" w:themeColor="text1"/>
          <w:sz w:val="28"/>
          <w:szCs w:val="28"/>
        </w:rPr>
        <w:t xml:space="preserve">                   </w:t>
      </w:r>
      <w:r w:rsidRPr="000D7061">
        <w:rPr>
          <w:color w:val="000000" w:themeColor="text1"/>
          <w:sz w:val="28"/>
          <w:szCs w:val="28"/>
        </w:rPr>
        <w:t>на территории Санкт-Петербурга и Ленинградской области;</w:t>
      </w:r>
    </w:p>
    <w:p w:rsidR="00E63A55" w:rsidRPr="000D7061" w:rsidRDefault="00E63A55" w:rsidP="004D2468">
      <w:pPr>
        <w:ind w:firstLine="709"/>
        <w:jc w:val="both"/>
        <w:rPr>
          <w:color w:val="000000" w:themeColor="text1"/>
          <w:sz w:val="28"/>
          <w:szCs w:val="28"/>
        </w:rPr>
      </w:pPr>
      <w:r w:rsidRPr="000D7061">
        <w:rPr>
          <w:color w:val="000000" w:themeColor="text1"/>
          <w:sz w:val="28"/>
          <w:szCs w:val="28"/>
        </w:rPr>
        <w:t>сохранение высокой доли инвестиционных вложений в инфраструктурные отрасли экономики.</w:t>
      </w:r>
    </w:p>
    <w:p w:rsidR="007A48FA" w:rsidRPr="000D7061" w:rsidRDefault="00486213" w:rsidP="004D2468">
      <w:pPr>
        <w:ind w:firstLine="709"/>
        <w:jc w:val="both"/>
        <w:rPr>
          <w:color w:val="000000" w:themeColor="text1"/>
          <w:sz w:val="28"/>
          <w:szCs w:val="28"/>
        </w:rPr>
      </w:pPr>
      <w:r w:rsidRPr="000D7061">
        <w:rPr>
          <w:color w:val="000000" w:themeColor="text1"/>
          <w:sz w:val="28"/>
          <w:szCs w:val="28"/>
        </w:rPr>
        <w:t xml:space="preserve">В 2021 году, и большой долей вероятности и в последующем прогнозируемом периоде, эпидемиологическая обстановка будет оказывать значительное влияние на развитие </w:t>
      </w:r>
      <w:r w:rsidR="00F37438" w:rsidRPr="000D7061">
        <w:rPr>
          <w:color w:val="000000" w:themeColor="text1"/>
          <w:sz w:val="28"/>
          <w:szCs w:val="28"/>
        </w:rPr>
        <w:t>мировой и российской экономики.</w:t>
      </w:r>
      <w:r w:rsidR="00AF26B9" w:rsidRPr="000D7061">
        <w:rPr>
          <w:color w:val="000000" w:themeColor="text1"/>
          <w:sz w:val="28"/>
          <w:szCs w:val="28"/>
        </w:rPr>
        <w:t xml:space="preserve"> Новые «волны» заболеваемости вынудили многие страны сохранить или вновь ввести карантинные меры, вплоть до «</w:t>
      </w:r>
      <w:proofErr w:type="spellStart"/>
      <w:r w:rsidR="00AF26B9" w:rsidRPr="000D7061">
        <w:rPr>
          <w:color w:val="000000" w:themeColor="text1"/>
          <w:sz w:val="28"/>
          <w:szCs w:val="28"/>
        </w:rPr>
        <w:t>локдаунов</w:t>
      </w:r>
      <w:proofErr w:type="spellEnd"/>
      <w:r w:rsidR="00AF26B9" w:rsidRPr="000D7061">
        <w:rPr>
          <w:color w:val="000000" w:themeColor="text1"/>
          <w:sz w:val="28"/>
          <w:szCs w:val="28"/>
        </w:rPr>
        <w:t xml:space="preserve">». Введение (продление) карантинных ограничений оказывает сдерживающее влияние на восстановление экономики. </w:t>
      </w:r>
    </w:p>
    <w:p w:rsidR="00486213" w:rsidRPr="000D7061" w:rsidRDefault="00AF26B9" w:rsidP="004D2468">
      <w:pPr>
        <w:ind w:firstLine="709"/>
        <w:jc w:val="both"/>
        <w:rPr>
          <w:color w:val="000000" w:themeColor="text1"/>
          <w:sz w:val="28"/>
          <w:szCs w:val="28"/>
        </w:rPr>
      </w:pPr>
      <w:r w:rsidRPr="000D7061">
        <w:rPr>
          <w:color w:val="000000" w:themeColor="text1"/>
          <w:sz w:val="28"/>
          <w:szCs w:val="28"/>
        </w:rPr>
        <w:t xml:space="preserve">В то же время меры по борьбе с пандемией приобрели </w:t>
      </w:r>
      <w:proofErr w:type="gramStart"/>
      <w:r w:rsidRPr="000D7061">
        <w:rPr>
          <w:color w:val="000000" w:themeColor="text1"/>
          <w:sz w:val="28"/>
          <w:szCs w:val="28"/>
        </w:rPr>
        <w:t>более точечный</w:t>
      </w:r>
      <w:proofErr w:type="gramEnd"/>
      <w:r w:rsidRPr="000D7061">
        <w:rPr>
          <w:color w:val="000000" w:themeColor="text1"/>
          <w:sz w:val="28"/>
          <w:szCs w:val="28"/>
        </w:rPr>
        <w:t xml:space="preserve"> и целенаправленный характер. Произошедшая адаптация бизнеса и населения к карантинным ограничениям, а также набирающая обороты вакцинация позволяют рассчитывать на дальнейшее постепенное восстановление экономической активности до конца 2021 года. Вместе с тем восстановление будет носить неоднородный характер по странам: более активный рост ожидается в США и Китае, в то время как в европейских странах экономическая активность достигнет докризисных показателей не ранее 2022 года.</w:t>
      </w:r>
    </w:p>
    <w:p w:rsidR="00486213" w:rsidRPr="000D7061" w:rsidRDefault="00AF26B9" w:rsidP="004D2468">
      <w:pPr>
        <w:ind w:firstLine="709"/>
        <w:jc w:val="both"/>
        <w:rPr>
          <w:color w:val="000000" w:themeColor="text1"/>
          <w:sz w:val="28"/>
          <w:szCs w:val="28"/>
        </w:rPr>
      </w:pPr>
      <w:r w:rsidRPr="000D7061">
        <w:rPr>
          <w:color w:val="000000" w:themeColor="text1"/>
          <w:sz w:val="28"/>
          <w:szCs w:val="28"/>
        </w:rPr>
        <w:t xml:space="preserve">На период до 2024 года пандемия новой коронавирусной инфекции и обусловленный ею экономический спад окажут длительное негативное воздействие на экономическую активность в мире. С высокой вероятностью она усугубит замедление темпов роста мировой экономики, которое прогнозировалось на текущее десятилетие еще до пандемии в связи с негативными демографическими тенденциями в развитых странах, растущим неравенством и </w:t>
      </w:r>
      <w:proofErr w:type="spellStart"/>
      <w:r w:rsidRPr="000D7061">
        <w:rPr>
          <w:color w:val="000000" w:themeColor="text1"/>
          <w:sz w:val="28"/>
          <w:szCs w:val="28"/>
        </w:rPr>
        <w:t>недоинвестированием</w:t>
      </w:r>
      <w:proofErr w:type="spellEnd"/>
      <w:r w:rsidRPr="000D7061">
        <w:rPr>
          <w:color w:val="000000" w:themeColor="text1"/>
          <w:sz w:val="28"/>
          <w:szCs w:val="28"/>
        </w:rPr>
        <w:t>. В результате ожидается замедление темпов роста мировой экономики до уровня около 2,5</w:t>
      </w:r>
      <w:r w:rsidR="000D7061">
        <w:rPr>
          <w:color w:val="000000" w:themeColor="text1"/>
          <w:sz w:val="28"/>
          <w:szCs w:val="28"/>
        </w:rPr>
        <w:t xml:space="preserve"> </w:t>
      </w:r>
      <w:r w:rsidRPr="000D7061">
        <w:rPr>
          <w:color w:val="000000" w:themeColor="text1"/>
          <w:sz w:val="28"/>
          <w:szCs w:val="28"/>
        </w:rPr>
        <w:t>–</w:t>
      </w:r>
      <w:r w:rsidR="000D7061">
        <w:rPr>
          <w:color w:val="000000" w:themeColor="text1"/>
          <w:sz w:val="28"/>
          <w:szCs w:val="28"/>
        </w:rPr>
        <w:t xml:space="preserve"> </w:t>
      </w:r>
      <w:r w:rsidRPr="000D7061">
        <w:rPr>
          <w:color w:val="000000" w:themeColor="text1"/>
          <w:sz w:val="28"/>
          <w:szCs w:val="28"/>
        </w:rPr>
        <w:t>3,0</w:t>
      </w:r>
      <w:r w:rsidR="000D7061">
        <w:rPr>
          <w:color w:val="000000" w:themeColor="text1"/>
          <w:sz w:val="28"/>
          <w:szCs w:val="28"/>
        </w:rPr>
        <w:t xml:space="preserve"> </w:t>
      </w:r>
      <w:r w:rsidR="000D7061" w:rsidRPr="000D7061">
        <w:rPr>
          <w:color w:val="000000" w:themeColor="text1"/>
          <w:sz w:val="28"/>
          <w:szCs w:val="28"/>
        </w:rPr>
        <w:t>проц.</w:t>
      </w:r>
      <w:r w:rsidRPr="000D7061">
        <w:rPr>
          <w:color w:val="000000" w:themeColor="text1"/>
          <w:sz w:val="28"/>
          <w:szCs w:val="28"/>
        </w:rPr>
        <w:t xml:space="preserve"> в год.</w:t>
      </w:r>
    </w:p>
    <w:p w:rsidR="00AF26B9" w:rsidRPr="000D7061" w:rsidRDefault="002C75B4" w:rsidP="004D2468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0D7061">
        <w:rPr>
          <w:color w:val="000000" w:themeColor="text1"/>
          <w:sz w:val="28"/>
          <w:szCs w:val="28"/>
        </w:rPr>
        <w:t xml:space="preserve">В Российской Федерации экономическая ситуация </w:t>
      </w:r>
      <w:r w:rsidR="00AF26B9" w:rsidRPr="000D7061">
        <w:rPr>
          <w:color w:val="000000" w:themeColor="text1"/>
          <w:sz w:val="28"/>
          <w:szCs w:val="28"/>
        </w:rPr>
        <w:t>сложилась более позитивно</w:t>
      </w:r>
      <w:r w:rsidRPr="000D7061">
        <w:rPr>
          <w:color w:val="000000" w:themeColor="text1"/>
          <w:sz w:val="28"/>
          <w:szCs w:val="28"/>
        </w:rPr>
        <w:t>.</w:t>
      </w:r>
      <w:r w:rsidR="00AF26B9" w:rsidRPr="000D7061">
        <w:rPr>
          <w:color w:val="000000" w:themeColor="text1"/>
          <w:sz w:val="28"/>
          <w:szCs w:val="28"/>
        </w:rPr>
        <w:t xml:space="preserve"> </w:t>
      </w:r>
      <w:r w:rsidR="00AF26B9" w:rsidRPr="000D7061">
        <w:rPr>
          <w:sz w:val="28"/>
          <w:szCs w:val="28"/>
        </w:rPr>
        <w:t>Российский ВВП снизился на -3,0</w:t>
      </w:r>
      <w:r w:rsidR="000D7061">
        <w:rPr>
          <w:sz w:val="28"/>
          <w:szCs w:val="28"/>
        </w:rPr>
        <w:t xml:space="preserve"> </w:t>
      </w:r>
      <w:r w:rsidR="000D7061" w:rsidRPr="000D7061">
        <w:rPr>
          <w:sz w:val="28"/>
          <w:szCs w:val="28"/>
        </w:rPr>
        <w:t>проц.</w:t>
      </w:r>
      <w:r w:rsidR="00AF26B9" w:rsidRPr="000D7061">
        <w:rPr>
          <w:sz w:val="28"/>
          <w:szCs w:val="28"/>
        </w:rPr>
        <w:t xml:space="preserve"> (прогноз: -3,9</w:t>
      </w:r>
      <w:r w:rsidR="000D7061">
        <w:rPr>
          <w:sz w:val="28"/>
          <w:szCs w:val="28"/>
        </w:rPr>
        <w:t xml:space="preserve"> </w:t>
      </w:r>
      <w:r w:rsidR="000D7061" w:rsidRPr="000D7061">
        <w:rPr>
          <w:sz w:val="28"/>
          <w:szCs w:val="28"/>
        </w:rPr>
        <w:t>проц.</w:t>
      </w:r>
      <w:r w:rsidR="00AF26B9" w:rsidRPr="000D7061">
        <w:rPr>
          <w:sz w:val="28"/>
          <w:szCs w:val="28"/>
        </w:rPr>
        <w:t xml:space="preserve">), что меньше, чем ВВП крупнейших стран и мировая экономика в целом. В ключевых </w:t>
      </w:r>
      <w:proofErr w:type="spellStart"/>
      <w:r w:rsidR="00AF26B9" w:rsidRPr="000D7061">
        <w:rPr>
          <w:sz w:val="28"/>
          <w:szCs w:val="28"/>
        </w:rPr>
        <w:t>несырьевых</w:t>
      </w:r>
      <w:proofErr w:type="spellEnd"/>
      <w:r w:rsidR="00AF26B9" w:rsidRPr="000D7061">
        <w:rPr>
          <w:sz w:val="28"/>
          <w:szCs w:val="28"/>
        </w:rPr>
        <w:t xml:space="preserve"> отраслях (сельское хозяйство, строительство, обрабатывающая промышленность) выпуск по итогам 2020 г. сохранился на уровне 2019 г. или даже показал небольшой рост. Инвестиции в основной капитал сократились на 1,4</w:t>
      </w:r>
      <w:r w:rsidR="000D7061">
        <w:rPr>
          <w:sz w:val="28"/>
          <w:szCs w:val="28"/>
        </w:rPr>
        <w:t xml:space="preserve"> проц.</w:t>
      </w:r>
      <w:r w:rsidR="00AF26B9" w:rsidRPr="000D7061">
        <w:rPr>
          <w:sz w:val="28"/>
          <w:szCs w:val="28"/>
        </w:rPr>
        <w:t xml:space="preserve"> (прогноз: -6,6</w:t>
      </w:r>
      <w:r w:rsidR="000D7061">
        <w:rPr>
          <w:sz w:val="28"/>
          <w:szCs w:val="28"/>
        </w:rPr>
        <w:t xml:space="preserve"> проц.</w:t>
      </w:r>
      <w:r w:rsidR="00AF26B9" w:rsidRPr="000D7061">
        <w:rPr>
          <w:sz w:val="28"/>
          <w:szCs w:val="28"/>
        </w:rPr>
        <w:t xml:space="preserve">). </w:t>
      </w:r>
    </w:p>
    <w:p w:rsidR="00AF26B9" w:rsidRPr="000D7061" w:rsidRDefault="00AF26B9" w:rsidP="004D2468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0D7061">
        <w:rPr>
          <w:sz w:val="28"/>
          <w:szCs w:val="28"/>
        </w:rPr>
        <w:t>Более позитивная, чем ожидалось, ситуация в российской экономике в 2020 г</w:t>
      </w:r>
      <w:r w:rsidR="000D7061">
        <w:rPr>
          <w:sz w:val="28"/>
          <w:szCs w:val="28"/>
        </w:rPr>
        <w:t>оду</w:t>
      </w:r>
      <w:r w:rsidRPr="000D7061">
        <w:rPr>
          <w:sz w:val="28"/>
          <w:szCs w:val="28"/>
        </w:rPr>
        <w:t xml:space="preserve"> – это результат, в первую очередь, реализованных антикризисных мер поддержки экономики. В условиях </w:t>
      </w:r>
      <w:proofErr w:type="gramStart"/>
      <w:r w:rsidRPr="000D7061">
        <w:rPr>
          <w:sz w:val="28"/>
          <w:szCs w:val="28"/>
        </w:rPr>
        <w:t>снижения экономической активности меры Правительства Российской Федерации</w:t>
      </w:r>
      <w:proofErr w:type="gramEnd"/>
      <w:r w:rsidRPr="000D7061">
        <w:rPr>
          <w:sz w:val="28"/>
          <w:szCs w:val="28"/>
        </w:rPr>
        <w:t xml:space="preserve"> были направлены на сохранение доходов граждан – как работающих, так и временно оставшихся без работы, семей с детьми. Меры прямой финансовой поддержки включали, в том числе, единовременные выплаты семьям с детьми, расширение выплат пособий по </w:t>
      </w:r>
      <w:r w:rsidRPr="000D7061">
        <w:rPr>
          <w:sz w:val="28"/>
          <w:szCs w:val="28"/>
        </w:rPr>
        <w:lastRenderedPageBreak/>
        <w:t>безработице, увеличение минимального размера выплат по больничным листам и упрощение порядка их оформления и другие. Меры поддержки бизнеса в условиях распространения новой коронавирусной инфекции (прямые гранты субъектам МСП, отсрочки и списания по налоговым, страховым и арендным платежам, программы льготного кредитования и др.) были направлены на максимальное снижение текущих издержек бизнеса в целях высвобождения средств на выплату заработных плат.</w:t>
      </w:r>
    </w:p>
    <w:p w:rsidR="00BB1CBA" w:rsidRPr="000D7061" w:rsidRDefault="004C2722" w:rsidP="004D2468">
      <w:pPr>
        <w:ind w:firstLine="709"/>
        <w:jc w:val="both"/>
        <w:rPr>
          <w:noProof/>
          <w:color w:val="000000" w:themeColor="text1"/>
          <w:sz w:val="28"/>
          <w:szCs w:val="28"/>
        </w:rPr>
      </w:pPr>
      <w:r w:rsidRPr="000D7061">
        <w:rPr>
          <w:color w:val="000000" w:themeColor="text1"/>
          <w:sz w:val="28"/>
          <w:szCs w:val="28"/>
        </w:rPr>
        <w:t>В</w:t>
      </w:r>
      <w:r w:rsidR="002C75B4" w:rsidRPr="000D7061">
        <w:rPr>
          <w:color w:val="000000" w:themeColor="text1"/>
          <w:sz w:val="28"/>
          <w:szCs w:val="28"/>
        </w:rPr>
        <w:t xml:space="preserve"> целом по России темпы экономического развития (рост ВВП России) </w:t>
      </w:r>
      <w:r w:rsidRPr="000D7061">
        <w:rPr>
          <w:color w:val="000000" w:themeColor="text1"/>
          <w:sz w:val="28"/>
          <w:szCs w:val="28"/>
        </w:rPr>
        <w:t xml:space="preserve">в 2021 году прогнозируются с </w:t>
      </w:r>
      <w:r w:rsidR="000D7061">
        <w:rPr>
          <w:color w:val="000000" w:themeColor="text1"/>
          <w:sz w:val="28"/>
          <w:szCs w:val="28"/>
        </w:rPr>
        <w:t>при</w:t>
      </w:r>
      <w:r w:rsidRPr="000D7061">
        <w:rPr>
          <w:color w:val="000000" w:themeColor="text1"/>
          <w:sz w:val="28"/>
          <w:szCs w:val="28"/>
        </w:rPr>
        <w:t xml:space="preserve">ростом </w:t>
      </w:r>
      <w:r w:rsidR="000D7061">
        <w:rPr>
          <w:color w:val="000000" w:themeColor="text1"/>
          <w:sz w:val="28"/>
          <w:szCs w:val="28"/>
        </w:rPr>
        <w:t xml:space="preserve">на </w:t>
      </w:r>
      <w:r w:rsidRPr="000D7061">
        <w:rPr>
          <w:color w:val="000000" w:themeColor="text1"/>
          <w:sz w:val="28"/>
          <w:szCs w:val="28"/>
        </w:rPr>
        <w:t>3,8</w:t>
      </w:r>
      <w:r w:rsidR="000D7061">
        <w:rPr>
          <w:color w:val="000000" w:themeColor="text1"/>
          <w:sz w:val="28"/>
          <w:szCs w:val="28"/>
        </w:rPr>
        <w:t xml:space="preserve"> проц.</w:t>
      </w:r>
      <w:r w:rsidRPr="000D7061">
        <w:rPr>
          <w:color w:val="000000" w:themeColor="text1"/>
          <w:sz w:val="28"/>
          <w:szCs w:val="28"/>
        </w:rPr>
        <w:t xml:space="preserve"> </w:t>
      </w:r>
      <w:r w:rsidR="002C75B4" w:rsidRPr="000D7061">
        <w:rPr>
          <w:color w:val="000000" w:themeColor="text1"/>
          <w:sz w:val="28"/>
          <w:szCs w:val="28"/>
        </w:rPr>
        <w:t>к уровню 20</w:t>
      </w:r>
      <w:r w:rsidRPr="000D7061">
        <w:rPr>
          <w:color w:val="000000" w:themeColor="text1"/>
          <w:sz w:val="28"/>
          <w:szCs w:val="28"/>
        </w:rPr>
        <w:t>20</w:t>
      </w:r>
      <w:r w:rsidR="002C75B4" w:rsidRPr="000D7061">
        <w:rPr>
          <w:color w:val="000000" w:themeColor="text1"/>
          <w:sz w:val="28"/>
          <w:szCs w:val="28"/>
        </w:rPr>
        <w:t xml:space="preserve"> года</w:t>
      </w:r>
      <w:r w:rsidRPr="000D7061">
        <w:rPr>
          <w:color w:val="000000" w:themeColor="text1"/>
          <w:sz w:val="28"/>
          <w:szCs w:val="28"/>
        </w:rPr>
        <w:t xml:space="preserve"> с последующей </w:t>
      </w:r>
      <w:r w:rsidR="002C75B4" w:rsidRPr="000D7061">
        <w:rPr>
          <w:color w:val="000000" w:themeColor="text1"/>
          <w:sz w:val="28"/>
          <w:szCs w:val="28"/>
        </w:rPr>
        <w:t>динамик</w:t>
      </w:r>
      <w:r w:rsidRPr="000D7061">
        <w:rPr>
          <w:color w:val="000000" w:themeColor="text1"/>
          <w:sz w:val="28"/>
          <w:szCs w:val="28"/>
        </w:rPr>
        <w:t>ой</w:t>
      </w:r>
      <w:r w:rsidR="002C75B4" w:rsidRPr="000D7061">
        <w:rPr>
          <w:color w:val="000000" w:themeColor="text1"/>
          <w:sz w:val="28"/>
          <w:szCs w:val="28"/>
        </w:rPr>
        <w:t xml:space="preserve"> </w:t>
      </w:r>
      <w:r w:rsidRPr="000D7061">
        <w:rPr>
          <w:color w:val="000000" w:themeColor="text1"/>
          <w:sz w:val="28"/>
          <w:szCs w:val="28"/>
        </w:rPr>
        <w:t>+</w:t>
      </w:r>
      <w:r w:rsidR="002C75B4" w:rsidRPr="000D7061">
        <w:rPr>
          <w:color w:val="000000" w:themeColor="text1"/>
          <w:sz w:val="28"/>
          <w:szCs w:val="28"/>
        </w:rPr>
        <w:t>3</w:t>
      </w:r>
      <w:r w:rsidR="000E70B6" w:rsidRPr="000D7061">
        <w:rPr>
          <w:color w:val="000000" w:themeColor="text1"/>
          <w:sz w:val="28"/>
          <w:szCs w:val="28"/>
        </w:rPr>
        <w:t xml:space="preserve"> проц.</w:t>
      </w:r>
      <w:r w:rsidR="002C75B4" w:rsidRPr="000D7061">
        <w:rPr>
          <w:color w:val="000000" w:themeColor="text1"/>
          <w:sz w:val="28"/>
          <w:szCs w:val="28"/>
        </w:rPr>
        <w:t xml:space="preserve"> </w:t>
      </w:r>
      <w:r w:rsidRPr="000D7061">
        <w:rPr>
          <w:color w:val="000000" w:themeColor="text1"/>
          <w:sz w:val="28"/>
          <w:szCs w:val="28"/>
        </w:rPr>
        <w:t>в</w:t>
      </w:r>
      <w:r w:rsidR="002C75B4" w:rsidRPr="000D7061">
        <w:rPr>
          <w:color w:val="000000" w:themeColor="text1"/>
          <w:sz w:val="28"/>
          <w:szCs w:val="28"/>
        </w:rPr>
        <w:t xml:space="preserve"> год (в среднем).</w:t>
      </w:r>
    </w:p>
    <w:p w:rsidR="007A48FA" w:rsidRPr="000D7061" w:rsidRDefault="000D7061" w:rsidP="004D2468">
      <w:pPr>
        <w:ind w:firstLine="709"/>
        <w:jc w:val="both"/>
        <w:rPr>
          <w:color w:val="000000" w:themeColor="text1"/>
          <w:sz w:val="28"/>
          <w:szCs w:val="28"/>
        </w:rPr>
      </w:pPr>
      <w:r w:rsidRPr="000D7061">
        <w:rPr>
          <w:color w:val="000000" w:themeColor="text1"/>
          <w:sz w:val="28"/>
          <w:szCs w:val="28"/>
        </w:rPr>
        <w:t>К в</w:t>
      </w:r>
      <w:r w:rsidR="007A48FA" w:rsidRPr="000D7061">
        <w:rPr>
          <w:color w:val="000000" w:themeColor="text1"/>
          <w:sz w:val="28"/>
          <w:szCs w:val="28"/>
        </w:rPr>
        <w:t>нутренни</w:t>
      </w:r>
      <w:r w:rsidRPr="000D7061">
        <w:rPr>
          <w:color w:val="000000" w:themeColor="text1"/>
          <w:sz w:val="28"/>
          <w:szCs w:val="28"/>
        </w:rPr>
        <w:t>м</w:t>
      </w:r>
      <w:r w:rsidR="00E63A55" w:rsidRPr="000D7061">
        <w:rPr>
          <w:color w:val="000000" w:themeColor="text1"/>
          <w:sz w:val="28"/>
          <w:szCs w:val="28"/>
        </w:rPr>
        <w:t xml:space="preserve"> фактор</w:t>
      </w:r>
      <w:r w:rsidRPr="000D7061">
        <w:rPr>
          <w:color w:val="000000" w:themeColor="text1"/>
          <w:sz w:val="28"/>
          <w:szCs w:val="28"/>
        </w:rPr>
        <w:t>ам</w:t>
      </w:r>
      <w:r w:rsidR="00E63A55" w:rsidRPr="000D7061">
        <w:rPr>
          <w:color w:val="000000" w:themeColor="text1"/>
          <w:sz w:val="28"/>
          <w:szCs w:val="28"/>
        </w:rPr>
        <w:t xml:space="preserve"> </w:t>
      </w:r>
      <w:r w:rsidR="00076F55" w:rsidRPr="000D7061">
        <w:rPr>
          <w:color w:val="000000" w:themeColor="text1"/>
          <w:sz w:val="28"/>
          <w:szCs w:val="28"/>
        </w:rPr>
        <w:t xml:space="preserve">развития </w:t>
      </w:r>
      <w:r w:rsidR="007A48FA" w:rsidRPr="000D7061">
        <w:rPr>
          <w:color w:val="000000" w:themeColor="text1"/>
          <w:sz w:val="28"/>
          <w:szCs w:val="28"/>
        </w:rPr>
        <w:t xml:space="preserve">Ленинградской области </w:t>
      </w:r>
      <w:r w:rsidR="00E63A55" w:rsidRPr="000D7061">
        <w:rPr>
          <w:color w:val="000000" w:themeColor="text1"/>
          <w:sz w:val="28"/>
          <w:szCs w:val="28"/>
        </w:rPr>
        <w:t xml:space="preserve">в период </w:t>
      </w:r>
      <w:r w:rsidRPr="000D7061">
        <w:rPr>
          <w:color w:val="000000" w:themeColor="text1"/>
          <w:sz w:val="28"/>
          <w:szCs w:val="28"/>
        </w:rPr>
        <w:t xml:space="preserve">продолжения проведения </w:t>
      </w:r>
      <w:proofErr w:type="spellStart"/>
      <w:r w:rsidRPr="000D7061">
        <w:rPr>
          <w:color w:val="000000" w:themeColor="text1"/>
          <w:sz w:val="28"/>
          <w:szCs w:val="28"/>
        </w:rPr>
        <w:t>антиковидных</w:t>
      </w:r>
      <w:proofErr w:type="spellEnd"/>
      <w:r w:rsidRPr="000D7061">
        <w:rPr>
          <w:color w:val="000000" w:themeColor="text1"/>
          <w:sz w:val="28"/>
          <w:szCs w:val="28"/>
        </w:rPr>
        <w:t xml:space="preserve"> мероприятий </w:t>
      </w:r>
      <w:r w:rsidR="00E63A55" w:rsidRPr="000D7061">
        <w:rPr>
          <w:color w:val="000000" w:themeColor="text1"/>
          <w:sz w:val="28"/>
          <w:szCs w:val="28"/>
        </w:rPr>
        <w:t xml:space="preserve">по противодействию распространения новой коронавирусной инфекции </w:t>
      </w:r>
      <w:r w:rsidRPr="000D7061">
        <w:rPr>
          <w:color w:val="000000" w:themeColor="text1"/>
          <w:sz w:val="28"/>
          <w:szCs w:val="28"/>
        </w:rPr>
        <w:t xml:space="preserve">можно отнести </w:t>
      </w:r>
      <w:r w:rsidR="007A48FA" w:rsidRPr="000D7061">
        <w:rPr>
          <w:color w:val="000000" w:themeColor="text1"/>
          <w:sz w:val="28"/>
          <w:szCs w:val="28"/>
        </w:rPr>
        <w:t xml:space="preserve">необходимость полного выполнения социальных обязательств перед жителями Ленинградской области и </w:t>
      </w:r>
      <w:r w:rsidR="00BB6F13" w:rsidRPr="000D7061">
        <w:rPr>
          <w:color w:val="000000" w:themeColor="text1"/>
          <w:sz w:val="28"/>
          <w:szCs w:val="28"/>
        </w:rPr>
        <w:t xml:space="preserve">первоочередное обеспечение </w:t>
      </w:r>
      <w:r w:rsidR="007A48FA" w:rsidRPr="000D7061">
        <w:rPr>
          <w:color w:val="000000" w:themeColor="text1"/>
          <w:sz w:val="28"/>
          <w:szCs w:val="28"/>
        </w:rPr>
        <w:t>расходов</w:t>
      </w:r>
      <w:r w:rsidRPr="000D7061">
        <w:rPr>
          <w:color w:val="000000" w:themeColor="text1"/>
          <w:sz w:val="28"/>
          <w:szCs w:val="28"/>
        </w:rPr>
        <w:t xml:space="preserve"> по мерам поддержки отдельных категорий населения</w:t>
      </w:r>
      <w:r w:rsidR="00E63A55" w:rsidRPr="000D7061">
        <w:rPr>
          <w:color w:val="000000" w:themeColor="text1"/>
          <w:sz w:val="28"/>
          <w:szCs w:val="28"/>
        </w:rPr>
        <w:t>. Э</w:t>
      </w:r>
      <w:r w:rsidR="002265EE" w:rsidRPr="000D7061">
        <w:rPr>
          <w:color w:val="000000" w:themeColor="text1"/>
          <w:sz w:val="28"/>
          <w:szCs w:val="28"/>
        </w:rPr>
        <w:t xml:space="preserve">то </w:t>
      </w:r>
      <w:r w:rsidR="00E63A55" w:rsidRPr="000D7061">
        <w:rPr>
          <w:color w:val="000000" w:themeColor="text1"/>
          <w:sz w:val="28"/>
          <w:szCs w:val="28"/>
        </w:rPr>
        <w:t xml:space="preserve">значительно </w:t>
      </w:r>
      <w:r w:rsidR="002265EE" w:rsidRPr="000D7061">
        <w:rPr>
          <w:color w:val="000000" w:themeColor="text1"/>
          <w:sz w:val="28"/>
          <w:szCs w:val="28"/>
        </w:rPr>
        <w:t xml:space="preserve">ограничивает возможность концентрации </w:t>
      </w:r>
      <w:r w:rsidR="007A48FA" w:rsidRPr="000D7061">
        <w:rPr>
          <w:color w:val="000000" w:themeColor="text1"/>
          <w:sz w:val="28"/>
          <w:szCs w:val="28"/>
        </w:rPr>
        <w:t>расходов</w:t>
      </w:r>
      <w:r w:rsidRPr="000D7061">
        <w:rPr>
          <w:color w:val="000000" w:themeColor="text1"/>
          <w:sz w:val="28"/>
          <w:szCs w:val="28"/>
        </w:rPr>
        <w:t xml:space="preserve"> </w:t>
      </w:r>
      <w:r w:rsidR="007A48FA" w:rsidRPr="000D7061">
        <w:rPr>
          <w:color w:val="000000" w:themeColor="text1"/>
          <w:sz w:val="28"/>
          <w:szCs w:val="28"/>
        </w:rPr>
        <w:t xml:space="preserve">на </w:t>
      </w:r>
      <w:r w:rsidR="00C219C9" w:rsidRPr="000D7061">
        <w:rPr>
          <w:color w:val="000000" w:themeColor="text1"/>
          <w:sz w:val="28"/>
          <w:szCs w:val="28"/>
        </w:rPr>
        <w:t>инвестиционные проекты в прорывных секторах экономики</w:t>
      </w:r>
      <w:r w:rsidR="007A48FA" w:rsidRPr="000D7061">
        <w:rPr>
          <w:color w:val="000000" w:themeColor="text1"/>
          <w:sz w:val="28"/>
          <w:szCs w:val="28"/>
        </w:rPr>
        <w:t>, которые</w:t>
      </w:r>
      <w:r w:rsidRPr="000D7061">
        <w:rPr>
          <w:color w:val="000000" w:themeColor="text1"/>
          <w:sz w:val="28"/>
          <w:szCs w:val="28"/>
        </w:rPr>
        <w:t xml:space="preserve"> могли бы </w:t>
      </w:r>
      <w:r w:rsidR="00C219C9" w:rsidRPr="000D7061">
        <w:rPr>
          <w:color w:val="000000" w:themeColor="text1"/>
          <w:sz w:val="28"/>
          <w:szCs w:val="28"/>
        </w:rPr>
        <w:t>с</w:t>
      </w:r>
      <w:r w:rsidR="007A48FA" w:rsidRPr="000D7061">
        <w:rPr>
          <w:color w:val="000000" w:themeColor="text1"/>
          <w:sz w:val="28"/>
          <w:szCs w:val="28"/>
        </w:rPr>
        <w:t>формировать увеличение прибавочной стоимости</w:t>
      </w:r>
      <w:r w:rsidRPr="000D7061">
        <w:rPr>
          <w:color w:val="000000" w:themeColor="text1"/>
          <w:sz w:val="28"/>
          <w:szCs w:val="28"/>
        </w:rPr>
        <w:t>.</w:t>
      </w:r>
    </w:p>
    <w:p w:rsidR="007A48FA" w:rsidRPr="000D7061" w:rsidRDefault="00E63A55" w:rsidP="004D2468">
      <w:pPr>
        <w:ind w:firstLine="709"/>
        <w:jc w:val="both"/>
        <w:rPr>
          <w:color w:val="000000" w:themeColor="text1"/>
          <w:sz w:val="28"/>
          <w:szCs w:val="28"/>
        </w:rPr>
      </w:pPr>
      <w:r w:rsidRPr="000D7061">
        <w:rPr>
          <w:color w:val="000000" w:themeColor="text1"/>
          <w:sz w:val="28"/>
          <w:szCs w:val="28"/>
        </w:rPr>
        <w:t xml:space="preserve">На территории Ленинградской области сохраняется </w:t>
      </w:r>
      <w:r w:rsidR="007A48FA" w:rsidRPr="000D7061">
        <w:rPr>
          <w:color w:val="000000" w:themeColor="text1"/>
          <w:sz w:val="28"/>
          <w:szCs w:val="28"/>
        </w:rPr>
        <w:t xml:space="preserve">дисбаланс системы расселения, неравномерное развитие муниципальных образований. </w:t>
      </w:r>
      <w:r w:rsidR="00AF0A4D" w:rsidRPr="000D7061">
        <w:rPr>
          <w:color w:val="000000" w:themeColor="text1"/>
          <w:sz w:val="28"/>
          <w:szCs w:val="28"/>
        </w:rPr>
        <w:t xml:space="preserve">        </w:t>
      </w:r>
      <w:r w:rsidR="007A48FA" w:rsidRPr="000D7061">
        <w:rPr>
          <w:color w:val="000000" w:themeColor="text1"/>
          <w:sz w:val="28"/>
          <w:szCs w:val="28"/>
        </w:rPr>
        <w:t xml:space="preserve"> </w:t>
      </w:r>
      <w:r w:rsidR="00AD62B2" w:rsidRPr="000D7061">
        <w:rPr>
          <w:color w:val="000000" w:themeColor="text1"/>
          <w:sz w:val="28"/>
          <w:szCs w:val="28"/>
        </w:rPr>
        <w:t xml:space="preserve">                       В </w:t>
      </w:r>
      <w:r w:rsidR="007A48FA" w:rsidRPr="000D7061">
        <w:rPr>
          <w:color w:val="000000" w:themeColor="text1"/>
          <w:sz w:val="28"/>
          <w:szCs w:val="28"/>
        </w:rPr>
        <w:t>муниципальных районах, где происходит убыль населения и рост бюджетного дефицита, существуют риски снижения экономической и социальной устойчивости, инвестиционной активности, показателей качества жизни населения.</w:t>
      </w:r>
    </w:p>
    <w:p w:rsidR="007A48FA" w:rsidRPr="000D7061" w:rsidRDefault="00B66744" w:rsidP="004D2468">
      <w:pPr>
        <w:ind w:firstLine="709"/>
        <w:jc w:val="both"/>
        <w:rPr>
          <w:color w:val="000000" w:themeColor="text1"/>
          <w:sz w:val="28"/>
          <w:szCs w:val="28"/>
        </w:rPr>
      </w:pPr>
      <w:r w:rsidRPr="000D7061">
        <w:rPr>
          <w:color w:val="000000" w:themeColor="text1"/>
          <w:sz w:val="28"/>
          <w:szCs w:val="28"/>
        </w:rPr>
        <w:t xml:space="preserve">Преодоление системных внешних и внутренних ограничений развития Ленинградской области </w:t>
      </w:r>
      <w:r w:rsidR="007A48FA" w:rsidRPr="000D7061">
        <w:rPr>
          <w:color w:val="000000" w:themeColor="text1"/>
          <w:sz w:val="28"/>
          <w:szCs w:val="28"/>
        </w:rPr>
        <w:t xml:space="preserve">планируется в рамках </w:t>
      </w:r>
      <w:r w:rsidRPr="000D7061">
        <w:rPr>
          <w:color w:val="000000" w:themeColor="text1"/>
          <w:sz w:val="28"/>
          <w:szCs w:val="28"/>
        </w:rPr>
        <w:t>актуализированной Стратегии социально-экономического развития Ленинградской области до 2030 года (областной закон от 19</w:t>
      </w:r>
      <w:r w:rsidR="00AF0A4D" w:rsidRPr="000D7061">
        <w:rPr>
          <w:color w:val="000000" w:themeColor="text1"/>
          <w:sz w:val="28"/>
          <w:szCs w:val="28"/>
        </w:rPr>
        <w:t xml:space="preserve"> декабря </w:t>
      </w:r>
      <w:r w:rsidRPr="000D7061">
        <w:rPr>
          <w:color w:val="000000" w:themeColor="text1"/>
          <w:sz w:val="28"/>
          <w:szCs w:val="28"/>
        </w:rPr>
        <w:t>2019</w:t>
      </w:r>
      <w:r w:rsidR="00AF0A4D" w:rsidRPr="000D7061">
        <w:rPr>
          <w:color w:val="000000" w:themeColor="text1"/>
          <w:sz w:val="28"/>
          <w:szCs w:val="28"/>
        </w:rPr>
        <w:t xml:space="preserve"> года</w:t>
      </w:r>
      <w:r w:rsidRPr="000D7061">
        <w:rPr>
          <w:color w:val="000000" w:themeColor="text1"/>
          <w:sz w:val="28"/>
          <w:szCs w:val="28"/>
        </w:rPr>
        <w:t xml:space="preserve"> № 100-оз), главной </w:t>
      </w:r>
      <w:proofErr w:type="gramStart"/>
      <w:r w:rsidRPr="000D7061">
        <w:rPr>
          <w:color w:val="000000" w:themeColor="text1"/>
          <w:sz w:val="28"/>
          <w:szCs w:val="28"/>
        </w:rPr>
        <w:t>целью</w:t>
      </w:r>
      <w:proofErr w:type="gramEnd"/>
      <w:r w:rsidRPr="000D7061">
        <w:rPr>
          <w:color w:val="000000" w:themeColor="text1"/>
          <w:sz w:val="28"/>
          <w:szCs w:val="28"/>
        </w:rPr>
        <w:t xml:space="preserve"> которой </w:t>
      </w:r>
      <w:r w:rsidR="00B262C0" w:rsidRPr="000D7061">
        <w:rPr>
          <w:color w:val="000000" w:themeColor="text1"/>
          <w:sz w:val="28"/>
          <w:szCs w:val="28"/>
        </w:rPr>
        <w:t xml:space="preserve">является </w:t>
      </w:r>
      <w:r w:rsidR="007A48FA" w:rsidRPr="000D7061">
        <w:rPr>
          <w:color w:val="000000" w:themeColor="text1"/>
          <w:sz w:val="28"/>
          <w:szCs w:val="28"/>
        </w:rPr>
        <w:t>обеспечение устойчивого экономического роста и улучшение качества жизни населения региона.</w:t>
      </w:r>
    </w:p>
    <w:p w:rsidR="00C505B3" w:rsidRPr="004B235C" w:rsidRDefault="00C505B3" w:rsidP="007A48FA">
      <w:pPr>
        <w:ind w:right="-5" w:firstLine="709"/>
        <w:jc w:val="both"/>
        <w:rPr>
          <w:color w:val="000000" w:themeColor="text1"/>
          <w:sz w:val="16"/>
          <w:szCs w:val="16"/>
          <w:highlight w:val="yellow"/>
        </w:rPr>
      </w:pPr>
    </w:p>
    <w:p w:rsidR="00C505B3" w:rsidRPr="002D5568" w:rsidRDefault="007A48FA" w:rsidP="00C505B3">
      <w:pPr>
        <w:widowControl w:val="0"/>
        <w:jc w:val="center"/>
        <w:rPr>
          <w:color w:val="000000" w:themeColor="text1"/>
          <w:sz w:val="28"/>
          <w:szCs w:val="28"/>
        </w:rPr>
      </w:pPr>
      <w:r w:rsidRPr="002D5568">
        <w:rPr>
          <w:color w:val="000000" w:themeColor="text1"/>
          <w:sz w:val="28"/>
          <w:szCs w:val="28"/>
        </w:rPr>
        <w:t>Оценка социально-экономического развития Ленинградской области</w:t>
      </w:r>
      <w:r w:rsidR="00283993" w:rsidRPr="002D5568">
        <w:rPr>
          <w:color w:val="000000" w:themeColor="text1"/>
          <w:sz w:val="28"/>
          <w:szCs w:val="28"/>
        </w:rPr>
        <w:t xml:space="preserve"> </w:t>
      </w:r>
      <w:r w:rsidR="00B50C97" w:rsidRPr="002D5568">
        <w:rPr>
          <w:color w:val="000000" w:themeColor="text1"/>
          <w:sz w:val="28"/>
          <w:szCs w:val="28"/>
        </w:rPr>
        <w:br/>
      </w:r>
      <w:r w:rsidRPr="002D5568">
        <w:rPr>
          <w:color w:val="000000" w:themeColor="text1"/>
          <w:sz w:val="28"/>
          <w:szCs w:val="28"/>
        </w:rPr>
        <w:t>за 20</w:t>
      </w:r>
      <w:r w:rsidR="002D5568">
        <w:rPr>
          <w:color w:val="000000" w:themeColor="text1"/>
          <w:sz w:val="28"/>
          <w:szCs w:val="28"/>
        </w:rPr>
        <w:t>20</w:t>
      </w:r>
      <w:r w:rsidRPr="002D5568">
        <w:rPr>
          <w:color w:val="000000" w:themeColor="text1"/>
          <w:sz w:val="28"/>
          <w:szCs w:val="28"/>
        </w:rPr>
        <w:t xml:space="preserve"> год</w:t>
      </w:r>
    </w:p>
    <w:p w:rsidR="00C505B3" w:rsidRPr="004B235C" w:rsidRDefault="00C505B3" w:rsidP="00C505B3">
      <w:pPr>
        <w:widowControl w:val="0"/>
        <w:jc w:val="center"/>
        <w:rPr>
          <w:b/>
          <w:i/>
          <w:color w:val="000000" w:themeColor="text1"/>
          <w:sz w:val="16"/>
          <w:szCs w:val="16"/>
          <w:highlight w:val="yellow"/>
        </w:rPr>
      </w:pPr>
    </w:p>
    <w:p w:rsidR="002D5568" w:rsidRPr="00542996" w:rsidRDefault="002D5568" w:rsidP="002D5568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42996">
        <w:rPr>
          <w:bCs/>
          <w:sz w:val="28"/>
          <w:szCs w:val="28"/>
        </w:rPr>
        <w:t xml:space="preserve">Прошедший 2020 год внес </w:t>
      </w:r>
      <w:r w:rsidRPr="00542996">
        <w:rPr>
          <w:rFonts w:eastAsiaTheme="minorHAnsi"/>
          <w:sz w:val="28"/>
          <w:szCs w:val="28"/>
          <w:lang w:eastAsia="en-US"/>
        </w:rPr>
        <w:t xml:space="preserve">кардинальные изменения в привычные условия жизни населения, а также значительные коррективы во все </w:t>
      </w:r>
      <w:proofErr w:type="gramStart"/>
      <w:r w:rsidRPr="00542996">
        <w:rPr>
          <w:rFonts w:eastAsiaTheme="minorHAnsi"/>
          <w:sz w:val="28"/>
          <w:szCs w:val="28"/>
          <w:lang w:eastAsia="en-US"/>
        </w:rPr>
        <w:t xml:space="preserve">экономические </w:t>
      </w:r>
      <w:r>
        <w:rPr>
          <w:rFonts w:eastAsiaTheme="minorHAnsi"/>
          <w:sz w:val="28"/>
          <w:szCs w:val="28"/>
          <w:lang w:eastAsia="en-US"/>
        </w:rPr>
        <w:br/>
      </w:r>
      <w:r w:rsidRPr="00542996">
        <w:rPr>
          <w:rFonts w:eastAsiaTheme="minorHAnsi"/>
          <w:sz w:val="28"/>
          <w:szCs w:val="28"/>
          <w:lang w:eastAsia="en-US"/>
        </w:rPr>
        <w:t>и социальные процессы</w:t>
      </w:r>
      <w:proofErr w:type="gramEnd"/>
      <w:r w:rsidRPr="00542996">
        <w:rPr>
          <w:rFonts w:eastAsiaTheme="minorHAnsi"/>
          <w:sz w:val="28"/>
          <w:szCs w:val="28"/>
          <w:lang w:eastAsia="en-US"/>
        </w:rPr>
        <w:t>.</w:t>
      </w:r>
    </w:p>
    <w:p w:rsidR="002D5568" w:rsidRPr="00542996" w:rsidRDefault="002D5568" w:rsidP="002D55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2996">
        <w:rPr>
          <w:rFonts w:eastAsiaTheme="minorHAnsi"/>
          <w:sz w:val="28"/>
          <w:szCs w:val="28"/>
          <w:lang w:eastAsia="en-US"/>
        </w:rPr>
        <w:t xml:space="preserve"> Условия пандемии новой </w:t>
      </w:r>
      <w:proofErr w:type="spellStart"/>
      <w:r w:rsidRPr="00542996">
        <w:rPr>
          <w:rFonts w:eastAsiaTheme="minorHAnsi"/>
          <w:sz w:val="28"/>
          <w:szCs w:val="28"/>
          <w:lang w:eastAsia="en-US"/>
        </w:rPr>
        <w:t>короновирусной</w:t>
      </w:r>
      <w:proofErr w:type="spellEnd"/>
      <w:r w:rsidRPr="00542996">
        <w:rPr>
          <w:rFonts w:eastAsiaTheme="minorHAnsi"/>
          <w:sz w:val="28"/>
          <w:szCs w:val="28"/>
          <w:lang w:eastAsia="en-US"/>
        </w:rPr>
        <w:t xml:space="preserve"> инфекции </w:t>
      </w:r>
      <w:r w:rsidRPr="00542996">
        <w:rPr>
          <w:rFonts w:eastAsiaTheme="minorHAnsi"/>
          <w:sz w:val="28"/>
          <w:szCs w:val="28"/>
          <w:lang w:val="en-US" w:eastAsia="en-US"/>
        </w:rPr>
        <w:t>COVID</w:t>
      </w:r>
      <w:r w:rsidRPr="00542996">
        <w:rPr>
          <w:rFonts w:eastAsiaTheme="minorHAnsi"/>
          <w:sz w:val="28"/>
          <w:szCs w:val="28"/>
          <w:lang w:eastAsia="en-US"/>
        </w:rPr>
        <w:t xml:space="preserve">-19 заставили органы власти региона </w:t>
      </w:r>
      <w:r>
        <w:rPr>
          <w:rFonts w:eastAsiaTheme="minorHAnsi"/>
          <w:sz w:val="28"/>
          <w:szCs w:val="28"/>
          <w:lang w:eastAsia="en-US"/>
        </w:rPr>
        <w:t>принимать жесткие карантинные</w:t>
      </w:r>
      <w:r w:rsidRPr="00542996">
        <w:rPr>
          <w:rFonts w:eastAsiaTheme="minorHAnsi"/>
          <w:sz w:val="28"/>
          <w:szCs w:val="28"/>
          <w:lang w:eastAsia="en-US"/>
        </w:rPr>
        <w:t xml:space="preserve"> ограничения </w:t>
      </w:r>
      <w:r>
        <w:rPr>
          <w:rFonts w:eastAsiaTheme="minorHAnsi"/>
          <w:sz w:val="28"/>
          <w:szCs w:val="28"/>
          <w:lang w:eastAsia="en-US"/>
        </w:rPr>
        <w:br/>
      </w:r>
      <w:r w:rsidRPr="00542996">
        <w:rPr>
          <w:rFonts w:eastAsiaTheme="minorHAnsi"/>
          <w:sz w:val="28"/>
          <w:szCs w:val="28"/>
          <w:lang w:eastAsia="en-US"/>
        </w:rPr>
        <w:t xml:space="preserve">и реализовывать масштабные меры поддержки населения и бизнеса. </w:t>
      </w:r>
    </w:p>
    <w:p w:rsidR="002D5568" w:rsidRPr="00CB4BA2" w:rsidRDefault="002D5568" w:rsidP="002D5568">
      <w:pPr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42996">
        <w:rPr>
          <w:rFonts w:eastAsiaTheme="minorHAnsi"/>
          <w:sz w:val="28"/>
          <w:szCs w:val="28"/>
          <w:lang w:eastAsia="en-US"/>
        </w:rPr>
        <w:t>Ситуация в экономике Ленинградской области в течение 2020 года оставалась относительно стабильной, даже несмотря на то, что первая половина года стала очень сложным периодом в социальном и экономическом отношении (падение цен на нефть, борьба с распространением коронавирусной инфекции, ослабление курса рубля</w:t>
      </w:r>
      <w:r w:rsidRPr="00CB4BA2">
        <w:rPr>
          <w:rFonts w:eastAsiaTheme="minorHAnsi"/>
          <w:sz w:val="28"/>
          <w:szCs w:val="28"/>
          <w:lang w:eastAsia="en-US"/>
        </w:rPr>
        <w:t>).</w:t>
      </w:r>
    </w:p>
    <w:p w:rsidR="002D5568" w:rsidRPr="00CB4BA2" w:rsidRDefault="002D5568" w:rsidP="002D5568">
      <w:pPr>
        <w:ind w:firstLine="709"/>
        <w:jc w:val="both"/>
        <w:rPr>
          <w:sz w:val="28"/>
          <w:szCs w:val="28"/>
        </w:rPr>
      </w:pPr>
      <w:r w:rsidRPr="00CB4BA2">
        <w:rPr>
          <w:sz w:val="28"/>
          <w:szCs w:val="28"/>
        </w:rPr>
        <w:lastRenderedPageBreak/>
        <w:t xml:space="preserve">По </w:t>
      </w:r>
      <w:r w:rsidRPr="00711893">
        <w:rPr>
          <w:b/>
          <w:sz w:val="28"/>
          <w:szCs w:val="28"/>
        </w:rPr>
        <w:t>итогам 2020 года</w:t>
      </w:r>
      <w:r w:rsidRPr="00CB4BA2">
        <w:rPr>
          <w:sz w:val="28"/>
          <w:szCs w:val="28"/>
        </w:rPr>
        <w:t xml:space="preserve"> Ленинградская область укрепила свое место среди регионов-лидеров Российской Федерации по объемам промышленного производства и сельского хозяйства, инвестиций в основной капитал и обороту розничной торговли.</w:t>
      </w:r>
    </w:p>
    <w:p w:rsidR="002D5568" w:rsidRPr="00CB4BA2" w:rsidRDefault="002D5568" w:rsidP="002D55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4BA2">
        <w:rPr>
          <w:bCs/>
          <w:sz w:val="28"/>
          <w:szCs w:val="28"/>
        </w:rPr>
        <w:t>Это подтверждается ключевыми показателями развития:</w:t>
      </w:r>
    </w:p>
    <w:p w:rsidR="002D5568" w:rsidRPr="006F230E" w:rsidRDefault="002D5568" w:rsidP="002D55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4BA2">
        <w:rPr>
          <w:sz w:val="28"/>
          <w:szCs w:val="28"/>
        </w:rPr>
        <w:t xml:space="preserve">1. </w:t>
      </w:r>
      <w:r w:rsidRPr="00CB4BA2">
        <w:rPr>
          <w:rFonts w:eastAsiaTheme="minorHAnsi"/>
          <w:sz w:val="28"/>
          <w:szCs w:val="28"/>
          <w:lang w:eastAsia="en-US"/>
        </w:rPr>
        <w:t xml:space="preserve">По результатам 2020 года индекс промышленного производства </w:t>
      </w:r>
      <w:r>
        <w:rPr>
          <w:rFonts w:eastAsiaTheme="minorHAnsi"/>
          <w:sz w:val="28"/>
          <w:szCs w:val="28"/>
          <w:lang w:eastAsia="en-US"/>
        </w:rPr>
        <w:br/>
      </w:r>
      <w:r w:rsidRPr="00CB4BA2">
        <w:rPr>
          <w:rFonts w:eastAsiaTheme="minorHAnsi"/>
          <w:sz w:val="28"/>
          <w:szCs w:val="28"/>
          <w:lang w:eastAsia="en-US"/>
        </w:rPr>
        <w:t xml:space="preserve">в Ленинградской области </w:t>
      </w:r>
      <w:r w:rsidRPr="008115F8">
        <w:rPr>
          <w:rFonts w:eastAsiaTheme="minorHAnsi"/>
          <w:sz w:val="28"/>
          <w:szCs w:val="28"/>
          <w:lang w:eastAsia="en-US"/>
        </w:rPr>
        <w:t>составил 98,6</w:t>
      </w:r>
      <w:r w:rsidR="000D7061">
        <w:rPr>
          <w:rFonts w:eastAsiaTheme="minorHAnsi"/>
          <w:sz w:val="28"/>
          <w:szCs w:val="28"/>
          <w:lang w:eastAsia="en-US"/>
        </w:rPr>
        <w:t xml:space="preserve"> проц.</w:t>
      </w:r>
      <w:r w:rsidRPr="008115F8">
        <w:rPr>
          <w:rFonts w:eastAsiaTheme="minorHAnsi"/>
          <w:sz w:val="28"/>
          <w:szCs w:val="28"/>
          <w:lang w:eastAsia="en-US"/>
        </w:rPr>
        <w:t>, что соответствует общероссийской характеристике промышленности (по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8115F8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 xml:space="preserve">едерации данный показатель </w:t>
      </w:r>
      <w:r w:rsidRPr="006F230E">
        <w:rPr>
          <w:rFonts w:eastAsiaTheme="minorHAnsi"/>
          <w:sz w:val="28"/>
          <w:szCs w:val="28"/>
          <w:lang w:eastAsia="en-US"/>
        </w:rPr>
        <w:t>составил 97,1</w:t>
      </w:r>
      <w:r w:rsidR="000D7061">
        <w:rPr>
          <w:rFonts w:eastAsiaTheme="minorHAnsi"/>
          <w:sz w:val="28"/>
          <w:szCs w:val="28"/>
          <w:lang w:eastAsia="en-US"/>
        </w:rPr>
        <w:t xml:space="preserve"> проц.</w:t>
      </w:r>
      <w:r w:rsidRPr="006F230E">
        <w:rPr>
          <w:rFonts w:eastAsiaTheme="minorHAnsi"/>
          <w:sz w:val="28"/>
          <w:szCs w:val="28"/>
          <w:lang w:eastAsia="en-US"/>
        </w:rPr>
        <w:t xml:space="preserve">), а в обрабатывающей промышленности по году регион вышел </w:t>
      </w:r>
      <w:r>
        <w:rPr>
          <w:rFonts w:eastAsiaTheme="minorHAnsi"/>
          <w:sz w:val="28"/>
          <w:szCs w:val="28"/>
          <w:lang w:eastAsia="en-US"/>
        </w:rPr>
        <w:t>«в плюс» –</w:t>
      </w:r>
      <w:r w:rsidRPr="006F230E">
        <w:rPr>
          <w:rFonts w:eastAsiaTheme="minorHAnsi"/>
          <w:sz w:val="28"/>
          <w:szCs w:val="28"/>
          <w:lang w:eastAsia="en-US"/>
        </w:rPr>
        <w:t xml:space="preserve"> 100,2</w:t>
      </w:r>
      <w:r w:rsidR="000D7061">
        <w:rPr>
          <w:rFonts w:eastAsiaTheme="minorHAnsi"/>
          <w:sz w:val="28"/>
          <w:szCs w:val="28"/>
          <w:lang w:eastAsia="en-US"/>
        </w:rPr>
        <w:t xml:space="preserve"> проц.</w:t>
      </w:r>
      <w:r w:rsidRPr="006F230E">
        <w:rPr>
          <w:rFonts w:eastAsiaTheme="minorHAnsi"/>
          <w:sz w:val="28"/>
          <w:szCs w:val="28"/>
          <w:lang w:eastAsia="en-US"/>
        </w:rPr>
        <w:t xml:space="preserve"> (по Российской Федерации – 100,3</w:t>
      </w:r>
      <w:r w:rsidR="000D7061">
        <w:rPr>
          <w:rFonts w:eastAsiaTheme="minorHAnsi"/>
          <w:sz w:val="28"/>
          <w:szCs w:val="28"/>
          <w:lang w:eastAsia="en-US"/>
        </w:rPr>
        <w:t xml:space="preserve"> проц.</w:t>
      </w:r>
      <w:r w:rsidRPr="006F230E">
        <w:rPr>
          <w:rFonts w:eastAsiaTheme="minorHAnsi"/>
          <w:sz w:val="28"/>
          <w:szCs w:val="28"/>
          <w:lang w:eastAsia="en-US"/>
        </w:rPr>
        <w:t>).</w:t>
      </w:r>
    </w:p>
    <w:p w:rsidR="002D5568" w:rsidRPr="006F230E" w:rsidRDefault="002D5568" w:rsidP="002D556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F230E">
        <w:rPr>
          <w:rFonts w:eastAsia="Calibri"/>
          <w:sz w:val="28"/>
          <w:szCs w:val="28"/>
        </w:rPr>
        <w:t xml:space="preserve">2. </w:t>
      </w:r>
      <w:r w:rsidRPr="006F230E">
        <w:rPr>
          <w:rFonts w:eastAsiaTheme="minorHAnsi"/>
          <w:sz w:val="28"/>
          <w:szCs w:val="28"/>
          <w:lang w:eastAsia="en-US"/>
        </w:rPr>
        <w:t>Ленинградская область смогла удержать позиции по объему инвестиций в основной капитал, сохранив место в ТОП-9 среди субъектов Российской Федерации. При этом без учета добывающих и с</w:t>
      </w:r>
      <w:r>
        <w:rPr>
          <w:rFonts w:eastAsiaTheme="minorHAnsi"/>
          <w:sz w:val="28"/>
          <w:szCs w:val="28"/>
          <w:lang w:eastAsia="en-US"/>
        </w:rPr>
        <w:t>толичных регионов, Ленинградская область</w:t>
      </w:r>
      <w:r w:rsidRPr="006F230E">
        <w:rPr>
          <w:rFonts w:eastAsiaTheme="minorHAnsi"/>
          <w:sz w:val="28"/>
          <w:szCs w:val="28"/>
          <w:lang w:eastAsia="en-US"/>
        </w:rPr>
        <w:t xml:space="preserve"> входит в ТОП-5 лидирующих субъектов Российской Федерации. Всего за год в экономику региона было инвестировано 458,1 </w:t>
      </w:r>
      <w:proofErr w:type="gramStart"/>
      <w:r w:rsidRPr="006F230E">
        <w:rPr>
          <w:rFonts w:eastAsiaTheme="minorHAnsi"/>
          <w:sz w:val="28"/>
          <w:szCs w:val="28"/>
          <w:lang w:eastAsia="en-US"/>
        </w:rPr>
        <w:t>млрд</w:t>
      </w:r>
      <w:proofErr w:type="gramEnd"/>
      <w:r w:rsidRPr="006F230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>.</w:t>
      </w:r>
      <w:r w:rsidRPr="006F230E">
        <w:rPr>
          <w:rFonts w:eastAsiaTheme="minorHAnsi"/>
          <w:sz w:val="28"/>
          <w:szCs w:val="28"/>
          <w:lang w:eastAsia="en-US"/>
        </w:rPr>
        <w:t xml:space="preserve"> или 105,2</w:t>
      </w:r>
      <w:r w:rsidR="000D7061">
        <w:rPr>
          <w:rFonts w:eastAsiaTheme="minorHAnsi"/>
          <w:sz w:val="28"/>
          <w:szCs w:val="28"/>
          <w:lang w:eastAsia="en-US"/>
        </w:rPr>
        <w:t xml:space="preserve"> проц.</w:t>
      </w:r>
      <w:r w:rsidRPr="006F23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сопоставимых ценах </w:t>
      </w:r>
      <w:r w:rsidRPr="006F230E">
        <w:rPr>
          <w:rFonts w:eastAsiaTheme="minorHAnsi"/>
          <w:sz w:val="28"/>
          <w:szCs w:val="28"/>
          <w:lang w:eastAsia="en-US"/>
        </w:rPr>
        <w:t>к 2019 году.</w:t>
      </w:r>
    </w:p>
    <w:p w:rsidR="002D5568" w:rsidRPr="006F230E" w:rsidRDefault="002D5568" w:rsidP="002D5568">
      <w:pPr>
        <w:shd w:val="clear" w:color="auto" w:fill="FFFFFF"/>
        <w:ind w:firstLine="709"/>
        <w:jc w:val="both"/>
        <w:rPr>
          <w:sz w:val="28"/>
          <w:szCs w:val="28"/>
        </w:rPr>
      </w:pPr>
      <w:r w:rsidRPr="006F230E">
        <w:rPr>
          <w:rFonts w:eastAsia="Calibri"/>
          <w:sz w:val="28"/>
          <w:szCs w:val="28"/>
        </w:rPr>
        <w:t xml:space="preserve">3. </w:t>
      </w:r>
      <w:r w:rsidRPr="006F230E">
        <w:rPr>
          <w:rFonts w:eastAsiaTheme="minorHAnsi"/>
          <w:sz w:val="28"/>
          <w:szCs w:val="28"/>
          <w:lang w:eastAsia="en-US"/>
        </w:rPr>
        <w:t>По итогам года Ленинградской области удалось сохранить объемы производства продукции сельского хозяйства на уровне 2019 года: 85,2 </w:t>
      </w:r>
      <w:proofErr w:type="gramStart"/>
      <w:r w:rsidRPr="006F230E">
        <w:rPr>
          <w:rFonts w:eastAsiaTheme="minorHAnsi"/>
          <w:sz w:val="28"/>
          <w:szCs w:val="28"/>
          <w:lang w:eastAsia="en-US"/>
        </w:rPr>
        <w:t>млрд</w:t>
      </w:r>
      <w:proofErr w:type="gramEnd"/>
      <w:r w:rsidRPr="006F230E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6F230E">
        <w:rPr>
          <w:rFonts w:eastAsiaTheme="minorHAnsi"/>
          <w:sz w:val="28"/>
          <w:szCs w:val="28"/>
          <w:lang w:eastAsia="en-US"/>
        </w:rPr>
        <w:t>или 100,1</w:t>
      </w:r>
      <w:r w:rsidR="000D7061">
        <w:rPr>
          <w:rFonts w:eastAsiaTheme="minorHAnsi"/>
          <w:sz w:val="28"/>
          <w:szCs w:val="28"/>
          <w:lang w:eastAsia="en-US"/>
        </w:rPr>
        <w:t xml:space="preserve"> проц.</w:t>
      </w:r>
      <w:r w:rsidRPr="006F230E">
        <w:rPr>
          <w:rFonts w:eastAsiaTheme="minorHAnsi"/>
          <w:sz w:val="28"/>
          <w:szCs w:val="28"/>
          <w:lang w:eastAsia="en-US"/>
        </w:rPr>
        <w:t>. По производству яиц регион, как и прежде, занимает 1 место среди субъектов РФ, по производству молока – 16 место.</w:t>
      </w:r>
    </w:p>
    <w:p w:rsidR="002D5568" w:rsidRPr="002D5568" w:rsidRDefault="002D5568" w:rsidP="002D55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8115F8">
        <w:rPr>
          <w:rFonts w:eastAsiaTheme="minorHAnsi"/>
          <w:sz w:val="28"/>
          <w:szCs w:val="28"/>
          <w:lang w:eastAsia="en-US"/>
        </w:rPr>
        <w:t xml:space="preserve">Несмотря на ограничительные меры, связанные с распространением новой коронавирусной инфекции, оборот розничной торговли за 2020 год </w:t>
      </w:r>
      <w:r w:rsidRPr="002D5568">
        <w:rPr>
          <w:rFonts w:eastAsiaTheme="minorHAnsi"/>
          <w:sz w:val="28"/>
          <w:szCs w:val="28"/>
          <w:lang w:eastAsia="en-US"/>
        </w:rPr>
        <w:t>составил 480,6 </w:t>
      </w:r>
      <w:proofErr w:type="gramStart"/>
      <w:r w:rsidRPr="002D5568">
        <w:rPr>
          <w:rFonts w:eastAsiaTheme="minorHAnsi"/>
          <w:sz w:val="28"/>
          <w:szCs w:val="28"/>
          <w:lang w:eastAsia="en-US"/>
        </w:rPr>
        <w:t>млрд</w:t>
      </w:r>
      <w:proofErr w:type="gramEnd"/>
      <w:r w:rsidRPr="002D5568">
        <w:rPr>
          <w:rFonts w:eastAsiaTheme="minorHAnsi"/>
          <w:sz w:val="28"/>
          <w:szCs w:val="28"/>
          <w:lang w:eastAsia="en-US"/>
        </w:rPr>
        <w:t> руб., прирост в сопоставимых ценах на 6,5</w:t>
      </w:r>
      <w:r w:rsidR="000D7061">
        <w:rPr>
          <w:rFonts w:eastAsiaTheme="minorHAnsi"/>
          <w:sz w:val="28"/>
          <w:szCs w:val="28"/>
          <w:lang w:eastAsia="en-US"/>
        </w:rPr>
        <w:t xml:space="preserve"> проц.</w:t>
      </w:r>
      <w:r w:rsidRPr="002D5568">
        <w:rPr>
          <w:rFonts w:eastAsiaTheme="minorHAnsi"/>
          <w:sz w:val="28"/>
          <w:szCs w:val="28"/>
          <w:lang w:eastAsia="en-US"/>
        </w:rPr>
        <w:t xml:space="preserve"> к 2019 году, тогда как по России наблюдается снижение на 4,1</w:t>
      </w:r>
      <w:r w:rsidR="000D7061">
        <w:rPr>
          <w:rFonts w:eastAsiaTheme="minorHAnsi"/>
          <w:sz w:val="28"/>
          <w:szCs w:val="28"/>
          <w:lang w:eastAsia="en-US"/>
        </w:rPr>
        <w:t xml:space="preserve"> проц.</w:t>
      </w:r>
    </w:p>
    <w:p w:rsidR="002D5568" w:rsidRPr="002D5568" w:rsidRDefault="002D5568" w:rsidP="002D55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D5568">
        <w:rPr>
          <w:sz w:val="28"/>
          <w:szCs w:val="28"/>
        </w:rPr>
        <w:t>Достижения и успехи Ленинградской области в 2020 году подтверждаются независимыми рейтингами:</w:t>
      </w:r>
    </w:p>
    <w:p w:rsidR="002D5568" w:rsidRPr="002D5568" w:rsidRDefault="002D5568" w:rsidP="002D55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D5568">
        <w:rPr>
          <w:sz w:val="28"/>
          <w:szCs w:val="28"/>
        </w:rPr>
        <w:t xml:space="preserve">3 место в демографическом рейтинге регионов РФ по версии агентства </w:t>
      </w:r>
      <w:r w:rsidRPr="002D5568">
        <w:rPr>
          <w:sz w:val="28"/>
          <w:szCs w:val="28"/>
        </w:rPr>
        <w:br/>
        <w:t>«РИА Рейтинг»;</w:t>
      </w:r>
    </w:p>
    <w:p w:rsidR="002D5568" w:rsidRPr="002D5568" w:rsidRDefault="002D5568" w:rsidP="002D55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D5568">
        <w:rPr>
          <w:sz w:val="28"/>
          <w:szCs w:val="28"/>
        </w:rPr>
        <w:t>7 место в рейтинге агентства «РИА Рейтинг» по качеству жизни населения;</w:t>
      </w:r>
    </w:p>
    <w:p w:rsidR="002D5568" w:rsidRPr="002D5568" w:rsidRDefault="002D5568" w:rsidP="002D55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D5568">
        <w:rPr>
          <w:sz w:val="28"/>
          <w:szCs w:val="28"/>
        </w:rPr>
        <w:t>8 место в рейтинге агентства «РИА Рейтинг» социально-экономического положения субъектов Российской Федерации;</w:t>
      </w:r>
    </w:p>
    <w:p w:rsidR="002D5568" w:rsidRPr="00805453" w:rsidRDefault="002D5568" w:rsidP="002D55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D5568">
        <w:rPr>
          <w:sz w:val="28"/>
          <w:szCs w:val="28"/>
        </w:rPr>
        <w:t xml:space="preserve">10 место в Национальном рейтинге состояния инвестиционного климата </w:t>
      </w:r>
      <w:r w:rsidRPr="002D5568">
        <w:rPr>
          <w:sz w:val="28"/>
          <w:szCs w:val="28"/>
        </w:rPr>
        <w:br/>
        <w:t>АНО «Агентство стратегических</w:t>
      </w:r>
      <w:r>
        <w:rPr>
          <w:sz w:val="28"/>
          <w:szCs w:val="28"/>
        </w:rPr>
        <w:t xml:space="preserve"> инициатив»</w:t>
      </w:r>
      <w:r w:rsidRPr="00805453">
        <w:rPr>
          <w:sz w:val="28"/>
          <w:szCs w:val="28"/>
        </w:rPr>
        <w:t>.</w:t>
      </w:r>
    </w:p>
    <w:p w:rsidR="00B90E3A" w:rsidRPr="004B235C" w:rsidRDefault="00B90E3A" w:rsidP="009863F9">
      <w:pPr>
        <w:pStyle w:val="24"/>
        <w:shd w:val="clear" w:color="auto" w:fill="FFFFFF"/>
        <w:spacing w:after="0"/>
        <w:ind w:firstLine="709"/>
        <w:rPr>
          <w:color w:val="000000" w:themeColor="text1"/>
          <w:sz w:val="16"/>
          <w:szCs w:val="16"/>
          <w:highlight w:val="yellow"/>
        </w:rPr>
      </w:pPr>
    </w:p>
    <w:p w:rsidR="00B90E3A" w:rsidRPr="00264FA8" w:rsidRDefault="00B90E3A" w:rsidP="00B90E3A">
      <w:pPr>
        <w:pStyle w:val="24"/>
        <w:shd w:val="clear" w:color="auto" w:fill="FFFFFF"/>
        <w:spacing w:after="0"/>
        <w:ind w:firstLine="0"/>
        <w:jc w:val="center"/>
        <w:rPr>
          <w:color w:val="000000" w:themeColor="text1"/>
          <w:szCs w:val="28"/>
        </w:rPr>
      </w:pPr>
      <w:r w:rsidRPr="00264FA8">
        <w:rPr>
          <w:color w:val="000000" w:themeColor="text1"/>
          <w:szCs w:val="28"/>
        </w:rPr>
        <w:t>Население</w:t>
      </w:r>
    </w:p>
    <w:p w:rsidR="00B90E3A" w:rsidRPr="004B235C" w:rsidRDefault="00B90E3A" w:rsidP="009863F9">
      <w:pPr>
        <w:pStyle w:val="24"/>
        <w:shd w:val="clear" w:color="auto" w:fill="FFFFFF"/>
        <w:spacing w:after="0"/>
        <w:ind w:firstLine="709"/>
        <w:rPr>
          <w:color w:val="000000" w:themeColor="text1"/>
          <w:sz w:val="16"/>
          <w:szCs w:val="16"/>
          <w:highlight w:val="yellow"/>
        </w:rPr>
      </w:pPr>
    </w:p>
    <w:p w:rsidR="002D5568" w:rsidRPr="004D2468" w:rsidRDefault="002D5568" w:rsidP="002D5568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4D2468">
        <w:rPr>
          <w:b/>
          <w:szCs w:val="28"/>
        </w:rPr>
        <w:t>В 2020 году</w:t>
      </w:r>
      <w:r w:rsidRPr="004D2468">
        <w:rPr>
          <w:szCs w:val="28"/>
        </w:rPr>
        <w:t xml:space="preserve"> ср</w:t>
      </w:r>
      <w:r w:rsidRPr="004D2468">
        <w:rPr>
          <w:bCs/>
          <w:iCs/>
          <w:szCs w:val="28"/>
        </w:rPr>
        <w:t>еднегодовая численность постоянного населения</w:t>
      </w:r>
      <w:r w:rsidRPr="004D2468">
        <w:rPr>
          <w:szCs w:val="28"/>
        </w:rPr>
        <w:t xml:space="preserve"> </w:t>
      </w:r>
      <w:r w:rsidRPr="004D2468">
        <w:rPr>
          <w:szCs w:val="28"/>
        </w:rPr>
        <w:br/>
        <w:t>в Ленинградской области увеличилась по сравнению с 2019 годом на 1,2</w:t>
      </w:r>
      <w:r w:rsidR="000D7061" w:rsidRPr="004D2468">
        <w:rPr>
          <w:szCs w:val="28"/>
        </w:rPr>
        <w:t xml:space="preserve"> проц.</w:t>
      </w:r>
      <w:r w:rsidRPr="004D2468">
        <w:rPr>
          <w:szCs w:val="28"/>
        </w:rPr>
        <w:t xml:space="preserve"> </w:t>
      </w:r>
      <w:r w:rsidRPr="004D2468">
        <w:rPr>
          <w:szCs w:val="28"/>
        </w:rPr>
        <w:br/>
        <w:t>и составила 1884,3 тыс. человек.</w:t>
      </w:r>
    </w:p>
    <w:p w:rsidR="002D5568" w:rsidRPr="004D2468" w:rsidRDefault="002D5568" w:rsidP="002D556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Численность постоянного населения Ленинградской области на 1 января </w:t>
      </w:r>
      <w:r w:rsidRPr="004D2468">
        <w:rPr>
          <w:sz w:val="28"/>
          <w:szCs w:val="28"/>
        </w:rPr>
        <w:br/>
        <w:t>2021 года составила 1893,0 тыс. человек (в том числе городское – 1274,5 тыс. человек, сельское – 618,5 тыс. человек) и с начала года увеличилась на 17,1 тыс. человек или на 0,9</w:t>
      </w:r>
      <w:r w:rsidR="000D7061" w:rsidRPr="004D2468">
        <w:rPr>
          <w:sz w:val="28"/>
          <w:szCs w:val="28"/>
        </w:rPr>
        <w:t xml:space="preserve"> проц.</w:t>
      </w:r>
    </w:p>
    <w:p w:rsidR="002D5568" w:rsidRPr="004D2468" w:rsidRDefault="002D5568" w:rsidP="002D556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lastRenderedPageBreak/>
        <w:t xml:space="preserve">Родилось 13267 детей. Коэффициент рождаемости составил 7,1 человек </w:t>
      </w:r>
      <w:r w:rsidRPr="004D2468">
        <w:rPr>
          <w:sz w:val="28"/>
          <w:szCs w:val="28"/>
        </w:rPr>
        <w:br/>
        <w:t xml:space="preserve">на 1000 населения. Умерло 27958 человек. Коэффициент смертности составил </w:t>
      </w:r>
      <w:r w:rsidRPr="004D2468">
        <w:rPr>
          <w:sz w:val="28"/>
          <w:szCs w:val="28"/>
        </w:rPr>
        <w:br/>
        <w:t xml:space="preserve">15,0 человек на 1000 населения. </w:t>
      </w:r>
    </w:p>
    <w:p w:rsidR="002D5568" w:rsidRPr="004D2468" w:rsidRDefault="002D5568" w:rsidP="002D5568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4D2468">
        <w:rPr>
          <w:sz w:val="28"/>
          <w:szCs w:val="28"/>
        </w:rPr>
        <w:t xml:space="preserve">В 2020 году уровень младенческой смертности составил 3,8 на 1000 </w:t>
      </w:r>
      <w:proofErr w:type="gramStart"/>
      <w:r w:rsidRPr="004D2468">
        <w:rPr>
          <w:sz w:val="28"/>
          <w:szCs w:val="28"/>
        </w:rPr>
        <w:t>родившихся</w:t>
      </w:r>
      <w:proofErr w:type="gramEnd"/>
      <w:r w:rsidRPr="004D2468">
        <w:rPr>
          <w:sz w:val="28"/>
          <w:szCs w:val="28"/>
        </w:rPr>
        <w:t xml:space="preserve">. Число умерших детей до года на территории Ленинградской области </w:t>
      </w:r>
      <w:r w:rsidRPr="004D2468">
        <w:rPr>
          <w:sz w:val="28"/>
          <w:szCs w:val="28"/>
        </w:rPr>
        <w:br/>
      </w:r>
      <w:r w:rsidRPr="004D2468">
        <w:rPr>
          <w:color w:val="000000"/>
          <w:sz w:val="28"/>
          <w:szCs w:val="28"/>
        </w:rPr>
        <w:t>составило 51 человек.</w:t>
      </w:r>
    </w:p>
    <w:p w:rsidR="002D5568" w:rsidRPr="004D2468" w:rsidRDefault="002D5568" w:rsidP="002D5568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4D2468">
        <w:rPr>
          <w:color w:val="000000"/>
          <w:sz w:val="28"/>
          <w:szCs w:val="28"/>
        </w:rPr>
        <w:t>Коэффициент естественной убыли населения составил 7,9 человек на 1000 населения. Миграционный прирост (+31,7 тыс. человек) полностью компенсировал естественную убыль населения и превысил ее на 114</w:t>
      </w:r>
      <w:r w:rsidR="000D7061" w:rsidRPr="004D2468">
        <w:rPr>
          <w:color w:val="000000"/>
          <w:sz w:val="28"/>
          <w:szCs w:val="28"/>
        </w:rPr>
        <w:t xml:space="preserve"> проц.</w:t>
      </w:r>
    </w:p>
    <w:p w:rsidR="002D5568" w:rsidRPr="004D2468" w:rsidRDefault="002D5568" w:rsidP="002D5568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4D2468">
        <w:rPr>
          <w:szCs w:val="28"/>
        </w:rPr>
        <w:t xml:space="preserve">По оценке </w:t>
      </w:r>
      <w:r w:rsidRPr="004D2468">
        <w:rPr>
          <w:b/>
          <w:szCs w:val="28"/>
        </w:rPr>
        <w:t>в 2021 году</w:t>
      </w:r>
      <w:r w:rsidRPr="004D2468">
        <w:rPr>
          <w:szCs w:val="28"/>
        </w:rPr>
        <w:t xml:space="preserve"> ср</w:t>
      </w:r>
      <w:r w:rsidRPr="004D2468">
        <w:rPr>
          <w:bCs/>
          <w:iCs/>
          <w:szCs w:val="28"/>
        </w:rPr>
        <w:t>еднегодовая численность постоянного населения</w:t>
      </w:r>
      <w:r w:rsidRPr="004D2468">
        <w:rPr>
          <w:szCs w:val="28"/>
        </w:rPr>
        <w:t xml:space="preserve"> </w:t>
      </w:r>
      <w:r w:rsidRPr="004D2468">
        <w:rPr>
          <w:szCs w:val="28"/>
        </w:rPr>
        <w:br/>
        <w:t>в Ленинградской области увеличится по сравнению с 2020 годом на 0,9</w:t>
      </w:r>
      <w:r w:rsidR="000D7061" w:rsidRPr="004D2468">
        <w:rPr>
          <w:szCs w:val="28"/>
        </w:rPr>
        <w:t xml:space="preserve"> проц.</w:t>
      </w:r>
      <w:r w:rsidRPr="004D2468">
        <w:rPr>
          <w:szCs w:val="28"/>
        </w:rPr>
        <w:t xml:space="preserve"> и составит 1901,3 тыс. человек. </w:t>
      </w:r>
    </w:p>
    <w:p w:rsidR="002D5568" w:rsidRPr="004D2468" w:rsidRDefault="002D5568" w:rsidP="002D5568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4D2468">
        <w:rPr>
          <w:bCs/>
          <w:iCs/>
          <w:szCs w:val="28"/>
        </w:rPr>
        <w:t>Уровень естественной убыли</w:t>
      </w:r>
      <w:r w:rsidRPr="004D2468">
        <w:rPr>
          <w:szCs w:val="28"/>
        </w:rPr>
        <w:t xml:space="preserve"> снизится до 7,8 чел. на 1000 населения (2020</w:t>
      </w:r>
      <w:r w:rsidR="000D7061" w:rsidRPr="004D2468">
        <w:rPr>
          <w:szCs w:val="28"/>
        </w:rPr>
        <w:t> </w:t>
      </w:r>
      <w:r w:rsidRPr="004D2468">
        <w:rPr>
          <w:szCs w:val="28"/>
        </w:rPr>
        <w:t xml:space="preserve">год – 7,9 чел.), что обусловлено сохранением уровня рождаемости на уровне </w:t>
      </w:r>
      <w:r w:rsidRPr="004D2468">
        <w:rPr>
          <w:szCs w:val="28"/>
        </w:rPr>
        <w:br/>
        <w:t xml:space="preserve">7,1 родившихся на 1000 населения и стабилизацией уровня смертности </w:t>
      </w:r>
      <w:r w:rsidRPr="004D2468">
        <w:rPr>
          <w:szCs w:val="28"/>
        </w:rPr>
        <w:br/>
        <w:t>на 14,9 умерших на 1000 населения.</w:t>
      </w:r>
    </w:p>
    <w:p w:rsidR="002D5568" w:rsidRPr="004D2468" w:rsidRDefault="002D5568" w:rsidP="002D5568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4D2468">
        <w:rPr>
          <w:szCs w:val="28"/>
        </w:rPr>
        <w:t xml:space="preserve">Динамика смертности населения будет продолжать формироваться </w:t>
      </w:r>
      <w:r w:rsidRPr="004D2468">
        <w:rPr>
          <w:szCs w:val="28"/>
        </w:rPr>
        <w:br/>
        <w:t xml:space="preserve">под влиянием трендов эпидемиологический ситуации и жестких ограничений, введённых в период карантинных мер для лиц старшего поколения, но при этом </w:t>
      </w:r>
      <w:r w:rsidRPr="004D2468">
        <w:rPr>
          <w:szCs w:val="28"/>
        </w:rPr>
        <w:br/>
        <w:t>и продолжением реализации мероприятий, направленных на вовлечение старшего поколения в процессы активного долголетия и увеличение ожидаемой продолжительности здоровой жизни.</w:t>
      </w:r>
    </w:p>
    <w:p w:rsidR="002D5568" w:rsidRPr="004D2468" w:rsidRDefault="002D5568" w:rsidP="002D5568">
      <w:pPr>
        <w:pStyle w:val="24"/>
        <w:shd w:val="clear" w:color="auto" w:fill="FFFFFF"/>
        <w:spacing w:after="0"/>
        <w:ind w:firstLine="709"/>
        <w:rPr>
          <w:color w:val="FF0000"/>
          <w:szCs w:val="28"/>
        </w:rPr>
      </w:pPr>
      <w:r w:rsidRPr="004D2468">
        <w:rPr>
          <w:szCs w:val="28"/>
        </w:rPr>
        <w:t xml:space="preserve">Интенсивность </w:t>
      </w:r>
      <w:r w:rsidRPr="004D2468">
        <w:rPr>
          <w:bCs/>
          <w:iCs/>
          <w:szCs w:val="28"/>
        </w:rPr>
        <w:t>миграционного прироста</w:t>
      </w:r>
      <w:r w:rsidRPr="004D2468">
        <w:rPr>
          <w:szCs w:val="28"/>
        </w:rPr>
        <w:t xml:space="preserve"> умеренно возрастет до 32,0 тыс. человек на фоне значительного уровня, сложившегося в 2018-2019 годах (43,7 и 37,9 тыс. чел.). 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карантинных мер. </w:t>
      </w:r>
    </w:p>
    <w:p w:rsidR="002D5568" w:rsidRPr="004D2468" w:rsidRDefault="002D5568" w:rsidP="002D5568">
      <w:pPr>
        <w:pStyle w:val="24"/>
        <w:shd w:val="clear" w:color="auto" w:fill="FFFFFF"/>
        <w:spacing w:after="0"/>
        <w:ind w:firstLine="709"/>
        <w:rPr>
          <w:szCs w:val="28"/>
        </w:rPr>
      </w:pPr>
      <w:proofErr w:type="gramStart"/>
      <w:r w:rsidRPr="004D2468">
        <w:rPr>
          <w:szCs w:val="28"/>
        </w:rPr>
        <w:t xml:space="preserve">На период </w:t>
      </w:r>
      <w:r w:rsidRPr="004D2468">
        <w:rPr>
          <w:b/>
          <w:szCs w:val="28"/>
        </w:rPr>
        <w:t>2022-2024 годов</w:t>
      </w:r>
      <w:r w:rsidRPr="004D2468">
        <w:rPr>
          <w:szCs w:val="28"/>
        </w:rPr>
        <w:t xml:space="preserve"> прогноз численности населения проведен </w:t>
      </w:r>
      <w:r w:rsidRPr="004D2468">
        <w:rPr>
          <w:szCs w:val="28"/>
        </w:rPr>
        <w:br/>
        <w:t xml:space="preserve">в соответствии с методическими рекомендациями по разработке, корректировке, мониторингу среднесрочного прогноза социально-экономического развития Минэкономразвития России (приказ от 30.06.2016 № 423), которыми рекомендуется определять демографические параметры субъектов Российской Федерации на основе демографического прогноза, разрабатываемого Росстатом. </w:t>
      </w:r>
      <w:proofErr w:type="gramEnd"/>
    </w:p>
    <w:p w:rsidR="002D5568" w:rsidRPr="004D2468" w:rsidRDefault="002D5568" w:rsidP="002D5568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4D2468">
        <w:rPr>
          <w:szCs w:val="28"/>
        </w:rPr>
        <w:t xml:space="preserve">Демографический прогноз «Предположительная численность населения Российской Федерации до 2035 года» опубликован Росстатом в апреле 2020 года. </w:t>
      </w:r>
    </w:p>
    <w:p w:rsidR="002D5568" w:rsidRPr="004D2468" w:rsidRDefault="002D5568" w:rsidP="002D5568">
      <w:pPr>
        <w:pStyle w:val="24"/>
        <w:shd w:val="clear" w:color="auto" w:fill="FFFFFF"/>
        <w:spacing w:after="0"/>
        <w:ind w:firstLine="709"/>
        <w:rPr>
          <w:color w:val="FF0000"/>
          <w:szCs w:val="28"/>
        </w:rPr>
      </w:pPr>
      <w:proofErr w:type="gramStart"/>
      <w:r w:rsidRPr="004D2468">
        <w:rPr>
          <w:b/>
          <w:szCs w:val="28"/>
        </w:rPr>
        <w:t>В 2022-2024 годах</w:t>
      </w:r>
      <w:r w:rsidRPr="004D2468">
        <w:rPr>
          <w:szCs w:val="28"/>
        </w:rPr>
        <w:t xml:space="preserve"> в результате реализации запланированных мероприятий демографической политики прогнозируется постепенное сокращение коэффициента естественной убыли населения с 7,0 человек на 1000 населения в 2022 году до 6,2 человек на 1000 населения в 2024 году по базовому варианту </w:t>
      </w:r>
      <w:r w:rsidRPr="004D2468">
        <w:rPr>
          <w:szCs w:val="28"/>
        </w:rPr>
        <w:br/>
        <w:t>(с 8,6 до 8,5 человек на 1000 населения соответственно по консервативному варианту).</w:t>
      </w:r>
      <w:proofErr w:type="gramEnd"/>
      <w:r w:rsidRPr="004D2468">
        <w:rPr>
          <w:szCs w:val="28"/>
        </w:rPr>
        <w:t xml:space="preserve"> При этом динамика суммарного коэффициента рождаемости сохранит стабильность без существенных колебаний (в 2024 году до 1,083 чел. на 1000 населения в базовом варианте, а также до 0,976 - в консервативном). </w:t>
      </w:r>
      <w:proofErr w:type="gramStart"/>
      <w:r w:rsidRPr="004D2468">
        <w:rPr>
          <w:szCs w:val="28"/>
        </w:rPr>
        <w:lastRenderedPageBreak/>
        <w:t xml:space="preserve">Миграционный прирост в 2024 году по базовому варианту прогноза составит 29,1 тыс. человек, по консервативному – 24,7 тыс. человек. </w:t>
      </w:r>
      <w:proofErr w:type="gramEnd"/>
    </w:p>
    <w:p w:rsidR="002D5568" w:rsidRPr="004D2468" w:rsidRDefault="002D5568" w:rsidP="002D5568">
      <w:pPr>
        <w:pStyle w:val="24"/>
        <w:shd w:val="clear" w:color="auto" w:fill="FFFFFF"/>
        <w:spacing w:after="0"/>
        <w:ind w:firstLine="709"/>
        <w:rPr>
          <w:szCs w:val="28"/>
        </w:rPr>
      </w:pPr>
      <w:proofErr w:type="gramStart"/>
      <w:r w:rsidRPr="004D2468">
        <w:rPr>
          <w:rFonts w:eastAsia="Calibri"/>
          <w:szCs w:val="28"/>
        </w:rPr>
        <w:t xml:space="preserve">Тенденция постепенного снижения общего коэффициента рождаемости связана с уменьшением числа рождаемости в </w:t>
      </w:r>
      <w:r w:rsidRPr="004D2468">
        <w:rPr>
          <w:szCs w:val="28"/>
        </w:rPr>
        <w:t>1990-х годах в Российской Федерации и в Ленинградской области</w:t>
      </w:r>
      <w:r w:rsidRPr="004D2468">
        <w:rPr>
          <w:rFonts w:eastAsia="Calibri"/>
          <w:szCs w:val="28"/>
        </w:rPr>
        <w:t xml:space="preserve">, в том числе женщин в </w:t>
      </w:r>
      <w:r w:rsidRPr="004D2468">
        <w:rPr>
          <w:szCs w:val="28"/>
        </w:rPr>
        <w:t xml:space="preserve">возрастах наибольшей рождаемости (20-29 лет), </w:t>
      </w:r>
      <w:r w:rsidRPr="004D2468">
        <w:rPr>
          <w:rFonts w:eastAsia="Calibri"/>
          <w:szCs w:val="28"/>
        </w:rPr>
        <w:t>а такж</w:t>
      </w:r>
      <w:r w:rsidRPr="004D2468">
        <w:rPr>
          <w:rStyle w:val="ae"/>
          <w:sz w:val="28"/>
          <w:szCs w:val="28"/>
        </w:rPr>
        <w:t>е</w:t>
      </w:r>
      <w:r w:rsidRPr="004D2468">
        <w:rPr>
          <w:rFonts w:eastAsia="Calibri"/>
          <w:szCs w:val="28"/>
        </w:rPr>
        <w:t xml:space="preserve"> региональными особенностями формирования статистической отчетности по территориальному признаку, а именно: </w:t>
      </w:r>
      <w:proofErr w:type="spellStart"/>
      <w:r w:rsidRPr="004D2468">
        <w:rPr>
          <w:rFonts w:eastAsia="Calibri"/>
          <w:szCs w:val="28"/>
        </w:rPr>
        <w:t>родоразрешение</w:t>
      </w:r>
      <w:proofErr w:type="spellEnd"/>
      <w:r w:rsidRPr="004D2468">
        <w:rPr>
          <w:rFonts w:eastAsia="Calibri"/>
          <w:szCs w:val="28"/>
        </w:rPr>
        <w:t xml:space="preserve"> значительного числа женщин – жителей Ленинградской области и регистрация рожденных детей на территории Санкт-Петербурга.</w:t>
      </w:r>
      <w:proofErr w:type="gramEnd"/>
    </w:p>
    <w:p w:rsidR="002D5568" w:rsidRPr="004D2468" w:rsidRDefault="002D5568" w:rsidP="002D5568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4D2468">
        <w:rPr>
          <w:szCs w:val="28"/>
        </w:rPr>
        <w:t>В Ленинградской области ожидается рост численности населения в 2022-2024 годах (в среднем ежегодно на 0,9</w:t>
      </w:r>
      <w:r w:rsidR="000D7061" w:rsidRPr="004D2468">
        <w:rPr>
          <w:szCs w:val="28"/>
        </w:rPr>
        <w:t xml:space="preserve"> проц.</w:t>
      </w:r>
      <w:r w:rsidRPr="004D2468">
        <w:rPr>
          <w:szCs w:val="28"/>
        </w:rPr>
        <w:t xml:space="preserve">), среднегодовая численность постоянного населения в 2024 году составит 1954,1 тыс. человек по базовому варианту (1934,5 тыс. человек - по консервативному варианту). </w:t>
      </w:r>
    </w:p>
    <w:p w:rsidR="002D5568" w:rsidRPr="004D2468" w:rsidRDefault="002D5568" w:rsidP="002D5568">
      <w:pPr>
        <w:pStyle w:val="24"/>
        <w:shd w:val="clear" w:color="auto" w:fill="FFFFFF"/>
        <w:spacing w:after="0"/>
        <w:ind w:firstLine="709"/>
        <w:rPr>
          <w:szCs w:val="28"/>
        </w:rPr>
      </w:pPr>
      <w:proofErr w:type="gramStart"/>
      <w:r w:rsidRPr="004D2468">
        <w:rPr>
          <w:szCs w:val="28"/>
        </w:rPr>
        <w:t xml:space="preserve">В результате реализации запланированных мероприятий демографической политики и при положительной динамике снижения смертности населения </w:t>
      </w:r>
      <w:r w:rsidRPr="004D2468">
        <w:rPr>
          <w:szCs w:val="28"/>
        </w:rPr>
        <w:br/>
        <w:t xml:space="preserve">в Ленинградской области прогнозируется тенденция к постепенному росту ожидаемой продолжительности жизни при рождении: в 2024 году по базовому варианту до 74,4 года, по консервативному – до 72,3 года. </w:t>
      </w:r>
      <w:proofErr w:type="gramEnd"/>
    </w:p>
    <w:p w:rsidR="009863F9" w:rsidRPr="004B235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  <w:sz w:val="16"/>
          <w:szCs w:val="16"/>
          <w:highlight w:val="yellow"/>
        </w:rPr>
      </w:pPr>
      <w:r w:rsidRPr="004B235C">
        <w:rPr>
          <w:color w:val="000000" w:themeColor="text1"/>
          <w:szCs w:val="28"/>
          <w:highlight w:val="yellow"/>
        </w:rPr>
        <w:t xml:space="preserve"> </w:t>
      </w:r>
    </w:p>
    <w:p w:rsidR="00F83B3D" w:rsidRPr="00264FA8" w:rsidRDefault="007A48FA" w:rsidP="00F83B3D">
      <w:pPr>
        <w:shd w:val="clear" w:color="auto" w:fill="FFFFFF"/>
        <w:tabs>
          <w:tab w:val="left" w:pos="1210"/>
        </w:tabs>
        <w:jc w:val="center"/>
        <w:rPr>
          <w:b/>
          <w:sz w:val="28"/>
          <w:szCs w:val="28"/>
        </w:rPr>
      </w:pPr>
      <w:r w:rsidRPr="00264FA8">
        <w:rPr>
          <w:sz w:val="28"/>
          <w:szCs w:val="28"/>
        </w:rPr>
        <w:t>Валовой региональный продукт</w:t>
      </w:r>
    </w:p>
    <w:p w:rsidR="00F83B3D" w:rsidRPr="004B235C" w:rsidRDefault="00F83B3D" w:rsidP="00B50C97">
      <w:pPr>
        <w:shd w:val="clear" w:color="auto" w:fill="FFFFFF"/>
        <w:tabs>
          <w:tab w:val="left" w:pos="1210"/>
        </w:tabs>
        <w:ind w:firstLine="709"/>
        <w:jc w:val="both"/>
        <w:rPr>
          <w:b/>
          <w:sz w:val="16"/>
          <w:szCs w:val="16"/>
          <w:highlight w:val="yellow"/>
        </w:rPr>
      </w:pPr>
    </w:p>
    <w:p w:rsidR="00264FA8" w:rsidRPr="00A6491F" w:rsidRDefault="00264FA8" w:rsidP="00264FA8">
      <w:pPr>
        <w:shd w:val="clear" w:color="auto" w:fill="FFFFFF"/>
        <w:tabs>
          <w:tab w:val="left" w:pos="1210"/>
        </w:tabs>
        <w:ind w:firstLine="709"/>
        <w:jc w:val="both"/>
        <w:rPr>
          <w:sz w:val="28"/>
          <w:szCs w:val="28"/>
        </w:rPr>
      </w:pPr>
      <w:r w:rsidRPr="00A6491F">
        <w:rPr>
          <w:sz w:val="28"/>
          <w:szCs w:val="28"/>
        </w:rPr>
        <w:t xml:space="preserve">По оценке 2020 года объем ВРП вырастет до 1262,5 </w:t>
      </w:r>
      <w:proofErr w:type="gramStart"/>
      <w:r w:rsidRPr="00A6491F">
        <w:rPr>
          <w:sz w:val="28"/>
          <w:szCs w:val="28"/>
        </w:rPr>
        <w:t>млрд</w:t>
      </w:r>
      <w:proofErr w:type="gramEnd"/>
      <w:r w:rsidRPr="00A6491F">
        <w:rPr>
          <w:sz w:val="28"/>
          <w:szCs w:val="28"/>
        </w:rPr>
        <w:t xml:space="preserve"> руб., прирост составит 100,1</w:t>
      </w:r>
      <w:r w:rsidR="000D7061">
        <w:rPr>
          <w:sz w:val="28"/>
          <w:szCs w:val="28"/>
        </w:rPr>
        <w:t xml:space="preserve"> проц.</w:t>
      </w:r>
      <w:r w:rsidRPr="00A6491F">
        <w:rPr>
          <w:sz w:val="28"/>
          <w:szCs w:val="28"/>
        </w:rPr>
        <w:t xml:space="preserve"> к уровню 2019 года в сопоставимых ценах. </w:t>
      </w:r>
    </w:p>
    <w:p w:rsidR="00264FA8" w:rsidRPr="00A6491F" w:rsidRDefault="00264FA8" w:rsidP="00264FA8">
      <w:pPr>
        <w:shd w:val="clear" w:color="auto" w:fill="FFFFFF"/>
        <w:ind w:firstLine="709"/>
        <w:jc w:val="both"/>
        <w:rPr>
          <w:sz w:val="28"/>
          <w:szCs w:val="28"/>
        </w:rPr>
      </w:pPr>
      <w:r w:rsidRPr="00A6491F">
        <w:rPr>
          <w:sz w:val="28"/>
          <w:szCs w:val="28"/>
        </w:rPr>
        <w:t xml:space="preserve">В 2021 году объем ВРП прогнозируется на уровне 1365,2 </w:t>
      </w:r>
      <w:proofErr w:type="gramStart"/>
      <w:r w:rsidRPr="00A6491F">
        <w:rPr>
          <w:sz w:val="28"/>
          <w:szCs w:val="28"/>
        </w:rPr>
        <w:t>млрд</w:t>
      </w:r>
      <w:proofErr w:type="gramEnd"/>
      <w:r w:rsidRPr="00A6491F">
        <w:rPr>
          <w:sz w:val="28"/>
          <w:szCs w:val="28"/>
        </w:rPr>
        <w:t xml:space="preserve"> руб. </w:t>
      </w:r>
      <w:r>
        <w:rPr>
          <w:sz w:val="28"/>
          <w:szCs w:val="28"/>
        </w:rPr>
        <w:br/>
      </w:r>
      <w:r w:rsidRPr="00A6491F">
        <w:rPr>
          <w:sz w:val="28"/>
          <w:szCs w:val="28"/>
        </w:rPr>
        <w:t>и со значительным превышением по реальной динамике уровня 2020 года (103,1</w:t>
      </w:r>
      <w:r w:rsidR="000D7061">
        <w:rPr>
          <w:sz w:val="28"/>
          <w:szCs w:val="28"/>
        </w:rPr>
        <w:t> проц.</w:t>
      </w:r>
      <w:r w:rsidRPr="00A6491F">
        <w:rPr>
          <w:sz w:val="28"/>
          <w:szCs w:val="28"/>
        </w:rPr>
        <w:t>) в результате ожидаемого восстановления активности в промышленности, строительстве и сфере потребительских услуг и положительной динамики развития транспорта и торговли, сельского хозяйства и услуг в сфере здравоохранения.</w:t>
      </w:r>
    </w:p>
    <w:p w:rsidR="00264FA8" w:rsidRDefault="00264FA8" w:rsidP="00264FA8">
      <w:pPr>
        <w:shd w:val="clear" w:color="auto" w:fill="FFFFFF"/>
        <w:ind w:firstLine="709"/>
        <w:jc w:val="both"/>
        <w:rPr>
          <w:sz w:val="28"/>
          <w:szCs w:val="28"/>
        </w:rPr>
      </w:pPr>
      <w:r w:rsidRPr="00655A74">
        <w:rPr>
          <w:sz w:val="28"/>
          <w:szCs w:val="28"/>
        </w:rPr>
        <w:t>Основная часть валового регионального продукта (около 80</w:t>
      </w:r>
      <w:r w:rsidR="000D7061">
        <w:rPr>
          <w:sz w:val="28"/>
          <w:szCs w:val="28"/>
        </w:rPr>
        <w:t xml:space="preserve"> проц.</w:t>
      </w:r>
      <w:r w:rsidRPr="00655A74">
        <w:rPr>
          <w:sz w:val="28"/>
          <w:szCs w:val="28"/>
        </w:rPr>
        <w:t xml:space="preserve"> от общего объема) создается в реальном секторе экономики: промышленном производстве, строительстве, на транспорте и связи, в оптовой и розничной торговле и сельском хозяйстве</w:t>
      </w:r>
      <w:r>
        <w:rPr>
          <w:sz w:val="28"/>
          <w:szCs w:val="28"/>
        </w:rPr>
        <w:t>.</w:t>
      </w:r>
    </w:p>
    <w:p w:rsidR="00264FA8" w:rsidRPr="00A6491F" w:rsidRDefault="00264FA8" w:rsidP="00264FA8">
      <w:pPr>
        <w:shd w:val="clear" w:color="auto" w:fill="FFFFFF"/>
        <w:ind w:firstLine="709"/>
        <w:jc w:val="both"/>
        <w:rPr>
          <w:sz w:val="28"/>
          <w:szCs w:val="28"/>
        </w:rPr>
      </w:pPr>
      <w:r w:rsidRPr="00A6491F">
        <w:rPr>
          <w:sz w:val="28"/>
          <w:szCs w:val="28"/>
        </w:rPr>
        <w:t xml:space="preserve">На период 2022-2024 годов прогнозируется укрепление позитивной динамики экономического роста с учетом прогнозируемого стабильного роста показателей результатов деятельности по важнейшим отраслям экономики, а также тенденций изменения структуры ВРП. </w:t>
      </w:r>
    </w:p>
    <w:p w:rsidR="00264FA8" w:rsidRPr="00B2588D" w:rsidRDefault="00264FA8" w:rsidP="00264FA8">
      <w:pPr>
        <w:shd w:val="clear" w:color="auto" w:fill="FFFFFF"/>
        <w:ind w:firstLine="709"/>
        <w:jc w:val="both"/>
        <w:rPr>
          <w:sz w:val="28"/>
          <w:szCs w:val="28"/>
        </w:rPr>
      </w:pPr>
      <w:r w:rsidRPr="00C06B5E">
        <w:rPr>
          <w:sz w:val="28"/>
          <w:szCs w:val="28"/>
        </w:rPr>
        <w:t xml:space="preserve">По прогнозу, средний ежегодный прирост промышленного производства </w:t>
      </w:r>
      <w:r w:rsidRPr="00C06B5E">
        <w:rPr>
          <w:sz w:val="28"/>
          <w:szCs w:val="28"/>
        </w:rPr>
        <w:br/>
        <w:t xml:space="preserve">в 2022-2024 годах </w:t>
      </w:r>
      <w:r>
        <w:rPr>
          <w:sz w:val="28"/>
          <w:szCs w:val="28"/>
        </w:rPr>
        <w:t>прогнозируется на уровне д</w:t>
      </w:r>
      <w:r w:rsidRPr="00C06B5E">
        <w:rPr>
          <w:sz w:val="28"/>
          <w:szCs w:val="28"/>
        </w:rPr>
        <w:t xml:space="preserve">о </w:t>
      </w:r>
      <w:r>
        <w:rPr>
          <w:sz w:val="28"/>
          <w:szCs w:val="28"/>
        </w:rPr>
        <w:t>2,9</w:t>
      </w:r>
      <w:r w:rsidR="000D7061">
        <w:rPr>
          <w:sz w:val="28"/>
          <w:szCs w:val="28"/>
        </w:rPr>
        <w:t xml:space="preserve"> проц.</w:t>
      </w:r>
      <w:r w:rsidRPr="00C06B5E">
        <w:rPr>
          <w:sz w:val="28"/>
          <w:szCs w:val="28"/>
        </w:rPr>
        <w:t xml:space="preserve"> (по консервативному варианту) и до 3,</w:t>
      </w:r>
      <w:r>
        <w:rPr>
          <w:sz w:val="28"/>
          <w:szCs w:val="28"/>
        </w:rPr>
        <w:t>3</w:t>
      </w:r>
      <w:r w:rsidR="000D7061">
        <w:rPr>
          <w:sz w:val="28"/>
          <w:szCs w:val="28"/>
        </w:rPr>
        <w:t xml:space="preserve"> проц.</w:t>
      </w:r>
      <w:r>
        <w:rPr>
          <w:sz w:val="28"/>
          <w:szCs w:val="28"/>
        </w:rPr>
        <w:t xml:space="preserve"> </w:t>
      </w:r>
      <w:r w:rsidRPr="00C06B5E">
        <w:rPr>
          <w:sz w:val="28"/>
          <w:szCs w:val="28"/>
        </w:rPr>
        <w:t xml:space="preserve">(по базовому варианту), объема работ по виду деятельности </w:t>
      </w:r>
      <w:r>
        <w:rPr>
          <w:sz w:val="28"/>
          <w:szCs w:val="28"/>
        </w:rPr>
        <w:t>«</w:t>
      </w:r>
      <w:r w:rsidRPr="00C06B5E">
        <w:rPr>
          <w:sz w:val="28"/>
          <w:szCs w:val="28"/>
        </w:rPr>
        <w:t>строительство</w:t>
      </w:r>
      <w:r>
        <w:rPr>
          <w:sz w:val="28"/>
          <w:szCs w:val="28"/>
        </w:rPr>
        <w:t>»</w:t>
      </w:r>
      <w:r w:rsidRPr="00C06B5E">
        <w:rPr>
          <w:sz w:val="28"/>
          <w:szCs w:val="28"/>
        </w:rPr>
        <w:t xml:space="preserve"> – </w:t>
      </w:r>
      <w:r w:rsidRPr="00B2588D">
        <w:rPr>
          <w:sz w:val="28"/>
          <w:szCs w:val="28"/>
        </w:rPr>
        <w:t>от 1,4</w:t>
      </w:r>
      <w:r w:rsidR="000D7061">
        <w:rPr>
          <w:sz w:val="28"/>
          <w:szCs w:val="28"/>
        </w:rPr>
        <w:t xml:space="preserve"> </w:t>
      </w:r>
      <w:r w:rsidRPr="00B2588D">
        <w:rPr>
          <w:sz w:val="28"/>
          <w:szCs w:val="28"/>
        </w:rPr>
        <w:t>до 1,9</w:t>
      </w:r>
      <w:r w:rsidR="000D7061">
        <w:rPr>
          <w:sz w:val="28"/>
          <w:szCs w:val="28"/>
        </w:rPr>
        <w:t xml:space="preserve"> проц.</w:t>
      </w:r>
      <w:r w:rsidRPr="00B2588D">
        <w:rPr>
          <w:sz w:val="28"/>
          <w:szCs w:val="28"/>
        </w:rPr>
        <w:t xml:space="preserve">, оборота розничной торговли – </w:t>
      </w:r>
      <w:proofErr w:type="gramStart"/>
      <w:r w:rsidRPr="00B2588D">
        <w:rPr>
          <w:sz w:val="28"/>
          <w:szCs w:val="28"/>
        </w:rPr>
        <w:t>от</w:t>
      </w:r>
      <w:proofErr w:type="gramEnd"/>
      <w:r w:rsidRPr="00B2588D">
        <w:rPr>
          <w:sz w:val="28"/>
          <w:szCs w:val="28"/>
        </w:rPr>
        <w:t xml:space="preserve"> 2,3 до 2,8</w:t>
      </w:r>
      <w:r w:rsidR="000D7061">
        <w:rPr>
          <w:sz w:val="28"/>
          <w:szCs w:val="28"/>
        </w:rPr>
        <w:t xml:space="preserve"> проц.</w:t>
      </w:r>
      <w:r w:rsidRPr="00B2588D">
        <w:rPr>
          <w:sz w:val="28"/>
          <w:szCs w:val="28"/>
        </w:rPr>
        <w:t xml:space="preserve"> соответственно.</w:t>
      </w:r>
    </w:p>
    <w:p w:rsidR="00264FA8" w:rsidRPr="00B2588D" w:rsidRDefault="00264FA8" w:rsidP="00264FA8">
      <w:pPr>
        <w:shd w:val="clear" w:color="auto" w:fill="FFFFFF"/>
        <w:ind w:firstLine="709"/>
        <w:jc w:val="both"/>
        <w:rPr>
          <w:sz w:val="28"/>
          <w:szCs w:val="28"/>
        </w:rPr>
      </w:pPr>
      <w:r w:rsidRPr="00B2588D">
        <w:rPr>
          <w:sz w:val="28"/>
          <w:szCs w:val="28"/>
        </w:rPr>
        <w:t xml:space="preserve">Важным фактором формирования роста ВРП в 2022-2024 годах станет реализация крупных инвестиционных проектов, и, как следствие, рост объема </w:t>
      </w:r>
      <w:r w:rsidRPr="00B2588D">
        <w:rPr>
          <w:sz w:val="28"/>
          <w:szCs w:val="28"/>
        </w:rPr>
        <w:lastRenderedPageBreak/>
        <w:t>инвестиционных вложений в Ленинградской области (в среднем ежегодно на 7</w:t>
      </w:r>
      <w:r>
        <w:rPr>
          <w:sz w:val="28"/>
          <w:szCs w:val="28"/>
        </w:rPr>
        <w:t>,2</w:t>
      </w:r>
      <w:r w:rsidR="000D7061">
        <w:rPr>
          <w:sz w:val="28"/>
          <w:szCs w:val="28"/>
        </w:rPr>
        <w:t>проц.</w:t>
      </w:r>
      <w:r w:rsidRPr="00B2588D">
        <w:rPr>
          <w:sz w:val="28"/>
          <w:szCs w:val="28"/>
        </w:rPr>
        <w:t xml:space="preserve"> по консервативному варианту и </w:t>
      </w:r>
      <w:r>
        <w:rPr>
          <w:sz w:val="28"/>
          <w:szCs w:val="28"/>
        </w:rPr>
        <w:t>13</w:t>
      </w:r>
      <w:r w:rsidR="000D7061">
        <w:rPr>
          <w:sz w:val="28"/>
          <w:szCs w:val="28"/>
        </w:rPr>
        <w:t xml:space="preserve"> проц.</w:t>
      </w:r>
      <w:r w:rsidRPr="00B2588D">
        <w:rPr>
          <w:sz w:val="28"/>
          <w:szCs w:val="28"/>
        </w:rPr>
        <w:t xml:space="preserve"> по базовому). </w:t>
      </w:r>
    </w:p>
    <w:p w:rsidR="00264FA8" w:rsidRPr="00264FA8" w:rsidRDefault="00264FA8" w:rsidP="00264FA8">
      <w:pPr>
        <w:shd w:val="clear" w:color="auto" w:fill="FFFFFF"/>
        <w:ind w:firstLine="709"/>
        <w:jc w:val="both"/>
        <w:rPr>
          <w:sz w:val="28"/>
          <w:szCs w:val="28"/>
        </w:rPr>
      </w:pPr>
      <w:r w:rsidRPr="00264FA8">
        <w:rPr>
          <w:sz w:val="28"/>
          <w:szCs w:val="28"/>
        </w:rPr>
        <w:t xml:space="preserve">В среднесрочной перспективе до 2024 года важными факторами роста ВРП Ленинградской области станут реализация проектов в сфере промышленности, транспорта и логистики (развитие морских торговых портов и проекты строительства отдельных терминалов), рост производства в отдельных отраслях обрабатывающей промышленности, высокие объемы жилищного строительства. </w:t>
      </w:r>
    </w:p>
    <w:p w:rsidR="00B50C97" w:rsidRPr="004B235C" w:rsidRDefault="00264FA8" w:rsidP="00264FA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B2588D">
        <w:rPr>
          <w:sz w:val="28"/>
          <w:szCs w:val="28"/>
        </w:rPr>
        <w:t>В результате, в соответствии с базовым вариантом прогноза, ВРП в 2024</w:t>
      </w:r>
      <w:r w:rsidR="000D7061">
        <w:rPr>
          <w:sz w:val="28"/>
          <w:szCs w:val="28"/>
        </w:rPr>
        <w:t> </w:t>
      </w:r>
      <w:r w:rsidRPr="00B2588D">
        <w:rPr>
          <w:sz w:val="28"/>
          <w:szCs w:val="28"/>
        </w:rPr>
        <w:t xml:space="preserve">году составит 1679,8 </w:t>
      </w:r>
      <w:proofErr w:type="gramStart"/>
      <w:r w:rsidRPr="00B2588D">
        <w:rPr>
          <w:sz w:val="28"/>
          <w:szCs w:val="28"/>
        </w:rPr>
        <w:t>млрд</w:t>
      </w:r>
      <w:proofErr w:type="gramEnd"/>
      <w:r w:rsidRPr="00B2588D">
        <w:rPr>
          <w:sz w:val="28"/>
          <w:szCs w:val="28"/>
        </w:rPr>
        <w:t xml:space="preserve"> </w:t>
      </w:r>
      <w:r w:rsidRPr="00264FA8">
        <w:rPr>
          <w:sz w:val="28"/>
          <w:szCs w:val="28"/>
        </w:rPr>
        <w:t>руб. (прирост на 10,7</w:t>
      </w:r>
      <w:r w:rsidR="000D7061">
        <w:rPr>
          <w:sz w:val="28"/>
          <w:szCs w:val="28"/>
        </w:rPr>
        <w:t xml:space="preserve"> проц.</w:t>
      </w:r>
      <w:r w:rsidRPr="00264FA8">
        <w:rPr>
          <w:sz w:val="28"/>
          <w:szCs w:val="28"/>
        </w:rPr>
        <w:t xml:space="preserve"> к уровню 2021 года в сопоставимых ценах</w:t>
      </w:r>
      <w:r w:rsidRPr="00D1784B">
        <w:rPr>
          <w:color w:val="000000" w:themeColor="text1"/>
          <w:sz w:val="28"/>
          <w:szCs w:val="28"/>
        </w:rPr>
        <w:t>), по консервативному варианту – 1618,9 млрд руб. (на 8,1</w:t>
      </w:r>
      <w:r w:rsidR="000D7061">
        <w:rPr>
          <w:color w:val="000000" w:themeColor="text1"/>
          <w:sz w:val="28"/>
          <w:szCs w:val="28"/>
        </w:rPr>
        <w:t> проц.</w:t>
      </w:r>
      <w:r w:rsidRPr="00D1784B">
        <w:rPr>
          <w:color w:val="000000" w:themeColor="text1"/>
          <w:sz w:val="28"/>
          <w:szCs w:val="28"/>
        </w:rPr>
        <w:t xml:space="preserve"> к 2021 году).</w:t>
      </w:r>
    </w:p>
    <w:p w:rsidR="00770FBF" w:rsidRPr="004B235C" w:rsidRDefault="00770FBF" w:rsidP="00B50C97">
      <w:pPr>
        <w:ind w:firstLine="709"/>
        <w:jc w:val="both"/>
        <w:rPr>
          <w:color w:val="000000" w:themeColor="text1"/>
          <w:sz w:val="16"/>
          <w:szCs w:val="16"/>
          <w:highlight w:val="yellow"/>
        </w:rPr>
      </w:pPr>
    </w:p>
    <w:p w:rsidR="00770FBF" w:rsidRPr="00264FA8" w:rsidRDefault="007A48FA" w:rsidP="00770FBF">
      <w:pPr>
        <w:jc w:val="center"/>
        <w:rPr>
          <w:b/>
          <w:sz w:val="28"/>
          <w:szCs w:val="28"/>
        </w:rPr>
      </w:pPr>
      <w:r w:rsidRPr="00264FA8">
        <w:rPr>
          <w:sz w:val="28"/>
          <w:szCs w:val="28"/>
        </w:rPr>
        <w:t>Промышленное производство</w:t>
      </w:r>
    </w:p>
    <w:p w:rsidR="00770FBF" w:rsidRPr="00264FA8" w:rsidRDefault="00770FBF" w:rsidP="008E790E">
      <w:pPr>
        <w:ind w:firstLine="709"/>
        <w:jc w:val="both"/>
        <w:rPr>
          <w:b/>
          <w:sz w:val="16"/>
          <w:szCs w:val="16"/>
        </w:rPr>
      </w:pPr>
    </w:p>
    <w:p w:rsidR="001D7655" w:rsidRPr="001D7655" w:rsidRDefault="001D7655" w:rsidP="001D7655">
      <w:pPr>
        <w:tabs>
          <w:tab w:val="left" w:pos="708"/>
          <w:tab w:val="left" w:pos="1418"/>
        </w:tabs>
        <w:ind w:firstLine="709"/>
        <w:jc w:val="both"/>
        <w:rPr>
          <w:sz w:val="28"/>
          <w:szCs w:val="28"/>
        </w:rPr>
      </w:pPr>
      <w:r w:rsidRPr="001D7655">
        <w:rPr>
          <w:bCs/>
          <w:sz w:val="28"/>
          <w:szCs w:val="28"/>
        </w:rPr>
        <w:t xml:space="preserve">В 2020 году </w:t>
      </w:r>
      <w:r w:rsidRPr="001D7655">
        <w:rPr>
          <w:iCs/>
          <w:sz w:val="28"/>
          <w:szCs w:val="28"/>
        </w:rPr>
        <w:t>индекс промышленного производства по полному кругу предприятий</w:t>
      </w:r>
      <w:r w:rsidRPr="001D7655">
        <w:rPr>
          <w:sz w:val="28"/>
          <w:szCs w:val="28"/>
        </w:rPr>
        <w:t xml:space="preserve"> к соответствующему периоду предыдущего года составил 98,6</w:t>
      </w:r>
      <w:r w:rsidR="009C3AFF">
        <w:rPr>
          <w:sz w:val="28"/>
          <w:szCs w:val="28"/>
        </w:rPr>
        <w:t> </w:t>
      </w:r>
      <w:r w:rsidR="000D7061">
        <w:rPr>
          <w:sz w:val="28"/>
          <w:szCs w:val="28"/>
        </w:rPr>
        <w:t>проц.</w:t>
      </w:r>
      <w:r w:rsidRPr="001D7655">
        <w:rPr>
          <w:sz w:val="28"/>
          <w:szCs w:val="28"/>
        </w:rPr>
        <w:t>, что на 1,1</w:t>
      </w:r>
      <w:r w:rsidR="009C3AFF">
        <w:rPr>
          <w:sz w:val="28"/>
          <w:szCs w:val="28"/>
        </w:rPr>
        <w:t> </w:t>
      </w:r>
      <w:r w:rsidR="000D7061">
        <w:rPr>
          <w:sz w:val="28"/>
          <w:szCs w:val="28"/>
        </w:rPr>
        <w:t>проц.</w:t>
      </w:r>
      <w:r w:rsidRPr="001D7655">
        <w:rPr>
          <w:sz w:val="28"/>
          <w:szCs w:val="28"/>
        </w:rPr>
        <w:t xml:space="preserve"> ниже прогнозного значения на 2020 год (99,7</w:t>
      </w:r>
      <w:r w:rsidR="009C3AFF">
        <w:rPr>
          <w:sz w:val="28"/>
          <w:szCs w:val="28"/>
        </w:rPr>
        <w:t> </w:t>
      </w:r>
      <w:r w:rsidR="000D7061">
        <w:rPr>
          <w:sz w:val="28"/>
          <w:szCs w:val="28"/>
        </w:rPr>
        <w:t>проц.</w:t>
      </w:r>
      <w:r w:rsidRPr="001D7655">
        <w:rPr>
          <w:sz w:val="28"/>
          <w:szCs w:val="28"/>
        </w:rPr>
        <w:t>).</w:t>
      </w:r>
    </w:p>
    <w:p w:rsidR="001D7655" w:rsidRPr="001D7655" w:rsidRDefault="001D7655" w:rsidP="001D7655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>По трем из четырех промышленных отраслей индекс промышленного производства  превысил показатели прошлого года:</w:t>
      </w:r>
    </w:p>
    <w:p w:rsidR="001D7655" w:rsidRPr="001D7655" w:rsidRDefault="001D7655" w:rsidP="001D7655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>- добыча полезных ископаемых – 102,5</w:t>
      </w:r>
      <w:r w:rsidR="009C3AFF">
        <w:rPr>
          <w:sz w:val="28"/>
          <w:szCs w:val="28"/>
        </w:rPr>
        <w:t> </w:t>
      </w:r>
      <w:r w:rsidR="000D7061">
        <w:rPr>
          <w:sz w:val="28"/>
          <w:szCs w:val="28"/>
        </w:rPr>
        <w:t>проц.</w:t>
      </w:r>
    </w:p>
    <w:p w:rsidR="001D7655" w:rsidRPr="001D7655" w:rsidRDefault="001D7655" w:rsidP="001D7655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>- обрабатывающие производства – 100,2</w:t>
      </w:r>
      <w:r w:rsidR="009C3AFF">
        <w:rPr>
          <w:sz w:val="28"/>
          <w:szCs w:val="28"/>
        </w:rPr>
        <w:t> </w:t>
      </w:r>
      <w:r w:rsidR="000D7061">
        <w:rPr>
          <w:sz w:val="28"/>
          <w:szCs w:val="28"/>
        </w:rPr>
        <w:t>проц.</w:t>
      </w:r>
    </w:p>
    <w:p w:rsidR="001D7655" w:rsidRPr="001D7655" w:rsidRDefault="001D7655" w:rsidP="001D7655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>- водоснабжение, водоотведение – 101,9</w:t>
      </w:r>
      <w:r w:rsidR="009C3AFF">
        <w:rPr>
          <w:sz w:val="28"/>
          <w:szCs w:val="28"/>
        </w:rPr>
        <w:t> п</w:t>
      </w:r>
      <w:r w:rsidR="000D7061">
        <w:rPr>
          <w:sz w:val="28"/>
          <w:szCs w:val="28"/>
        </w:rPr>
        <w:t>роц.</w:t>
      </w:r>
    </w:p>
    <w:p w:rsidR="001D7655" w:rsidRPr="001D7655" w:rsidRDefault="001D7655" w:rsidP="001D7655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>Показатель по отрасли «Обеспечение электрической  энергией, газом и паром; кондиционирование воздуха»  не достиг прогнозного значения  и составил  91,9</w:t>
      </w:r>
      <w:r w:rsidR="009C3AF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1D7655">
        <w:rPr>
          <w:sz w:val="28"/>
          <w:szCs w:val="28"/>
        </w:rPr>
        <w:t xml:space="preserve">, что привело к </w:t>
      </w:r>
      <w:proofErr w:type="spellStart"/>
      <w:r w:rsidRPr="001D7655">
        <w:rPr>
          <w:sz w:val="28"/>
          <w:szCs w:val="28"/>
        </w:rPr>
        <w:t>недостижению</w:t>
      </w:r>
      <w:proofErr w:type="spellEnd"/>
      <w:r w:rsidRPr="001D7655">
        <w:rPr>
          <w:sz w:val="28"/>
          <w:szCs w:val="28"/>
        </w:rPr>
        <w:t xml:space="preserve"> прогнозного показателя по ИПП в целом </w:t>
      </w:r>
      <w:r w:rsidRPr="001D7655">
        <w:rPr>
          <w:sz w:val="28"/>
          <w:szCs w:val="28"/>
        </w:rPr>
        <w:br/>
        <w:t xml:space="preserve">по Ленинградской области. </w:t>
      </w:r>
    </w:p>
    <w:p w:rsidR="001D7655" w:rsidRPr="001D7655" w:rsidRDefault="001D7655" w:rsidP="001D7655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>Основное снижение товарной выручки по отрасли  произошло в результате:</w:t>
      </w:r>
    </w:p>
    <w:p w:rsidR="001D7655" w:rsidRPr="001D7655" w:rsidRDefault="001D7655" w:rsidP="001D7655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-  отрицательной динамики  стоимости электроэнергии, вырабатываемой </w:t>
      </w:r>
      <w:r w:rsidRPr="001D7655">
        <w:rPr>
          <w:sz w:val="28"/>
          <w:szCs w:val="28"/>
        </w:rPr>
        <w:br/>
        <w:t>АО «ТГК-1» и поставляемой на экспорт в Финляндию;</w:t>
      </w:r>
    </w:p>
    <w:p w:rsidR="001D7655" w:rsidRPr="009A35B6" w:rsidRDefault="001D7655" w:rsidP="001D7655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- снижения объема производства электроэнергии ПАО «ОГК-2» - </w:t>
      </w:r>
      <w:proofErr w:type="spellStart"/>
      <w:r w:rsidRPr="001D7655">
        <w:rPr>
          <w:sz w:val="28"/>
          <w:szCs w:val="28"/>
        </w:rPr>
        <w:t>Киришская</w:t>
      </w:r>
      <w:proofErr w:type="spellEnd"/>
      <w:r w:rsidRPr="001D7655">
        <w:rPr>
          <w:sz w:val="28"/>
          <w:szCs w:val="28"/>
        </w:rPr>
        <w:t xml:space="preserve"> ГРЭС относительно 2019 года в связи со снижением загрузки генерирующих мощностей филиала</w:t>
      </w:r>
      <w:r w:rsidRPr="009A35B6">
        <w:rPr>
          <w:sz w:val="28"/>
          <w:szCs w:val="28"/>
        </w:rPr>
        <w:t xml:space="preserve"> из-за общего снижения потребления в стране;</w:t>
      </w:r>
    </w:p>
    <w:p w:rsidR="001D7655" w:rsidRPr="009A35B6" w:rsidRDefault="001D7655" w:rsidP="001D7655">
      <w:pPr>
        <w:ind w:firstLine="709"/>
        <w:jc w:val="both"/>
        <w:rPr>
          <w:sz w:val="28"/>
          <w:szCs w:val="28"/>
        </w:rPr>
      </w:pPr>
      <w:r w:rsidRPr="009A35B6">
        <w:rPr>
          <w:sz w:val="28"/>
          <w:szCs w:val="28"/>
        </w:rPr>
        <w:t>- снижения реализации электр</w:t>
      </w:r>
      <w:proofErr w:type="gramStart"/>
      <w:r w:rsidRPr="009A35B6">
        <w:rPr>
          <w:sz w:val="28"/>
          <w:szCs w:val="28"/>
        </w:rPr>
        <w:t>о-</w:t>
      </w:r>
      <w:proofErr w:type="gramEnd"/>
      <w:r w:rsidRPr="009A35B6">
        <w:rPr>
          <w:sz w:val="28"/>
          <w:szCs w:val="28"/>
        </w:rPr>
        <w:t xml:space="preserve"> и </w:t>
      </w:r>
      <w:proofErr w:type="spellStart"/>
      <w:r w:rsidRPr="009A35B6">
        <w:rPr>
          <w:sz w:val="28"/>
          <w:szCs w:val="28"/>
        </w:rPr>
        <w:t>теплоэнергии</w:t>
      </w:r>
      <w:proofErr w:type="spellEnd"/>
      <w:r w:rsidRPr="009A35B6">
        <w:rPr>
          <w:sz w:val="28"/>
          <w:szCs w:val="28"/>
        </w:rPr>
        <w:t xml:space="preserve"> АО </w:t>
      </w:r>
      <w:r>
        <w:rPr>
          <w:sz w:val="28"/>
          <w:szCs w:val="28"/>
        </w:rPr>
        <w:t>«</w:t>
      </w:r>
      <w:r w:rsidRPr="009A35B6">
        <w:rPr>
          <w:sz w:val="28"/>
          <w:szCs w:val="28"/>
        </w:rPr>
        <w:t>Концерн Росэнергоатом</w:t>
      </w:r>
      <w:r>
        <w:rPr>
          <w:sz w:val="28"/>
          <w:szCs w:val="28"/>
        </w:rPr>
        <w:t>»</w:t>
      </w:r>
      <w:r w:rsidRPr="009A35B6">
        <w:rPr>
          <w:sz w:val="28"/>
          <w:szCs w:val="28"/>
        </w:rPr>
        <w:t xml:space="preserve"> в связи с проведением ремонтных работ на основании </w:t>
      </w:r>
      <w:r>
        <w:rPr>
          <w:sz w:val="28"/>
          <w:szCs w:val="28"/>
        </w:rPr>
        <w:t>«</w:t>
      </w:r>
      <w:r w:rsidRPr="009A35B6">
        <w:rPr>
          <w:sz w:val="28"/>
          <w:szCs w:val="28"/>
        </w:rPr>
        <w:t>Графика ремонта энергоблоков № 2-5 Ленинградской АЭС в 2020 году</w:t>
      </w:r>
      <w:r>
        <w:rPr>
          <w:sz w:val="28"/>
          <w:szCs w:val="28"/>
        </w:rPr>
        <w:t>»</w:t>
      </w:r>
      <w:r w:rsidRPr="009A35B6">
        <w:rPr>
          <w:sz w:val="28"/>
          <w:szCs w:val="28"/>
        </w:rPr>
        <w:t>.</w:t>
      </w:r>
    </w:p>
    <w:p w:rsidR="001D7655" w:rsidRDefault="001D7655" w:rsidP="001D7655">
      <w:pPr>
        <w:tabs>
          <w:tab w:val="left" w:pos="708"/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DB68DC">
        <w:rPr>
          <w:b/>
          <w:i/>
          <w:sz w:val="28"/>
          <w:szCs w:val="28"/>
        </w:rPr>
        <w:t xml:space="preserve">Объем отгруженных товаров собственного производства, выполненных работ и услуг </w:t>
      </w:r>
      <w:r w:rsidRPr="00DB68DC">
        <w:rPr>
          <w:sz w:val="28"/>
          <w:szCs w:val="28"/>
        </w:rPr>
        <w:t>по всем основным видам промышленной деятельности в 20</w:t>
      </w:r>
      <w:r>
        <w:rPr>
          <w:sz w:val="28"/>
          <w:szCs w:val="28"/>
        </w:rPr>
        <w:t>20</w:t>
      </w:r>
      <w:r w:rsidRPr="00DB68D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B68DC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1 266,39</w:t>
      </w:r>
      <w:r w:rsidRPr="00DB68DC">
        <w:rPr>
          <w:sz w:val="28"/>
          <w:szCs w:val="28"/>
        </w:rPr>
        <w:t xml:space="preserve"> </w:t>
      </w:r>
      <w:proofErr w:type="gramStart"/>
      <w:r w:rsidRPr="00DB68DC">
        <w:rPr>
          <w:sz w:val="28"/>
          <w:szCs w:val="28"/>
        </w:rPr>
        <w:t>млрд</w:t>
      </w:r>
      <w:proofErr w:type="gramEnd"/>
      <w:r w:rsidRPr="00DB68D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DB68DC">
        <w:rPr>
          <w:sz w:val="28"/>
          <w:szCs w:val="28"/>
        </w:rPr>
        <w:t xml:space="preserve"> </w:t>
      </w:r>
      <w:r w:rsidRPr="00DB68DC">
        <w:rPr>
          <w:bCs/>
          <w:sz w:val="28"/>
          <w:szCs w:val="28"/>
        </w:rPr>
        <w:t>Наибольший прирост объема отгруженной продукции отмечается</w:t>
      </w:r>
      <w:r w:rsidRPr="00DC6570">
        <w:rPr>
          <w:bCs/>
          <w:sz w:val="28"/>
          <w:szCs w:val="28"/>
        </w:rPr>
        <w:t xml:space="preserve"> </w:t>
      </w:r>
      <w:r w:rsidRPr="00DB68DC">
        <w:rPr>
          <w:bCs/>
          <w:sz w:val="28"/>
          <w:szCs w:val="28"/>
        </w:rPr>
        <w:t xml:space="preserve">в производстве </w:t>
      </w:r>
      <w:r w:rsidRPr="009A35B6">
        <w:rPr>
          <w:bCs/>
          <w:sz w:val="28"/>
          <w:szCs w:val="28"/>
          <w:lang w:eastAsia="en-US"/>
        </w:rPr>
        <w:t xml:space="preserve">лекарственных средств и материалов, применяемых </w:t>
      </w:r>
      <w:r>
        <w:rPr>
          <w:bCs/>
          <w:sz w:val="28"/>
          <w:szCs w:val="28"/>
          <w:lang w:eastAsia="en-US"/>
        </w:rPr>
        <w:br/>
      </w:r>
      <w:r w:rsidRPr="009A35B6">
        <w:rPr>
          <w:bCs/>
          <w:sz w:val="28"/>
          <w:szCs w:val="28"/>
          <w:lang w:eastAsia="en-US"/>
        </w:rPr>
        <w:t>в медицинских целях</w:t>
      </w:r>
      <w:r w:rsidRPr="00DB68D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в 7,9 р.</w:t>
      </w:r>
      <w:r w:rsidRPr="00DB68DC">
        <w:rPr>
          <w:bCs/>
          <w:sz w:val="28"/>
          <w:szCs w:val="28"/>
        </w:rPr>
        <w:t xml:space="preserve">), в </w:t>
      </w:r>
      <w:r w:rsidRPr="009A35B6">
        <w:rPr>
          <w:bCs/>
          <w:sz w:val="28"/>
          <w:szCs w:val="28"/>
          <w:lang w:eastAsia="en-US"/>
        </w:rPr>
        <w:t>полиграфическ</w:t>
      </w:r>
      <w:r>
        <w:rPr>
          <w:bCs/>
          <w:sz w:val="28"/>
          <w:szCs w:val="28"/>
          <w:lang w:eastAsia="en-US"/>
        </w:rPr>
        <w:t>ой деятельности</w:t>
      </w:r>
      <w:r w:rsidRPr="009A35B6">
        <w:rPr>
          <w:bCs/>
          <w:sz w:val="28"/>
          <w:szCs w:val="28"/>
          <w:lang w:eastAsia="en-US"/>
        </w:rPr>
        <w:t xml:space="preserve"> и копирование носителей информации</w:t>
      </w:r>
      <w:r w:rsidRPr="00DB68D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в 1,6 р.</w:t>
      </w:r>
      <w:r w:rsidRPr="00DB68DC">
        <w:rPr>
          <w:bCs/>
          <w:sz w:val="28"/>
          <w:szCs w:val="28"/>
        </w:rPr>
        <w:t xml:space="preserve">), а также в производстве </w:t>
      </w:r>
      <w:r>
        <w:rPr>
          <w:bCs/>
          <w:sz w:val="28"/>
          <w:szCs w:val="28"/>
        </w:rPr>
        <w:t>текстильных изделий</w:t>
      </w:r>
      <w:r w:rsidRPr="00DB68DC">
        <w:rPr>
          <w:b/>
          <w:bCs/>
          <w:i/>
          <w:sz w:val="28"/>
          <w:szCs w:val="28"/>
        </w:rPr>
        <w:t xml:space="preserve"> </w:t>
      </w:r>
      <w:r w:rsidRPr="00DB68DC">
        <w:rPr>
          <w:bCs/>
          <w:sz w:val="28"/>
          <w:szCs w:val="28"/>
        </w:rPr>
        <w:t>(на 2</w:t>
      </w:r>
      <w:r>
        <w:rPr>
          <w:bCs/>
          <w:sz w:val="28"/>
          <w:szCs w:val="28"/>
        </w:rPr>
        <w:t>8</w:t>
      </w:r>
      <w:r w:rsidRPr="00DB68DC">
        <w:rPr>
          <w:bCs/>
          <w:sz w:val="28"/>
          <w:szCs w:val="28"/>
        </w:rPr>
        <w:t>,8</w:t>
      </w:r>
      <w:r w:rsidR="009C3AFF">
        <w:rPr>
          <w:bCs/>
          <w:sz w:val="28"/>
          <w:szCs w:val="28"/>
        </w:rPr>
        <w:t xml:space="preserve"> </w:t>
      </w:r>
      <w:r w:rsidR="000D7061">
        <w:rPr>
          <w:bCs/>
          <w:sz w:val="28"/>
          <w:szCs w:val="28"/>
        </w:rPr>
        <w:t>проц.</w:t>
      </w:r>
      <w:r w:rsidRPr="00DB68DC">
        <w:rPr>
          <w:bCs/>
          <w:sz w:val="28"/>
          <w:szCs w:val="28"/>
        </w:rPr>
        <w:t>).</w:t>
      </w:r>
    </w:p>
    <w:p w:rsidR="00D15B89" w:rsidRDefault="00D15B89" w:rsidP="00D15B89">
      <w:pPr>
        <w:ind w:firstLine="709"/>
        <w:jc w:val="both"/>
        <w:rPr>
          <w:bCs/>
          <w:sz w:val="28"/>
          <w:szCs w:val="28"/>
        </w:rPr>
      </w:pPr>
      <w:r w:rsidRPr="00DB68DC">
        <w:rPr>
          <w:bCs/>
          <w:sz w:val="28"/>
          <w:szCs w:val="28"/>
        </w:rPr>
        <w:t>Снижение объема отгруженной продукции более чем на 10</w:t>
      </w:r>
      <w:r w:rsidR="009C3AFF">
        <w:rPr>
          <w:bCs/>
          <w:sz w:val="28"/>
          <w:szCs w:val="28"/>
        </w:rPr>
        <w:t xml:space="preserve"> </w:t>
      </w:r>
      <w:r w:rsidR="000D7061">
        <w:rPr>
          <w:bCs/>
          <w:sz w:val="28"/>
          <w:szCs w:val="28"/>
        </w:rPr>
        <w:t>проц.</w:t>
      </w:r>
      <w:r w:rsidRPr="00DB68DC">
        <w:rPr>
          <w:bCs/>
          <w:sz w:val="28"/>
          <w:szCs w:val="28"/>
        </w:rPr>
        <w:t xml:space="preserve"> отмечается в </w:t>
      </w:r>
      <w:r>
        <w:rPr>
          <w:bCs/>
          <w:sz w:val="28"/>
          <w:szCs w:val="28"/>
        </w:rPr>
        <w:t>следующих</w:t>
      </w:r>
      <w:r w:rsidRPr="00DB68DC">
        <w:rPr>
          <w:bCs/>
          <w:sz w:val="28"/>
          <w:szCs w:val="28"/>
        </w:rPr>
        <w:t xml:space="preserve"> отраслях промышленности, в том числе:</w:t>
      </w:r>
    </w:p>
    <w:p w:rsidR="00D15B89" w:rsidRPr="00086E26" w:rsidRDefault="00D15B89" w:rsidP="00D15B89">
      <w:pPr>
        <w:pStyle w:val="14"/>
        <w:spacing w:after="0" w:line="240" w:lineRule="auto"/>
        <w:rPr>
          <w:bCs/>
          <w:color w:val="000000" w:themeColor="text1"/>
          <w:sz w:val="26"/>
          <w:szCs w:val="26"/>
        </w:rPr>
      </w:pPr>
      <w:r w:rsidRPr="00086E26">
        <w:rPr>
          <w:color w:val="000000" w:themeColor="text1"/>
          <w:szCs w:val="28"/>
        </w:rPr>
        <w:lastRenderedPageBreak/>
        <w:t>- производстве прочих транспортных средств и оборудования объем отгруженных товаров уменьшился на 19,4</w:t>
      </w:r>
      <w:r w:rsidR="009C3AFF">
        <w:rPr>
          <w:color w:val="000000" w:themeColor="text1"/>
          <w:szCs w:val="28"/>
        </w:rPr>
        <w:t xml:space="preserve"> </w:t>
      </w:r>
      <w:r w:rsidR="000D7061">
        <w:rPr>
          <w:color w:val="000000" w:themeColor="text1"/>
          <w:szCs w:val="28"/>
        </w:rPr>
        <w:t>проц.</w:t>
      </w:r>
      <w:r w:rsidRPr="00086E26">
        <w:rPr>
          <w:color w:val="000000" w:themeColor="text1"/>
          <w:szCs w:val="28"/>
        </w:rPr>
        <w:t xml:space="preserve"> и составил 86,1 </w:t>
      </w:r>
      <w:proofErr w:type="gramStart"/>
      <w:r w:rsidRPr="00086E26">
        <w:rPr>
          <w:color w:val="000000" w:themeColor="text1"/>
          <w:szCs w:val="28"/>
        </w:rPr>
        <w:t>млрд</w:t>
      </w:r>
      <w:proofErr w:type="gramEnd"/>
      <w:r w:rsidRPr="00086E26">
        <w:rPr>
          <w:color w:val="000000" w:themeColor="text1"/>
          <w:szCs w:val="28"/>
        </w:rPr>
        <w:t xml:space="preserve"> руб. В связи </w:t>
      </w:r>
      <w:r w:rsidRPr="00086E26">
        <w:rPr>
          <w:color w:val="000000" w:themeColor="text1"/>
          <w:szCs w:val="28"/>
        </w:rPr>
        <w:br/>
        <w:t xml:space="preserve">с сокращением производства на АО </w:t>
      </w:r>
      <w:r>
        <w:rPr>
          <w:color w:val="000000" w:themeColor="text1"/>
          <w:szCs w:val="28"/>
        </w:rPr>
        <w:t>«</w:t>
      </w:r>
      <w:r w:rsidRPr="00086E26">
        <w:rPr>
          <w:color w:val="000000" w:themeColor="text1"/>
          <w:szCs w:val="28"/>
        </w:rPr>
        <w:t>ТВСЗ</w:t>
      </w:r>
      <w:r>
        <w:rPr>
          <w:color w:val="000000" w:themeColor="text1"/>
          <w:szCs w:val="28"/>
        </w:rPr>
        <w:t>»</w:t>
      </w:r>
      <w:r w:rsidRPr="00086E26">
        <w:rPr>
          <w:color w:val="000000" w:themeColor="text1"/>
          <w:szCs w:val="28"/>
        </w:rPr>
        <w:t xml:space="preserve">, АО </w:t>
      </w:r>
      <w:r>
        <w:rPr>
          <w:color w:val="000000" w:themeColor="text1"/>
          <w:szCs w:val="28"/>
        </w:rPr>
        <w:t>«</w:t>
      </w:r>
      <w:proofErr w:type="spellStart"/>
      <w:r w:rsidRPr="00086E26">
        <w:rPr>
          <w:color w:val="000000" w:themeColor="text1"/>
          <w:szCs w:val="28"/>
        </w:rPr>
        <w:t>ТихвинСпецМаш</w:t>
      </w:r>
      <w:proofErr w:type="spellEnd"/>
      <w:r>
        <w:rPr>
          <w:color w:val="000000" w:themeColor="text1"/>
          <w:szCs w:val="28"/>
        </w:rPr>
        <w:t>»</w:t>
      </w:r>
      <w:r w:rsidRPr="00086E26">
        <w:rPr>
          <w:color w:val="000000" w:themeColor="text1"/>
          <w:szCs w:val="28"/>
        </w:rPr>
        <w:t xml:space="preserve"> по причине снижения спроса на новые вагоны.</w:t>
      </w:r>
    </w:p>
    <w:p w:rsidR="00D15B89" w:rsidRPr="00086E26" w:rsidRDefault="00D15B89" w:rsidP="00D15B89">
      <w:pPr>
        <w:ind w:firstLine="709"/>
        <w:jc w:val="both"/>
        <w:rPr>
          <w:color w:val="000000" w:themeColor="text1"/>
          <w:sz w:val="28"/>
          <w:szCs w:val="28"/>
        </w:rPr>
      </w:pPr>
      <w:r w:rsidRPr="00086E26">
        <w:rPr>
          <w:color w:val="000000" w:themeColor="text1"/>
          <w:sz w:val="28"/>
          <w:szCs w:val="28"/>
        </w:rPr>
        <w:t>- в производстве кокса и нефтепродуктов объем отгруженных товаров уменьшился на 26,6</w:t>
      </w:r>
      <w:r w:rsidR="009C3AFF">
        <w:rPr>
          <w:color w:val="000000" w:themeColor="text1"/>
          <w:sz w:val="28"/>
          <w:szCs w:val="28"/>
        </w:rPr>
        <w:t xml:space="preserve"> </w:t>
      </w:r>
      <w:r w:rsidR="000D7061">
        <w:rPr>
          <w:color w:val="000000" w:themeColor="text1"/>
          <w:sz w:val="28"/>
          <w:szCs w:val="28"/>
        </w:rPr>
        <w:t>проц.</w:t>
      </w:r>
      <w:r w:rsidRPr="00086E26">
        <w:rPr>
          <w:color w:val="000000" w:themeColor="text1"/>
          <w:sz w:val="28"/>
          <w:szCs w:val="28"/>
        </w:rPr>
        <w:t xml:space="preserve"> и составил 197,83 </w:t>
      </w:r>
      <w:proofErr w:type="gramStart"/>
      <w:r w:rsidRPr="00086E26">
        <w:rPr>
          <w:color w:val="000000" w:themeColor="text1"/>
          <w:sz w:val="28"/>
          <w:szCs w:val="28"/>
        </w:rPr>
        <w:t>млрд</w:t>
      </w:r>
      <w:proofErr w:type="gramEnd"/>
      <w:r w:rsidRPr="00086E26">
        <w:rPr>
          <w:color w:val="000000" w:themeColor="text1"/>
          <w:sz w:val="28"/>
          <w:szCs w:val="28"/>
        </w:rPr>
        <w:t xml:space="preserve"> руб. В связи с тем, что </w:t>
      </w:r>
      <w:r w:rsidRPr="00086E26">
        <w:rPr>
          <w:color w:val="000000" w:themeColor="text1"/>
          <w:sz w:val="28"/>
          <w:szCs w:val="28"/>
        </w:rPr>
        <w:br/>
        <w:t xml:space="preserve">ООО </w:t>
      </w:r>
      <w:r>
        <w:rPr>
          <w:color w:val="000000" w:themeColor="text1"/>
          <w:sz w:val="28"/>
          <w:szCs w:val="28"/>
        </w:rPr>
        <w:t>«</w:t>
      </w:r>
      <w:r w:rsidRPr="00086E26">
        <w:rPr>
          <w:color w:val="000000" w:themeColor="text1"/>
          <w:sz w:val="28"/>
          <w:szCs w:val="28"/>
        </w:rPr>
        <w:t>КИНЕФ</w:t>
      </w:r>
      <w:r>
        <w:rPr>
          <w:color w:val="000000" w:themeColor="text1"/>
          <w:sz w:val="28"/>
          <w:szCs w:val="28"/>
        </w:rPr>
        <w:t>»</w:t>
      </w:r>
      <w:r w:rsidRPr="00086E26">
        <w:rPr>
          <w:color w:val="000000" w:themeColor="text1"/>
          <w:sz w:val="28"/>
          <w:szCs w:val="28"/>
        </w:rPr>
        <w:t xml:space="preserve"> перешло на 100</w:t>
      </w:r>
      <w:r w:rsidR="009C3AFF">
        <w:rPr>
          <w:color w:val="000000" w:themeColor="text1"/>
          <w:sz w:val="28"/>
          <w:szCs w:val="28"/>
        </w:rPr>
        <w:t>-</w:t>
      </w:r>
      <w:r w:rsidR="000D7061">
        <w:rPr>
          <w:color w:val="000000" w:themeColor="text1"/>
          <w:sz w:val="28"/>
          <w:szCs w:val="28"/>
        </w:rPr>
        <w:t>проц.</w:t>
      </w:r>
      <w:r w:rsidRPr="00086E26">
        <w:rPr>
          <w:color w:val="000000" w:themeColor="text1"/>
          <w:sz w:val="28"/>
          <w:szCs w:val="28"/>
        </w:rPr>
        <w:t xml:space="preserve"> процессинг и работает на давальческом сырье</w:t>
      </w:r>
      <w:r>
        <w:rPr>
          <w:color w:val="000000" w:themeColor="text1"/>
          <w:sz w:val="28"/>
          <w:szCs w:val="28"/>
        </w:rPr>
        <w:t xml:space="preserve"> и поэтому </w:t>
      </w:r>
      <w:r w:rsidRPr="00086E26">
        <w:rPr>
          <w:color w:val="000000" w:themeColor="text1"/>
          <w:sz w:val="28"/>
          <w:szCs w:val="28"/>
        </w:rPr>
        <w:t>часть отгрузки уходит в отчет Сургутнефтегаза. Кроме того, снижение связано</w:t>
      </w:r>
      <w:r>
        <w:rPr>
          <w:color w:val="000000" w:themeColor="text1"/>
          <w:sz w:val="28"/>
          <w:szCs w:val="28"/>
        </w:rPr>
        <w:t xml:space="preserve"> </w:t>
      </w:r>
      <w:r w:rsidRPr="00086E26">
        <w:rPr>
          <w:color w:val="000000" w:themeColor="text1"/>
          <w:sz w:val="28"/>
          <w:szCs w:val="28"/>
        </w:rPr>
        <w:t xml:space="preserve">с колебаниями цены на нефть и нефтепродукты. По данным Министерства финансов РФ, средняя цена нефти марки </w:t>
      </w:r>
      <w:proofErr w:type="spellStart"/>
      <w:r w:rsidRPr="00086E26">
        <w:rPr>
          <w:color w:val="000000" w:themeColor="text1"/>
          <w:sz w:val="28"/>
          <w:szCs w:val="28"/>
        </w:rPr>
        <w:t>Urals</w:t>
      </w:r>
      <w:proofErr w:type="spellEnd"/>
      <w:r w:rsidRPr="00086E26">
        <w:rPr>
          <w:color w:val="000000" w:themeColor="text1"/>
          <w:sz w:val="28"/>
          <w:szCs w:val="28"/>
        </w:rPr>
        <w:t xml:space="preserve"> по итогам 2020 года составила </w:t>
      </w:r>
      <w:r>
        <w:rPr>
          <w:color w:val="000000" w:themeColor="text1"/>
          <w:sz w:val="28"/>
          <w:szCs w:val="28"/>
        </w:rPr>
        <w:t xml:space="preserve"> </w:t>
      </w:r>
      <w:r w:rsidRPr="00086E26">
        <w:rPr>
          <w:color w:val="000000" w:themeColor="text1"/>
          <w:sz w:val="28"/>
          <w:szCs w:val="28"/>
        </w:rPr>
        <w:t>41,73</w:t>
      </w:r>
      <w:r>
        <w:rPr>
          <w:color w:val="000000" w:themeColor="text1"/>
          <w:sz w:val="28"/>
          <w:szCs w:val="28"/>
        </w:rPr>
        <w:t> </w:t>
      </w:r>
      <w:r w:rsidRPr="00086E26">
        <w:rPr>
          <w:color w:val="000000" w:themeColor="text1"/>
          <w:sz w:val="28"/>
          <w:szCs w:val="28"/>
        </w:rPr>
        <w:t xml:space="preserve">долл. США за баррель, а 2019 году средняя цена на нефть </w:t>
      </w:r>
      <w:proofErr w:type="spellStart"/>
      <w:r w:rsidRPr="00086E26">
        <w:rPr>
          <w:color w:val="000000" w:themeColor="text1"/>
          <w:sz w:val="28"/>
          <w:szCs w:val="28"/>
        </w:rPr>
        <w:t>Urals</w:t>
      </w:r>
      <w:proofErr w:type="spellEnd"/>
      <w:r w:rsidRPr="00086E26">
        <w:rPr>
          <w:color w:val="000000" w:themeColor="text1"/>
          <w:sz w:val="28"/>
          <w:szCs w:val="28"/>
        </w:rPr>
        <w:t xml:space="preserve"> находилась</w:t>
      </w:r>
      <w:r>
        <w:rPr>
          <w:color w:val="000000" w:themeColor="text1"/>
          <w:sz w:val="28"/>
          <w:szCs w:val="28"/>
        </w:rPr>
        <w:t xml:space="preserve"> </w:t>
      </w:r>
      <w:r w:rsidRPr="00086E26">
        <w:rPr>
          <w:color w:val="000000" w:themeColor="text1"/>
          <w:sz w:val="28"/>
          <w:szCs w:val="28"/>
        </w:rPr>
        <w:t>на уровне 63,59 долл. США;</w:t>
      </w:r>
    </w:p>
    <w:p w:rsidR="00D15B89" w:rsidRDefault="00D15B89" w:rsidP="00D15B89">
      <w:pPr>
        <w:pStyle w:val="14"/>
        <w:spacing w:after="0" w:line="240" w:lineRule="auto"/>
        <w:rPr>
          <w:szCs w:val="28"/>
        </w:rPr>
      </w:pPr>
      <w:r w:rsidRPr="00086E26">
        <w:rPr>
          <w:color w:val="000000" w:themeColor="text1"/>
          <w:szCs w:val="28"/>
        </w:rPr>
        <w:t>- в производстве автотранспортных средств, прицепов и полуприцепов</w:t>
      </w:r>
      <w:r w:rsidRPr="00086E26">
        <w:rPr>
          <w:color w:val="000000" w:themeColor="text1"/>
          <w:szCs w:val="28"/>
        </w:rPr>
        <w:br/>
        <w:t>объем отгруженных товаров уменьшился на 19,3</w:t>
      </w:r>
      <w:r w:rsidR="009C3AFF">
        <w:rPr>
          <w:color w:val="000000" w:themeColor="text1"/>
          <w:szCs w:val="28"/>
        </w:rPr>
        <w:t xml:space="preserve"> </w:t>
      </w:r>
      <w:r w:rsidR="000D7061">
        <w:rPr>
          <w:color w:val="000000" w:themeColor="text1"/>
          <w:szCs w:val="28"/>
        </w:rPr>
        <w:t>проц.</w:t>
      </w:r>
      <w:r w:rsidRPr="00086E26">
        <w:rPr>
          <w:color w:val="000000" w:themeColor="text1"/>
          <w:szCs w:val="28"/>
        </w:rPr>
        <w:t xml:space="preserve"> и составил 15,37 </w:t>
      </w:r>
      <w:r w:rsidRPr="00DB68DC">
        <w:rPr>
          <w:szCs w:val="28"/>
        </w:rPr>
        <w:t>млрд руб</w:t>
      </w:r>
      <w:r>
        <w:rPr>
          <w:szCs w:val="28"/>
        </w:rPr>
        <w:t>.</w:t>
      </w:r>
      <w:r w:rsidRPr="009A35B6">
        <w:rPr>
          <w:szCs w:val="28"/>
        </w:rPr>
        <w:t xml:space="preserve"> </w:t>
      </w:r>
      <w:r>
        <w:rPr>
          <w:szCs w:val="28"/>
        </w:rPr>
        <w:t xml:space="preserve">Снижение </w:t>
      </w:r>
      <w:r w:rsidRPr="009A35B6">
        <w:rPr>
          <w:szCs w:val="28"/>
        </w:rPr>
        <w:t xml:space="preserve">обусловлено сокращением производства производителями </w:t>
      </w:r>
      <w:proofErr w:type="spellStart"/>
      <w:r w:rsidRPr="009A35B6">
        <w:rPr>
          <w:szCs w:val="28"/>
        </w:rPr>
        <w:t>автокомпонентов</w:t>
      </w:r>
      <w:proofErr w:type="spellEnd"/>
      <w:r w:rsidRPr="009A35B6">
        <w:rPr>
          <w:szCs w:val="28"/>
        </w:rPr>
        <w:t xml:space="preserve"> региона (ООО </w:t>
      </w:r>
      <w:r>
        <w:rPr>
          <w:szCs w:val="28"/>
        </w:rPr>
        <w:t>«</w:t>
      </w:r>
      <w:proofErr w:type="spellStart"/>
      <w:r w:rsidRPr="009A35B6">
        <w:rPr>
          <w:szCs w:val="28"/>
        </w:rPr>
        <w:t>Динекс</w:t>
      </w:r>
      <w:proofErr w:type="spellEnd"/>
      <w:r w:rsidRPr="009A35B6">
        <w:rPr>
          <w:szCs w:val="28"/>
        </w:rPr>
        <w:t xml:space="preserve"> Русь</w:t>
      </w:r>
      <w:r>
        <w:rPr>
          <w:szCs w:val="28"/>
        </w:rPr>
        <w:t>»</w:t>
      </w:r>
      <w:r w:rsidRPr="009A35B6">
        <w:rPr>
          <w:szCs w:val="28"/>
        </w:rPr>
        <w:t xml:space="preserve">, ООО </w:t>
      </w:r>
      <w:r>
        <w:rPr>
          <w:szCs w:val="28"/>
        </w:rPr>
        <w:t>«</w:t>
      </w:r>
      <w:r w:rsidRPr="009A35B6">
        <w:rPr>
          <w:szCs w:val="28"/>
        </w:rPr>
        <w:t xml:space="preserve">МВ </w:t>
      </w:r>
      <w:r>
        <w:rPr>
          <w:szCs w:val="28"/>
        </w:rPr>
        <w:t>«</w:t>
      </w:r>
      <w:r w:rsidRPr="009A35B6">
        <w:rPr>
          <w:szCs w:val="28"/>
        </w:rPr>
        <w:t>Кингисепп</w:t>
      </w:r>
      <w:r>
        <w:rPr>
          <w:szCs w:val="28"/>
        </w:rPr>
        <w:t>»</w:t>
      </w:r>
      <w:r w:rsidRPr="009A35B6">
        <w:rPr>
          <w:szCs w:val="28"/>
        </w:rPr>
        <w:t xml:space="preserve">, </w:t>
      </w:r>
      <w:r>
        <w:rPr>
          <w:szCs w:val="28"/>
        </w:rPr>
        <w:t xml:space="preserve">            </w:t>
      </w:r>
      <w:r w:rsidRPr="009A35B6">
        <w:rPr>
          <w:szCs w:val="28"/>
        </w:rPr>
        <w:t xml:space="preserve">ООО </w:t>
      </w:r>
      <w:r>
        <w:rPr>
          <w:szCs w:val="28"/>
        </w:rPr>
        <w:t>«</w:t>
      </w:r>
      <w:r w:rsidRPr="009A35B6">
        <w:rPr>
          <w:szCs w:val="28"/>
        </w:rPr>
        <w:t xml:space="preserve">Группа </w:t>
      </w:r>
      <w:r>
        <w:rPr>
          <w:szCs w:val="28"/>
        </w:rPr>
        <w:t>«</w:t>
      </w:r>
      <w:proofErr w:type="spellStart"/>
      <w:r w:rsidRPr="009A35B6">
        <w:rPr>
          <w:szCs w:val="28"/>
        </w:rPr>
        <w:t>Антолин</w:t>
      </w:r>
      <w:proofErr w:type="spellEnd"/>
      <w:r>
        <w:rPr>
          <w:szCs w:val="28"/>
        </w:rPr>
        <w:t>»</w:t>
      </w:r>
      <w:r w:rsidRPr="009A35B6">
        <w:rPr>
          <w:szCs w:val="28"/>
        </w:rPr>
        <w:t xml:space="preserve">, ООО </w:t>
      </w:r>
      <w:r>
        <w:rPr>
          <w:szCs w:val="28"/>
        </w:rPr>
        <w:t>«</w:t>
      </w:r>
      <w:proofErr w:type="spellStart"/>
      <w:r w:rsidRPr="009A35B6">
        <w:rPr>
          <w:szCs w:val="28"/>
        </w:rPr>
        <w:t>Ти</w:t>
      </w:r>
      <w:proofErr w:type="spellEnd"/>
      <w:proofErr w:type="gramStart"/>
      <w:r w:rsidRPr="009A35B6">
        <w:rPr>
          <w:szCs w:val="28"/>
        </w:rPr>
        <w:t xml:space="preserve"> А</w:t>
      </w:r>
      <w:proofErr w:type="gramEnd"/>
      <w:r w:rsidRPr="009A35B6">
        <w:rPr>
          <w:szCs w:val="28"/>
        </w:rPr>
        <w:t xml:space="preserve">й </w:t>
      </w:r>
      <w:proofErr w:type="spellStart"/>
      <w:r w:rsidRPr="009A35B6">
        <w:rPr>
          <w:szCs w:val="28"/>
        </w:rPr>
        <w:t>Аутомотив</w:t>
      </w:r>
      <w:proofErr w:type="spellEnd"/>
      <w:r>
        <w:rPr>
          <w:szCs w:val="28"/>
        </w:rPr>
        <w:t>»</w:t>
      </w:r>
      <w:r w:rsidRPr="009A35B6">
        <w:rPr>
          <w:szCs w:val="28"/>
        </w:rPr>
        <w:t xml:space="preserve">, ООО </w:t>
      </w:r>
      <w:r>
        <w:rPr>
          <w:szCs w:val="28"/>
        </w:rPr>
        <w:t>«</w:t>
      </w:r>
      <w:proofErr w:type="spellStart"/>
      <w:r w:rsidRPr="009A35B6">
        <w:rPr>
          <w:szCs w:val="28"/>
        </w:rPr>
        <w:t>Гестамп</w:t>
      </w:r>
      <w:proofErr w:type="spellEnd"/>
      <w:r w:rsidRPr="009A35B6">
        <w:rPr>
          <w:szCs w:val="28"/>
        </w:rPr>
        <w:t xml:space="preserve"> Северсталь Всеволожск</w:t>
      </w:r>
      <w:r>
        <w:rPr>
          <w:szCs w:val="28"/>
        </w:rPr>
        <w:t>»</w:t>
      </w:r>
      <w:r w:rsidRPr="009A35B6">
        <w:rPr>
          <w:szCs w:val="28"/>
        </w:rPr>
        <w:t xml:space="preserve">) частей и принадлежностей для автотранспортных средств, </w:t>
      </w:r>
      <w:r>
        <w:rPr>
          <w:szCs w:val="28"/>
        </w:rPr>
        <w:br/>
      </w:r>
      <w:r w:rsidRPr="009A35B6">
        <w:rPr>
          <w:szCs w:val="28"/>
        </w:rPr>
        <w:t>не включенных в другие группировки из-за продолжающегося падения мирового авторынка</w:t>
      </w:r>
      <w:r>
        <w:rPr>
          <w:szCs w:val="28"/>
        </w:rPr>
        <w:t>.</w:t>
      </w:r>
    </w:p>
    <w:p w:rsidR="00D15B89" w:rsidRPr="00D15B89" w:rsidRDefault="00D15B89" w:rsidP="00D15B89">
      <w:pPr>
        <w:pStyle w:val="14"/>
        <w:spacing w:after="0" w:line="240" w:lineRule="auto"/>
        <w:rPr>
          <w:szCs w:val="28"/>
        </w:rPr>
      </w:pPr>
      <w:r w:rsidRPr="009A35B6">
        <w:rPr>
          <w:szCs w:val="28"/>
        </w:rPr>
        <w:t>Основная причина снижения производств</w:t>
      </w:r>
      <w:proofErr w:type="gramStart"/>
      <w:r w:rsidRPr="009A35B6">
        <w:rPr>
          <w:szCs w:val="28"/>
        </w:rPr>
        <w:t>а ООО</w:t>
      </w:r>
      <w:proofErr w:type="gramEnd"/>
      <w:r w:rsidRPr="009A35B6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 w:rsidRPr="009A35B6">
        <w:rPr>
          <w:szCs w:val="28"/>
        </w:rPr>
        <w:t>Гестамп</w:t>
      </w:r>
      <w:proofErr w:type="spellEnd"/>
      <w:r w:rsidRPr="009A35B6">
        <w:rPr>
          <w:szCs w:val="28"/>
        </w:rPr>
        <w:t xml:space="preserve"> Северсталь Всеволожск</w:t>
      </w:r>
      <w:r>
        <w:rPr>
          <w:szCs w:val="28"/>
        </w:rPr>
        <w:t>»</w:t>
      </w:r>
      <w:r w:rsidRPr="009A35B6">
        <w:rPr>
          <w:szCs w:val="28"/>
        </w:rPr>
        <w:t xml:space="preserve"> заключается в том, что основным клиентом предприятия являлись заводы </w:t>
      </w:r>
      <w:r w:rsidRPr="00D15B89">
        <w:rPr>
          <w:szCs w:val="28"/>
        </w:rPr>
        <w:t xml:space="preserve">компании Форд, которая прекратила производство  легковых автомобилей </w:t>
      </w:r>
      <w:r w:rsidRPr="00D15B89">
        <w:rPr>
          <w:szCs w:val="28"/>
        </w:rPr>
        <w:br/>
        <w:t xml:space="preserve">в России, а также приостановила в 2020 году из-за </w:t>
      </w:r>
      <w:r w:rsidRPr="00D15B89">
        <w:rPr>
          <w:bCs/>
          <w:szCs w:val="28"/>
          <w:lang w:val="en-US"/>
        </w:rPr>
        <w:t>COVID</w:t>
      </w:r>
      <w:r w:rsidRPr="00D15B89">
        <w:rPr>
          <w:bCs/>
          <w:szCs w:val="28"/>
        </w:rPr>
        <w:t xml:space="preserve">-19 </w:t>
      </w:r>
      <w:r w:rsidRPr="00D15B89">
        <w:rPr>
          <w:szCs w:val="28"/>
        </w:rPr>
        <w:t xml:space="preserve">производство </w:t>
      </w:r>
      <w:r w:rsidRPr="00D15B89">
        <w:rPr>
          <w:szCs w:val="28"/>
        </w:rPr>
        <w:br/>
        <w:t>в зарубежных странах.</w:t>
      </w:r>
    </w:p>
    <w:p w:rsidR="00D15B89" w:rsidRPr="00D15B89" w:rsidRDefault="00D15B89" w:rsidP="00D15B89">
      <w:pPr>
        <w:ind w:firstLine="709"/>
        <w:jc w:val="both"/>
        <w:rPr>
          <w:iCs/>
          <w:sz w:val="28"/>
          <w:szCs w:val="28"/>
        </w:rPr>
      </w:pPr>
      <w:r w:rsidRPr="00D15B89">
        <w:rPr>
          <w:iCs/>
          <w:sz w:val="28"/>
          <w:szCs w:val="28"/>
        </w:rPr>
        <w:t xml:space="preserve">По результатам 2020 года электропотребление субъектов оптового рынка </w:t>
      </w:r>
      <w:r w:rsidRPr="00D15B89">
        <w:rPr>
          <w:iCs/>
          <w:sz w:val="28"/>
          <w:szCs w:val="28"/>
        </w:rPr>
        <w:br/>
        <w:t>по Ленинградской области составило 15 746,1 млн. кВт </w:t>
      </w:r>
      <w:proofErr w:type="gramStart"/>
      <w:r w:rsidRPr="00D15B89">
        <w:rPr>
          <w:iCs/>
          <w:sz w:val="28"/>
          <w:szCs w:val="28"/>
        </w:rPr>
        <w:t>ч</w:t>
      </w:r>
      <w:proofErr w:type="gramEnd"/>
      <w:r w:rsidRPr="00D15B89">
        <w:rPr>
          <w:iCs/>
          <w:sz w:val="28"/>
          <w:szCs w:val="28"/>
        </w:rPr>
        <w:t>, что на 4,6 </w:t>
      </w:r>
      <w:r w:rsidR="000D7061">
        <w:rPr>
          <w:iCs/>
          <w:sz w:val="28"/>
          <w:szCs w:val="28"/>
        </w:rPr>
        <w:t>проц.</w:t>
      </w:r>
      <w:r w:rsidRPr="00D15B89">
        <w:rPr>
          <w:iCs/>
          <w:sz w:val="28"/>
          <w:szCs w:val="28"/>
        </w:rPr>
        <w:t xml:space="preserve"> ниже планового показателя и на 1,8 </w:t>
      </w:r>
      <w:r w:rsidR="000D7061">
        <w:rPr>
          <w:iCs/>
          <w:sz w:val="28"/>
          <w:szCs w:val="28"/>
        </w:rPr>
        <w:t>проц.</w:t>
      </w:r>
      <w:r w:rsidRPr="00D15B89">
        <w:rPr>
          <w:iCs/>
          <w:sz w:val="28"/>
          <w:szCs w:val="28"/>
        </w:rPr>
        <w:t xml:space="preserve"> ниже фактического потребления за 2019 год.</w:t>
      </w:r>
    </w:p>
    <w:p w:rsidR="00D15B89" w:rsidRPr="00D15B89" w:rsidRDefault="00D15B89" w:rsidP="00D15B89">
      <w:pPr>
        <w:ind w:firstLine="709"/>
        <w:jc w:val="both"/>
        <w:rPr>
          <w:bCs/>
          <w:sz w:val="28"/>
          <w:szCs w:val="28"/>
        </w:rPr>
      </w:pPr>
      <w:r w:rsidRPr="00D15B89">
        <w:rPr>
          <w:bCs/>
          <w:sz w:val="28"/>
          <w:szCs w:val="28"/>
        </w:rPr>
        <w:t>В 2021 году продолжится стабилизация показателей в основных отраслях промышленности, индекс промышленного производства по полному кругу предприятий  составит по итогам года 103,3</w:t>
      </w:r>
      <w:r w:rsidR="009C3AFF">
        <w:rPr>
          <w:bCs/>
          <w:sz w:val="28"/>
          <w:szCs w:val="28"/>
        </w:rPr>
        <w:t xml:space="preserve"> </w:t>
      </w:r>
      <w:r w:rsidR="000D7061">
        <w:rPr>
          <w:bCs/>
          <w:sz w:val="28"/>
          <w:szCs w:val="28"/>
        </w:rPr>
        <w:t>проц.</w:t>
      </w:r>
      <w:r w:rsidRPr="00D15B89">
        <w:rPr>
          <w:bCs/>
          <w:sz w:val="28"/>
          <w:szCs w:val="28"/>
        </w:rPr>
        <w:t xml:space="preserve"> </w:t>
      </w:r>
    </w:p>
    <w:p w:rsidR="00D15B89" w:rsidRPr="00DD0107" w:rsidRDefault="00D15B89" w:rsidP="00D15B89">
      <w:pPr>
        <w:ind w:firstLine="709"/>
        <w:jc w:val="both"/>
        <w:rPr>
          <w:bCs/>
          <w:sz w:val="28"/>
          <w:szCs w:val="28"/>
        </w:rPr>
      </w:pPr>
      <w:proofErr w:type="gramStart"/>
      <w:r w:rsidRPr="00D15B89">
        <w:rPr>
          <w:bCs/>
          <w:sz w:val="28"/>
          <w:szCs w:val="28"/>
        </w:rPr>
        <w:t>Реализуемые Правительством Ленинградской области меры по обеспечению условий для развития промышленности, в том числе функционирование Центра развития промышленности Ленинградской области, призванного стать</w:t>
      </w:r>
      <w:r w:rsidRPr="00DD01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единым окном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 в Ленинградской области по оказанию услуг промышленным предприятиям по поиску бизнес-партнеров, расширению рынков сбыта продукции, получению мер государственной поддержки регионального и федерального уровня, развитию экспорта, внедрению новых технологий в промышленное производство, будут способствовать положительной динамике индекса</w:t>
      </w:r>
      <w:proofErr w:type="gramEnd"/>
      <w:r w:rsidRPr="00DD0107">
        <w:rPr>
          <w:bCs/>
          <w:sz w:val="28"/>
          <w:szCs w:val="28"/>
        </w:rPr>
        <w:t xml:space="preserve"> промышленного производства в основных отраслях промышленности в период до 2024 года включительно.</w:t>
      </w:r>
    </w:p>
    <w:p w:rsidR="00D15B89" w:rsidRPr="00DB68DC" w:rsidRDefault="00D15B89" w:rsidP="00D15B89">
      <w:pPr>
        <w:ind w:firstLine="709"/>
        <w:jc w:val="both"/>
        <w:rPr>
          <w:bCs/>
          <w:sz w:val="28"/>
          <w:szCs w:val="28"/>
        </w:rPr>
      </w:pPr>
      <w:r w:rsidRPr="00DD0107">
        <w:rPr>
          <w:bCs/>
          <w:sz w:val="28"/>
          <w:szCs w:val="28"/>
        </w:rPr>
        <w:t xml:space="preserve">Рост индекса прогнозируется за счет реализации инвестиционных проектов: </w:t>
      </w:r>
      <w:proofErr w:type="gramStart"/>
      <w:r w:rsidRPr="00DD0107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Галактика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ОРИМИ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 xml:space="preserve">ЯКОБС ДАУ ЭГБЕРТС РУС, </w:t>
      </w:r>
      <w:r w:rsidRPr="00DD0107">
        <w:rPr>
          <w:bCs/>
          <w:sz w:val="28"/>
          <w:szCs w:val="28"/>
        </w:rPr>
        <w:br/>
        <w:t xml:space="preserve">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Молочная Культура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ПИТ-Продукт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ООО </w:t>
      </w:r>
      <w:r>
        <w:rPr>
          <w:bCs/>
          <w:sz w:val="28"/>
          <w:szCs w:val="28"/>
        </w:rPr>
        <w:t>«</w:t>
      </w:r>
      <w:proofErr w:type="spellStart"/>
      <w:r w:rsidRPr="00DD0107">
        <w:rPr>
          <w:bCs/>
          <w:sz w:val="28"/>
          <w:szCs w:val="28"/>
        </w:rPr>
        <w:t>Аллер</w:t>
      </w:r>
      <w:proofErr w:type="spellEnd"/>
      <w:r w:rsidRPr="00DD0107">
        <w:rPr>
          <w:bCs/>
          <w:sz w:val="28"/>
          <w:szCs w:val="28"/>
        </w:rPr>
        <w:t xml:space="preserve"> </w:t>
      </w:r>
      <w:proofErr w:type="spellStart"/>
      <w:r w:rsidRPr="00DD0107">
        <w:rPr>
          <w:bCs/>
          <w:sz w:val="28"/>
          <w:szCs w:val="28"/>
        </w:rPr>
        <w:t>Петфуд</w:t>
      </w:r>
      <w:proofErr w:type="spellEnd"/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</w:t>
      </w:r>
      <w:r w:rsidRPr="00DD0107">
        <w:rPr>
          <w:bCs/>
          <w:sz w:val="28"/>
          <w:szCs w:val="28"/>
        </w:rPr>
        <w:br/>
      </w:r>
      <w:r w:rsidRPr="00DD0107">
        <w:rPr>
          <w:bCs/>
          <w:sz w:val="28"/>
          <w:szCs w:val="28"/>
        </w:rPr>
        <w:lastRenderedPageBreak/>
        <w:t xml:space="preserve">ЗАО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 xml:space="preserve">Птицефабрика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Северная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Всеволожский мясной двор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</w:t>
      </w:r>
      <w:r w:rsidRPr="00DD0107">
        <w:rPr>
          <w:bCs/>
          <w:sz w:val="28"/>
          <w:szCs w:val="28"/>
        </w:rPr>
        <w:br/>
        <w:t xml:space="preserve">ЗАО </w:t>
      </w:r>
      <w:r>
        <w:rPr>
          <w:bCs/>
          <w:sz w:val="28"/>
          <w:szCs w:val="28"/>
        </w:rPr>
        <w:t>«</w:t>
      </w:r>
      <w:proofErr w:type="spellStart"/>
      <w:r w:rsidRPr="00DD0107">
        <w:rPr>
          <w:bCs/>
          <w:sz w:val="28"/>
          <w:szCs w:val="28"/>
        </w:rPr>
        <w:t>Микельанджело</w:t>
      </w:r>
      <w:proofErr w:type="spellEnd"/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ООО </w:t>
      </w:r>
      <w:r>
        <w:rPr>
          <w:bCs/>
          <w:sz w:val="28"/>
          <w:szCs w:val="28"/>
        </w:rPr>
        <w:t>«</w:t>
      </w:r>
      <w:proofErr w:type="spellStart"/>
      <w:r w:rsidRPr="00DD0107">
        <w:rPr>
          <w:bCs/>
          <w:sz w:val="28"/>
          <w:szCs w:val="28"/>
        </w:rPr>
        <w:t>Роскар</w:t>
      </w:r>
      <w:proofErr w:type="spellEnd"/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ЗАО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Филип Моррис Ижора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DD0107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Тепловое оборудование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ООО </w:t>
      </w:r>
      <w:r>
        <w:rPr>
          <w:bCs/>
          <w:sz w:val="28"/>
          <w:szCs w:val="28"/>
        </w:rPr>
        <w:t>«</w:t>
      </w:r>
      <w:proofErr w:type="spellStart"/>
      <w:r w:rsidRPr="00DD0107">
        <w:rPr>
          <w:bCs/>
          <w:sz w:val="28"/>
          <w:szCs w:val="28"/>
        </w:rPr>
        <w:t>Нокиан</w:t>
      </w:r>
      <w:proofErr w:type="spellEnd"/>
      <w:r w:rsidRPr="00DD0107">
        <w:rPr>
          <w:bCs/>
          <w:sz w:val="28"/>
          <w:szCs w:val="28"/>
        </w:rPr>
        <w:t xml:space="preserve"> </w:t>
      </w:r>
      <w:proofErr w:type="spellStart"/>
      <w:r w:rsidRPr="00DD0107">
        <w:rPr>
          <w:bCs/>
          <w:sz w:val="28"/>
          <w:szCs w:val="28"/>
        </w:rPr>
        <w:t>тайерс</w:t>
      </w:r>
      <w:proofErr w:type="spellEnd"/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НАО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Северная звезда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DD0107">
        <w:rPr>
          <w:bCs/>
          <w:sz w:val="28"/>
          <w:szCs w:val="28"/>
        </w:rPr>
        <w:t>и других.</w:t>
      </w:r>
      <w:proofErr w:type="gramEnd"/>
    </w:p>
    <w:p w:rsidR="00D15B89" w:rsidRPr="005C468A" w:rsidRDefault="00D15B89" w:rsidP="00D15B89">
      <w:pPr>
        <w:ind w:firstLine="709"/>
        <w:jc w:val="both"/>
        <w:rPr>
          <w:bCs/>
          <w:sz w:val="28"/>
          <w:szCs w:val="28"/>
        </w:rPr>
      </w:pPr>
      <w:r w:rsidRPr="007926D2">
        <w:rPr>
          <w:bCs/>
          <w:sz w:val="28"/>
          <w:szCs w:val="28"/>
        </w:rPr>
        <w:t xml:space="preserve">В химической промышленности в связи с запуском предприятия </w:t>
      </w:r>
      <w:r w:rsidRPr="007926D2">
        <w:rPr>
          <w:bCs/>
          <w:sz w:val="28"/>
          <w:szCs w:val="28"/>
        </w:rPr>
        <w:br/>
        <w:t>по производству аммиака</w:t>
      </w:r>
      <w:r w:rsidRPr="00DD0107">
        <w:t xml:space="preserve"> </w:t>
      </w:r>
      <w:r>
        <w:rPr>
          <w:bCs/>
          <w:sz w:val="28"/>
          <w:szCs w:val="28"/>
        </w:rPr>
        <w:t>«</w:t>
      </w:r>
      <w:proofErr w:type="spellStart"/>
      <w:r w:rsidRPr="00DD0107">
        <w:rPr>
          <w:bCs/>
          <w:sz w:val="28"/>
          <w:szCs w:val="28"/>
        </w:rPr>
        <w:t>ЕвроХим</w:t>
      </w:r>
      <w:proofErr w:type="spellEnd"/>
      <w:r w:rsidRPr="00DD0107">
        <w:rPr>
          <w:bCs/>
          <w:sz w:val="28"/>
          <w:szCs w:val="28"/>
        </w:rPr>
        <w:t>-Северо-Запад</w:t>
      </w:r>
      <w:r>
        <w:rPr>
          <w:bCs/>
          <w:sz w:val="28"/>
          <w:szCs w:val="28"/>
        </w:rPr>
        <w:t xml:space="preserve">», </w:t>
      </w:r>
      <w:r w:rsidRPr="007926D2">
        <w:rPr>
          <w:bCs/>
          <w:sz w:val="28"/>
          <w:szCs w:val="28"/>
        </w:rPr>
        <w:t xml:space="preserve">развитию производства жидких и порошковых красок ООО </w:t>
      </w:r>
      <w:r>
        <w:rPr>
          <w:bCs/>
          <w:sz w:val="28"/>
          <w:szCs w:val="28"/>
        </w:rPr>
        <w:t>«</w:t>
      </w:r>
      <w:proofErr w:type="spellStart"/>
      <w:r w:rsidRPr="007926D2">
        <w:rPr>
          <w:bCs/>
          <w:sz w:val="28"/>
          <w:szCs w:val="28"/>
        </w:rPr>
        <w:t>Йотун</w:t>
      </w:r>
      <w:proofErr w:type="spellEnd"/>
      <w:r w:rsidRPr="007926D2">
        <w:rPr>
          <w:bCs/>
          <w:sz w:val="28"/>
          <w:szCs w:val="28"/>
        </w:rPr>
        <w:t xml:space="preserve"> </w:t>
      </w:r>
      <w:proofErr w:type="spellStart"/>
      <w:r w:rsidRPr="007926D2">
        <w:rPr>
          <w:bCs/>
          <w:sz w:val="28"/>
          <w:szCs w:val="28"/>
        </w:rPr>
        <w:t>Пэйнтс</w:t>
      </w:r>
      <w:proofErr w:type="spellEnd"/>
      <w:r>
        <w:rPr>
          <w:bCs/>
          <w:sz w:val="28"/>
          <w:szCs w:val="28"/>
        </w:rPr>
        <w:t>»</w:t>
      </w:r>
      <w:r w:rsidRPr="007926D2">
        <w:rPr>
          <w:bCs/>
          <w:sz w:val="28"/>
          <w:szCs w:val="28"/>
        </w:rPr>
        <w:t xml:space="preserve">, реализацией инвестиционных проектов ПГ </w:t>
      </w:r>
      <w:r>
        <w:rPr>
          <w:bCs/>
          <w:sz w:val="28"/>
          <w:szCs w:val="28"/>
        </w:rPr>
        <w:t>«</w:t>
      </w:r>
      <w:r w:rsidRPr="007926D2">
        <w:rPr>
          <w:bCs/>
          <w:sz w:val="28"/>
          <w:szCs w:val="28"/>
        </w:rPr>
        <w:t>Фосфорит</w:t>
      </w:r>
      <w:r>
        <w:rPr>
          <w:bCs/>
          <w:sz w:val="28"/>
          <w:szCs w:val="28"/>
        </w:rPr>
        <w:t>»</w:t>
      </w:r>
      <w:r w:rsidRPr="007926D2">
        <w:rPr>
          <w:bCs/>
          <w:sz w:val="28"/>
          <w:szCs w:val="28"/>
        </w:rPr>
        <w:t xml:space="preserve">, ВФ </w:t>
      </w:r>
      <w:r w:rsidRPr="00DD0107">
        <w:rPr>
          <w:bCs/>
          <w:sz w:val="28"/>
          <w:szCs w:val="28"/>
        </w:rPr>
        <w:t xml:space="preserve">АО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Апатит</w:t>
      </w:r>
      <w:r>
        <w:rPr>
          <w:bCs/>
          <w:sz w:val="28"/>
          <w:szCs w:val="28"/>
        </w:rPr>
        <w:t>»</w:t>
      </w:r>
      <w:r w:rsidRPr="007926D2">
        <w:rPr>
          <w:bCs/>
          <w:color w:val="FF0000"/>
          <w:sz w:val="28"/>
          <w:szCs w:val="28"/>
        </w:rPr>
        <w:t xml:space="preserve"> </w:t>
      </w:r>
      <w:proofErr w:type="gramStart"/>
      <w:r w:rsidRPr="007926D2">
        <w:rPr>
          <w:bCs/>
          <w:sz w:val="28"/>
          <w:szCs w:val="28"/>
        </w:rPr>
        <w:t>и</w:t>
      </w:r>
      <w:r w:rsidRPr="007926D2">
        <w:rPr>
          <w:bCs/>
          <w:color w:val="FF0000"/>
          <w:sz w:val="28"/>
          <w:szCs w:val="28"/>
        </w:rPr>
        <w:t xml:space="preserve"> </w:t>
      </w:r>
      <w:r w:rsidRPr="007926D2">
        <w:rPr>
          <w:bCs/>
          <w:sz w:val="28"/>
          <w:szCs w:val="28"/>
        </w:rPr>
        <w:t>ООО</w:t>
      </w:r>
      <w:proofErr w:type="gramEnd"/>
      <w:r w:rsidRPr="007926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 w:rsidRPr="007926D2">
        <w:rPr>
          <w:bCs/>
          <w:sz w:val="28"/>
          <w:szCs w:val="28"/>
        </w:rPr>
        <w:t>Криогаз</w:t>
      </w:r>
      <w:proofErr w:type="spellEnd"/>
      <w:r w:rsidRPr="007926D2">
        <w:rPr>
          <w:bCs/>
          <w:sz w:val="28"/>
          <w:szCs w:val="28"/>
        </w:rPr>
        <w:t xml:space="preserve"> Высоцк</w:t>
      </w:r>
      <w:r>
        <w:rPr>
          <w:bCs/>
          <w:sz w:val="28"/>
          <w:szCs w:val="28"/>
        </w:rPr>
        <w:t>»</w:t>
      </w:r>
      <w:r w:rsidRPr="007926D2">
        <w:rPr>
          <w:bCs/>
          <w:sz w:val="28"/>
          <w:szCs w:val="28"/>
        </w:rPr>
        <w:t xml:space="preserve"> -  прогнозируется увеличение индекса промышленного производства</w:t>
      </w:r>
      <w:r>
        <w:rPr>
          <w:bCs/>
          <w:sz w:val="28"/>
          <w:szCs w:val="28"/>
        </w:rPr>
        <w:t xml:space="preserve"> </w:t>
      </w:r>
      <w:r w:rsidRPr="007926D2">
        <w:rPr>
          <w:bCs/>
          <w:sz w:val="28"/>
          <w:szCs w:val="28"/>
        </w:rPr>
        <w:t>на  1-2</w:t>
      </w:r>
      <w:r w:rsidR="009C3AFF">
        <w:rPr>
          <w:bCs/>
          <w:sz w:val="28"/>
          <w:szCs w:val="28"/>
        </w:rPr>
        <w:t xml:space="preserve"> </w:t>
      </w:r>
      <w:r w:rsidR="000D7061">
        <w:rPr>
          <w:bCs/>
          <w:sz w:val="28"/>
          <w:szCs w:val="28"/>
        </w:rPr>
        <w:t>проц.</w:t>
      </w:r>
      <w:r w:rsidRPr="007926D2">
        <w:rPr>
          <w:bCs/>
          <w:sz w:val="28"/>
          <w:szCs w:val="28"/>
        </w:rPr>
        <w:t xml:space="preserve"> ежегодно.</w:t>
      </w:r>
    </w:p>
    <w:p w:rsidR="00D15B89" w:rsidRPr="00DB68DC" w:rsidRDefault="00D15B89" w:rsidP="00D15B89">
      <w:pPr>
        <w:ind w:firstLine="709"/>
        <w:jc w:val="both"/>
        <w:rPr>
          <w:bCs/>
          <w:sz w:val="28"/>
          <w:szCs w:val="28"/>
        </w:rPr>
      </w:pPr>
      <w:r w:rsidRPr="005C468A">
        <w:rPr>
          <w:bCs/>
          <w:sz w:val="28"/>
          <w:szCs w:val="28"/>
        </w:rPr>
        <w:t xml:space="preserve">Динамично будут развиваться такие отрасли промышленности </w:t>
      </w:r>
      <w:r>
        <w:rPr>
          <w:bCs/>
          <w:sz w:val="28"/>
          <w:szCs w:val="28"/>
        </w:rPr>
        <w:br/>
      </w:r>
      <w:r w:rsidRPr="005C468A">
        <w:rPr>
          <w:bCs/>
          <w:sz w:val="28"/>
          <w:szCs w:val="28"/>
        </w:rPr>
        <w:t>как производство бумаги и бумажных изделий (ежегодный прирост индекса производства прогнозируется на уровне 1-2</w:t>
      </w:r>
      <w:r w:rsidR="009C3AFF">
        <w:rPr>
          <w:bCs/>
          <w:sz w:val="28"/>
          <w:szCs w:val="28"/>
        </w:rPr>
        <w:t xml:space="preserve"> </w:t>
      </w:r>
      <w:r w:rsidR="000D7061">
        <w:rPr>
          <w:bCs/>
          <w:sz w:val="28"/>
          <w:szCs w:val="28"/>
        </w:rPr>
        <w:t>проц.</w:t>
      </w:r>
      <w:r w:rsidRPr="005C468A">
        <w:rPr>
          <w:bCs/>
          <w:sz w:val="28"/>
          <w:szCs w:val="28"/>
        </w:rPr>
        <w:t xml:space="preserve">), обработка древесины  </w:t>
      </w:r>
      <w:r>
        <w:rPr>
          <w:bCs/>
          <w:sz w:val="28"/>
          <w:szCs w:val="28"/>
        </w:rPr>
        <w:br/>
      </w:r>
      <w:r w:rsidRPr="005C468A">
        <w:rPr>
          <w:bCs/>
          <w:sz w:val="28"/>
          <w:szCs w:val="28"/>
        </w:rPr>
        <w:t>и производство изделий из дерева (от 1-3</w:t>
      </w:r>
      <w:r w:rsidR="009C3AFF">
        <w:rPr>
          <w:bCs/>
          <w:sz w:val="28"/>
          <w:szCs w:val="28"/>
        </w:rPr>
        <w:t xml:space="preserve"> </w:t>
      </w:r>
      <w:r w:rsidR="000D7061">
        <w:rPr>
          <w:bCs/>
          <w:sz w:val="28"/>
          <w:szCs w:val="28"/>
        </w:rPr>
        <w:t>проц.</w:t>
      </w:r>
      <w:r w:rsidRPr="005C468A">
        <w:rPr>
          <w:bCs/>
          <w:sz w:val="28"/>
          <w:szCs w:val="28"/>
        </w:rPr>
        <w:t xml:space="preserve"> ежегодно</w:t>
      </w:r>
      <w:r>
        <w:rPr>
          <w:bCs/>
          <w:sz w:val="28"/>
          <w:szCs w:val="28"/>
        </w:rPr>
        <w:t>)</w:t>
      </w:r>
      <w:r w:rsidRPr="005C468A">
        <w:rPr>
          <w:bCs/>
          <w:sz w:val="28"/>
          <w:szCs w:val="28"/>
        </w:rPr>
        <w:t>.</w:t>
      </w:r>
      <w:r w:rsidRPr="00DB68DC">
        <w:rPr>
          <w:bCs/>
          <w:sz w:val="28"/>
          <w:szCs w:val="28"/>
        </w:rPr>
        <w:t xml:space="preserve"> </w:t>
      </w:r>
    </w:p>
    <w:p w:rsidR="00D15B89" w:rsidRPr="00DB68DC" w:rsidRDefault="00D15B89" w:rsidP="00D15B89">
      <w:pPr>
        <w:ind w:firstLine="709"/>
        <w:jc w:val="both"/>
        <w:rPr>
          <w:bCs/>
          <w:sz w:val="28"/>
          <w:szCs w:val="28"/>
        </w:rPr>
      </w:pPr>
      <w:proofErr w:type="gramStart"/>
      <w:r w:rsidRPr="00DD0107">
        <w:rPr>
          <w:bCs/>
          <w:sz w:val="28"/>
          <w:szCs w:val="28"/>
        </w:rPr>
        <w:t xml:space="preserve">Этому будет способствовать реализация корпоративной программы повышения конкурентоспособности  ОАО </w:t>
      </w:r>
      <w:r>
        <w:rPr>
          <w:bCs/>
          <w:sz w:val="28"/>
          <w:szCs w:val="28"/>
        </w:rPr>
        <w:t>«</w:t>
      </w:r>
      <w:proofErr w:type="spellStart"/>
      <w:r w:rsidRPr="00DD0107">
        <w:rPr>
          <w:bCs/>
          <w:sz w:val="28"/>
          <w:szCs w:val="28"/>
        </w:rPr>
        <w:t>Сясьский</w:t>
      </w:r>
      <w:proofErr w:type="spellEnd"/>
      <w:r w:rsidRPr="00DD0107">
        <w:rPr>
          <w:bCs/>
          <w:sz w:val="28"/>
          <w:szCs w:val="28"/>
        </w:rPr>
        <w:t xml:space="preserve"> ЦБК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реализацией инвестиционного проекта по модернизации КДМ с увеличением объема производства АО </w:t>
      </w:r>
      <w:r>
        <w:rPr>
          <w:bCs/>
          <w:sz w:val="28"/>
          <w:szCs w:val="28"/>
        </w:rPr>
        <w:t>«</w:t>
      </w:r>
      <w:proofErr w:type="spellStart"/>
      <w:r w:rsidRPr="00DD0107">
        <w:rPr>
          <w:bCs/>
          <w:sz w:val="28"/>
          <w:szCs w:val="28"/>
        </w:rPr>
        <w:t>КнауфПетроборд</w:t>
      </w:r>
      <w:proofErr w:type="spellEnd"/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стабильная работа таких предприятий, </w:t>
      </w:r>
      <w:r>
        <w:rPr>
          <w:bCs/>
          <w:sz w:val="28"/>
          <w:szCs w:val="28"/>
        </w:rPr>
        <w:br/>
      </w:r>
      <w:r w:rsidRPr="00DD0107">
        <w:rPr>
          <w:bCs/>
          <w:sz w:val="28"/>
          <w:szCs w:val="28"/>
        </w:rPr>
        <w:t xml:space="preserve">как ЗАО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 xml:space="preserve">Интернешнл </w:t>
      </w:r>
      <w:proofErr w:type="spellStart"/>
      <w:r w:rsidRPr="00DD0107">
        <w:rPr>
          <w:bCs/>
          <w:sz w:val="28"/>
          <w:szCs w:val="28"/>
        </w:rPr>
        <w:t>Пейпер</w:t>
      </w:r>
      <w:proofErr w:type="spellEnd"/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>, АО</w:t>
      </w:r>
      <w:r w:rsidRPr="00DD0107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 w:rsidRPr="00BF6F53">
        <w:rPr>
          <w:bCs/>
          <w:sz w:val="28"/>
          <w:szCs w:val="28"/>
        </w:rPr>
        <w:t>Смерфит</w:t>
      </w:r>
      <w:proofErr w:type="spellEnd"/>
      <w:r w:rsidRPr="00BF6F53">
        <w:rPr>
          <w:bCs/>
          <w:sz w:val="28"/>
          <w:szCs w:val="28"/>
        </w:rPr>
        <w:t xml:space="preserve"> Каппа Москва СОЮЗ</w:t>
      </w:r>
      <w:r>
        <w:rPr>
          <w:bCs/>
          <w:sz w:val="28"/>
          <w:szCs w:val="28"/>
        </w:rPr>
        <w:t>»</w:t>
      </w:r>
      <w:r w:rsidRPr="00BF6F53">
        <w:rPr>
          <w:bCs/>
          <w:sz w:val="28"/>
          <w:szCs w:val="28"/>
        </w:rPr>
        <w:t>,</w:t>
      </w:r>
      <w:r w:rsidRPr="00DD01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DD0107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 xml:space="preserve">Майер </w:t>
      </w:r>
      <w:proofErr w:type="spellStart"/>
      <w:r w:rsidRPr="00DD0107">
        <w:rPr>
          <w:bCs/>
          <w:sz w:val="28"/>
          <w:szCs w:val="28"/>
        </w:rPr>
        <w:t>Мелнхоф</w:t>
      </w:r>
      <w:proofErr w:type="spellEnd"/>
      <w:r w:rsidRPr="00DD0107">
        <w:rPr>
          <w:bCs/>
          <w:sz w:val="28"/>
          <w:szCs w:val="28"/>
        </w:rPr>
        <w:t xml:space="preserve"> </w:t>
      </w:r>
      <w:proofErr w:type="spellStart"/>
      <w:r w:rsidRPr="00DD0107">
        <w:rPr>
          <w:bCs/>
          <w:sz w:val="28"/>
          <w:szCs w:val="28"/>
        </w:rPr>
        <w:t>Хольц</w:t>
      </w:r>
      <w:proofErr w:type="spellEnd"/>
      <w:r w:rsidRPr="00DD0107">
        <w:rPr>
          <w:bCs/>
          <w:sz w:val="28"/>
          <w:szCs w:val="28"/>
        </w:rPr>
        <w:t xml:space="preserve"> Ефимовский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ОАО </w:t>
      </w:r>
      <w:r>
        <w:rPr>
          <w:bCs/>
          <w:sz w:val="28"/>
          <w:szCs w:val="28"/>
        </w:rPr>
        <w:t>«</w:t>
      </w:r>
      <w:proofErr w:type="spellStart"/>
      <w:r w:rsidRPr="00DD0107">
        <w:rPr>
          <w:bCs/>
          <w:sz w:val="28"/>
          <w:szCs w:val="28"/>
        </w:rPr>
        <w:t>Лесплитинвест</w:t>
      </w:r>
      <w:proofErr w:type="spellEnd"/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DD0107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proofErr w:type="spellStart"/>
      <w:r w:rsidRPr="00DD0107">
        <w:rPr>
          <w:bCs/>
          <w:sz w:val="28"/>
          <w:szCs w:val="28"/>
        </w:rPr>
        <w:t>Интерфилл</w:t>
      </w:r>
      <w:proofErr w:type="spellEnd"/>
      <w:r>
        <w:rPr>
          <w:bCs/>
          <w:sz w:val="28"/>
          <w:szCs w:val="28"/>
        </w:rPr>
        <w:t xml:space="preserve">», </w:t>
      </w:r>
      <w:r w:rsidRPr="00DD0107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proofErr w:type="spellStart"/>
      <w:r w:rsidRPr="00DD0107">
        <w:rPr>
          <w:bCs/>
          <w:sz w:val="28"/>
          <w:szCs w:val="28"/>
        </w:rPr>
        <w:t>Артекс</w:t>
      </w:r>
      <w:proofErr w:type="spellEnd"/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 xml:space="preserve">ММ </w:t>
      </w:r>
      <w:proofErr w:type="spellStart"/>
      <w:r w:rsidRPr="00DD0107">
        <w:rPr>
          <w:bCs/>
          <w:sz w:val="28"/>
          <w:szCs w:val="28"/>
        </w:rPr>
        <w:t>Полиграфоформление</w:t>
      </w:r>
      <w:proofErr w:type="spellEnd"/>
      <w:r w:rsidRPr="00DD0107">
        <w:rPr>
          <w:bCs/>
          <w:sz w:val="28"/>
          <w:szCs w:val="28"/>
        </w:rPr>
        <w:t xml:space="preserve"> </w:t>
      </w:r>
      <w:proofErr w:type="spellStart"/>
      <w:r w:rsidRPr="00DD0107">
        <w:rPr>
          <w:bCs/>
          <w:sz w:val="28"/>
          <w:szCs w:val="28"/>
        </w:rPr>
        <w:t>Пэкэджинг</w:t>
      </w:r>
      <w:proofErr w:type="spellEnd"/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Сигнал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 xml:space="preserve">Аристон </w:t>
      </w:r>
      <w:proofErr w:type="spellStart"/>
      <w:r w:rsidRPr="00DD0107">
        <w:rPr>
          <w:bCs/>
          <w:sz w:val="28"/>
          <w:szCs w:val="28"/>
        </w:rPr>
        <w:t>Термо</w:t>
      </w:r>
      <w:proofErr w:type="spellEnd"/>
      <w:r w:rsidRPr="00DD0107">
        <w:rPr>
          <w:bCs/>
          <w:sz w:val="28"/>
          <w:szCs w:val="28"/>
        </w:rPr>
        <w:t xml:space="preserve"> Русь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Тепловое оборудование</w:t>
      </w:r>
      <w:proofErr w:type="gramEnd"/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ПАО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>Выборгский судостроительный завод</w:t>
      </w:r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ОАО </w:t>
      </w:r>
      <w:r>
        <w:rPr>
          <w:bCs/>
          <w:sz w:val="28"/>
          <w:szCs w:val="28"/>
        </w:rPr>
        <w:t>«</w:t>
      </w:r>
      <w:proofErr w:type="spellStart"/>
      <w:r w:rsidRPr="00DD0107">
        <w:rPr>
          <w:bCs/>
          <w:sz w:val="28"/>
          <w:szCs w:val="28"/>
        </w:rPr>
        <w:t>Пелла</w:t>
      </w:r>
      <w:proofErr w:type="spellEnd"/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 xml:space="preserve">, ООО </w:t>
      </w:r>
      <w:r>
        <w:rPr>
          <w:bCs/>
          <w:sz w:val="28"/>
          <w:szCs w:val="28"/>
        </w:rPr>
        <w:t>«</w:t>
      </w:r>
      <w:r w:rsidRPr="00DD0107">
        <w:rPr>
          <w:bCs/>
          <w:sz w:val="28"/>
          <w:szCs w:val="28"/>
        </w:rPr>
        <w:t xml:space="preserve">Норд </w:t>
      </w:r>
      <w:proofErr w:type="spellStart"/>
      <w:r w:rsidRPr="00DD0107">
        <w:rPr>
          <w:bCs/>
          <w:sz w:val="28"/>
          <w:szCs w:val="28"/>
        </w:rPr>
        <w:t>инвест</w:t>
      </w:r>
      <w:proofErr w:type="spellEnd"/>
      <w:r>
        <w:rPr>
          <w:bCs/>
          <w:sz w:val="28"/>
          <w:szCs w:val="28"/>
        </w:rPr>
        <w:t>»</w:t>
      </w:r>
      <w:r w:rsidRPr="00DD0107">
        <w:rPr>
          <w:bCs/>
          <w:sz w:val="28"/>
          <w:szCs w:val="28"/>
        </w:rPr>
        <w:t>.</w:t>
      </w:r>
    </w:p>
    <w:p w:rsidR="00D15B89" w:rsidRPr="00DB68DC" w:rsidRDefault="00D15B89" w:rsidP="00D15B89">
      <w:pPr>
        <w:ind w:firstLine="709"/>
        <w:jc w:val="both"/>
        <w:rPr>
          <w:bCs/>
          <w:sz w:val="28"/>
          <w:szCs w:val="28"/>
        </w:rPr>
      </w:pPr>
      <w:r w:rsidRPr="00DB68DC">
        <w:rPr>
          <w:bCs/>
          <w:sz w:val="28"/>
          <w:szCs w:val="28"/>
        </w:rPr>
        <w:t>Наряду с ростом, в прогнозируемом периоде наблюдается снижение уровня производства в следующих отраслях:</w:t>
      </w:r>
    </w:p>
    <w:p w:rsidR="00D15B89" w:rsidRPr="00086E26" w:rsidRDefault="00D15B89" w:rsidP="00D15B89">
      <w:pPr>
        <w:ind w:firstLine="709"/>
        <w:jc w:val="both"/>
        <w:rPr>
          <w:sz w:val="28"/>
          <w:szCs w:val="28"/>
        </w:rPr>
      </w:pPr>
      <w:r w:rsidRPr="00086E26">
        <w:rPr>
          <w:sz w:val="28"/>
          <w:szCs w:val="28"/>
        </w:rPr>
        <w:t xml:space="preserve">в производстве кокса и нефтепродуктов, что обусловлено переходом  </w:t>
      </w:r>
      <w:r w:rsidRPr="00086E26">
        <w:rPr>
          <w:sz w:val="28"/>
          <w:szCs w:val="28"/>
        </w:rPr>
        <w:br/>
        <w:t xml:space="preserve">ООО </w:t>
      </w:r>
      <w:r>
        <w:rPr>
          <w:sz w:val="28"/>
          <w:szCs w:val="28"/>
        </w:rPr>
        <w:t>«</w:t>
      </w:r>
      <w:proofErr w:type="spellStart"/>
      <w:r w:rsidRPr="00086E26">
        <w:rPr>
          <w:sz w:val="28"/>
          <w:szCs w:val="28"/>
        </w:rPr>
        <w:t>Кинеф</w:t>
      </w:r>
      <w:proofErr w:type="spellEnd"/>
      <w:r>
        <w:rPr>
          <w:sz w:val="28"/>
          <w:szCs w:val="28"/>
        </w:rPr>
        <w:t>»</w:t>
      </w:r>
      <w:r w:rsidRPr="00086E26">
        <w:rPr>
          <w:sz w:val="28"/>
          <w:szCs w:val="28"/>
        </w:rPr>
        <w:t xml:space="preserve"> на 100</w:t>
      </w:r>
      <w:r w:rsidR="009C3AFF">
        <w:rPr>
          <w:sz w:val="28"/>
          <w:szCs w:val="28"/>
        </w:rPr>
        <w:t>-</w:t>
      </w:r>
      <w:r w:rsidR="000D7061">
        <w:rPr>
          <w:sz w:val="28"/>
          <w:szCs w:val="28"/>
        </w:rPr>
        <w:t>проц.</w:t>
      </w:r>
      <w:r w:rsidRPr="00086E26">
        <w:rPr>
          <w:sz w:val="28"/>
          <w:szCs w:val="28"/>
        </w:rPr>
        <w:t xml:space="preserve"> процессинг (начиная с 2019 года  показатели по отгрузке ООО </w:t>
      </w:r>
      <w:r>
        <w:rPr>
          <w:sz w:val="28"/>
          <w:szCs w:val="28"/>
        </w:rPr>
        <w:t>«</w:t>
      </w:r>
      <w:proofErr w:type="spellStart"/>
      <w:r w:rsidRPr="00086E26">
        <w:rPr>
          <w:sz w:val="28"/>
          <w:szCs w:val="28"/>
        </w:rPr>
        <w:t>Кинеф</w:t>
      </w:r>
      <w:proofErr w:type="spellEnd"/>
      <w:r>
        <w:rPr>
          <w:sz w:val="28"/>
          <w:szCs w:val="28"/>
        </w:rPr>
        <w:t>»</w:t>
      </w:r>
      <w:r w:rsidRPr="00086E26">
        <w:rPr>
          <w:sz w:val="28"/>
          <w:szCs w:val="28"/>
        </w:rPr>
        <w:t xml:space="preserve"> уходят в отчет Сургутнефтегаз);</w:t>
      </w:r>
    </w:p>
    <w:p w:rsidR="00D15B89" w:rsidRPr="00086E26" w:rsidRDefault="00D15B89" w:rsidP="00D15B89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 w:rsidRPr="00086E26">
        <w:rPr>
          <w:bCs/>
          <w:sz w:val="28"/>
          <w:szCs w:val="28"/>
        </w:rPr>
        <w:t xml:space="preserve">в производстве компьютеров, электронных и оптических изделий - </w:t>
      </w:r>
      <w:r w:rsidRPr="00086E26">
        <w:rPr>
          <w:sz w:val="28"/>
          <w:szCs w:val="28"/>
        </w:rPr>
        <w:t xml:space="preserve">снижение объемов отгрузки связано с </w:t>
      </w:r>
      <w:r>
        <w:rPr>
          <w:sz w:val="28"/>
          <w:szCs w:val="28"/>
        </w:rPr>
        <w:t>«</w:t>
      </w:r>
      <w:r w:rsidRPr="00086E26">
        <w:rPr>
          <w:sz w:val="28"/>
          <w:szCs w:val="28"/>
        </w:rPr>
        <w:t>высокой</w:t>
      </w:r>
      <w:r>
        <w:rPr>
          <w:sz w:val="28"/>
          <w:szCs w:val="28"/>
        </w:rPr>
        <w:t>»</w:t>
      </w:r>
      <w:r w:rsidRPr="00086E26">
        <w:rPr>
          <w:sz w:val="28"/>
          <w:szCs w:val="28"/>
        </w:rPr>
        <w:t xml:space="preserve"> базой 2020 года;</w:t>
      </w:r>
    </w:p>
    <w:p w:rsidR="00D15B89" w:rsidRPr="00086E26" w:rsidRDefault="00D15B89" w:rsidP="00D15B89">
      <w:pPr>
        <w:pStyle w:val="14"/>
        <w:spacing w:after="0" w:line="240" w:lineRule="auto"/>
        <w:rPr>
          <w:szCs w:val="28"/>
        </w:rPr>
      </w:pPr>
      <w:r w:rsidRPr="00086E26">
        <w:rPr>
          <w:bCs/>
          <w:szCs w:val="28"/>
        </w:rPr>
        <w:t xml:space="preserve">в производстве </w:t>
      </w:r>
      <w:r w:rsidRPr="00086E26">
        <w:rPr>
          <w:szCs w:val="28"/>
        </w:rPr>
        <w:t xml:space="preserve">автотранспортных средств, прицепов и полуприцепов, </w:t>
      </w:r>
      <w:r w:rsidRPr="00086E26">
        <w:rPr>
          <w:szCs w:val="28"/>
        </w:rPr>
        <w:br/>
        <w:t xml:space="preserve">что обусловлено сокращением производства производителями </w:t>
      </w:r>
      <w:proofErr w:type="spellStart"/>
      <w:r w:rsidRPr="00086E26">
        <w:rPr>
          <w:szCs w:val="28"/>
        </w:rPr>
        <w:t>автокомпонентов</w:t>
      </w:r>
      <w:proofErr w:type="spellEnd"/>
      <w:r w:rsidRPr="00086E26">
        <w:rPr>
          <w:szCs w:val="28"/>
        </w:rPr>
        <w:t xml:space="preserve"> региона частей и принадлежностей для автотранспортных средств, не включенных </w:t>
      </w:r>
      <w:r w:rsidRPr="00086E26">
        <w:rPr>
          <w:szCs w:val="28"/>
        </w:rPr>
        <w:br/>
        <w:t>в другие группировки, из-за продолжающегося падения мирового авторынка;</w:t>
      </w:r>
    </w:p>
    <w:p w:rsidR="00D15B89" w:rsidRPr="00086E26" w:rsidRDefault="00D15B89" w:rsidP="00D15B89">
      <w:pPr>
        <w:pStyle w:val="14"/>
        <w:spacing w:after="0" w:line="240" w:lineRule="auto"/>
        <w:rPr>
          <w:szCs w:val="28"/>
        </w:rPr>
      </w:pPr>
      <w:r w:rsidRPr="00086E26">
        <w:rPr>
          <w:bCs/>
          <w:szCs w:val="28"/>
        </w:rPr>
        <w:t xml:space="preserve">в производстве </w:t>
      </w:r>
      <w:r w:rsidRPr="00086E26">
        <w:rPr>
          <w:szCs w:val="28"/>
        </w:rPr>
        <w:t xml:space="preserve">прочих транспортных средств и оборудования в связи </w:t>
      </w:r>
      <w:r w:rsidRPr="00086E26">
        <w:rPr>
          <w:szCs w:val="28"/>
        </w:rPr>
        <w:br/>
        <w:t xml:space="preserve">с сокращением производства на АО </w:t>
      </w:r>
      <w:r>
        <w:rPr>
          <w:szCs w:val="28"/>
        </w:rPr>
        <w:t>«</w:t>
      </w:r>
      <w:r w:rsidRPr="00086E26">
        <w:rPr>
          <w:szCs w:val="28"/>
        </w:rPr>
        <w:t>ТВСЗ</w:t>
      </w:r>
      <w:r>
        <w:rPr>
          <w:szCs w:val="28"/>
        </w:rPr>
        <w:t>»</w:t>
      </w:r>
      <w:r w:rsidRPr="00086E26">
        <w:rPr>
          <w:szCs w:val="28"/>
        </w:rPr>
        <w:t xml:space="preserve">, АО </w:t>
      </w:r>
      <w:r>
        <w:rPr>
          <w:szCs w:val="28"/>
        </w:rPr>
        <w:t>«</w:t>
      </w:r>
      <w:proofErr w:type="spellStart"/>
      <w:r w:rsidRPr="00086E26">
        <w:rPr>
          <w:szCs w:val="28"/>
        </w:rPr>
        <w:t>ТихвинСпецМаш</w:t>
      </w:r>
      <w:proofErr w:type="spellEnd"/>
      <w:r>
        <w:rPr>
          <w:szCs w:val="28"/>
        </w:rPr>
        <w:t>»</w:t>
      </w:r>
      <w:r w:rsidRPr="00086E26">
        <w:rPr>
          <w:szCs w:val="28"/>
        </w:rPr>
        <w:t xml:space="preserve"> по причине снижения спроса на новые вагоны;</w:t>
      </w:r>
    </w:p>
    <w:p w:rsidR="00D15B89" w:rsidRDefault="00D15B89" w:rsidP="00D15B89">
      <w:pPr>
        <w:pStyle w:val="14"/>
        <w:spacing w:after="0" w:line="240" w:lineRule="auto"/>
        <w:rPr>
          <w:szCs w:val="28"/>
        </w:rPr>
      </w:pPr>
      <w:r w:rsidRPr="00086E26">
        <w:rPr>
          <w:bCs/>
          <w:szCs w:val="28"/>
        </w:rPr>
        <w:t xml:space="preserve">в производстве </w:t>
      </w:r>
      <w:r w:rsidRPr="00086E26">
        <w:rPr>
          <w:szCs w:val="28"/>
        </w:rPr>
        <w:t>кожи и изделий из кожи, что связано</w:t>
      </w:r>
      <w:r w:rsidRPr="00086E26">
        <w:rPr>
          <w:szCs w:val="28"/>
        </w:rPr>
        <w:br/>
        <w:t>с сокращением производства  предприятий из-за прекращения деятельности ряда компаний, являющих</w:t>
      </w:r>
      <w:r w:rsidRPr="009A35B6">
        <w:rPr>
          <w:szCs w:val="28"/>
        </w:rPr>
        <w:t>ся оптовыми</w:t>
      </w:r>
      <w:r>
        <w:rPr>
          <w:szCs w:val="28"/>
        </w:rPr>
        <w:t xml:space="preserve"> </w:t>
      </w:r>
      <w:r w:rsidRPr="009A35B6">
        <w:rPr>
          <w:szCs w:val="28"/>
        </w:rPr>
        <w:t>покупателями производимой фабрикой продукции, а также по причине неконкурентоспо</w:t>
      </w:r>
      <w:r>
        <w:rPr>
          <w:szCs w:val="28"/>
        </w:rPr>
        <w:t xml:space="preserve">собности производимой </w:t>
      </w:r>
      <w:r>
        <w:rPr>
          <w:szCs w:val="28"/>
        </w:rPr>
        <w:lastRenderedPageBreak/>
        <w:t xml:space="preserve">продукции </w:t>
      </w:r>
      <w:r w:rsidRPr="009A35B6">
        <w:rPr>
          <w:szCs w:val="28"/>
        </w:rPr>
        <w:t>по цене и качеству в сравнении с турецки</w:t>
      </w:r>
      <w:r>
        <w:rPr>
          <w:szCs w:val="28"/>
        </w:rPr>
        <w:t>ми и китайскими производителями.</w:t>
      </w:r>
    </w:p>
    <w:p w:rsidR="00D15B89" w:rsidRPr="00D317EE" w:rsidRDefault="00D15B89" w:rsidP="00D15B89">
      <w:pPr>
        <w:ind w:firstLine="709"/>
        <w:jc w:val="both"/>
        <w:rPr>
          <w:iCs/>
          <w:sz w:val="28"/>
          <w:szCs w:val="28"/>
        </w:rPr>
      </w:pPr>
      <w:r w:rsidRPr="00D317EE">
        <w:rPr>
          <w:b/>
          <w:iCs/>
          <w:sz w:val="28"/>
          <w:szCs w:val="28"/>
        </w:rPr>
        <w:t>По оценке в 2021 году</w:t>
      </w:r>
      <w:r w:rsidRPr="00D317EE">
        <w:rPr>
          <w:iCs/>
          <w:sz w:val="28"/>
          <w:szCs w:val="28"/>
        </w:rPr>
        <w:t xml:space="preserve"> прогнозируется увеличение индекса промышленного производства по виду деятельности </w:t>
      </w:r>
      <w:r>
        <w:rPr>
          <w:iCs/>
          <w:sz w:val="28"/>
          <w:szCs w:val="28"/>
        </w:rPr>
        <w:t>«</w:t>
      </w:r>
      <w:r w:rsidRPr="00D317EE">
        <w:rPr>
          <w:iCs/>
          <w:sz w:val="28"/>
          <w:szCs w:val="28"/>
        </w:rPr>
        <w:t>Обеспечение электроэнергией, газом и паром</w:t>
      </w:r>
      <w:r>
        <w:rPr>
          <w:iCs/>
          <w:sz w:val="28"/>
          <w:szCs w:val="28"/>
        </w:rPr>
        <w:t>»</w:t>
      </w:r>
      <w:r w:rsidRPr="00D317EE">
        <w:rPr>
          <w:iCs/>
          <w:sz w:val="28"/>
          <w:szCs w:val="28"/>
        </w:rPr>
        <w:t xml:space="preserve"> на 5,0</w:t>
      </w:r>
      <w:r w:rsidR="009C3AFF">
        <w:rPr>
          <w:iCs/>
          <w:sz w:val="28"/>
          <w:szCs w:val="28"/>
        </w:rPr>
        <w:t xml:space="preserve"> </w:t>
      </w:r>
      <w:r w:rsidR="000D7061">
        <w:rPr>
          <w:iCs/>
          <w:sz w:val="28"/>
          <w:szCs w:val="28"/>
        </w:rPr>
        <w:t>проц.</w:t>
      </w:r>
      <w:r w:rsidRPr="00D317EE">
        <w:rPr>
          <w:iCs/>
          <w:sz w:val="28"/>
          <w:szCs w:val="28"/>
        </w:rPr>
        <w:t xml:space="preserve"> к уровню 2020 года. Это обусловлено вводом в эксплуатацию энергоблока №2 ВВЭР-1200 в марте 2021 года Ленинградской АЭС, восстановление потребления электроэнергии и ростом объемов поставки электроэнергии на экспорт с 140 </w:t>
      </w:r>
      <w:proofErr w:type="gramStart"/>
      <w:r w:rsidRPr="00D317EE">
        <w:rPr>
          <w:iCs/>
          <w:sz w:val="28"/>
          <w:szCs w:val="28"/>
        </w:rPr>
        <w:t>млн</w:t>
      </w:r>
      <w:proofErr w:type="gramEnd"/>
      <w:r w:rsidRPr="00D317EE">
        <w:rPr>
          <w:iCs/>
          <w:sz w:val="28"/>
          <w:szCs w:val="28"/>
        </w:rPr>
        <w:t xml:space="preserve"> </w:t>
      </w:r>
      <w:proofErr w:type="spellStart"/>
      <w:r w:rsidRPr="00D317EE">
        <w:rPr>
          <w:iCs/>
          <w:sz w:val="28"/>
          <w:szCs w:val="28"/>
        </w:rPr>
        <w:t>кВтч</w:t>
      </w:r>
      <w:proofErr w:type="spellEnd"/>
      <w:r w:rsidRPr="00D317EE">
        <w:rPr>
          <w:iCs/>
          <w:sz w:val="28"/>
          <w:szCs w:val="28"/>
        </w:rPr>
        <w:t xml:space="preserve"> в 2020 году до 323 млн </w:t>
      </w:r>
      <w:proofErr w:type="spellStart"/>
      <w:r w:rsidRPr="00D317EE">
        <w:rPr>
          <w:iCs/>
          <w:sz w:val="28"/>
          <w:szCs w:val="28"/>
        </w:rPr>
        <w:t>кВтч</w:t>
      </w:r>
      <w:proofErr w:type="spellEnd"/>
      <w:r w:rsidRPr="00D317EE">
        <w:rPr>
          <w:iCs/>
          <w:sz w:val="28"/>
          <w:szCs w:val="28"/>
        </w:rPr>
        <w:t xml:space="preserve"> в 2021 году в связи c благоприятной ценовой конъюнктурой на скандинавской биржевой площадке </w:t>
      </w:r>
      <w:proofErr w:type="spellStart"/>
      <w:r w:rsidRPr="00D317EE">
        <w:rPr>
          <w:iCs/>
          <w:sz w:val="28"/>
          <w:szCs w:val="28"/>
        </w:rPr>
        <w:t>Nord</w:t>
      </w:r>
      <w:proofErr w:type="spellEnd"/>
      <w:r w:rsidRPr="00D317EE">
        <w:rPr>
          <w:iCs/>
          <w:sz w:val="28"/>
          <w:szCs w:val="28"/>
        </w:rPr>
        <w:t xml:space="preserve"> </w:t>
      </w:r>
      <w:proofErr w:type="spellStart"/>
      <w:r w:rsidRPr="00D317EE">
        <w:rPr>
          <w:iCs/>
          <w:sz w:val="28"/>
          <w:szCs w:val="28"/>
        </w:rPr>
        <w:t>Pool</w:t>
      </w:r>
      <w:proofErr w:type="spellEnd"/>
      <w:r w:rsidRPr="00D317EE">
        <w:rPr>
          <w:iCs/>
          <w:sz w:val="28"/>
          <w:szCs w:val="28"/>
        </w:rPr>
        <w:t>.</w:t>
      </w:r>
    </w:p>
    <w:p w:rsidR="00D15B89" w:rsidRPr="00C97A74" w:rsidRDefault="00D15B89" w:rsidP="00D15B89">
      <w:pPr>
        <w:ind w:firstLine="709"/>
        <w:jc w:val="both"/>
        <w:rPr>
          <w:bCs/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Также в 2021 году </w:t>
      </w:r>
      <w:r w:rsidRPr="00733E0F">
        <w:rPr>
          <w:iCs/>
          <w:sz w:val="28"/>
          <w:szCs w:val="28"/>
        </w:rPr>
        <w:t>электропотреб</w:t>
      </w:r>
      <w:r>
        <w:rPr>
          <w:iCs/>
          <w:sz w:val="28"/>
          <w:szCs w:val="28"/>
        </w:rPr>
        <w:t xml:space="preserve">ление субъектов оптового рынка </w:t>
      </w:r>
      <w:r>
        <w:rPr>
          <w:iCs/>
          <w:sz w:val="28"/>
          <w:szCs w:val="28"/>
        </w:rPr>
        <w:br/>
      </w:r>
      <w:r w:rsidRPr="00733E0F">
        <w:rPr>
          <w:iCs/>
          <w:sz w:val="28"/>
          <w:szCs w:val="28"/>
        </w:rPr>
        <w:t xml:space="preserve">по Ленинградской области </w:t>
      </w:r>
      <w:r>
        <w:rPr>
          <w:iCs/>
          <w:sz w:val="28"/>
          <w:szCs w:val="28"/>
        </w:rPr>
        <w:t>оценивается в 16 143,2</w:t>
      </w:r>
      <w:r w:rsidRPr="00733E0F">
        <w:rPr>
          <w:iCs/>
          <w:sz w:val="28"/>
          <w:szCs w:val="28"/>
        </w:rPr>
        <w:t xml:space="preserve"> </w:t>
      </w:r>
      <w:proofErr w:type="gramStart"/>
      <w:r w:rsidRPr="00733E0F">
        <w:rPr>
          <w:iCs/>
          <w:sz w:val="28"/>
          <w:szCs w:val="28"/>
        </w:rPr>
        <w:t>млн</w:t>
      </w:r>
      <w:proofErr w:type="gramEnd"/>
      <w:r w:rsidRPr="00733E0F">
        <w:rPr>
          <w:iCs/>
          <w:sz w:val="28"/>
          <w:szCs w:val="28"/>
        </w:rPr>
        <w:t xml:space="preserve"> кВт</w:t>
      </w:r>
      <w:r>
        <w:rPr>
          <w:iCs/>
          <w:sz w:val="28"/>
          <w:szCs w:val="28"/>
        </w:rPr>
        <w:t> </w:t>
      </w:r>
      <w:r w:rsidRPr="00733E0F"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, ожидается восстановление показателя относительно уровня 2019 года.</w:t>
      </w:r>
    </w:p>
    <w:p w:rsidR="00D15B89" w:rsidRPr="00DC78C7" w:rsidRDefault="00D15B89" w:rsidP="00D15B89">
      <w:pPr>
        <w:ind w:firstLine="709"/>
        <w:jc w:val="both"/>
        <w:rPr>
          <w:bCs/>
          <w:sz w:val="28"/>
          <w:szCs w:val="28"/>
        </w:rPr>
      </w:pPr>
      <w:r w:rsidRPr="001E709C">
        <w:rPr>
          <w:bCs/>
          <w:sz w:val="28"/>
          <w:szCs w:val="28"/>
        </w:rPr>
        <w:t xml:space="preserve">Работа по улучшению инвестиционного климата в регионе, созданию новых механизмов государственной поддержки промышленности будет способствовать дальнейшему привлечению в регион инвесторов для реализации проектов </w:t>
      </w:r>
      <w:r>
        <w:rPr>
          <w:bCs/>
          <w:sz w:val="28"/>
          <w:szCs w:val="28"/>
        </w:rPr>
        <w:br/>
      </w:r>
      <w:r w:rsidRPr="001E709C">
        <w:rPr>
          <w:bCs/>
          <w:sz w:val="28"/>
          <w:szCs w:val="28"/>
        </w:rPr>
        <w:t xml:space="preserve">по выпуску новых видов продукции, что окажет позитивное влияние </w:t>
      </w:r>
      <w:r w:rsidRPr="001E709C">
        <w:rPr>
          <w:bCs/>
          <w:sz w:val="28"/>
          <w:szCs w:val="28"/>
        </w:rPr>
        <w:br/>
        <w:t>на увеличение объема отгруженных товаров со</w:t>
      </w:r>
      <w:r w:rsidRPr="00DC78C7">
        <w:rPr>
          <w:bCs/>
          <w:sz w:val="28"/>
          <w:szCs w:val="28"/>
        </w:rPr>
        <w:t xml:space="preserve">бственного производства, выполненных работ и услуг промышленного производства, который прогнозируется в 2024 году в объеме 1723,1 </w:t>
      </w:r>
      <w:proofErr w:type="gramStart"/>
      <w:r w:rsidRPr="00DC78C7">
        <w:rPr>
          <w:bCs/>
          <w:sz w:val="28"/>
          <w:szCs w:val="28"/>
        </w:rPr>
        <w:t>млрд</w:t>
      </w:r>
      <w:proofErr w:type="gramEnd"/>
      <w:r w:rsidRPr="00DC78C7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.</w:t>
      </w:r>
      <w:r w:rsidRPr="00DC78C7">
        <w:rPr>
          <w:bCs/>
          <w:sz w:val="28"/>
          <w:szCs w:val="28"/>
        </w:rPr>
        <w:t xml:space="preserve"> по базовому варианту и 1699,6 </w:t>
      </w:r>
      <w:proofErr w:type="gramStart"/>
      <w:r w:rsidRPr="00DC78C7">
        <w:rPr>
          <w:bCs/>
          <w:sz w:val="28"/>
          <w:szCs w:val="28"/>
        </w:rPr>
        <w:t>млрд</w:t>
      </w:r>
      <w:proofErr w:type="gramEnd"/>
      <w:r w:rsidRPr="00DC78C7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.</w:t>
      </w:r>
      <w:r w:rsidRPr="00DC78C7">
        <w:rPr>
          <w:bCs/>
          <w:sz w:val="28"/>
          <w:szCs w:val="28"/>
        </w:rPr>
        <w:t xml:space="preserve"> - по консервативному</w:t>
      </w:r>
      <w:r>
        <w:rPr>
          <w:bCs/>
          <w:sz w:val="28"/>
          <w:szCs w:val="28"/>
        </w:rPr>
        <w:t xml:space="preserve"> варианту</w:t>
      </w:r>
      <w:r w:rsidRPr="00DC78C7">
        <w:rPr>
          <w:bCs/>
          <w:sz w:val="28"/>
          <w:szCs w:val="28"/>
        </w:rPr>
        <w:t>.</w:t>
      </w:r>
    </w:p>
    <w:p w:rsidR="00BA1A7E" w:rsidRPr="004B235C" w:rsidRDefault="00BA1A7E" w:rsidP="00BA18DE">
      <w:pPr>
        <w:widowControl w:val="0"/>
        <w:ind w:firstLine="709"/>
        <w:jc w:val="both"/>
        <w:rPr>
          <w:sz w:val="16"/>
          <w:szCs w:val="16"/>
          <w:highlight w:val="yellow"/>
        </w:rPr>
      </w:pPr>
    </w:p>
    <w:p w:rsidR="00BA1A7E" w:rsidRPr="00AB4441" w:rsidRDefault="007A48FA" w:rsidP="00BA1A7E">
      <w:pPr>
        <w:widowControl w:val="0"/>
        <w:jc w:val="center"/>
        <w:rPr>
          <w:b/>
          <w:sz w:val="28"/>
          <w:szCs w:val="28"/>
        </w:rPr>
      </w:pPr>
      <w:r w:rsidRPr="00AB4441">
        <w:rPr>
          <w:sz w:val="28"/>
          <w:szCs w:val="28"/>
        </w:rPr>
        <w:t>Сельское хозяйство</w:t>
      </w:r>
    </w:p>
    <w:p w:rsidR="00BA1A7E" w:rsidRPr="004B235C" w:rsidRDefault="00BA1A7E" w:rsidP="00BA18DE">
      <w:pPr>
        <w:widowControl w:val="0"/>
        <w:ind w:firstLine="709"/>
        <w:jc w:val="both"/>
        <w:rPr>
          <w:b/>
          <w:sz w:val="16"/>
          <w:szCs w:val="16"/>
          <w:highlight w:val="yellow"/>
        </w:rPr>
      </w:pPr>
    </w:p>
    <w:p w:rsidR="00D15B89" w:rsidRPr="004D2468" w:rsidRDefault="00D15B89" w:rsidP="004D2468">
      <w:pPr>
        <w:tabs>
          <w:tab w:val="left" w:pos="708"/>
          <w:tab w:val="left" w:pos="1418"/>
        </w:tabs>
        <w:ind w:firstLine="709"/>
        <w:jc w:val="both"/>
        <w:rPr>
          <w:bCs/>
          <w:iCs/>
          <w:sz w:val="28"/>
          <w:szCs w:val="28"/>
        </w:rPr>
      </w:pPr>
      <w:r w:rsidRPr="004D2468">
        <w:rPr>
          <w:bCs/>
          <w:iCs/>
          <w:sz w:val="28"/>
          <w:szCs w:val="28"/>
        </w:rPr>
        <w:t xml:space="preserve">Объем производства продукции сельского хозяйства в Ленинградской области </w:t>
      </w:r>
      <w:r w:rsidRPr="004D2468">
        <w:rPr>
          <w:b/>
          <w:bCs/>
          <w:iCs/>
          <w:sz w:val="28"/>
          <w:szCs w:val="28"/>
        </w:rPr>
        <w:t>в 2020 году</w:t>
      </w:r>
      <w:r w:rsidRPr="004D2468">
        <w:rPr>
          <w:bCs/>
          <w:iCs/>
          <w:sz w:val="28"/>
          <w:szCs w:val="28"/>
        </w:rPr>
        <w:t xml:space="preserve"> составил 85,2 </w:t>
      </w:r>
      <w:proofErr w:type="gramStart"/>
      <w:r w:rsidRPr="004D2468">
        <w:rPr>
          <w:bCs/>
          <w:iCs/>
          <w:sz w:val="28"/>
          <w:szCs w:val="28"/>
        </w:rPr>
        <w:t>млрд</w:t>
      </w:r>
      <w:proofErr w:type="gramEnd"/>
      <w:r w:rsidRPr="004D2468">
        <w:rPr>
          <w:bCs/>
          <w:iCs/>
          <w:sz w:val="28"/>
          <w:szCs w:val="28"/>
        </w:rPr>
        <w:t xml:space="preserve"> руб. и по сравнению с уровнем 2019 года увеличился на 0,1</w:t>
      </w:r>
      <w:r w:rsidR="009C3AFF" w:rsidRPr="004D2468">
        <w:rPr>
          <w:bCs/>
          <w:iCs/>
          <w:sz w:val="28"/>
          <w:szCs w:val="28"/>
        </w:rPr>
        <w:t xml:space="preserve"> </w:t>
      </w:r>
      <w:r w:rsidR="000D7061" w:rsidRPr="004D2468">
        <w:rPr>
          <w:bCs/>
          <w:iCs/>
          <w:sz w:val="28"/>
          <w:szCs w:val="28"/>
        </w:rPr>
        <w:t>проц.</w:t>
      </w:r>
      <w:r w:rsidRPr="004D2468">
        <w:rPr>
          <w:bCs/>
          <w:iCs/>
          <w:sz w:val="28"/>
          <w:szCs w:val="28"/>
        </w:rPr>
        <w:t>, в том числе в сельскохозяйственных организациях – 66,6 млрд руб. (на 1,6</w:t>
      </w:r>
      <w:r w:rsidR="009C3AFF" w:rsidRPr="004D2468">
        <w:rPr>
          <w:bCs/>
          <w:iCs/>
          <w:sz w:val="28"/>
          <w:szCs w:val="28"/>
        </w:rPr>
        <w:t xml:space="preserve"> </w:t>
      </w:r>
      <w:r w:rsidR="000D7061" w:rsidRPr="004D2468">
        <w:rPr>
          <w:bCs/>
          <w:iCs/>
          <w:sz w:val="28"/>
          <w:szCs w:val="28"/>
        </w:rPr>
        <w:t>проц.</w:t>
      </w:r>
      <w:r w:rsidRPr="004D2468">
        <w:rPr>
          <w:bCs/>
          <w:iCs/>
          <w:sz w:val="28"/>
          <w:szCs w:val="28"/>
        </w:rPr>
        <w:t xml:space="preserve"> больше).</w:t>
      </w:r>
    </w:p>
    <w:p w:rsidR="00D15B89" w:rsidRPr="004D2468" w:rsidRDefault="00D15B89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Агропромышленный комплекс Ленинградской области остается основным производителем продуктов питания всего СЗФО. Ленинградская область входит </w:t>
      </w:r>
      <w:r w:rsidRPr="004D2468">
        <w:rPr>
          <w:sz w:val="28"/>
          <w:szCs w:val="28"/>
        </w:rPr>
        <w:br/>
        <w:t>в Топ-15 ведущих регионов Российской Федерации по объему производства сельскохозяйственной продукции.</w:t>
      </w:r>
    </w:p>
    <w:p w:rsidR="00D15B89" w:rsidRPr="004D2468" w:rsidRDefault="00D15B89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Область сохраняет свои лидирующие позиции по производству продукции животноводства: яйца - 1 место по России и 1 место по СЗФО, регион входит </w:t>
      </w:r>
      <w:r w:rsidRPr="004D2468">
        <w:rPr>
          <w:sz w:val="28"/>
          <w:szCs w:val="28"/>
        </w:rPr>
        <w:br/>
        <w:t>в тройку лидеров по выращиванию форели.</w:t>
      </w:r>
    </w:p>
    <w:p w:rsidR="00D15B89" w:rsidRPr="004D2468" w:rsidRDefault="00D15B89" w:rsidP="004D2468">
      <w:pPr>
        <w:ind w:firstLine="709"/>
        <w:jc w:val="both"/>
        <w:rPr>
          <w:sz w:val="28"/>
          <w:szCs w:val="28"/>
        </w:rPr>
      </w:pPr>
      <w:proofErr w:type="gramStart"/>
      <w:r w:rsidRPr="004D2468">
        <w:rPr>
          <w:sz w:val="28"/>
          <w:szCs w:val="28"/>
        </w:rPr>
        <w:t>Производство продукции растениеводства в хозяйствах всех категорий: зерно и зернобобовые культуры – 160,7 тыс. тонн (110,4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 xml:space="preserve"> к 2019 году);</w:t>
      </w:r>
      <w:r w:rsidR="004D2468" w:rsidRPr="004D2468">
        <w:rPr>
          <w:sz w:val="28"/>
          <w:szCs w:val="28"/>
        </w:rPr>
        <w:t xml:space="preserve"> </w:t>
      </w:r>
      <w:r w:rsidRPr="004D2468">
        <w:rPr>
          <w:sz w:val="28"/>
          <w:szCs w:val="28"/>
        </w:rPr>
        <w:t>картофеля – 187,1 тыс. тонн (91,4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>);</w:t>
      </w:r>
      <w:r w:rsidR="004D2468" w:rsidRPr="004D2468">
        <w:rPr>
          <w:sz w:val="28"/>
          <w:szCs w:val="28"/>
        </w:rPr>
        <w:t xml:space="preserve"> </w:t>
      </w:r>
      <w:r w:rsidRPr="004D2468">
        <w:rPr>
          <w:sz w:val="28"/>
          <w:szCs w:val="28"/>
        </w:rPr>
        <w:t>овощи – 182,7 тыс. тонн (91,5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 xml:space="preserve">). </w:t>
      </w:r>
      <w:proofErr w:type="gramEnd"/>
    </w:p>
    <w:p w:rsidR="00D15B89" w:rsidRPr="004D2468" w:rsidRDefault="00D15B89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>Производство продукции животноводства в хозяйствах всех категорий:</w:t>
      </w:r>
      <w:r w:rsidR="004D2468" w:rsidRPr="004D2468">
        <w:rPr>
          <w:sz w:val="28"/>
          <w:szCs w:val="28"/>
        </w:rPr>
        <w:t xml:space="preserve"> </w:t>
      </w:r>
      <w:r w:rsidRPr="004D2468">
        <w:rPr>
          <w:sz w:val="28"/>
          <w:szCs w:val="28"/>
        </w:rPr>
        <w:t>молоко - 655,4 тыс. тонн (102,8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 xml:space="preserve"> к 2019 году). Надой молока на 1</w:t>
      </w:r>
      <w:r w:rsidR="009C3AFF" w:rsidRPr="004D2468">
        <w:rPr>
          <w:sz w:val="28"/>
          <w:szCs w:val="28"/>
        </w:rPr>
        <w:t> </w:t>
      </w:r>
      <w:r w:rsidRPr="004D2468">
        <w:rPr>
          <w:sz w:val="28"/>
          <w:szCs w:val="28"/>
        </w:rPr>
        <w:t>фуражную корову в организациях (без субъектов МСП и микропредприятий) вырос до 9431 кг (+377 кг к 2019 году);</w:t>
      </w:r>
      <w:r w:rsidR="004D2468" w:rsidRPr="004D2468">
        <w:rPr>
          <w:sz w:val="28"/>
          <w:szCs w:val="28"/>
        </w:rPr>
        <w:t xml:space="preserve"> </w:t>
      </w:r>
      <w:r w:rsidRPr="004D2468">
        <w:rPr>
          <w:sz w:val="28"/>
          <w:szCs w:val="28"/>
        </w:rPr>
        <w:t>мясо скота и птицы (на убой в живом весе) - 376,2 тыс. тонн (99,9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 xml:space="preserve"> к 2019 году);</w:t>
      </w:r>
      <w:r w:rsidR="004D2468" w:rsidRPr="004D2468">
        <w:rPr>
          <w:sz w:val="28"/>
          <w:szCs w:val="28"/>
        </w:rPr>
        <w:t xml:space="preserve"> </w:t>
      </w:r>
      <w:r w:rsidRPr="004D2468">
        <w:rPr>
          <w:sz w:val="28"/>
          <w:szCs w:val="28"/>
        </w:rPr>
        <w:t xml:space="preserve">яйца – 3,2 </w:t>
      </w:r>
      <w:proofErr w:type="gramStart"/>
      <w:r w:rsidRPr="004D2468">
        <w:rPr>
          <w:sz w:val="28"/>
          <w:szCs w:val="28"/>
        </w:rPr>
        <w:t>млрд</w:t>
      </w:r>
      <w:proofErr w:type="gramEnd"/>
      <w:r w:rsidRPr="004D2468">
        <w:rPr>
          <w:sz w:val="28"/>
          <w:szCs w:val="28"/>
        </w:rPr>
        <w:t xml:space="preserve"> штук (104,3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 xml:space="preserve"> к уровню 2019 года).</w:t>
      </w:r>
    </w:p>
    <w:p w:rsidR="00D15B89" w:rsidRPr="004D2468" w:rsidRDefault="00D15B89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lastRenderedPageBreak/>
        <w:t>Улов водных биоресурсов составил 24,9 тыс. тонн (110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 xml:space="preserve"> к уровню 2019 года), выращено 12,2 тыс. тонн товарной рыбной продукции (111,9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 xml:space="preserve"> к уровню 2019 года), товарный выпуск пищевой рыбной продукций – 64,2 тыс. тонн (108,1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>).</w:t>
      </w:r>
    </w:p>
    <w:p w:rsidR="00D15B89" w:rsidRPr="004D2468" w:rsidRDefault="00D15B89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Агропромышленный комплекс Ленинградской области находится в четверке самых инвестиционно-привлекательных отраслей региона наряду со строительством, логистикой и химической промышленностью. </w:t>
      </w:r>
    </w:p>
    <w:p w:rsidR="00D15B89" w:rsidRPr="004D2468" w:rsidRDefault="00D15B89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По оценке </w:t>
      </w:r>
      <w:r w:rsidRPr="004D2468">
        <w:rPr>
          <w:b/>
          <w:sz w:val="28"/>
          <w:szCs w:val="28"/>
        </w:rPr>
        <w:t>2021 года</w:t>
      </w:r>
      <w:r w:rsidRPr="004D2468">
        <w:rPr>
          <w:sz w:val="28"/>
          <w:szCs w:val="28"/>
        </w:rPr>
        <w:t xml:space="preserve"> объем производства продукции сельского хозяйства составит 90,4 </w:t>
      </w:r>
      <w:proofErr w:type="gramStart"/>
      <w:r w:rsidRPr="004D2468">
        <w:rPr>
          <w:sz w:val="28"/>
          <w:szCs w:val="28"/>
        </w:rPr>
        <w:t>млрд</w:t>
      </w:r>
      <w:proofErr w:type="gramEnd"/>
      <w:r w:rsidRPr="004D2468">
        <w:rPr>
          <w:sz w:val="28"/>
          <w:szCs w:val="28"/>
        </w:rPr>
        <w:t xml:space="preserve"> руб., индекс производства составит 101,1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 xml:space="preserve"> к 2020 году.</w:t>
      </w:r>
    </w:p>
    <w:p w:rsidR="00D15B89" w:rsidRPr="004D2468" w:rsidRDefault="00D15B89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>Прогноз производства зерновых культур рассчитан на основе средней урожайности по зерновым за последние пять лет 33,4 ц/га и составил 146,7 тыс. тонн (91,3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 xml:space="preserve"> к уровню 2020 года), производство картофеля составит – 200,3 тыс. тонн (107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>), овощей всех видов – 186,8 тыс. тонн (102,2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>).</w:t>
      </w:r>
    </w:p>
    <w:p w:rsidR="00D15B89" w:rsidRPr="004D2468" w:rsidRDefault="00D15B89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Производство в животноводстве составит: мясо скота и птицы – 376,2 тыс. тонн (на уровне), молоко – 642,7 тыс. тонн (на уровне), яйца – 3,3 </w:t>
      </w:r>
      <w:proofErr w:type="gramStart"/>
      <w:r w:rsidRPr="004D2468">
        <w:rPr>
          <w:sz w:val="28"/>
          <w:szCs w:val="28"/>
        </w:rPr>
        <w:t>млрд</w:t>
      </w:r>
      <w:proofErr w:type="gramEnd"/>
      <w:r w:rsidRPr="004D2468">
        <w:rPr>
          <w:sz w:val="28"/>
          <w:szCs w:val="28"/>
        </w:rPr>
        <w:t xml:space="preserve"> шт. (102</w:t>
      </w:r>
      <w:r w:rsidR="009C3AFF" w:rsidRPr="004D2468">
        <w:rPr>
          <w:sz w:val="28"/>
          <w:szCs w:val="28"/>
        </w:rPr>
        <w:t> 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>).</w:t>
      </w:r>
    </w:p>
    <w:p w:rsidR="00A3072F" w:rsidRPr="004D2468" w:rsidRDefault="00A3072F" w:rsidP="004D2468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  <w:lang w:eastAsia="en-US"/>
        </w:rPr>
        <w:t xml:space="preserve">В 2021 году в </w:t>
      </w:r>
      <w:proofErr w:type="spellStart"/>
      <w:r w:rsidRPr="004D2468">
        <w:rPr>
          <w:sz w:val="28"/>
          <w:szCs w:val="28"/>
          <w:lang w:eastAsia="en-US"/>
        </w:rPr>
        <w:t>рыбохозяйственном</w:t>
      </w:r>
      <w:proofErr w:type="spellEnd"/>
      <w:r w:rsidRPr="004D2468">
        <w:rPr>
          <w:sz w:val="28"/>
          <w:szCs w:val="28"/>
          <w:lang w:eastAsia="en-US"/>
        </w:rPr>
        <w:t xml:space="preserve"> комплексе региона</w:t>
      </w:r>
      <w:r w:rsidRPr="004D2468">
        <w:rPr>
          <w:sz w:val="28"/>
          <w:szCs w:val="28"/>
        </w:rPr>
        <w:t xml:space="preserve"> улов водных биоресурсов составит 22,5 тыс. тонн (90,4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>), в связи с уменьшением выделенного общего допустимого улова и рекомендуемых объемов для Ленинградской области, выращивание – 12,8 тыс. тонн (104,9</w:t>
      </w:r>
      <w:r w:rsidR="009C3AFF" w:rsidRPr="004D2468">
        <w:rPr>
          <w:sz w:val="28"/>
          <w:szCs w:val="28"/>
        </w:rPr>
        <w:t xml:space="preserve"> </w:t>
      </w:r>
      <w:r w:rsidR="000D7061" w:rsidRPr="004D2468">
        <w:rPr>
          <w:sz w:val="28"/>
          <w:szCs w:val="28"/>
        </w:rPr>
        <w:t>проц.</w:t>
      </w:r>
      <w:r w:rsidRPr="004D2468">
        <w:rPr>
          <w:sz w:val="28"/>
          <w:szCs w:val="28"/>
        </w:rPr>
        <w:t>), товарный выпуск пищевой рыбной продукций, включая консервы – 64,2 тыс. тонн (на уровне 2020 года).</w:t>
      </w:r>
    </w:p>
    <w:p w:rsidR="00A3072F" w:rsidRPr="004D2468" w:rsidRDefault="00A3072F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  <w:lang w:eastAsia="en-US"/>
        </w:rPr>
        <w:t xml:space="preserve">Существенных колебаний в </w:t>
      </w:r>
      <w:r w:rsidRPr="004D2468">
        <w:rPr>
          <w:sz w:val="28"/>
          <w:szCs w:val="28"/>
        </w:rPr>
        <w:t xml:space="preserve">тенденциях развития агропромышленного комплекса Ленинградской области </w:t>
      </w:r>
      <w:r w:rsidRPr="004D2468">
        <w:rPr>
          <w:b/>
          <w:sz w:val="28"/>
          <w:szCs w:val="28"/>
        </w:rPr>
        <w:t>на 2022-2024 годы не прогнозируется</w:t>
      </w:r>
      <w:r w:rsidRPr="004D2468">
        <w:rPr>
          <w:sz w:val="28"/>
          <w:szCs w:val="28"/>
        </w:rPr>
        <w:t>.</w:t>
      </w:r>
    </w:p>
    <w:p w:rsidR="00A3072F" w:rsidRPr="004D2468" w:rsidRDefault="00A3072F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Ленинградская область, в соответствии со </w:t>
      </w:r>
      <w:r w:rsidRPr="004D2468">
        <w:rPr>
          <w:bCs/>
          <w:sz w:val="28"/>
          <w:szCs w:val="28"/>
        </w:rPr>
        <w:t>своим</w:t>
      </w:r>
      <w:r w:rsidRPr="004D2468">
        <w:rPr>
          <w:sz w:val="28"/>
          <w:szCs w:val="28"/>
        </w:rPr>
        <w:t xml:space="preserve"> </w:t>
      </w:r>
      <w:r w:rsidRPr="004D2468">
        <w:rPr>
          <w:bCs/>
          <w:sz w:val="28"/>
          <w:szCs w:val="28"/>
        </w:rPr>
        <w:t>географическим</w:t>
      </w:r>
      <w:r w:rsidRPr="004D2468">
        <w:rPr>
          <w:sz w:val="28"/>
          <w:szCs w:val="28"/>
        </w:rPr>
        <w:t xml:space="preserve"> </w:t>
      </w:r>
      <w:r w:rsidRPr="004D2468">
        <w:rPr>
          <w:bCs/>
          <w:sz w:val="28"/>
          <w:szCs w:val="28"/>
        </w:rPr>
        <w:t>положением</w:t>
      </w:r>
      <w:r w:rsidRPr="004D2468">
        <w:rPr>
          <w:sz w:val="28"/>
          <w:szCs w:val="28"/>
        </w:rPr>
        <w:t xml:space="preserve">, </w:t>
      </w:r>
      <w:r w:rsidRPr="004D2468">
        <w:rPr>
          <w:bCs/>
          <w:sz w:val="28"/>
          <w:szCs w:val="28"/>
        </w:rPr>
        <w:t>находится</w:t>
      </w:r>
      <w:r w:rsidRPr="004D2468">
        <w:rPr>
          <w:sz w:val="28"/>
          <w:szCs w:val="28"/>
        </w:rPr>
        <w:t xml:space="preserve"> </w:t>
      </w:r>
      <w:r w:rsidRPr="004D2468">
        <w:rPr>
          <w:bCs/>
          <w:sz w:val="28"/>
          <w:szCs w:val="28"/>
        </w:rPr>
        <w:t>в</w:t>
      </w:r>
      <w:r w:rsidRPr="004D2468">
        <w:rPr>
          <w:sz w:val="28"/>
          <w:szCs w:val="28"/>
        </w:rPr>
        <w:t xml:space="preserve"> </w:t>
      </w:r>
      <w:r w:rsidRPr="004D2468">
        <w:rPr>
          <w:bCs/>
          <w:sz w:val="28"/>
          <w:szCs w:val="28"/>
        </w:rPr>
        <w:t>зоне</w:t>
      </w:r>
      <w:r w:rsidRPr="004D2468">
        <w:rPr>
          <w:sz w:val="28"/>
          <w:szCs w:val="28"/>
        </w:rPr>
        <w:t xml:space="preserve"> </w:t>
      </w:r>
      <w:r w:rsidRPr="004D2468">
        <w:rPr>
          <w:bCs/>
          <w:sz w:val="28"/>
          <w:szCs w:val="28"/>
        </w:rPr>
        <w:t>рискованного</w:t>
      </w:r>
      <w:r w:rsidRPr="004D2468">
        <w:rPr>
          <w:sz w:val="28"/>
          <w:szCs w:val="28"/>
        </w:rPr>
        <w:t xml:space="preserve"> </w:t>
      </w:r>
      <w:r w:rsidRPr="004D2468">
        <w:rPr>
          <w:bCs/>
          <w:sz w:val="28"/>
          <w:szCs w:val="28"/>
        </w:rPr>
        <w:t>земледелия</w:t>
      </w:r>
      <w:r w:rsidRPr="004D2468">
        <w:rPr>
          <w:sz w:val="28"/>
          <w:szCs w:val="28"/>
        </w:rPr>
        <w:t xml:space="preserve">. Поэтому современное растениеводство региона ориентировано на внедрение инновационных технологий, направленных на сохранение и повышение плодородия почв, увеличение валовых сборов </w:t>
      </w:r>
      <w:proofErr w:type="spellStart"/>
      <w:r w:rsidRPr="004D2468">
        <w:rPr>
          <w:sz w:val="28"/>
          <w:szCs w:val="28"/>
        </w:rPr>
        <w:t>сельхозкультур</w:t>
      </w:r>
      <w:proofErr w:type="spellEnd"/>
      <w:r w:rsidRPr="004D2468">
        <w:rPr>
          <w:sz w:val="28"/>
          <w:szCs w:val="28"/>
        </w:rPr>
        <w:t>, снижение зависимости сельхозпроизводства от влияния неблагоприятных природно-климатических условий, повышение производительности труда и механизации трудоемких производственных процессов.</w:t>
      </w:r>
    </w:p>
    <w:p w:rsidR="00A3072F" w:rsidRPr="004D2468" w:rsidRDefault="00A3072F" w:rsidP="004D2468">
      <w:pPr>
        <w:ind w:firstLine="709"/>
        <w:jc w:val="both"/>
        <w:rPr>
          <w:sz w:val="28"/>
          <w:szCs w:val="28"/>
          <w:lang w:eastAsia="en-US"/>
        </w:rPr>
      </w:pPr>
      <w:r w:rsidRPr="004D2468">
        <w:rPr>
          <w:sz w:val="28"/>
          <w:szCs w:val="28"/>
          <w:lang w:eastAsia="en-US"/>
        </w:rPr>
        <w:t xml:space="preserve">Рост качественных показателей в растениеводстве будет осуществляться за счет использования современных машин полного цикла, многофункциональных агрегатов, применения элементов точного земледелия, расширения числа предприятий, имеющих замкнутые технологические комплексы в производстве товарных культур и предпродажную подготовку продукции. В прогнозируемый период планируется увеличение посевных площадей за счет введения ранее неиспользуемых сельхозугодий, а также повышение урожайности </w:t>
      </w:r>
      <w:proofErr w:type="spellStart"/>
      <w:r w:rsidRPr="004D2468">
        <w:rPr>
          <w:sz w:val="28"/>
          <w:szCs w:val="28"/>
          <w:lang w:eastAsia="en-US"/>
        </w:rPr>
        <w:t>сельхозкультур</w:t>
      </w:r>
      <w:proofErr w:type="spellEnd"/>
      <w:r w:rsidRPr="004D2468">
        <w:rPr>
          <w:sz w:val="28"/>
          <w:szCs w:val="28"/>
          <w:lang w:eastAsia="en-US"/>
        </w:rPr>
        <w:t xml:space="preserve">. </w:t>
      </w:r>
    </w:p>
    <w:p w:rsidR="00A3072F" w:rsidRPr="004D2468" w:rsidRDefault="00A3072F" w:rsidP="004D2468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  <w:lang w:eastAsia="en-US"/>
        </w:rPr>
        <w:t xml:space="preserve">Рост объемов производства сельхозпродукции в животноводстве будет обеспечиваться за счет увеличения поголовья и повышения продуктивности сельскохозяйственных животных, обновления парка сельхозтехники и оборудования, производственного потенциала введенных объектов в предыдущих годах, модернизации действующих и введения новых современных </w:t>
      </w:r>
      <w:r w:rsidRPr="004D2468">
        <w:rPr>
          <w:sz w:val="28"/>
          <w:szCs w:val="28"/>
          <w:lang w:eastAsia="en-US"/>
        </w:rPr>
        <w:lastRenderedPageBreak/>
        <w:t>производственных комплексов. Особое внимание будет уделяться государственной поддержке развития семейных животноводческих ферм и сельскохозяйственных потребительских кооперативов.</w:t>
      </w:r>
    </w:p>
    <w:p w:rsidR="00361BFE" w:rsidRPr="004D2468" w:rsidRDefault="00361BFE" w:rsidP="004D246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2468">
        <w:rPr>
          <w:sz w:val="28"/>
          <w:szCs w:val="28"/>
        </w:rPr>
        <w:t xml:space="preserve">В </w:t>
      </w:r>
      <w:proofErr w:type="spellStart"/>
      <w:r w:rsidRPr="004D2468">
        <w:rPr>
          <w:sz w:val="28"/>
          <w:szCs w:val="28"/>
        </w:rPr>
        <w:t>рыбохозяйственном</w:t>
      </w:r>
      <w:proofErr w:type="spellEnd"/>
      <w:r w:rsidRPr="004D2468">
        <w:rPr>
          <w:sz w:val="28"/>
          <w:szCs w:val="28"/>
        </w:rPr>
        <w:t xml:space="preserve"> комплексе с</w:t>
      </w:r>
      <w:r w:rsidRPr="004D2468">
        <w:rPr>
          <w:color w:val="000000" w:themeColor="text1"/>
          <w:sz w:val="28"/>
          <w:szCs w:val="28"/>
        </w:rPr>
        <w:t xml:space="preserve"> учетом ограниченности запаса водных биоресурсов и возможности ежегодного вылова не более 28 тыс. тонн рыбы увеличение объемов производства товарной рыбной продукции в прогнозируемый период будет осуществляться за счет роста объемов продукции товарной </w:t>
      </w:r>
      <w:proofErr w:type="spellStart"/>
      <w:r w:rsidRPr="004D2468">
        <w:rPr>
          <w:color w:val="000000" w:themeColor="text1"/>
          <w:sz w:val="28"/>
          <w:szCs w:val="28"/>
        </w:rPr>
        <w:t>аквакультуры</w:t>
      </w:r>
      <w:proofErr w:type="spellEnd"/>
      <w:r w:rsidRPr="004D2468">
        <w:rPr>
          <w:color w:val="000000" w:themeColor="text1"/>
          <w:sz w:val="28"/>
          <w:szCs w:val="28"/>
        </w:rPr>
        <w:t xml:space="preserve"> и повышения процента освоения водных биоресурсов при промышленном и прибрежном рыболовстве до разрешенного порога. </w:t>
      </w:r>
      <w:proofErr w:type="gramEnd"/>
    </w:p>
    <w:p w:rsidR="00361BFE" w:rsidRPr="004D2468" w:rsidRDefault="00361BFE" w:rsidP="004D2468">
      <w:pPr>
        <w:ind w:firstLine="709"/>
        <w:jc w:val="both"/>
        <w:rPr>
          <w:color w:val="000000" w:themeColor="text1"/>
          <w:sz w:val="28"/>
          <w:szCs w:val="28"/>
        </w:rPr>
      </w:pPr>
      <w:r w:rsidRPr="004D2468">
        <w:rPr>
          <w:color w:val="000000" w:themeColor="text1"/>
          <w:sz w:val="28"/>
          <w:szCs w:val="28"/>
        </w:rPr>
        <w:t xml:space="preserve">Особое внимание будет уделяться реализации инвестиционных проектов с </w:t>
      </w:r>
      <w:proofErr w:type="spellStart"/>
      <w:r w:rsidRPr="004D2468">
        <w:rPr>
          <w:color w:val="000000" w:themeColor="text1"/>
          <w:sz w:val="28"/>
          <w:szCs w:val="28"/>
        </w:rPr>
        <w:t>грантовой</w:t>
      </w:r>
      <w:proofErr w:type="spellEnd"/>
      <w:r w:rsidRPr="004D2468">
        <w:rPr>
          <w:color w:val="000000" w:themeColor="text1"/>
          <w:sz w:val="28"/>
          <w:szCs w:val="28"/>
        </w:rPr>
        <w:t xml:space="preserve"> поддержкой фермерских хозяйств по созданию садковых линий и производств на основе установок замкнутого водоснабжения по выращиванию товарной рыбоводной продукции.</w:t>
      </w:r>
    </w:p>
    <w:p w:rsidR="00147A8F" w:rsidRPr="004B235C" w:rsidRDefault="00147A8F" w:rsidP="006B553F">
      <w:pPr>
        <w:spacing w:line="216" w:lineRule="auto"/>
        <w:ind w:firstLine="709"/>
        <w:jc w:val="both"/>
        <w:rPr>
          <w:color w:val="000000" w:themeColor="text1"/>
          <w:sz w:val="16"/>
          <w:szCs w:val="16"/>
          <w:highlight w:val="yellow"/>
        </w:rPr>
      </w:pPr>
    </w:p>
    <w:p w:rsidR="00147A8F" w:rsidRPr="00A3072F" w:rsidRDefault="007A245B" w:rsidP="00147A8F">
      <w:pPr>
        <w:widowControl w:val="0"/>
        <w:ind w:firstLine="709"/>
        <w:jc w:val="center"/>
        <w:rPr>
          <w:b/>
          <w:sz w:val="28"/>
          <w:szCs w:val="28"/>
        </w:rPr>
      </w:pPr>
      <w:r w:rsidRPr="00A3072F">
        <w:rPr>
          <w:sz w:val="28"/>
          <w:szCs w:val="28"/>
        </w:rPr>
        <w:t>Строительство</w:t>
      </w:r>
    </w:p>
    <w:p w:rsidR="00147A8F" w:rsidRPr="004B235C" w:rsidRDefault="00147A8F" w:rsidP="006B553F">
      <w:pPr>
        <w:widowControl w:val="0"/>
        <w:spacing w:line="216" w:lineRule="auto"/>
        <w:ind w:firstLine="709"/>
        <w:jc w:val="both"/>
        <w:rPr>
          <w:sz w:val="16"/>
          <w:szCs w:val="16"/>
          <w:highlight w:val="yellow"/>
        </w:rPr>
      </w:pPr>
    </w:p>
    <w:p w:rsidR="00A3072F" w:rsidRPr="0023222B" w:rsidRDefault="00A3072F" w:rsidP="00A3072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222B">
        <w:rPr>
          <w:b/>
          <w:sz w:val="28"/>
          <w:szCs w:val="28"/>
        </w:rPr>
        <w:t>В 2020 году</w:t>
      </w:r>
      <w:r w:rsidRPr="0023222B">
        <w:rPr>
          <w:sz w:val="28"/>
          <w:szCs w:val="28"/>
        </w:rPr>
        <w:t xml:space="preserve"> объем работ </w:t>
      </w:r>
      <w:r w:rsidRPr="0023222B">
        <w:rPr>
          <w:bCs/>
          <w:iCs/>
          <w:sz w:val="28"/>
          <w:szCs w:val="28"/>
        </w:rPr>
        <w:t xml:space="preserve">по виду деятельности </w:t>
      </w:r>
      <w:r>
        <w:rPr>
          <w:bCs/>
          <w:iCs/>
          <w:sz w:val="28"/>
          <w:szCs w:val="28"/>
        </w:rPr>
        <w:t>«</w:t>
      </w:r>
      <w:r w:rsidRPr="0023222B">
        <w:rPr>
          <w:bCs/>
          <w:iCs/>
          <w:sz w:val="28"/>
          <w:szCs w:val="28"/>
        </w:rPr>
        <w:t>строительство</w:t>
      </w:r>
      <w:r>
        <w:rPr>
          <w:bCs/>
          <w:iCs/>
          <w:sz w:val="28"/>
          <w:szCs w:val="28"/>
        </w:rPr>
        <w:t>»</w:t>
      </w:r>
      <w:r w:rsidRPr="0023222B">
        <w:rPr>
          <w:bCs/>
          <w:iCs/>
          <w:sz w:val="28"/>
          <w:szCs w:val="28"/>
        </w:rPr>
        <w:t xml:space="preserve"> составил 206,8 </w:t>
      </w:r>
      <w:proofErr w:type="gramStart"/>
      <w:r w:rsidRPr="0023222B">
        <w:rPr>
          <w:bCs/>
          <w:iCs/>
          <w:sz w:val="28"/>
          <w:szCs w:val="28"/>
        </w:rPr>
        <w:t>млрд</w:t>
      </w:r>
      <w:proofErr w:type="gramEnd"/>
      <w:r w:rsidRPr="0023222B">
        <w:rPr>
          <w:sz w:val="28"/>
          <w:szCs w:val="28"/>
        </w:rPr>
        <w:t xml:space="preserve"> руб., что в сопоставимых ценах на 17,9</w:t>
      </w:r>
      <w:r w:rsidR="009C3AF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23222B">
        <w:rPr>
          <w:sz w:val="28"/>
          <w:szCs w:val="28"/>
        </w:rPr>
        <w:t xml:space="preserve"> меньше соответствующего периода предыдущего года. </w:t>
      </w:r>
    </w:p>
    <w:p w:rsidR="00A3072F" w:rsidRPr="0023222B" w:rsidRDefault="00A3072F" w:rsidP="00A3072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222B">
        <w:rPr>
          <w:sz w:val="28"/>
          <w:szCs w:val="28"/>
        </w:rPr>
        <w:t xml:space="preserve">Организациями различных видов деятельности выполнено хозяйственным способом строительно-монтажных работ на 517,2 </w:t>
      </w:r>
      <w:proofErr w:type="gramStart"/>
      <w:r w:rsidRPr="0023222B">
        <w:rPr>
          <w:sz w:val="28"/>
          <w:szCs w:val="28"/>
        </w:rPr>
        <w:t>млн</w:t>
      </w:r>
      <w:proofErr w:type="gramEnd"/>
      <w:r w:rsidRPr="0023222B">
        <w:rPr>
          <w:sz w:val="28"/>
          <w:szCs w:val="28"/>
        </w:rPr>
        <w:t xml:space="preserve"> руб.</w:t>
      </w:r>
    </w:p>
    <w:p w:rsidR="00A3072F" w:rsidRDefault="00A3072F" w:rsidP="00A3072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222B">
        <w:rPr>
          <w:sz w:val="28"/>
          <w:szCs w:val="28"/>
        </w:rPr>
        <w:t>По итогам 2020 года организациями различных форм собственности введено в действие 36490 квартир общей</w:t>
      </w:r>
      <w:r w:rsidRPr="00F648A6">
        <w:rPr>
          <w:sz w:val="28"/>
          <w:szCs w:val="28"/>
        </w:rPr>
        <w:t xml:space="preserve"> площадью 266</w:t>
      </w:r>
      <w:r>
        <w:rPr>
          <w:sz w:val="28"/>
          <w:szCs w:val="28"/>
        </w:rPr>
        <w:t>7</w:t>
      </w:r>
      <w:r w:rsidRPr="00F648A6">
        <w:rPr>
          <w:sz w:val="28"/>
          <w:szCs w:val="28"/>
        </w:rPr>
        <w:t xml:space="preserve"> тыс. кв. м (в том числе за сч</w:t>
      </w:r>
      <w:r>
        <w:rPr>
          <w:sz w:val="28"/>
          <w:szCs w:val="28"/>
        </w:rPr>
        <w:t>ет собственных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аждан </w:t>
      </w:r>
      <w:r w:rsidRPr="00F648A6">
        <w:rPr>
          <w:sz w:val="28"/>
          <w:szCs w:val="28"/>
        </w:rPr>
        <w:t>и с помощью кредитов банков – 12776 домов, или 1664,7 тыс. кв. м).</w:t>
      </w:r>
    </w:p>
    <w:p w:rsidR="00A3072F" w:rsidRPr="00D948AB" w:rsidRDefault="00A3072F" w:rsidP="00A3072F">
      <w:pPr>
        <w:ind w:firstLine="709"/>
        <w:jc w:val="both"/>
        <w:rPr>
          <w:sz w:val="28"/>
          <w:szCs w:val="28"/>
        </w:rPr>
      </w:pPr>
      <w:r w:rsidRPr="0099048D">
        <w:rPr>
          <w:sz w:val="28"/>
          <w:szCs w:val="28"/>
        </w:rPr>
        <w:t xml:space="preserve">Средняя обеспеченность одного жителя Ленинградской области общей площадью жилья за 2020 год составила 30,7 </w:t>
      </w:r>
      <w:proofErr w:type="spellStart"/>
      <w:r w:rsidRPr="0099048D">
        <w:rPr>
          <w:sz w:val="28"/>
          <w:szCs w:val="28"/>
        </w:rPr>
        <w:t>кв</w:t>
      </w:r>
      <w:proofErr w:type="gramStart"/>
      <w:r w:rsidRPr="0099048D">
        <w:rPr>
          <w:sz w:val="28"/>
          <w:szCs w:val="28"/>
        </w:rPr>
        <w:t>.м</w:t>
      </w:r>
      <w:proofErr w:type="spellEnd"/>
      <w:proofErr w:type="gramEnd"/>
      <w:r w:rsidRPr="0099048D">
        <w:rPr>
          <w:sz w:val="28"/>
          <w:szCs w:val="28"/>
        </w:rPr>
        <w:t xml:space="preserve">, прогнозный показатель за 2021 год составляет 32,1 </w:t>
      </w:r>
      <w:proofErr w:type="spellStart"/>
      <w:r w:rsidRPr="0099048D">
        <w:rPr>
          <w:sz w:val="28"/>
          <w:szCs w:val="28"/>
        </w:rPr>
        <w:t>кв.м</w:t>
      </w:r>
      <w:proofErr w:type="spellEnd"/>
      <w:r w:rsidRPr="0099048D">
        <w:rPr>
          <w:sz w:val="28"/>
          <w:szCs w:val="28"/>
        </w:rPr>
        <w:t>. В течение последних лет данный показатель стабильно увеличивается, что отражает улучшение состояния жилищного фонда.</w:t>
      </w:r>
    </w:p>
    <w:p w:rsidR="00A3072F" w:rsidRDefault="00A3072F" w:rsidP="00A3072F">
      <w:pPr>
        <w:ind w:firstLine="709"/>
        <w:jc w:val="both"/>
        <w:rPr>
          <w:sz w:val="28"/>
          <w:szCs w:val="28"/>
        </w:rPr>
      </w:pPr>
      <w:r w:rsidRPr="00D948AB">
        <w:rPr>
          <w:sz w:val="28"/>
          <w:szCs w:val="28"/>
        </w:rPr>
        <w:t xml:space="preserve">По оценке </w:t>
      </w:r>
      <w:r w:rsidRPr="00D948AB">
        <w:rPr>
          <w:b/>
          <w:sz w:val="28"/>
          <w:szCs w:val="28"/>
        </w:rPr>
        <w:t>в 2021 году</w:t>
      </w:r>
      <w:r w:rsidRPr="00D948AB">
        <w:rPr>
          <w:sz w:val="28"/>
          <w:szCs w:val="28"/>
        </w:rPr>
        <w:t xml:space="preserve"> объем выполненных подрядных работ составит 200,3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</w:t>
      </w:r>
      <w:r w:rsidRPr="00D948AB">
        <w:rPr>
          <w:sz w:val="28"/>
          <w:szCs w:val="28"/>
        </w:rPr>
        <w:t>. (93,5</w:t>
      </w:r>
      <w:r w:rsidR="009C3AF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D948AB">
        <w:rPr>
          <w:sz w:val="28"/>
          <w:szCs w:val="28"/>
        </w:rPr>
        <w:t xml:space="preserve"> по сравнению с 2020 годом).</w:t>
      </w:r>
    </w:p>
    <w:p w:rsidR="00A3072F" w:rsidRDefault="00A3072F" w:rsidP="00A3072F">
      <w:pPr>
        <w:ind w:firstLine="709"/>
        <w:jc w:val="both"/>
        <w:rPr>
          <w:sz w:val="28"/>
          <w:szCs w:val="28"/>
        </w:rPr>
      </w:pPr>
      <w:r w:rsidRPr="0099048D">
        <w:rPr>
          <w:sz w:val="28"/>
          <w:szCs w:val="28"/>
        </w:rPr>
        <w:t>В 2021 году плановый показатель объема ввода жилья на территории Ленинградской области составляет 2</w:t>
      </w:r>
      <w:r>
        <w:rPr>
          <w:sz w:val="28"/>
          <w:szCs w:val="28"/>
        </w:rPr>
        <w:t> </w:t>
      </w:r>
      <w:r w:rsidRPr="0099048D">
        <w:rPr>
          <w:sz w:val="28"/>
          <w:szCs w:val="28"/>
        </w:rPr>
        <w:t>270,0 тыс.</w:t>
      </w:r>
      <w:r>
        <w:rPr>
          <w:sz w:val="28"/>
          <w:szCs w:val="28"/>
        </w:rPr>
        <w:t xml:space="preserve"> </w:t>
      </w:r>
      <w:proofErr w:type="spellStart"/>
      <w:r w:rsidRPr="0099048D">
        <w:rPr>
          <w:sz w:val="28"/>
          <w:szCs w:val="28"/>
        </w:rPr>
        <w:t>кв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99048D">
        <w:rPr>
          <w:sz w:val="28"/>
          <w:szCs w:val="28"/>
        </w:rPr>
        <w:t>.</w:t>
      </w:r>
      <w:proofErr w:type="gramEnd"/>
      <w:r w:rsidRPr="0099048D">
        <w:rPr>
          <w:sz w:val="28"/>
          <w:szCs w:val="28"/>
        </w:rPr>
        <w:t>м. По состоянию на 1 ию</w:t>
      </w:r>
      <w:r>
        <w:rPr>
          <w:sz w:val="28"/>
          <w:szCs w:val="28"/>
        </w:rPr>
        <w:t>л</w:t>
      </w:r>
      <w:r w:rsidRPr="0099048D">
        <w:rPr>
          <w:sz w:val="28"/>
          <w:szCs w:val="28"/>
        </w:rPr>
        <w:t xml:space="preserve">я </w:t>
      </w:r>
      <w:r>
        <w:rPr>
          <w:sz w:val="28"/>
          <w:szCs w:val="28"/>
        </w:rPr>
        <w:br/>
      </w:r>
      <w:r w:rsidRPr="0099048D">
        <w:rPr>
          <w:sz w:val="28"/>
          <w:szCs w:val="28"/>
        </w:rPr>
        <w:t xml:space="preserve">2021 года на территории Ленинградской области введено в эксплуатацию </w:t>
      </w:r>
      <w:r>
        <w:rPr>
          <w:sz w:val="28"/>
          <w:szCs w:val="28"/>
        </w:rPr>
        <w:br/>
        <w:t>1766,7</w:t>
      </w:r>
      <w:r w:rsidRPr="0099048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9048D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99048D">
        <w:rPr>
          <w:sz w:val="28"/>
          <w:szCs w:val="28"/>
        </w:rPr>
        <w:t xml:space="preserve">м площади жилья, выполнение плана </w:t>
      </w:r>
      <w:r>
        <w:rPr>
          <w:sz w:val="28"/>
          <w:szCs w:val="28"/>
        </w:rPr>
        <w:t xml:space="preserve">уже </w:t>
      </w:r>
      <w:r w:rsidRPr="0099048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77,8</w:t>
      </w:r>
      <w:r w:rsidR="009C3AF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</w:p>
    <w:p w:rsidR="00A3072F" w:rsidRPr="0099048D" w:rsidRDefault="00A3072F" w:rsidP="00A3072F">
      <w:pPr>
        <w:ind w:firstLine="709"/>
        <w:jc w:val="both"/>
        <w:rPr>
          <w:sz w:val="28"/>
          <w:szCs w:val="28"/>
        </w:rPr>
      </w:pPr>
      <w:r w:rsidRPr="0099048D">
        <w:rPr>
          <w:sz w:val="28"/>
          <w:szCs w:val="28"/>
        </w:rPr>
        <w:t>По состоянию на 1 июня 2021 года доля аварийного жилья, расположенного на территории Ленинградской области, в жилищном фонде (от общей площади жилищного фонда Ленинградской области) составляет 0,63</w:t>
      </w:r>
      <w:r w:rsidR="009C3AF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</w:p>
    <w:p w:rsidR="00A3072F" w:rsidRPr="00F648A6" w:rsidRDefault="00A3072F" w:rsidP="00A3072F">
      <w:pPr>
        <w:shd w:val="clear" w:color="auto" w:fill="FFFFFF"/>
        <w:ind w:firstLine="709"/>
        <w:jc w:val="both"/>
        <w:rPr>
          <w:sz w:val="28"/>
          <w:szCs w:val="28"/>
        </w:rPr>
      </w:pPr>
      <w:r w:rsidRPr="00D948AB">
        <w:rPr>
          <w:sz w:val="28"/>
          <w:szCs w:val="28"/>
        </w:rPr>
        <w:t xml:space="preserve">На </w:t>
      </w:r>
      <w:r w:rsidRPr="0023222B">
        <w:rPr>
          <w:b/>
          <w:sz w:val="28"/>
          <w:szCs w:val="28"/>
        </w:rPr>
        <w:t>среднесрочном прогнозном</w:t>
      </w:r>
      <w:r w:rsidRPr="00D948AB">
        <w:rPr>
          <w:sz w:val="28"/>
          <w:szCs w:val="28"/>
        </w:rPr>
        <w:t xml:space="preserve"> </w:t>
      </w:r>
      <w:r w:rsidRPr="00AE55F1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е </w:t>
      </w:r>
      <w:r w:rsidRPr="00D948AB">
        <w:rPr>
          <w:sz w:val="28"/>
          <w:szCs w:val="28"/>
        </w:rPr>
        <w:t>ожидается восстановление стабильного роста объемов строительных работ умеренными темпами.</w:t>
      </w:r>
      <w:r>
        <w:rPr>
          <w:sz w:val="28"/>
          <w:szCs w:val="28"/>
        </w:rPr>
        <w:t xml:space="preserve"> К</w:t>
      </w:r>
      <w:r w:rsidRPr="00F648A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648A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648A6">
        <w:rPr>
          <w:sz w:val="28"/>
          <w:szCs w:val="28"/>
        </w:rPr>
        <w:t xml:space="preserve"> объем работ </w:t>
      </w:r>
      <w:r w:rsidRPr="0023222B">
        <w:rPr>
          <w:bCs/>
          <w:iCs/>
          <w:sz w:val="28"/>
          <w:szCs w:val="28"/>
        </w:rPr>
        <w:t xml:space="preserve">по виду деятельности </w:t>
      </w:r>
      <w:r>
        <w:rPr>
          <w:bCs/>
          <w:iCs/>
          <w:sz w:val="28"/>
          <w:szCs w:val="28"/>
        </w:rPr>
        <w:t>«</w:t>
      </w:r>
      <w:r w:rsidRPr="0023222B">
        <w:rPr>
          <w:bCs/>
          <w:iCs/>
          <w:sz w:val="28"/>
          <w:szCs w:val="28"/>
        </w:rPr>
        <w:t>строительство</w:t>
      </w:r>
      <w:r>
        <w:rPr>
          <w:bCs/>
          <w:iCs/>
          <w:sz w:val="28"/>
          <w:szCs w:val="28"/>
        </w:rPr>
        <w:t>»</w:t>
      </w:r>
      <w:r w:rsidRPr="0023222B">
        <w:rPr>
          <w:bCs/>
          <w:iCs/>
          <w:sz w:val="28"/>
          <w:szCs w:val="28"/>
        </w:rPr>
        <w:t xml:space="preserve"> составит</w:t>
      </w:r>
      <w:r w:rsidRPr="00F648A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240,7</w:t>
      </w:r>
      <w:r w:rsidRPr="00F648A6">
        <w:rPr>
          <w:bCs/>
          <w:iCs/>
          <w:sz w:val="28"/>
          <w:szCs w:val="28"/>
        </w:rPr>
        <w:t xml:space="preserve"> </w:t>
      </w:r>
      <w:proofErr w:type="gramStart"/>
      <w:r w:rsidRPr="00F648A6">
        <w:rPr>
          <w:bCs/>
          <w:iCs/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руб. по базовому варианту, 236,5 млрд руб. – по консервативному варианту.</w:t>
      </w:r>
      <w:r w:rsidRPr="00F648A6">
        <w:rPr>
          <w:sz w:val="28"/>
          <w:szCs w:val="28"/>
        </w:rPr>
        <w:t xml:space="preserve"> </w:t>
      </w:r>
    </w:p>
    <w:p w:rsidR="00A3072F" w:rsidRDefault="00A3072F" w:rsidP="00A307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прогнозном периоде 2022-2024 годов планируется ввести в действие 8,9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жилых домов. </w:t>
      </w:r>
    </w:p>
    <w:p w:rsidR="00A3072F" w:rsidRPr="0099048D" w:rsidRDefault="00A3072F" w:rsidP="00A307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в</w:t>
      </w:r>
      <w:r w:rsidRPr="0099048D">
        <w:rPr>
          <w:sz w:val="28"/>
          <w:szCs w:val="28"/>
        </w:rPr>
        <w:t xml:space="preserve"> соответствии с прогнозными данными, в течение 202</w:t>
      </w:r>
      <w:r>
        <w:rPr>
          <w:sz w:val="28"/>
          <w:szCs w:val="28"/>
        </w:rPr>
        <w:t>2</w:t>
      </w:r>
      <w:r w:rsidRPr="0099048D">
        <w:rPr>
          <w:sz w:val="28"/>
          <w:szCs w:val="28"/>
        </w:rPr>
        <w:t>-2024 годов, благодаря реализации мероприятий по переселению граждан из аварийного жилищного фонда, признанного таковым после 1 января 2012 года, доля аварийного жилья в жилищном фонде будет снижена до 0,40</w:t>
      </w:r>
      <w:r w:rsidR="009C3AF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</w:t>
      </w:r>
      <w:r w:rsidRPr="0099048D">
        <w:rPr>
          <w:sz w:val="28"/>
          <w:szCs w:val="28"/>
        </w:rPr>
        <w:t>.</w:t>
      </w:r>
    </w:p>
    <w:p w:rsidR="006B553F" w:rsidRPr="004B235C" w:rsidRDefault="006B553F" w:rsidP="00494DB7">
      <w:pPr>
        <w:widowControl w:val="0"/>
        <w:ind w:firstLine="709"/>
        <w:jc w:val="both"/>
        <w:rPr>
          <w:sz w:val="16"/>
          <w:szCs w:val="16"/>
          <w:highlight w:val="yellow"/>
        </w:rPr>
      </w:pPr>
    </w:p>
    <w:p w:rsidR="00C13F99" w:rsidRDefault="00C13F99" w:rsidP="006B553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Транспорт</w:t>
      </w:r>
    </w:p>
    <w:p w:rsidR="009C1911" w:rsidRPr="004B235C" w:rsidRDefault="009C1911" w:rsidP="009C1911">
      <w:pPr>
        <w:widowControl w:val="0"/>
        <w:ind w:firstLine="709"/>
        <w:jc w:val="both"/>
        <w:rPr>
          <w:sz w:val="16"/>
          <w:szCs w:val="16"/>
          <w:highlight w:val="yellow"/>
        </w:rPr>
      </w:pPr>
    </w:p>
    <w:p w:rsidR="009C1911" w:rsidRPr="00142C15" w:rsidRDefault="009C1911" w:rsidP="004D2468">
      <w:pPr>
        <w:pStyle w:val="21"/>
        <w:spacing w:after="0"/>
        <w:ind w:firstLine="709"/>
        <w:rPr>
          <w:szCs w:val="28"/>
        </w:rPr>
      </w:pPr>
      <w:r w:rsidRPr="00142C15">
        <w:rPr>
          <w:szCs w:val="28"/>
        </w:rPr>
        <w:t xml:space="preserve">Ленинградская область является крупным транспортно-логистическим узлом. Объем услуг по транспортировке и хранению, оказанных организациями Ленинградской области (без субъектов малого предпринимательства), в 2020 году составил 202,4 </w:t>
      </w:r>
      <w:proofErr w:type="gramStart"/>
      <w:r w:rsidRPr="00142C15">
        <w:rPr>
          <w:szCs w:val="28"/>
        </w:rPr>
        <w:t>млрд</w:t>
      </w:r>
      <w:proofErr w:type="gramEnd"/>
      <w:r w:rsidRPr="00142C15">
        <w:rPr>
          <w:szCs w:val="28"/>
        </w:rPr>
        <w:t xml:space="preserve"> рублей и в действующих ценах увеличился по сравнению с 2019 годом на 2,8</w:t>
      </w:r>
      <w:r w:rsidR="00640193">
        <w:rPr>
          <w:szCs w:val="28"/>
        </w:rPr>
        <w:t xml:space="preserve"> </w:t>
      </w:r>
      <w:r w:rsidR="000D7061">
        <w:rPr>
          <w:szCs w:val="28"/>
        </w:rPr>
        <w:t>проц.</w:t>
      </w:r>
      <w:r w:rsidRPr="00142C15">
        <w:rPr>
          <w:szCs w:val="28"/>
        </w:rPr>
        <w:t>.</w:t>
      </w:r>
    </w:p>
    <w:p w:rsidR="009C1911" w:rsidRPr="00142C15" w:rsidRDefault="009C1911" w:rsidP="004D2468">
      <w:pPr>
        <w:widowControl w:val="0"/>
        <w:tabs>
          <w:tab w:val="left" w:pos="2851"/>
        </w:tabs>
        <w:ind w:firstLine="709"/>
        <w:jc w:val="both"/>
        <w:rPr>
          <w:sz w:val="28"/>
          <w:szCs w:val="28"/>
        </w:rPr>
      </w:pPr>
      <w:r w:rsidRPr="00142C15">
        <w:rPr>
          <w:sz w:val="28"/>
          <w:szCs w:val="28"/>
        </w:rPr>
        <w:t xml:space="preserve">Транспортное обслуживание населения </w:t>
      </w:r>
      <w:r w:rsidRPr="009C1911">
        <w:rPr>
          <w:b/>
          <w:sz w:val="28"/>
          <w:szCs w:val="28"/>
        </w:rPr>
        <w:t>железнодорожным транспортом</w:t>
      </w:r>
      <w:r w:rsidRPr="00142C15">
        <w:rPr>
          <w:sz w:val="28"/>
          <w:szCs w:val="28"/>
        </w:rPr>
        <w:t xml:space="preserve"> в пригородном сообщении в 2020 году осуществлялось по 103 маршрутам. По данным Октябрьской железной дороги - филиала ОАО «РЖД» объем погрузки предприятиями – грузоотправителями области в 2020 году составил 26004,5 тыс. т – 102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142C15">
        <w:rPr>
          <w:i/>
          <w:sz w:val="28"/>
          <w:szCs w:val="28"/>
        </w:rPr>
        <w:t xml:space="preserve"> </w:t>
      </w:r>
      <w:r w:rsidRPr="00142C15">
        <w:rPr>
          <w:sz w:val="28"/>
          <w:szCs w:val="28"/>
        </w:rPr>
        <w:t xml:space="preserve">к прошлому года. </w:t>
      </w:r>
    </w:p>
    <w:p w:rsidR="009C1911" w:rsidRPr="00142C15" w:rsidRDefault="009C1911" w:rsidP="004D2468">
      <w:pPr>
        <w:widowControl w:val="0"/>
        <w:tabs>
          <w:tab w:val="left" w:pos="2851"/>
        </w:tabs>
        <w:ind w:firstLine="709"/>
        <w:jc w:val="both"/>
        <w:rPr>
          <w:sz w:val="28"/>
          <w:szCs w:val="28"/>
        </w:rPr>
      </w:pPr>
      <w:r w:rsidRPr="00142C15">
        <w:rPr>
          <w:sz w:val="28"/>
          <w:szCs w:val="28"/>
        </w:rPr>
        <w:t>Согласно отчету</w:t>
      </w:r>
      <w:r w:rsidRPr="00142C15">
        <w:rPr>
          <w:i/>
          <w:sz w:val="28"/>
          <w:szCs w:val="28"/>
        </w:rPr>
        <w:t xml:space="preserve"> </w:t>
      </w:r>
      <w:r w:rsidRPr="00142C15">
        <w:rPr>
          <w:sz w:val="28"/>
          <w:szCs w:val="28"/>
        </w:rPr>
        <w:t>ОАО «Северо-Западная пригородная пассажирская компания» о</w:t>
      </w:r>
      <w:r w:rsidRPr="00142C15">
        <w:rPr>
          <w:i/>
          <w:sz w:val="28"/>
          <w:szCs w:val="28"/>
        </w:rPr>
        <w:t xml:space="preserve"> </w:t>
      </w:r>
      <w:r w:rsidRPr="00142C15">
        <w:rPr>
          <w:sz w:val="28"/>
          <w:szCs w:val="28"/>
        </w:rPr>
        <w:t>производственно-экономических показателях</w:t>
      </w:r>
      <w:r w:rsidRPr="00142C15">
        <w:rPr>
          <w:i/>
          <w:sz w:val="28"/>
          <w:szCs w:val="28"/>
        </w:rPr>
        <w:t xml:space="preserve"> </w:t>
      </w:r>
      <w:r w:rsidRPr="00142C15">
        <w:rPr>
          <w:sz w:val="28"/>
          <w:szCs w:val="28"/>
        </w:rPr>
        <w:t>в 2020 году количество пассажиров, перевезенных в пригородном сообщении по Ленинградской области, составило 36158 тыс. чел</w:t>
      </w:r>
      <w:r>
        <w:rPr>
          <w:sz w:val="28"/>
          <w:szCs w:val="28"/>
        </w:rPr>
        <w:t>овек</w:t>
      </w:r>
      <w:r w:rsidRPr="00142C15">
        <w:rPr>
          <w:sz w:val="28"/>
          <w:szCs w:val="28"/>
        </w:rPr>
        <w:t xml:space="preserve"> (75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142C15">
        <w:rPr>
          <w:sz w:val="28"/>
          <w:szCs w:val="28"/>
        </w:rPr>
        <w:t xml:space="preserve">), при общем пассажирообороте </w:t>
      </w:r>
      <w:r w:rsidRPr="00142C15">
        <w:rPr>
          <w:sz w:val="28"/>
          <w:szCs w:val="28"/>
        </w:rPr>
        <w:br/>
        <w:t xml:space="preserve">2340 </w:t>
      </w:r>
      <w:proofErr w:type="gramStart"/>
      <w:r w:rsidRPr="00142C15">
        <w:rPr>
          <w:sz w:val="28"/>
          <w:szCs w:val="28"/>
        </w:rPr>
        <w:t>млн</w:t>
      </w:r>
      <w:proofErr w:type="gramEnd"/>
      <w:r w:rsidRPr="00142C15">
        <w:rPr>
          <w:sz w:val="28"/>
          <w:szCs w:val="28"/>
        </w:rPr>
        <w:t> пасс - км (73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142C15">
        <w:rPr>
          <w:sz w:val="28"/>
          <w:szCs w:val="28"/>
        </w:rPr>
        <w:t>).</w:t>
      </w:r>
    </w:p>
    <w:p w:rsidR="009C1911" w:rsidRPr="00142C15" w:rsidRDefault="009C1911" w:rsidP="004D2468">
      <w:pPr>
        <w:widowControl w:val="0"/>
        <w:ind w:firstLine="709"/>
        <w:jc w:val="both"/>
        <w:rPr>
          <w:sz w:val="28"/>
          <w:szCs w:val="28"/>
        </w:rPr>
      </w:pPr>
      <w:r w:rsidRPr="00142C15">
        <w:rPr>
          <w:sz w:val="28"/>
          <w:szCs w:val="28"/>
        </w:rPr>
        <w:t xml:space="preserve">В 2020 году объем коммерческих перевозок грузов </w:t>
      </w:r>
      <w:r w:rsidRPr="009C1911">
        <w:rPr>
          <w:b/>
          <w:sz w:val="28"/>
          <w:szCs w:val="28"/>
        </w:rPr>
        <w:t>автотранспортом</w:t>
      </w:r>
      <w:r w:rsidRPr="009C1911">
        <w:rPr>
          <w:b/>
          <w:i/>
          <w:sz w:val="28"/>
          <w:szCs w:val="28"/>
        </w:rPr>
        <w:t xml:space="preserve"> </w:t>
      </w:r>
      <w:r w:rsidRPr="00142C15">
        <w:rPr>
          <w:sz w:val="28"/>
          <w:szCs w:val="28"/>
        </w:rPr>
        <w:t xml:space="preserve">организаций всех видов экономической деятельности  (без субъектов малого предпринимательства) составил 3855,4 тыс. т грузов, при грузообороте 906,5 </w:t>
      </w:r>
      <w:proofErr w:type="gramStart"/>
      <w:r w:rsidRPr="00142C15">
        <w:rPr>
          <w:sz w:val="28"/>
          <w:szCs w:val="28"/>
        </w:rPr>
        <w:t>млн</w:t>
      </w:r>
      <w:proofErr w:type="gramEnd"/>
      <w:r w:rsidRPr="00142C15">
        <w:rPr>
          <w:sz w:val="28"/>
          <w:szCs w:val="28"/>
        </w:rPr>
        <w:t xml:space="preserve"> тонн-км. </w:t>
      </w:r>
    </w:p>
    <w:p w:rsidR="009C1911" w:rsidRPr="00142C15" w:rsidRDefault="009C1911" w:rsidP="004D2468">
      <w:pPr>
        <w:widowControl w:val="0"/>
        <w:ind w:firstLine="709"/>
        <w:jc w:val="both"/>
        <w:rPr>
          <w:sz w:val="28"/>
          <w:szCs w:val="28"/>
        </w:rPr>
      </w:pPr>
      <w:r w:rsidRPr="00142C15">
        <w:rPr>
          <w:sz w:val="28"/>
          <w:szCs w:val="28"/>
        </w:rPr>
        <w:t>Объем перевозок пассажиров автобусами по маршрутам регулярных перевозок в 2020 году (включая субъекты малого предпринимательства) составил 49,2 млн. чел. (71,7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142C15">
        <w:rPr>
          <w:sz w:val="28"/>
          <w:szCs w:val="28"/>
        </w:rPr>
        <w:t xml:space="preserve"> к 2019 году) при пассажирообороте 895,4 </w:t>
      </w:r>
      <w:proofErr w:type="gramStart"/>
      <w:r w:rsidRPr="00142C15">
        <w:rPr>
          <w:sz w:val="28"/>
          <w:szCs w:val="28"/>
        </w:rPr>
        <w:t>млн</w:t>
      </w:r>
      <w:proofErr w:type="gramEnd"/>
      <w:r w:rsidRPr="00142C15">
        <w:rPr>
          <w:sz w:val="28"/>
          <w:szCs w:val="28"/>
        </w:rPr>
        <w:t xml:space="preserve"> пасс-км (72,3</w:t>
      </w:r>
      <w:r w:rsidR="000D7061">
        <w:rPr>
          <w:sz w:val="28"/>
          <w:szCs w:val="28"/>
        </w:rPr>
        <w:t>проц.</w:t>
      </w:r>
      <w:r w:rsidRPr="00142C15">
        <w:rPr>
          <w:sz w:val="28"/>
          <w:szCs w:val="28"/>
        </w:rPr>
        <w:t>).</w:t>
      </w:r>
    </w:p>
    <w:p w:rsidR="009C1911" w:rsidRDefault="009C1911" w:rsidP="004D2468">
      <w:pPr>
        <w:ind w:firstLine="709"/>
        <w:jc w:val="both"/>
        <w:rPr>
          <w:sz w:val="28"/>
          <w:szCs w:val="28"/>
        </w:rPr>
      </w:pPr>
      <w:r w:rsidRPr="00142C15">
        <w:rPr>
          <w:sz w:val="28"/>
          <w:szCs w:val="28"/>
        </w:rPr>
        <w:t xml:space="preserve">По данным Администрации </w:t>
      </w:r>
      <w:r w:rsidRPr="009C1911">
        <w:rPr>
          <w:b/>
          <w:sz w:val="28"/>
          <w:szCs w:val="28"/>
        </w:rPr>
        <w:t>морских портов Балтийского моря</w:t>
      </w:r>
      <w:r w:rsidRPr="00142C15">
        <w:rPr>
          <w:sz w:val="28"/>
          <w:szCs w:val="28"/>
        </w:rPr>
        <w:t xml:space="preserve"> объем переработки грузов, выполненный в 2020 году стивидорными организациями Ленинградской области, осуществляющими деятельность в акватории портов Финского залива, составил 171164,2 тыс. т, или 92,3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142C15">
        <w:rPr>
          <w:sz w:val="28"/>
          <w:szCs w:val="28"/>
        </w:rPr>
        <w:t xml:space="preserve"> к 2019 году.</w:t>
      </w:r>
    </w:p>
    <w:p w:rsidR="009C1911" w:rsidRDefault="009C1911" w:rsidP="004D2468">
      <w:pPr>
        <w:ind w:firstLine="709"/>
        <w:jc w:val="both"/>
        <w:rPr>
          <w:sz w:val="28"/>
          <w:szCs w:val="28"/>
        </w:rPr>
      </w:pPr>
      <w:r w:rsidRPr="00486213">
        <w:rPr>
          <w:b/>
          <w:sz w:val="28"/>
          <w:szCs w:val="28"/>
        </w:rPr>
        <w:t>В 2021 году</w:t>
      </w:r>
      <w:r>
        <w:rPr>
          <w:sz w:val="28"/>
          <w:szCs w:val="28"/>
        </w:rPr>
        <w:t xml:space="preserve"> у</w:t>
      </w:r>
      <w:r w:rsidRPr="00BF256C">
        <w:rPr>
          <w:sz w:val="28"/>
          <w:szCs w:val="28"/>
        </w:rPr>
        <w:t xml:space="preserve">величение объема погрузки предприятиями – грузоотправителями области на подвижной состав железнодорожного транспорта составит порядка </w:t>
      </w:r>
      <w:r>
        <w:rPr>
          <w:sz w:val="28"/>
          <w:szCs w:val="28"/>
        </w:rPr>
        <w:t>3</w:t>
      </w:r>
      <w:r w:rsidR="000D7061">
        <w:rPr>
          <w:sz w:val="28"/>
          <w:szCs w:val="28"/>
        </w:rPr>
        <w:t>проц.</w:t>
      </w:r>
      <w:r w:rsidRPr="00BF256C">
        <w:rPr>
          <w:sz w:val="28"/>
          <w:szCs w:val="28"/>
        </w:rPr>
        <w:t>.</w:t>
      </w:r>
      <w:r>
        <w:rPr>
          <w:sz w:val="28"/>
          <w:szCs w:val="28"/>
        </w:rPr>
        <w:t xml:space="preserve"> Объем грузооборота портов Ленинградской области сохранится </w:t>
      </w:r>
      <w:r w:rsidR="00A533A9">
        <w:rPr>
          <w:sz w:val="28"/>
          <w:szCs w:val="28"/>
        </w:rPr>
        <w:t xml:space="preserve">практически на уровне 2020 года (173,1 </w:t>
      </w:r>
      <w:proofErr w:type="gramStart"/>
      <w:r w:rsidR="00A533A9">
        <w:rPr>
          <w:sz w:val="28"/>
          <w:szCs w:val="28"/>
        </w:rPr>
        <w:t>млн</w:t>
      </w:r>
      <w:proofErr w:type="gramEnd"/>
      <w:r w:rsidR="00A533A9">
        <w:rPr>
          <w:sz w:val="28"/>
          <w:szCs w:val="28"/>
        </w:rPr>
        <w:t xml:space="preserve"> тонн).</w:t>
      </w:r>
    </w:p>
    <w:p w:rsidR="0098086A" w:rsidRDefault="00A533A9" w:rsidP="004D246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Развитие транспортной инфраструктуры на территории Ленинградской области запланировано за счет реализации крупных инвестиционных проектов: </w:t>
      </w:r>
      <w:r w:rsidR="0098086A">
        <w:rPr>
          <w:sz w:val="28"/>
          <w:szCs w:val="28"/>
        </w:rPr>
        <w:t xml:space="preserve"> </w:t>
      </w:r>
      <w:proofErr w:type="gramStart"/>
      <w:r w:rsidR="0098086A">
        <w:rPr>
          <w:bCs/>
          <w:sz w:val="28"/>
          <w:szCs w:val="28"/>
        </w:rPr>
        <w:t>ОАО «РЖД» (</w:t>
      </w:r>
      <w:r w:rsidR="0098086A" w:rsidRPr="009949B2">
        <w:rPr>
          <w:bCs/>
          <w:sz w:val="28"/>
          <w:szCs w:val="28"/>
        </w:rPr>
        <w:t>обновление железнодорожной инфраструктуры на подходах к портам Северо-Западного бассейна</w:t>
      </w:r>
      <w:r w:rsidR="0098086A">
        <w:rPr>
          <w:bCs/>
          <w:sz w:val="28"/>
          <w:szCs w:val="28"/>
        </w:rPr>
        <w:t xml:space="preserve">), </w:t>
      </w:r>
      <w:r w:rsidR="009C1911">
        <w:rPr>
          <w:sz w:val="28"/>
          <w:szCs w:val="28"/>
        </w:rPr>
        <w:t>ООО «Порт Высоцкий»</w:t>
      </w:r>
      <w:r w:rsidR="0098086A">
        <w:rPr>
          <w:sz w:val="28"/>
          <w:szCs w:val="28"/>
        </w:rPr>
        <w:t xml:space="preserve"> (</w:t>
      </w:r>
      <w:r w:rsidR="0098086A" w:rsidRPr="00F803BB">
        <w:rPr>
          <w:bCs/>
          <w:sz w:val="28"/>
          <w:szCs w:val="28"/>
        </w:rPr>
        <w:t>строительство специализированного терминала по перевалке зерновых грузов</w:t>
      </w:r>
      <w:r w:rsidR="0098086A">
        <w:rPr>
          <w:bCs/>
          <w:sz w:val="28"/>
          <w:szCs w:val="28"/>
        </w:rPr>
        <w:t>, модернизация  н</w:t>
      </w:r>
      <w:r w:rsidR="0098086A" w:rsidRPr="002760E9">
        <w:rPr>
          <w:sz w:val="28"/>
          <w:szCs w:val="28"/>
        </w:rPr>
        <w:t>ефтеналивно</w:t>
      </w:r>
      <w:r w:rsidR="0098086A">
        <w:rPr>
          <w:sz w:val="28"/>
          <w:szCs w:val="28"/>
        </w:rPr>
        <w:t>го</w:t>
      </w:r>
      <w:r w:rsidR="0098086A" w:rsidRPr="002760E9">
        <w:rPr>
          <w:sz w:val="28"/>
          <w:szCs w:val="28"/>
        </w:rPr>
        <w:t xml:space="preserve"> терминал</w:t>
      </w:r>
      <w:r w:rsidR="0098086A">
        <w:rPr>
          <w:sz w:val="28"/>
          <w:szCs w:val="28"/>
        </w:rPr>
        <w:t>а</w:t>
      </w:r>
      <w:r w:rsidR="0098086A" w:rsidRPr="002760E9">
        <w:rPr>
          <w:sz w:val="28"/>
          <w:szCs w:val="28"/>
        </w:rPr>
        <w:t xml:space="preserve"> ОАО «РПК - Высоцк «Лукойл II»</w:t>
      </w:r>
      <w:r w:rsidR="0098086A">
        <w:rPr>
          <w:bCs/>
          <w:sz w:val="28"/>
          <w:szCs w:val="28"/>
        </w:rPr>
        <w:t>)</w:t>
      </w:r>
      <w:r w:rsidR="009C1911">
        <w:rPr>
          <w:sz w:val="28"/>
          <w:szCs w:val="28"/>
        </w:rPr>
        <w:t xml:space="preserve">, ООО «Приморский универсальный перегрузочный комплекс» </w:t>
      </w:r>
      <w:r>
        <w:rPr>
          <w:sz w:val="28"/>
          <w:szCs w:val="28"/>
        </w:rPr>
        <w:t>(</w:t>
      </w:r>
      <w:r w:rsidR="0098086A">
        <w:rPr>
          <w:sz w:val="28"/>
          <w:szCs w:val="28"/>
        </w:rPr>
        <w:t>порт Приморск</w:t>
      </w:r>
      <w:r w:rsidR="009C1911">
        <w:rPr>
          <w:sz w:val="28"/>
          <w:szCs w:val="28"/>
        </w:rPr>
        <w:t xml:space="preserve">), </w:t>
      </w:r>
      <w:r w:rsidR="0098086A">
        <w:rPr>
          <w:sz w:val="28"/>
          <w:szCs w:val="28"/>
        </w:rPr>
        <w:t>ООО «</w:t>
      </w:r>
      <w:proofErr w:type="spellStart"/>
      <w:r w:rsidR="0098086A">
        <w:rPr>
          <w:sz w:val="28"/>
          <w:szCs w:val="28"/>
        </w:rPr>
        <w:t>Ультрамар</w:t>
      </w:r>
      <w:proofErr w:type="spellEnd"/>
      <w:r w:rsidR="0098086A">
        <w:rPr>
          <w:sz w:val="28"/>
          <w:szCs w:val="28"/>
        </w:rPr>
        <w:t xml:space="preserve">» </w:t>
      </w:r>
      <w:r w:rsidR="0098086A">
        <w:rPr>
          <w:sz w:val="28"/>
          <w:szCs w:val="28"/>
        </w:rPr>
        <w:lastRenderedPageBreak/>
        <w:t xml:space="preserve">(строительство терминала по перевалке минеральных удобрений),  </w:t>
      </w:r>
      <w:r w:rsidR="0098086A" w:rsidRPr="002760E9">
        <w:rPr>
          <w:sz w:val="28"/>
          <w:szCs w:val="28"/>
          <w:shd w:val="clear" w:color="auto" w:fill="FFFFFF"/>
        </w:rPr>
        <w:t>ООО «</w:t>
      </w:r>
      <w:proofErr w:type="spellStart"/>
      <w:r w:rsidR="0098086A" w:rsidRPr="002760E9">
        <w:rPr>
          <w:sz w:val="28"/>
          <w:szCs w:val="28"/>
          <w:shd w:val="clear" w:color="auto" w:fill="FFFFFF"/>
        </w:rPr>
        <w:t>Новотранс</w:t>
      </w:r>
      <w:proofErr w:type="spellEnd"/>
      <w:r w:rsidR="0098086A">
        <w:rPr>
          <w:sz w:val="28"/>
          <w:szCs w:val="28"/>
          <w:shd w:val="clear" w:color="auto" w:fill="FFFFFF"/>
        </w:rPr>
        <w:t xml:space="preserve"> Актив» (у</w:t>
      </w:r>
      <w:r w:rsidR="0098086A" w:rsidRPr="002760E9">
        <w:rPr>
          <w:sz w:val="28"/>
          <w:szCs w:val="28"/>
          <w:shd w:val="clear" w:color="auto" w:fill="FFFFFF"/>
        </w:rPr>
        <w:t>ниверсальный торговый терминал «Усть-Луга»</w:t>
      </w:r>
      <w:r w:rsidR="0098086A">
        <w:rPr>
          <w:sz w:val="28"/>
          <w:szCs w:val="28"/>
          <w:shd w:val="clear" w:color="auto" w:fill="FFFFFF"/>
        </w:rPr>
        <w:t xml:space="preserve">), </w:t>
      </w:r>
      <w:r w:rsidR="0098086A" w:rsidRPr="002760E9">
        <w:rPr>
          <w:sz w:val="28"/>
          <w:szCs w:val="28"/>
          <w:shd w:val="clear" w:color="auto" w:fill="FFFFFF"/>
        </w:rPr>
        <w:t xml:space="preserve"> </w:t>
      </w:r>
      <w:r w:rsidR="0098086A">
        <w:rPr>
          <w:sz w:val="28"/>
          <w:szCs w:val="28"/>
        </w:rPr>
        <w:t>ООО «</w:t>
      </w:r>
      <w:proofErr w:type="spellStart"/>
      <w:r w:rsidR="0098086A">
        <w:rPr>
          <w:sz w:val="28"/>
          <w:szCs w:val="28"/>
        </w:rPr>
        <w:t>ЕвроХим</w:t>
      </w:r>
      <w:proofErr w:type="spellEnd"/>
      <w:r w:rsidR="0098086A">
        <w:rPr>
          <w:sz w:val="28"/>
          <w:szCs w:val="28"/>
        </w:rPr>
        <w:t>» (</w:t>
      </w:r>
      <w:r w:rsidR="0098086A" w:rsidRPr="002760E9">
        <w:rPr>
          <w:sz w:val="28"/>
          <w:szCs w:val="28"/>
          <w:shd w:val="clear" w:color="auto" w:fill="FFFFFF"/>
        </w:rPr>
        <w:t xml:space="preserve">терминала, для организации </w:t>
      </w:r>
      <w:r w:rsidR="0098086A" w:rsidRPr="00CA5CF6">
        <w:rPr>
          <w:sz w:val="28"/>
          <w:szCs w:val="28"/>
        </w:rPr>
        <w:t>перевалки азотно-фосфорных удобрений (карбамид</w:t>
      </w:r>
      <w:proofErr w:type="gramEnd"/>
      <w:r w:rsidR="0098086A" w:rsidRPr="00CA5CF6">
        <w:rPr>
          <w:sz w:val="28"/>
          <w:szCs w:val="28"/>
        </w:rPr>
        <w:t xml:space="preserve">, </w:t>
      </w:r>
      <w:proofErr w:type="gramStart"/>
      <w:r w:rsidR="0098086A" w:rsidRPr="00CA5CF6">
        <w:rPr>
          <w:sz w:val="28"/>
          <w:szCs w:val="28"/>
        </w:rPr>
        <w:t>аммофос), хлористого калия и импорта фосфатов в Морском торговом порту Усть-Луга</w:t>
      </w:r>
      <w:r w:rsidR="0098086A">
        <w:rPr>
          <w:sz w:val="28"/>
          <w:szCs w:val="28"/>
        </w:rPr>
        <w:t xml:space="preserve">), </w:t>
      </w:r>
      <w:r w:rsidR="009C1911">
        <w:rPr>
          <w:sz w:val="28"/>
          <w:szCs w:val="28"/>
        </w:rPr>
        <w:t>ООО «Новые коммунальные технологии»</w:t>
      </w:r>
      <w:r>
        <w:rPr>
          <w:sz w:val="28"/>
          <w:szCs w:val="28"/>
        </w:rPr>
        <w:t xml:space="preserve"> (</w:t>
      </w:r>
      <w:r w:rsidR="0098086A">
        <w:rPr>
          <w:sz w:val="28"/>
          <w:szCs w:val="28"/>
        </w:rPr>
        <w:t>новое строительство и развитие МПК «Юг-2»</w:t>
      </w:r>
      <w:r w:rsidR="009C1911">
        <w:rPr>
          <w:sz w:val="28"/>
          <w:szCs w:val="28"/>
        </w:rPr>
        <w:t xml:space="preserve">), </w:t>
      </w:r>
      <w:r w:rsidR="0098086A">
        <w:rPr>
          <w:sz w:val="28"/>
          <w:szCs w:val="28"/>
        </w:rPr>
        <w:t>ООО «</w:t>
      </w:r>
      <w:proofErr w:type="spellStart"/>
      <w:r w:rsidR="0098086A">
        <w:rPr>
          <w:sz w:val="28"/>
          <w:szCs w:val="28"/>
        </w:rPr>
        <w:t>Портэнерго</w:t>
      </w:r>
      <w:proofErr w:type="spellEnd"/>
      <w:r w:rsidR="0098086A">
        <w:rPr>
          <w:sz w:val="28"/>
          <w:szCs w:val="28"/>
        </w:rPr>
        <w:t xml:space="preserve">» (увеличение мощности терминала </w:t>
      </w:r>
      <w:r w:rsidR="0098086A" w:rsidRPr="00B762CE">
        <w:rPr>
          <w:sz w:val="28"/>
          <w:szCs w:val="28"/>
        </w:rPr>
        <w:t>по перевалке сжиженного природного газа</w:t>
      </w:r>
      <w:r w:rsidR="0098086A">
        <w:rPr>
          <w:bCs/>
          <w:sz w:val="28"/>
          <w:szCs w:val="28"/>
        </w:rPr>
        <w:t>) и другие.</w:t>
      </w:r>
      <w:proofErr w:type="gramEnd"/>
    </w:p>
    <w:p w:rsidR="0098086A" w:rsidRDefault="0098086A" w:rsidP="004D2468">
      <w:pPr>
        <w:ind w:firstLine="709"/>
        <w:jc w:val="both"/>
        <w:rPr>
          <w:sz w:val="28"/>
          <w:szCs w:val="28"/>
        </w:rPr>
      </w:pPr>
      <w:r w:rsidRPr="00486213">
        <w:rPr>
          <w:b/>
          <w:sz w:val="28"/>
          <w:szCs w:val="28"/>
        </w:rPr>
        <w:t>К 2024 году</w:t>
      </w:r>
      <w:r w:rsidRPr="00486213">
        <w:rPr>
          <w:sz w:val="28"/>
          <w:szCs w:val="28"/>
        </w:rPr>
        <w:t xml:space="preserve"> оборот портов Ленинградской области </w:t>
      </w:r>
      <w:r w:rsidR="00486213">
        <w:rPr>
          <w:sz w:val="28"/>
          <w:szCs w:val="28"/>
        </w:rPr>
        <w:t xml:space="preserve">прогнозируется </w:t>
      </w:r>
      <w:r w:rsidR="00486213" w:rsidRPr="00486213">
        <w:rPr>
          <w:sz w:val="28"/>
          <w:szCs w:val="28"/>
        </w:rPr>
        <w:t>увеличит</w:t>
      </w:r>
      <w:r w:rsidR="00486213">
        <w:rPr>
          <w:sz w:val="28"/>
          <w:szCs w:val="28"/>
        </w:rPr>
        <w:t>ь</w:t>
      </w:r>
      <w:r w:rsidR="00486213" w:rsidRPr="00486213">
        <w:rPr>
          <w:sz w:val="28"/>
          <w:szCs w:val="28"/>
        </w:rPr>
        <w:t xml:space="preserve"> до</w:t>
      </w:r>
      <w:r w:rsidR="00486213">
        <w:rPr>
          <w:sz w:val="28"/>
          <w:szCs w:val="28"/>
        </w:rPr>
        <w:t xml:space="preserve"> уровня </w:t>
      </w:r>
      <w:r w:rsidR="00486213" w:rsidRPr="00486213">
        <w:rPr>
          <w:sz w:val="28"/>
          <w:szCs w:val="28"/>
        </w:rPr>
        <w:t xml:space="preserve">269,4 </w:t>
      </w:r>
      <w:proofErr w:type="gramStart"/>
      <w:r w:rsidR="00486213" w:rsidRPr="00486213">
        <w:rPr>
          <w:sz w:val="28"/>
          <w:szCs w:val="28"/>
        </w:rPr>
        <w:t>млн</w:t>
      </w:r>
      <w:proofErr w:type="gramEnd"/>
      <w:r w:rsidR="00486213" w:rsidRPr="00486213">
        <w:rPr>
          <w:sz w:val="28"/>
          <w:szCs w:val="28"/>
        </w:rPr>
        <w:t xml:space="preserve"> тонн, рост в 1,55 р</w:t>
      </w:r>
      <w:r w:rsidR="00486213">
        <w:rPr>
          <w:sz w:val="28"/>
          <w:szCs w:val="28"/>
        </w:rPr>
        <w:t>. к 2021 году.</w:t>
      </w:r>
    </w:p>
    <w:p w:rsidR="00C13F99" w:rsidRDefault="00C13F99" w:rsidP="006B553F">
      <w:pPr>
        <w:widowControl w:val="0"/>
        <w:jc w:val="center"/>
        <w:rPr>
          <w:sz w:val="28"/>
          <w:szCs w:val="28"/>
        </w:rPr>
      </w:pPr>
    </w:p>
    <w:p w:rsidR="006B553F" w:rsidRPr="00A3072F" w:rsidRDefault="00215501" w:rsidP="006B553F">
      <w:pPr>
        <w:widowControl w:val="0"/>
        <w:jc w:val="center"/>
        <w:rPr>
          <w:color w:val="000000" w:themeColor="text1"/>
          <w:sz w:val="28"/>
          <w:szCs w:val="28"/>
        </w:rPr>
      </w:pPr>
      <w:r w:rsidRPr="00A3072F">
        <w:rPr>
          <w:sz w:val="28"/>
          <w:szCs w:val="28"/>
        </w:rPr>
        <w:t>Торговля и услуги населению</w:t>
      </w:r>
    </w:p>
    <w:p w:rsidR="006B553F" w:rsidRPr="004B235C" w:rsidRDefault="006B553F" w:rsidP="00494DB7">
      <w:pPr>
        <w:widowControl w:val="0"/>
        <w:ind w:firstLine="709"/>
        <w:jc w:val="both"/>
        <w:rPr>
          <w:color w:val="000000" w:themeColor="text1"/>
          <w:sz w:val="16"/>
          <w:szCs w:val="16"/>
          <w:highlight w:val="yellow"/>
        </w:rPr>
      </w:pPr>
    </w:p>
    <w:p w:rsidR="00215501" w:rsidRPr="00084C01" w:rsidRDefault="00215501" w:rsidP="00494DB7">
      <w:pPr>
        <w:widowControl w:val="0"/>
        <w:ind w:firstLine="709"/>
        <w:jc w:val="both"/>
        <w:rPr>
          <w:b/>
          <w:sz w:val="28"/>
          <w:szCs w:val="28"/>
        </w:rPr>
      </w:pPr>
      <w:r w:rsidRPr="00084C01">
        <w:rPr>
          <w:color w:val="000000" w:themeColor="text1"/>
          <w:sz w:val="28"/>
          <w:szCs w:val="28"/>
        </w:rPr>
        <w:t>В 20</w:t>
      </w:r>
      <w:r w:rsidR="00A3072F" w:rsidRPr="00084C01">
        <w:rPr>
          <w:color w:val="000000" w:themeColor="text1"/>
          <w:sz w:val="28"/>
          <w:szCs w:val="28"/>
        </w:rPr>
        <w:t>20</w:t>
      </w:r>
      <w:r w:rsidRPr="00084C01">
        <w:rPr>
          <w:color w:val="000000" w:themeColor="text1"/>
          <w:sz w:val="28"/>
          <w:szCs w:val="28"/>
        </w:rPr>
        <w:t xml:space="preserve"> году оборот розничной торговли составил </w:t>
      </w:r>
      <w:r w:rsidR="00A3072F" w:rsidRPr="00084C01">
        <w:rPr>
          <w:color w:val="000000" w:themeColor="text1"/>
          <w:sz w:val="28"/>
          <w:szCs w:val="28"/>
        </w:rPr>
        <w:t>481,7</w:t>
      </w:r>
      <w:r w:rsidRPr="00084C01">
        <w:rPr>
          <w:color w:val="000000" w:themeColor="text1"/>
          <w:sz w:val="28"/>
          <w:szCs w:val="28"/>
        </w:rPr>
        <w:t xml:space="preserve"> </w:t>
      </w:r>
      <w:proofErr w:type="gramStart"/>
      <w:r w:rsidRPr="00084C01">
        <w:rPr>
          <w:color w:val="000000" w:themeColor="text1"/>
          <w:sz w:val="28"/>
          <w:szCs w:val="28"/>
        </w:rPr>
        <w:t>млрд</w:t>
      </w:r>
      <w:proofErr w:type="gramEnd"/>
      <w:r w:rsidRPr="00084C01">
        <w:rPr>
          <w:color w:val="000000" w:themeColor="text1"/>
          <w:sz w:val="28"/>
          <w:szCs w:val="28"/>
        </w:rPr>
        <w:t xml:space="preserve"> рублей, </w:t>
      </w:r>
      <w:r w:rsidR="006B553F" w:rsidRPr="00084C01">
        <w:rPr>
          <w:color w:val="000000" w:themeColor="text1"/>
          <w:sz w:val="28"/>
          <w:szCs w:val="28"/>
        </w:rPr>
        <w:t xml:space="preserve">              </w:t>
      </w:r>
      <w:r w:rsidRPr="00084C01">
        <w:rPr>
          <w:color w:val="000000" w:themeColor="text1"/>
          <w:sz w:val="28"/>
          <w:szCs w:val="28"/>
        </w:rPr>
        <w:t xml:space="preserve">что в сопоставимых ценах на </w:t>
      </w:r>
      <w:r w:rsidR="00A3072F" w:rsidRPr="00084C01">
        <w:rPr>
          <w:color w:val="000000" w:themeColor="text1"/>
          <w:sz w:val="28"/>
          <w:szCs w:val="28"/>
        </w:rPr>
        <w:t>6,7</w:t>
      </w:r>
      <w:r w:rsidR="00B45CC2" w:rsidRPr="00084C01">
        <w:rPr>
          <w:color w:val="000000" w:themeColor="text1"/>
          <w:sz w:val="28"/>
          <w:szCs w:val="28"/>
        </w:rPr>
        <w:t xml:space="preserve"> проц.</w:t>
      </w:r>
      <w:r w:rsidRPr="00084C01">
        <w:rPr>
          <w:color w:val="000000" w:themeColor="text1"/>
          <w:sz w:val="28"/>
          <w:szCs w:val="28"/>
        </w:rPr>
        <w:t xml:space="preserve"> больше уровня 201</w:t>
      </w:r>
      <w:r w:rsidR="00A3072F" w:rsidRPr="00084C01">
        <w:rPr>
          <w:color w:val="000000" w:themeColor="text1"/>
          <w:sz w:val="28"/>
          <w:szCs w:val="28"/>
        </w:rPr>
        <w:t>9</w:t>
      </w:r>
      <w:r w:rsidRPr="00084C01">
        <w:rPr>
          <w:color w:val="000000" w:themeColor="text1"/>
          <w:sz w:val="28"/>
          <w:szCs w:val="28"/>
        </w:rPr>
        <w:t xml:space="preserve"> года; оборот общественного питания</w:t>
      </w:r>
      <w:r w:rsidRPr="00084C01">
        <w:rPr>
          <w:i/>
          <w:color w:val="000000" w:themeColor="text1"/>
          <w:sz w:val="28"/>
          <w:szCs w:val="28"/>
        </w:rPr>
        <w:t xml:space="preserve"> </w:t>
      </w:r>
      <w:r w:rsidR="00C74799" w:rsidRPr="00084C01">
        <w:rPr>
          <w:rFonts w:eastAsia="Calibri"/>
          <w:color w:val="000000" w:themeColor="text1"/>
          <w:sz w:val="28"/>
          <w:szCs w:val="28"/>
          <w:lang w:eastAsia="en-US"/>
        </w:rPr>
        <w:t xml:space="preserve">составил </w:t>
      </w:r>
      <w:r w:rsidR="00A3072F" w:rsidRPr="00084C01">
        <w:rPr>
          <w:rFonts w:eastAsia="Calibri"/>
          <w:color w:val="000000" w:themeColor="text1"/>
          <w:sz w:val="28"/>
          <w:szCs w:val="28"/>
          <w:lang w:eastAsia="en-US"/>
        </w:rPr>
        <w:t>13,5</w:t>
      </w:r>
      <w:r w:rsidR="00C74799" w:rsidRPr="00084C0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84C01">
        <w:rPr>
          <w:rFonts w:eastAsia="Calibri"/>
          <w:color w:val="000000" w:themeColor="text1"/>
          <w:sz w:val="28"/>
          <w:szCs w:val="28"/>
          <w:lang w:eastAsia="en-US"/>
        </w:rPr>
        <w:t>млрд рублей</w:t>
      </w:r>
      <w:r w:rsidR="008208B9" w:rsidRPr="00084C01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84C01">
        <w:rPr>
          <w:rFonts w:eastAsia="Calibri"/>
          <w:color w:val="000000" w:themeColor="text1"/>
          <w:sz w:val="28"/>
          <w:szCs w:val="28"/>
          <w:lang w:eastAsia="en-US"/>
        </w:rPr>
        <w:t xml:space="preserve"> или </w:t>
      </w:r>
      <w:r w:rsidR="00A3072F" w:rsidRPr="00084C01">
        <w:rPr>
          <w:rFonts w:eastAsia="Calibri"/>
          <w:color w:val="000000" w:themeColor="text1"/>
          <w:sz w:val="28"/>
          <w:szCs w:val="28"/>
          <w:lang w:eastAsia="en-US"/>
        </w:rPr>
        <w:t>70,6</w:t>
      </w:r>
      <w:r w:rsidR="00B45CC2" w:rsidRPr="00084C01">
        <w:rPr>
          <w:rFonts w:eastAsia="Calibri"/>
          <w:color w:val="000000" w:themeColor="text1"/>
          <w:sz w:val="28"/>
          <w:szCs w:val="28"/>
          <w:lang w:eastAsia="en-US"/>
        </w:rPr>
        <w:t xml:space="preserve"> проц.</w:t>
      </w:r>
      <w:r w:rsidRPr="00084C01">
        <w:rPr>
          <w:rFonts w:eastAsia="Calibri"/>
          <w:color w:val="000000" w:themeColor="text1"/>
          <w:sz w:val="28"/>
          <w:szCs w:val="28"/>
          <w:lang w:eastAsia="en-US"/>
        </w:rPr>
        <w:t xml:space="preserve">; </w:t>
      </w:r>
      <w:r w:rsidRPr="00084C01">
        <w:rPr>
          <w:color w:val="000000" w:themeColor="text1"/>
          <w:sz w:val="28"/>
          <w:szCs w:val="28"/>
        </w:rPr>
        <w:t>объем платных услуг,</w:t>
      </w:r>
      <w:r w:rsidRPr="00084C01">
        <w:rPr>
          <w:i/>
          <w:color w:val="000000" w:themeColor="text1"/>
          <w:sz w:val="28"/>
          <w:szCs w:val="28"/>
        </w:rPr>
        <w:t xml:space="preserve"> </w:t>
      </w:r>
      <w:r w:rsidRPr="00084C01">
        <w:rPr>
          <w:color w:val="000000" w:themeColor="text1"/>
          <w:sz w:val="28"/>
          <w:szCs w:val="28"/>
        </w:rPr>
        <w:t xml:space="preserve">оказанных населению, составил </w:t>
      </w:r>
      <w:r w:rsidR="00A3072F" w:rsidRPr="00084C01">
        <w:rPr>
          <w:color w:val="000000" w:themeColor="text1"/>
          <w:sz w:val="28"/>
          <w:szCs w:val="28"/>
        </w:rPr>
        <w:t>80,4</w:t>
      </w:r>
      <w:r w:rsidRPr="00084C01">
        <w:rPr>
          <w:color w:val="000000" w:themeColor="text1"/>
          <w:sz w:val="28"/>
          <w:szCs w:val="28"/>
        </w:rPr>
        <w:t xml:space="preserve"> млрд рублей </w:t>
      </w:r>
      <w:r w:rsidR="006B553F" w:rsidRPr="00084C01">
        <w:rPr>
          <w:color w:val="000000" w:themeColor="text1"/>
          <w:sz w:val="28"/>
          <w:szCs w:val="28"/>
        </w:rPr>
        <w:t xml:space="preserve">                            </w:t>
      </w:r>
      <w:r w:rsidRPr="00084C01">
        <w:rPr>
          <w:color w:val="000000" w:themeColor="text1"/>
          <w:sz w:val="28"/>
          <w:szCs w:val="28"/>
        </w:rPr>
        <w:t xml:space="preserve">и в сопоставимых ценах </w:t>
      </w:r>
      <w:r w:rsidR="00084C01" w:rsidRPr="00084C01">
        <w:rPr>
          <w:color w:val="000000" w:themeColor="text1"/>
          <w:sz w:val="28"/>
          <w:szCs w:val="28"/>
        </w:rPr>
        <w:t xml:space="preserve">уменьшился </w:t>
      </w:r>
      <w:r w:rsidRPr="00084C01">
        <w:rPr>
          <w:color w:val="000000" w:themeColor="text1"/>
          <w:sz w:val="28"/>
          <w:szCs w:val="28"/>
        </w:rPr>
        <w:t>по сравнению с 201</w:t>
      </w:r>
      <w:r w:rsidR="00084C01" w:rsidRPr="00084C01">
        <w:rPr>
          <w:color w:val="000000" w:themeColor="text1"/>
          <w:sz w:val="28"/>
          <w:szCs w:val="28"/>
        </w:rPr>
        <w:t>9</w:t>
      </w:r>
      <w:r w:rsidRPr="00084C01">
        <w:rPr>
          <w:color w:val="000000" w:themeColor="text1"/>
          <w:sz w:val="28"/>
          <w:szCs w:val="28"/>
        </w:rPr>
        <w:t xml:space="preserve"> годом на </w:t>
      </w:r>
      <w:r w:rsidR="00084C01" w:rsidRPr="00084C01">
        <w:rPr>
          <w:color w:val="000000" w:themeColor="text1"/>
          <w:sz w:val="28"/>
          <w:szCs w:val="28"/>
        </w:rPr>
        <w:t>5,9</w:t>
      </w:r>
      <w:r w:rsidR="00B45CC2" w:rsidRPr="00084C01">
        <w:rPr>
          <w:color w:val="000000" w:themeColor="text1"/>
          <w:sz w:val="28"/>
          <w:szCs w:val="28"/>
        </w:rPr>
        <w:t xml:space="preserve"> проц</w:t>
      </w:r>
      <w:r w:rsidRPr="00084C01">
        <w:rPr>
          <w:color w:val="000000" w:themeColor="text1"/>
          <w:sz w:val="28"/>
          <w:szCs w:val="28"/>
        </w:rPr>
        <w:t>.</w:t>
      </w:r>
    </w:p>
    <w:p w:rsidR="00084C01" w:rsidRPr="002C7C0D" w:rsidRDefault="00084C01" w:rsidP="00084C01">
      <w:pPr>
        <w:ind w:firstLine="709"/>
        <w:jc w:val="both"/>
        <w:rPr>
          <w:sz w:val="28"/>
          <w:szCs w:val="28"/>
        </w:rPr>
      </w:pPr>
      <w:r w:rsidRPr="002C7C0D">
        <w:rPr>
          <w:sz w:val="28"/>
          <w:szCs w:val="28"/>
        </w:rPr>
        <w:t xml:space="preserve">Показатель доли торговых сетей в обороте розничной торговли вырос </w:t>
      </w:r>
      <w:r>
        <w:rPr>
          <w:sz w:val="28"/>
          <w:szCs w:val="28"/>
        </w:rPr>
        <w:br/>
      </w:r>
      <w:r w:rsidRPr="002C7C0D">
        <w:rPr>
          <w:sz w:val="28"/>
          <w:szCs w:val="28"/>
        </w:rPr>
        <w:t>по сравнению с 2019 годом на 3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2C7C0D">
        <w:rPr>
          <w:sz w:val="28"/>
          <w:szCs w:val="28"/>
        </w:rPr>
        <w:t xml:space="preserve"> и составил 75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</w:t>
      </w:r>
      <w:r w:rsidRPr="002C7C0D">
        <w:rPr>
          <w:sz w:val="28"/>
          <w:szCs w:val="28"/>
        </w:rPr>
        <w:t>. При этом доля малых и средних предпринимателей в обороте розничной торговли по сравнению с 2019 годом осталась на прежнем уровне и составила 10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</w:p>
    <w:p w:rsidR="00215501" w:rsidRPr="00A525A4" w:rsidRDefault="00215501" w:rsidP="00215501">
      <w:pPr>
        <w:ind w:firstLine="709"/>
        <w:jc w:val="both"/>
        <w:rPr>
          <w:color w:val="000000" w:themeColor="text1"/>
          <w:sz w:val="28"/>
          <w:szCs w:val="28"/>
        </w:rPr>
      </w:pPr>
      <w:r w:rsidRPr="00A525A4">
        <w:rPr>
          <w:color w:val="000000" w:themeColor="text1"/>
          <w:sz w:val="28"/>
          <w:szCs w:val="28"/>
        </w:rPr>
        <w:t xml:space="preserve">В структуре оборота розничной торговли удельный вес оборота розничной торговли пищевыми продуктами, включая напитки, и табачными изделиями </w:t>
      </w:r>
      <w:r w:rsidRPr="00A525A4">
        <w:rPr>
          <w:color w:val="000000" w:themeColor="text1"/>
          <w:sz w:val="28"/>
          <w:szCs w:val="28"/>
        </w:rPr>
        <w:br/>
        <w:t>в 20</w:t>
      </w:r>
      <w:r w:rsidR="00084C01" w:rsidRPr="00A525A4">
        <w:rPr>
          <w:color w:val="000000" w:themeColor="text1"/>
          <w:sz w:val="28"/>
          <w:szCs w:val="28"/>
        </w:rPr>
        <w:t>20</w:t>
      </w:r>
      <w:r w:rsidR="00C74799" w:rsidRPr="00A525A4">
        <w:rPr>
          <w:color w:val="000000" w:themeColor="text1"/>
          <w:sz w:val="28"/>
          <w:szCs w:val="28"/>
        </w:rPr>
        <w:t xml:space="preserve"> </w:t>
      </w:r>
      <w:r w:rsidRPr="00A525A4">
        <w:rPr>
          <w:color w:val="000000" w:themeColor="text1"/>
          <w:sz w:val="28"/>
          <w:szCs w:val="28"/>
        </w:rPr>
        <w:t>году составил 4</w:t>
      </w:r>
      <w:r w:rsidR="00084C01" w:rsidRPr="00A525A4">
        <w:rPr>
          <w:color w:val="000000" w:themeColor="text1"/>
          <w:sz w:val="28"/>
          <w:szCs w:val="28"/>
        </w:rPr>
        <w:t>5</w:t>
      </w:r>
      <w:r w:rsidR="00B45CC2" w:rsidRPr="00A525A4">
        <w:rPr>
          <w:color w:val="000000" w:themeColor="text1"/>
          <w:sz w:val="28"/>
          <w:szCs w:val="28"/>
        </w:rPr>
        <w:t xml:space="preserve"> проц.</w:t>
      </w:r>
      <w:r w:rsidRPr="00A525A4">
        <w:rPr>
          <w:color w:val="000000" w:themeColor="text1"/>
          <w:sz w:val="28"/>
          <w:szCs w:val="28"/>
        </w:rPr>
        <w:t xml:space="preserve"> (в 201</w:t>
      </w:r>
      <w:r w:rsidR="00084C01" w:rsidRPr="00A525A4">
        <w:rPr>
          <w:color w:val="000000" w:themeColor="text1"/>
          <w:sz w:val="28"/>
          <w:szCs w:val="28"/>
        </w:rPr>
        <w:t>9</w:t>
      </w:r>
      <w:r w:rsidRPr="00A525A4">
        <w:rPr>
          <w:color w:val="000000" w:themeColor="text1"/>
          <w:sz w:val="28"/>
          <w:szCs w:val="28"/>
        </w:rPr>
        <w:t xml:space="preserve"> году </w:t>
      </w:r>
      <w:r w:rsidR="00C74799" w:rsidRPr="00A525A4">
        <w:rPr>
          <w:color w:val="000000" w:themeColor="text1"/>
          <w:sz w:val="28"/>
          <w:szCs w:val="28"/>
        </w:rPr>
        <w:t>–</w:t>
      </w:r>
      <w:r w:rsidRPr="00A525A4">
        <w:rPr>
          <w:color w:val="000000" w:themeColor="text1"/>
          <w:sz w:val="28"/>
          <w:szCs w:val="28"/>
        </w:rPr>
        <w:t xml:space="preserve"> 4</w:t>
      </w:r>
      <w:r w:rsidR="00084C01" w:rsidRPr="00A525A4">
        <w:rPr>
          <w:color w:val="000000" w:themeColor="text1"/>
          <w:sz w:val="28"/>
          <w:szCs w:val="28"/>
        </w:rPr>
        <w:t>7</w:t>
      </w:r>
      <w:r w:rsidR="00B45CC2" w:rsidRPr="00A525A4">
        <w:rPr>
          <w:color w:val="000000" w:themeColor="text1"/>
          <w:sz w:val="28"/>
          <w:szCs w:val="28"/>
        </w:rPr>
        <w:t xml:space="preserve"> проц.</w:t>
      </w:r>
      <w:r w:rsidRPr="00A525A4">
        <w:rPr>
          <w:color w:val="000000" w:themeColor="text1"/>
          <w:sz w:val="28"/>
          <w:szCs w:val="28"/>
        </w:rPr>
        <w:t>), непродовольственных товаров – 5</w:t>
      </w:r>
      <w:r w:rsidR="00084C01" w:rsidRPr="00A525A4">
        <w:rPr>
          <w:color w:val="000000" w:themeColor="text1"/>
          <w:sz w:val="28"/>
          <w:szCs w:val="28"/>
        </w:rPr>
        <w:t>5</w:t>
      </w:r>
      <w:r w:rsidR="00B45CC2" w:rsidRPr="00A525A4">
        <w:rPr>
          <w:color w:val="000000" w:themeColor="text1"/>
          <w:sz w:val="28"/>
          <w:szCs w:val="28"/>
        </w:rPr>
        <w:t xml:space="preserve"> проц.</w:t>
      </w:r>
      <w:r w:rsidRPr="00A525A4">
        <w:rPr>
          <w:color w:val="000000" w:themeColor="text1"/>
          <w:sz w:val="28"/>
          <w:szCs w:val="28"/>
        </w:rPr>
        <w:t xml:space="preserve"> (5</w:t>
      </w:r>
      <w:r w:rsidR="00084C01" w:rsidRPr="00A525A4">
        <w:rPr>
          <w:color w:val="000000" w:themeColor="text1"/>
          <w:sz w:val="28"/>
          <w:szCs w:val="28"/>
        </w:rPr>
        <w:t>3</w:t>
      </w:r>
      <w:r w:rsidR="00B45CC2" w:rsidRPr="00A525A4">
        <w:rPr>
          <w:color w:val="000000" w:themeColor="text1"/>
          <w:sz w:val="28"/>
          <w:szCs w:val="28"/>
        </w:rPr>
        <w:t xml:space="preserve"> проц.</w:t>
      </w:r>
      <w:r w:rsidR="00845068" w:rsidRPr="00A525A4">
        <w:rPr>
          <w:color w:val="000000" w:themeColor="text1"/>
          <w:sz w:val="28"/>
          <w:szCs w:val="28"/>
        </w:rPr>
        <w:t xml:space="preserve"> в 201</w:t>
      </w:r>
      <w:r w:rsidR="00084C01" w:rsidRPr="00A525A4">
        <w:rPr>
          <w:color w:val="000000" w:themeColor="text1"/>
          <w:sz w:val="28"/>
          <w:szCs w:val="28"/>
        </w:rPr>
        <w:t>9</w:t>
      </w:r>
      <w:r w:rsidR="00845068" w:rsidRPr="00A525A4">
        <w:rPr>
          <w:color w:val="000000" w:themeColor="text1"/>
          <w:sz w:val="28"/>
          <w:szCs w:val="28"/>
        </w:rPr>
        <w:t xml:space="preserve"> году</w:t>
      </w:r>
      <w:r w:rsidRPr="00A525A4">
        <w:rPr>
          <w:color w:val="000000" w:themeColor="text1"/>
          <w:sz w:val="28"/>
          <w:szCs w:val="28"/>
        </w:rPr>
        <w:t>).</w:t>
      </w:r>
    </w:p>
    <w:p w:rsidR="004570BD" w:rsidRPr="004570BD" w:rsidRDefault="004570BD" w:rsidP="004570BD">
      <w:pPr>
        <w:pStyle w:val="ac"/>
        <w:spacing w:after="0"/>
        <w:ind w:firstLine="709"/>
        <w:jc w:val="both"/>
        <w:rPr>
          <w:sz w:val="28"/>
          <w:szCs w:val="28"/>
        </w:rPr>
      </w:pPr>
      <w:r w:rsidRPr="006F1E8F">
        <w:rPr>
          <w:sz w:val="28"/>
          <w:szCs w:val="28"/>
        </w:rPr>
        <w:t xml:space="preserve">Благодаря реализуемым мерам поддержки и, несмотря на частичные ограничения и дополнительные требования для осуществления деятельности субъектов предпринимательства в сфере потребительского </w:t>
      </w:r>
      <w:r w:rsidRPr="004570BD">
        <w:rPr>
          <w:sz w:val="28"/>
          <w:szCs w:val="28"/>
        </w:rPr>
        <w:t xml:space="preserve">рынка, в 2021 году оборот розничной торговли Ленинградской области оценивается на уровне </w:t>
      </w:r>
      <w:r w:rsidRPr="004570BD">
        <w:rPr>
          <w:sz w:val="28"/>
          <w:szCs w:val="28"/>
        </w:rPr>
        <w:br/>
        <w:t xml:space="preserve">531,6 </w:t>
      </w:r>
      <w:proofErr w:type="gramStart"/>
      <w:r w:rsidRPr="004570BD">
        <w:rPr>
          <w:sz w:val="28"/>
          <w:szCs w:val="28"/>
        </w:rPr>
        <w:t>млрд</w:t>
      </w:r>
      <w:proofErr w:type="gramEnd"/>
      <w:r w:rsidRPr="004570BD">
        <w:rPr>
          <w:sz w:val="28"/>
          <w:szCs w:val="28"/>
        </w:rPr>
        <w:t xml:space="preserve"> руб. и прирост на 4,5</w:t>
      </w:r>
      <w:r w:rsidR="000D7061">
        <w:rPr>
          <w:sz w:val="28"/>
          <w:szCs w:val="28"/>
        </w:rPr>
        <w:t>проц.</w:t>
      </w:r>
      <w:r w:rsidRPr="004570BD">
        <w:rPr>
          <w:sz w:val="28"/>
          <w:szCs w:val="28"/>
        </w:rPr>
        <w:t xml:space="preserve"> в сопоставимых ценах к 2020 году.</w:t>
      </w:r>
    </w:p>
    <w:p w:rsidR="004570BD" w:rsidRPr="007A516C" w:rsidRDefault="004570BD" w:rsidP="004570BD">
      <w:pPr>
        <w:tabs>
          <w:tab w:val="left" w:pos="4104"/>
        </w:tabs>
        <w:ind w:firstLine="709"/>
        <w:jc w:val="both"/>
        <w:rPr>
          <w:kern w:val="32"/>
          <w:sz w:val="28"/>
          <w:szCs w:val="28"/>
        </w:rPr>
      </w:pPr>
      <w:r w:rsidRPr="004570BD">
        <w:rPr>
          <w:kern w:val="32"/>
          <w:sz w:val="28"/>
          <w:szCs w:val="28"/>
        </w:rPr>
        <w:t xml:space="preserve">К 2024 году оборот розничной торговли достигнет 647,7 </w:t>
      </w:r>
      <w:proofErr w:type="gramStart"/>
      <w:r w:rsidRPr="004570BD">
        <w:rPr>
          <w:kern w:val="32"/>
          <w:sz w:val="28"/>
          <w:szCs w:val="28"/>
        </w:rPr>
        <w:t>млрд</w:t>
      </w:r>
      <w:proofErr w:type="gramEnd"/>
      <w:r w:rsidRPr="004570BD">
        <w:rPr>
          <w:kern w:val="32"/>
          <w:sz w:val="28"/>
          <w:szCs w:val="28"/>
        </w:rPr>
        <w:t xml:space="preserve"> руб. </w:t>
      </w:r>
      <w:r w:rsidRPr="004570BD">
        <w:rPr>
          <w:kern w:val="32"/>
          <w:sz w:val="28"/>
          <w:szCs w:val="28"/>
        </w:rPr>
        <w:br/>
        <w:t xml:space="preserve">(по базовому варианту) и увеличится по сравнению с 2021 годом в 1,22 раза </w:t>
      </w:r>
      <w:r w:rsidRPr="004570BD">
        <w:rPr>
          <w:kern w:val="32"/>
          <w:sz w:val="28"/>
          <w:szCs w:val="28"/>
        </w:rPr>
        <w:br/>
        <w:t>в действующих ценах; по прогнозу консервативного варианта: к 2024</w:t>
      </w:r>
      <w:r w:rsidRPr="007A516C">
        <w:rPr>
          <w:kern w:val="32"/>
          <w:sz w:val="28"/>
          <w:szCs w:val="28"/>
        </w:rPr>
        <w:t xml:space="preserve"> году оборот розничной торговли составит 643,3 млрд руб</w:t>
      </w:r>
      <w:r>
        <w:rPr>
          <w:kern w:val="32"/>
          <w:sz w:val="28"/>
          <w:szCs w:val="28"/>
        </w:rPr>
        <w:t>.</w:t>
      </w:r>
      <w:r w:rsidRPr="007A516C">
        <w:rPr>
          <w:kern w:val="32"/>
          <w:sz w:val="28"/>
          <w:szCs w:val="28"/>
        </w:rPr>
        <w:t xml:space="preserve"> и увеличится по сравнению </w:t>
      </w:r>
      <w:r>
        <w:rPr>
          <w:kern w:val="32"/>
          <w:sz w:val="28"/>
          <w:szCs w:val="28"/>
        </w:rPr>
        <w:br/>
      </w:r>
      <w:r w:rsidRPr="007A516C">
        <w:rPr>
          <w:kern w:val="32"/>
          <w:sz w:val="28"/>
          <w:szCs w:val="28"/>
        </w:rPr>
        <w:t xml:space="preserve">с 2021 годом в 1,21 раза в действующих ценах. </w:t>
      </w:r>
    </w:p>
    <w:p w:rsidR="004570BD" w:rsidRPr="007A516C" w:rsidRDefault="004570BD" w:rsidP="004570BD">
      <w:pPr>
        <w:pStyle w:val="ac"/>
        <w:spacing w:after="0"/>
        <w:ind w:firstLine="709"/>
        <w:jc w:val="both"/>
        <w:rPr>
          <w:kern w:val="32"/>
          <w:sz w:val="28"/>
          <w:szCs w:val="28"/>
        </w:rPr>
      </w:pPr>
      <w:r w:rsidRPr="007A516C">
        <w:rPr>
          <w:sz w:val="28"/>
          <w:szCs w:val="28"/>
        </w:rPr>
        <w:t>В 2021 году о</w:t>
      </w:r>
      <w:r w:rsidRPr="007A516C">
        <w:rPr>
          <w:kern w:val="32"/>
          <w:sz w:val="28"/>
          <w:szCs w:val="28"/>
        </w:rPr>
        <w:t xml:space="preserve">ценка объема платных услуг населению составит 86,5 </w:t>
      </w:r>
      <w:proofErr w:type="gramStart"/>
      <w:r w:rsidRPr="007A516C">
        <w:rPr>
          <w:kern w:val="32"/>
          <w:sz w:val="28"/>
          <w:szCs w:val="28"/>
        </w:rPr>
        <w:t>млрд</w:t>
      </w:r>
      <w:proofErr w:type="gramEnd"/>
      <w:r w:rsidRPr="007A516C">
        <w:rPr>
          <w:kern w:val="32"/>
          <w:sz w:val="28"/>
          <w:szCs w:val="28"/>
        </w:rPr>
        <w:t xml:space="preserve"> руб</w:t>
      </w:r>
      <w:r>
        <w:rPr>
          <w:kern w:val="32"/>
          <w:sz w:val="28"/>
          <w:szCs w:val="28"/>
        </w:rPr>
        <w:t>.</w:t>
      </w:r>
      <w:r w:rsidRPr="007A516C">
        <w:rPr>
          <w:kern w:val="32"/>
          <w:sz w:val="28"/>
          <w:szCs w:val="28"/>
        </w:rPr>
        <w:t xml:space="preserve"> и увеличится по сравнению с 2021 годом на 3,9</w:t>
      </w:r>
      <w:r w:rsidR="00640193">
        <w:rPr>
          <w:kern w:val="32"/>
          <w:sz w:val="28"/>
          <w:szCs w:val="28"/>
        </w:rPr>
        <w:t xml:space="preserve"> </w:t>
      </w:r>
      <w:r w:rsidR="000D7061">
        <w:rPr>
          <w:kern w:val="32"/>
          <w:sz w:val="28"/>
          <w:szCs w:val="28"/>
        </w:rPr>
        <w:t>проц</w:t>
      </w:r>
      <w:r w:rsidRPr="007A516C">
        <w:rPr>
          <w:kern w:val="32"/>
          <w:sz w:val="28"/>
          <w:szCs w:val="28"/>
        </w:rPr>
        <w:t xml:space="preserve">. </w:t>
      </w:r>
    </w:p>
    <w:p w:rsidR="004570BD" w:rsidRPr="00C13F99" w:rsidRDefault="004570BD" w:rsidP="004570BD">
      <w:pPr>
        <w:pStyle w:val="ac"/>
        <w:spacing w:after="0"/>
        <w:ind w:firstLine="709"/>
        <w:jc w:val="both"/>
        <w:rPr>
          <w:kern w:val="32"/>
          <w:sz w:val="28"/>
          <w:szCs w:val="28"/>
        </w:rPr>
      </w:pPr>
      <w:r w:rsidRPr="007A516C">
        <w:rPr>
          <w:kern w:val="32"/>
          <w:sz w:val="28"/>
          <w:szCs w:val="28"/>
        </w:rPr>
        <w:t xml:space="preserve">К 2022 году по базовому варианту показатель составит 94,3 </w:t>
      </w:r>
      <w:proofErr w:type="gramStart"/>
      <w:r w:rsidRPr="007A516C">
        <w:rPr>
          <w:kern w:val="32"/>
          <w:sz w:val="28"/>
          <w:szCs w:val="28"/>
        </w:rPr>
        <w:t>млрд</w:t>
      </w:r>
      <w:proofErr w:type="gramEnd"/>
      <w:r w:rsidRPr="007A516C">
        <w:rPr>
          <w:kern w:val="32"/>
          <w:sz w:val="28"/>
          <w:szCs w:val="28"/>
        </w:rPr>
        <w:t xml:space="preserve"> руб</w:t>
      </w:r>
      <w:r>
        <w:rPr>
          <w:kern w:val="32"/>
          <w:sz w:val="28"/>
          <w:szCs w:val="28"/>
        </w:rPr>
        <w:t>.</w:t>
      </w:r>
      <w:r w:rsidRPr="007A516C">
        <w:rPr>
          <w:kern w:val="32"/>
          <w:sz w:val="28"/>
          <w:szCs w:val="28"/>
        </w:rPr>
        <w:t xml:space="preserve"> (104,8</w:t>
      </w:r>
      <w:r w:rsidR="00640193">
        <w:rPr>
          <w:kern w:val="32"/>
          <w:sz w:val="28"/>
          <w:szCs w:val="28"/>
        </w:rPr>
        <w:t xml:space="preserve"> </w:t>
      </w:r>
      <w:r w:rsidR="000D7061">
        <w:rPr>
          <w:kern w:val="32"/>
          <w:sz w:val="28"/>
          <w:szCs w:val="28"/>
        </w:rPr>
        <w:t>проц.</w:t>
      </w:r>
      <w:r w:rsidRPr="007A516C">
        <w:rPr>
          <w:kern w:val="32"/>
          <w:sz w:val="28"/>
          <w:szCs w:val="28"/>
        </w:rPr>
        <w:t xml:space="preserve"> к 2021 году в сопоставимых ценах); по консервативному варианту -  93,2 млрд руб</w:t>
      </w:r>
      <w:r>
        <w:rPr>
          <w:kern w:val="32"/>
          <w:sz w:val="28"/>
          <w:szCs w:val="28"/>
        </w:rPr>
        <w:t>.</w:t>
      </w:r>
      <w:r w:rsidRPr="007A516C">
        <w:rPr>
          <w:kern w:val="32"/>
          <w:sz w:val="28"/>
          <w:szCs w:val="28"/>
        </w:rPr>
        <w:t xml:space="preserve"> (102,4</w:t>
      </w:r>
      <w:r w:rsidR="00640193">
        <w:rPr>
          <w:kern w:val="32"/>
          <w:sz w:val="28"/>
          <w:szCs w:val="28"/>
        </w:rPr>
        <w:t xml:space="preserve"> </w:t>
      </w:r>
      <w:r w:rsidR="000D7061">
        <w:rPr>
          <w:kern w:val="32"/>
          <w:sz w:val="28"/>
          <w:szCs w:val="28"/>
        </w:rPr>
        <w:t>проц.</w:t>
      </w:r>
      <w:r w:rsidRPr="007A516C">
        <w:rPr>
          <w:kern w:val="32"/>
          <w:sz w:val="28"/>
          <w:szCs w:val="28"/>
        </w:rPr>
        <w:t xml:space="preserve"> к 2021 году в сопоставимых ценах). На прогнозируемом периоде 202</w:t>
      </w:r>
      <w:r>
        <w:rPr>
          <w:kern w:val="32"/>
          <w:sz w:val="28"/>
          <w:szCs w:val="28"/>
        </w:rPr>
        <w:t>3</w:t>
      </w:r>
      <w:r w:rsidRPr="007A516C">
        <w:rPr>
          <w:kern w:val="32"/>
          <w:sz w:val="28"/>
          <w:szCs w:val="28"/>
        </w:rPr>
        <w:t xml:space="preserve">-2024 годов </w:t>
      </w:r>
      <w:r w:rsidRPr="00C13F99">
        <w:rPr>
          <w:kern w:val="32"/>
          <w:sz w:val="28"/>
          <w:szCs w:val="28"/>
        </w:rPr>
        <w:t>ожидается рост показателя по обоим вариантам в среднем на 2-4</w:t>
      </w:r>
      <w:r w:rsidR="00640193">
        <w:rPr>
          <w:kern w:val="32"/>
          <w:sz w:val="28"/>
          <w:szCs w:val="28"/>
        </w:rPr>
        <w:t xml:space="preserve"> </w:t>
      </w:r>
      <w:r w:rsidR="000D7061">
        <w:rPr>
          <w:kern w:val="32"/>
          <w:sz w:val="28"/>
          <w:szCs w:val="28"/>
        </w:rPr>
        <w:t>проц.</w:t>
      </w:r>
      <w:r w:rsidRPr="00C13F99">
        <w:rPr>
          <w:kern w:val="32"/>
          <w:sz w:val="28"/>
          <w:szCs w:val="28"/>
        </w:rPr>
        <w:t xml:space="preserve"> ежегодно в сопоставимых ценах.</w:t>
      </w:r>
    </w:p>
    <w:p w:rsidR="000F5DDE" w:rsidRPr="00C13F99" w:rsidRDefault="000F5DDE" w:rsidP="00215501">
      <w:pPr>
        <w:pStyle w:val="ac"/>
        <w:spacing w:after="0"/>
        <w:ind w:firstLine="709"/>
        <w:jc w:val="both"/>
        <w:rPr>
          <w:color w:val="000000" w:themeColor="text1"/>
          <w:kern w:val="32"/>
          <w:sz w:val="16"/>
          <w:szCs w:val="16"/>
        </w:rPr>
      </w:pPr>
    </w:p>
    <w:p w:rsidR="000F5DDE" w:rsidRPr="00C13F99" w:rsidRDefault="00494DB7" w:rsidP="000F5DDE">
      <w:pPr>
        <w:widowControl w:val="0"/>
        <w:jc w:val="center"/>
        <w:rPr>
          <w:b/>
          <w:color w:val="FF0000"/>
          <w:sz w:val="28"/>
          <w:szCs w:val="28"/>
        </w:rPr>
      </w:pPr>
      <w:r w:rsidRPr="00C13F99">
        <w:rPr>
          <w:sz w:val="28"/>
          <w:szCs w:val="28"/>
        </w:rPr>
        <w:t>Внешнеэкономическая деятельность</w:t>
      </w:r>
    </w:p>
    <w:p w:rsidR="00143692" w:rsidRPr="00C13F99" w:rsidRDefault="00143692" w:rsidP="00143692">
      <w:pPr>
        <w:pStyle w:val="ac"/>
        <w:spacing w:after="0"/>
        <w:ind w:firstLine="709"/>
        <w:jc w:val="both"/>
        <w:rPr>
          <w:color w:val="000000" w:themeColor="text1"/>
          <w:kern w:val="32"/>
          <w:sz w:val="16"/>
          <w:szCs w:val="16"/>
        </w:rPr>
      </w:pPr>
    </w:p>
    <w:p w:rsidR="00AB4441" w:rsidRPr="00293DDC" w:rsidRDefault="00AB4441" w:rsidP="004D2468">
      <w:pPr>
        <w:widowControl w:val="0"/>
        <w:ind w:firstLine="709"/>
        <w:jc w:val="both"/>
        <w:rPr>
          <w:b/>
          <w:sz w:val="28"/>
          <w:szCs w:val="28"/>
        </w:rPr>
      </w:pPr>
      <w:r w:rsidRPr="00C13F99">
        <w:rPr>
          <w:rFonts w:eastAsia="Malgun Gothic"/>
          <w:sz w:val="28"/>
          <w:szCs w:val="28"/>
        </w:rPr>
        <w:t xml:space="preserve">Внешнеторговый оборот Ленинградской области </w:t>
      </w:r>
      <w:r w:rsidRPr="00C13F99">
        <w:rPr>
          <w:rFonts w:eastAsia="Malgun Gothic"/>
          <w:b/>
          <w:sz w:val="28"/>
          <w:szCs w:val="28"/>
        </w:rPr>
        <w:t>по итогам 2020 года</w:t>
      </w:r>
      <w:r w:rsidRPr="00C13F99">
        <w:rPr>
          <w:rFonts w:eastAsia="Malgun Gothic"/>
          <w:sz w:val="28"/>
          <w:szCs w:val="28"/>
        </w:rPr>
        <w:t xml:space="preserve"> </w:t>
      </w:r>
      <w:r w:rsidRPr="00C13F99">
        <w:rPr>
          <w:rFonts w:eastAsia="Malgun Gothic"/>
          <w:sz w:val="28"/>
          <w:szCs w:val="28"/>
        </w:rPr>
        <w:lastRenderedPageBreak/>
        <w:t xml:space="preserve">составил 8959,3 </w:t>
      </w:r>
      <w:proofErr w:type="gramStart"/>
      <w:r w:rsidRPr="00C13F99">
        <w:rPr>
          <w:rFonts w:eastAsia="Malgun Gothic"/>
          <w:sz w:val="28"/>
          <w:szCs w:val="28"/>
        </w:rPr>
        <w:t>млн</w:t>
      </w:r>
      <w:proofErr w:type="gramEnd"/>
      <w:r w:rsidRPr="00C13F99">
        <w:rPr>
          <w:rFonts w:eastAsia="Malgun Gothic"/>
          <w:sz w:val="28"/>
          <w:szCs w:val="28"/>
        </w:rPr>
        <w:t xml:space="preserve"> долл. США. По сравнению с 2019 годом снижение товарооборота составило 16,4 проц., при</w:t>
      </w:r>
      <w:r w:rsidRPr="00676AE2">
        <w:rPr>
          <w:rFonts w:eastAsia="Malgun Gothic"/>
          <w:sz w:val="28"/>
          <w:szCs w:val="28"/>
        </w:rPr>
        <w:t xml:space="preserve"> этом импорт сократился на 9,4</w:t>
      </w:r>
      <w:r>
        <w:rPr>
          <w:rFonts w:eastAsia="Malgun Gothic"/>
          <w:sz w:val="28"/>
          <w:szCs w:val="28"/>
        </w:rPr>
        <w:t xml:space="preserve"> проц.</w:t>
      </w:r>
      <w:r w:rsidRPr="00676AE2">
        <w:rPr>
          <w:rFonts w:eastAsia="Malgun Gothic"/>
          <w:sz w:val="28"/>
          <w:szCs w:val="28"/>
        </w:rPr>
        <w:t>, экспорт – на 20,5</w:t>
      </w:r>
      <w:r>
        <w:rPr>
          <w:rFonts w:eastAsia="Malgun Gothic"/>
          <w:sz w:val="28"/>
          <w:szCs w:val="28"/>
        </w:rPr>
        <w:t xml:space="preserve"> проц.</w:t>
      </w:r>
      <w:r w:rsidRPr="00676AE2">
        <w:rPr>
          <w:rFonts w:eastAsia="Malgun Gothic"/>
          <w:sz w:val="28"/>
          <w:szCs w:val="28"/>
        </w:rPr>
        <w:t xml:space="preserve"> Коэффициент покрытия импорта экспортом – 151</w:t>
      </w:r>
      <w:r>
        <w:rPr>
          <w:rFonts w:eastAsia="Malgun Gothic"/>
          <w:sz w:val="28"/>
          <w:szCs w:val="28"/>
        </w:rPr>
        <w:t xml:space="preserve"> проц.</w:t>
      </w:r>
    </w:p>
    <w:p w:rsidR="00AB4441" w:rsidRPr="00676AE2" w:rsidRDefault="00AB4441" w:rsidP="004D2468">
      <w:pPr>
        <w:ind w:firstLine="709"/>
        <w:jc w:val="both"/>
        <w:rPr>
          <w:rFonts w:eastAsia="Malgun Gothic"/>
          <w:sz w:val="28"/>
          <w:szCs w:val="28"/>
        </w:rPr>
      </w:pPr>
      <w:r w:rsidRPr="00676AE2">
        <w:rPr>
          <w:rFonts w:eastAsia="Malgun Gothic"/>
          <w:sz w:val="28"/>
          <w:szCs w:val="28"/>
        </w:rPr>
        <w:t>Среди субъектов Российской Федерации, входящих в состав Северо-Западного Федерального округа (далее – СЗФО), Ленинградская область по итогам внешнеторговой деятельности (далее – ВЭД) за 2020 год занимает третье место по объемам импорта (10,3</w:t>
      </w:r>
      <w:r>
        <w:rPr>
          <w:rFonts w:eastAsia="Malgun Gothic"/>
          <w:sz w:val="28"/>
          <w:szCs w:val="28"/>
        </w:rPr>
        <w:t xml:space="preserve"> проц.</w:t>
      </w:r>
      <w:r w:rsidRPr="00676AE2">
        <w:rPr>
          <w:rFonts w:eastAsia="Malgun Gothic"/>
          <w:sz w:val="28"/>
          <w:szCs w:val="28"/>
        </w:rPr>
        <w:t xml:space="preserve"> стоимостных объемов СЗФО), второе место по объемам экспорта (12,8</w:t>
      </w:r>
      <w:r>
        <w:rPr>
          <w:rFonts w:eastAsia="Malgun Gothic"/>
          <w:sz w:val="28"/>
          <w:szCs w:val="28"/>
        </w:rPr>
        <w:t xml:space="preserve"> проц.</w:t>
      </w:r>
      <w:r w:rsidRPr="00676AE2">
        <w:rPr>
          <w:rFonts w:eastAsia="Malgun Gothic"/>
          <w:sz w:val="28"/>
          <w:szCs w:val="28"/>
        </w:rPr>
        <w:t>) и товарообороту (11,7</w:t>
      </w:r>
      <w:r>
        <w:rPr>
          <w:rFonts w:eastAsia="Malgun Gothic"/>
          <w:sz w:val="28"/>
          <w:szCs w:val="28"/>
        </w:rPr>
        <w:t xml:space="preserve"> проц.</w:t>
      </w:r>
      <w:r w:rsidRPr="00676AE2">
        <w:rPr>
          <w:rFonts w:eastAsia="Malgun Gothic"/>
          <w:sz w:val="28"/>
          <w:szCs w:val="28"/>
        </w:rPr>
        <w:t xml:space="preserve">). </w:t>
      </w:r>
    </w:p>
    <w:p w:rsidR="00494DB7" w:rsidRPr="00AB4441" w:rsidRDefault="00494DB7" w:rsidP="004D2468">
      <w:pPr>
        <w:ind w:firstLine="709"/>
        <w:jc w:val="both"/>
        <w:rPr>
          <w:rFonts w:eastAsia="Malgun Gothic"/>
          <w:color w:val="000000" w:themeColor="text1"/>
          <w:sz w:val="28"/>
          <w:szCs w:val="28"/>
        </w:rPr>
      </w:pPr>
      <w:r w:rsidRPr="00AB4441">
        <w:rPr>
          <w:rFonts w:eastAsia="Malgun Gothic"/>
          <w:color w:val="000000" w:themeColor="text1"/>
          <w:sz w:val="28"/>
          <w:szCs w:val="28"/>
        </w:rPr>
        <w:t xml:space="preserve">Внешнеэкономическую деятельность </w:t>
      </w:r>
      <w:r w:rsidR="000F5DDE" w:rsidRPr="00AB4441">
        <w:rPr>
          <w:rFonts w:eastAsia="Malgun Gothic"/>
          <w:color w:val="000000" w:themeColor="text1"/>
          <w:sz w:val="28"/>
          <w:szCs w:val="28"/>
        </w:rPr>
        <w:t xml:space="preserve">в Ленинградской области </w:t>
      </w:r>
      <w:r w:rsidRPr="00AB4441">
        <w:rPr>
          <w:rFonts w:eastAsia="Malgun Gothic"/>
          <w:color w:val="000000" w:themeColor="text1"/>
          <w:sz w:val="28"/>
          <w:szCs w:val="28"/>
        </w:rPr>
        <w:t xml:space="preserve">осуществляли </w:t>
      </w:r>
      <w:r w:rsidR="00AB4441" w:rsidRPr="00AB4441">
        <w:rPr>
          <w:rFonts w:eastAsia="Malgun Gothic"/>
          <w:color w:val="000000" w:themeColor="text1"/>
          <w:sz w:val="28"/>
          <w:szCs w:val="28"/>
        </w:rPr>
        <w:t>1240</w:t>
      </w:r>
      <w:r w:rsidRPr="00AB4441">
        <w:rPr>
          <w:rFonts w:eastAsia="Malgun Gothic"/>
          <w:color w:val="000000" w:themeColor="text1"/>
          <w:sz w:val="28"/>
          <w:szCs w:val="28"/>
        </w:rPr>
        <w:t xml:space="preserve"> участни</w:t>
      </w:r>
      <w:r w:rsidR="000F5DDE" w:rsidRPr="00AB4441">
        <w:rPr>
          <w:rFonts w:eastAsia="Malgun Gothic"/>
          <w:color w:val="000000" w:themeColor="text1"/>
          <w:sz w:val="28"/>
          <w:szCs w:val="28"/>
        </w:rPr>
        <w:t>ка</w:t>
      </w:r>
      <w:r w:rsidR="00471570" w:rsidRPr="00AB4441">
        <w:rPr>
          <w:rFonts w:eastAsia="Malgun Gothic"/>
          <w:color w:val="000000" w:themeColor="text1"/>
          <w:sz w:val="28"/>
          <w:szCs w:val="28"/>
        </w:rPr>
        <w:t>,</w:t>
      </w:r>
      <w:r w:rsidRPr="00AB4441">
        <w:rPr>
          <w:rFonts w:eastAsia="Malgun Gothic"/>
          <w:color w:val="000000" w:themeColor="text1"/>
          <w:sz w:val="28"/>
          <w:szCs w:val="28"/>
        </w:rPr>
        <w:t xml:space="preserve"> экспортировали товары </w:t>
      </w:r>
      <w:r w:rsidR="00AB4441" w:rsidRPr="00AB4441">
        <w:rPr>
          <w:rFonts w:eastAsia="Malgun Gothic"/>
          <w:color w:val="000000" w:themeColor="text1"/>
          <w:sz w:val="28"/>
          <w:szCs w:val="28"/>
        </w:rPr>
        <w:t>728</w:t>
      </w:r>
      <w:r w:rsidRPr="00AB4441">
        <w:rPr>
          <w:rFonts w:eastAsia="Malgun Gothic"/>
          <w:color w:val="000000" w:themeColor="text1"/>
          <w:sz w:val="28"/>
          <w:szCs w:val="28"/>
        </w:rPr>
        <w:t xml:space="preserve"> участников </w:t>
      </w:r>
      <w:r w:rsidR="000F5DDE" w:rsidRPr="00AB4441">
        <w:rPr>
          <w:rFonts w:eastAsia="Malgun Gothic"/>
          <w:color w:val="000000" w:themeColor="text1"/>
          <w:sz w:val="28"/>
          <w:szCs w:val="28"/>
        </w:rPr>
        <w:t xml:space="preserve">внешнеэкономической </w:t>
      </w:r>
      <w:proofErr w:type="spellStart"/>
      <w:r w:rsidR="000F5DDE" w:rsidRPr="00AB4441">
        <w:rPr>
          <w:rFonts w:eastAsia="Malgun Gothic"/>
          <w:color w:val="000000" w:themeColor="text1"/>
          <w:sz w:val="28"/>
          <w:szCs w:val="28"/>
        </w:rPr>
        <w:t>дятельности</w:t>
      </w:r>
      <w:proofErr w:type="spellEnd"/>
      <w:r w:rsidRPr="00AB4441">
        <w:rPr>
          <w:rFonts w:eastAsia="Malgun Gothic"/>
          <w:color w:val="000000" w:themeColor="text1"/>
          <w:sz w:val="28"/>
          <w:szCs w:val="28"/>
        </w:rPr>
        <w:t xml:space="preserve">, импортировали – </w:t>
      </w:r>
      <w:r w:rsidR="00AB4441" w:rsidRPr="00AB4441">
        <w:rPr>
          <w:rFonts w:eastAsia="Malgun Gothic"/>
          <w:color w:val="000000" w:themeColor="text1"/>
          <w:sz w:val="28"/>
          <w:szCs w:val="28"/>
        </w:rPr>
        <w:t>843</w:t>
      </w:r>
      <w:r w:rsidR="00471570" w:rsidRPr="00AB4441">
        <w:rPr>
          <w:rFonts w:eastAsia="Malgun Gothic"/>
          <w:color w:val="000000" w:themeColor="text1"/>
          <w:sz w:val="28"/>
          <w:szCs w:val="28"/>
        </w:rPr>
        <w:t xml:space="preserve"> участников</w:t>
      </w:r>
      <w:r w:rsidRPr="00AB4441">
        <w:rPr>
          <w:rFonts w:eastAsia="Malgun Gothic"/>
          <w:color w:val="000000" w:themeColor="text1"/>
          <w:sz w:val="28"/>
          <w:szCs w:val="28"/>
        </w:rPr>
        <w:t>.</w:t>
      </w:r>
    </w:p>
    <w:p w:rsidR="00494DB7" w:rsidRPr="00143692" w:rsidRDefault="00494DB7" w:rsidP="004D2468">
      <w:pPr>
        <w:ind w:firstLine="709"/>
        <w:jc w:val="both"/>
        <w:rPr>
          <w:color w:val="000000" w:themeColor="text1"/>
          <w:sz w:val="28"/>
          <w:szCs w:val="28"/>
        </w:rPr>
      </w:pPr>
      <w:r w:rsidRPr="00143692">
        <w:rPr>
          <w:rFonts w:eastAsia="Malgun Gothic"/>
          <w:color w:val="000000" w:themeColor="text1"/>
          <w:sz w:val="28"/>
          <w:szCs w:val="28"/>
        </w:rPr>
        <w:t>Торговые операции осуществлялись с партнерами из 16</w:t>
      </w:r>
      <w:r w:rsidR="00143692" w:rsidRPr="00143692">
        <w:rPr>
          <w:rFonts w:eastAsia="Malgun Gothic"/>
          <w:color w:val="000000" w:themeColor="text1"/>
          <w:sz w:val="28"/>
          <w:szCs w:val="28"/>
        </w:rPr>
        <w:t>1</w:t>
      </w:r>
      <w:r w:rsidRPr="00143692">
        <w:rPr>
          <w:rFonts w:eastAsia="Malgun Gothic"/>
          <w:color w:val="000000" w:themeColor="text1"/>
          <w:sz w:val="28"/>
          <w:szCs w:val="28"/>
        </w:rPr>
        <w:t xml:space="preserve"> стран</w:t>
      </w:r>
      <w:r w:rsidR="00143692" w:rsidRPr="00143692">
        <w:rPr>
          <w:rFonts w:eastAsia="Malgun Gothic"/>
          <w:color w:val="000000" w:themeColor="text1"/>
          <w:sz w:val="28"/>
          <w:szCs w:val="28"/>
        </w:rPr>
        <w:t>ы</w:t>
      </w:r>
      <w:r w:rsidRPr="00143692">
        <w:rPr>
          <w:rFonts w:eastAsia="Malgun Gothic"/>
          <w:color w:val="000000" w:themeColor="text1"/>
          <w:sz w:val="28"/>
          <w:szCs w:val="28"/>
        </w:rPr>
        <w:t xml:space="preserve">. </w:t>
      </w:r>
      <w:proofErr w:type="gramStart"/>
      <w:r w:rsidRPr="00143692">
        <w:rPr>
          <w:rFonts w:eastAsia="Malgun Gothic"/>
          <w:color w:val="000000" w:themeColor="text1"/>
          <w:sz w:val="28"/>
          <w:szCs w:val="28"/>
        </w:rPr>
        <w:t xml:space="preserve">Крупнейшие страны-контрагенты – </w:t>
      </w:r>
      <w:r w:rsidR="00143692" w:rsidRPr="00143692">
        <w:rPr>
          <w:rFonts w:eastAsia="Malgun Gothic"/>
          <w:color w:val="000000" w:themeColor="text1"/>
          <w:sz w:val="28"/>
          <w:szCs w:val="28"/>
        </w:rPr>
        <w:t>Китай</w:t>
      </w:r>
      <w:r w:rsidRPr="00143692">
        <w:rPr>
          <w:rFonts w:eastAsia="Malgun Gothic"/>
          <w:color w:val="000000" w:themeColor="text1"/>
          <w:sz w:val="28"/>
          <w:szCs w:val="28"/>
        </w:rPr>
        <w:t xml:space="preserve"> (</w:t>
      </w:r>
      <w:r w:rsidR="00143692" w:rsidRPr="00143692">
        <w:rPr>
          <w:rFonts w:eastAsia="Malgun Gothic"/>
          <w:color w:val="000000" w:themeColor="text1"/>
          <w:sz w:val="28"/>
          <w:szCs w:val="28"/>
        </w:rPr>
        <w:t>15,3</w:t>
      </w:r>
      <w:r w:rsidR="00B45CC2" w:rsidRPr="00143692">
        <w:rPr>
          <w:rFonts w:eastAsia="Malgun Gothic"/>
          <w:color w:val="000000" w:themeColor="text1"/>
          <w:sz w:val="28"/>
          <w:szCs w:val="28"/>
        </w:rPr>
        <w:t xml:space="preserve"> проц.</w:t>
      </w:r>
      <w:r w:rsidRPr="00143692">
        <w:rPr>
          <w:rFonts w:eastAsia="Malgun Gothic"/>
          <w:color w:val="000000" w:themeColor="text1"/>
          <w:sz w:val="28"/>
          <w:szCs w:val="28"/>
        </w:rPr>
        <w:t xml:space="preserve"> товарооборота), </w:t>
      </w:r>
      <w:r w:rsidR="00C74799" w:rsidRPr="00143692">
        <w:rPr>
          <w:rFonts w:eastAsia="Malgun Gothic"/>
          <w:color w:val="000000" w:themeColor="text1"/>
          <w:sz w:val="28"/>
          <w:szCs w:val="28"/>
        </w:rPr>
        <w:t xml:space="preserve">                        </w:t>
      </w:r>
      <w:r w:rsidR="00143692" w:rsidRPr="00143692">
        <w:rPr>
          <w:rFonts w:eastAsia="Malgun Gothic"/>
          <w:color w:val="000000" w:themeColor="text1"/>
          <w:sz w:val="28"/>
          <w:szCs w:val="28"/>
        </w:rPr>
        <w:t xml:space="preserve">Финляндия (8,0 проц.), </w:t>
      </w:r>
      <w:r w:rsidRPr="00143692">
        <w:rPr>
          <w:rFonts w:eastAsia="Malgun Gothic"/>
          <w:color w:val="000000" w:themeColor="text1"/>
          <w:sz w:val="28"/>
          <w:szCs w:val="28"/>
        </w:rPr>
        <w:t>Нидерланды (6</w:t>
      </w:r>
      <w:r w:rsidR="00143692" w:rsidRPr="00143692">
        <w:rPr>
          <w:rFonts w:eastAsia="Malgun Gothic"/>
          <w:color w:val="000000" w:themeColor="text1"/>
          <w:sz w:val="28"/>
          <w:szCs w:val="28"/>
        </w:rPr>
        <w:t>,9</w:t>
      </w:r>
      <w:r w:rsidR="00B45CC2" w:rsidRPr="00143692">
        <w:rPr>
          <w:rFonts w:eastAsia="Malgun Gothic"/>
          <w:color w:val="000000" w:themeColor="text1"/>
          <w:sz w:val="28"/>
          <w:szCs w:val="28"/>
        </w:rPr>
        <w:t xml:space="preserve"> проц.</w:t>
      </w:r>
      <w:r w:rsidRPr="00143692">
        <w:rPr>
          <w:rFonts w:eastAsia="Malgun Gothic"/>
          <w:color w:val="000000" w:themeColor="text1"/>
          <w:sz w:val="28"/>
          <w:szCs w:val="28"/>
        </w:rPr>
        <w:t xml:space="preserve">), </w:t>
      </w:r>
      <w:r w:rsidR="00143692" w:rsidRPr="00143692">
        <w:rPr>
          <w:rFonts w:eastAsia="Malgun Gothic"/>
          <w:color w:val="000000" w:themeColor="text1"/>
          <w:sz w:val="28"/>
          <w:szCs w:val="28"/>
        </w:rPr>
        <w:t>Германия</w:t>
      </w:r>
      <w:r w:rsidRPr="00143692">
        <w:rPr>
          <w:rFonts w:eastAsia="Malgun Gothic"/>
          <w:color w:val="000000" w:themeColor="text1"/>
          <w:sz w:val="28"/>
          <w:szCs w:val="28"/>
        </w:rPr>
        <w:t xml:space="preserve"> (</w:t>
      </w:r>
      <w:r w:rsidR="00143692" w:rsidRPr="00143692">
        <w:rPr>
          <w:rFonts w:eastAsia="Malgun Gothic"/>
          <w:color w:val="000000" w:themeColor="text1"/>
          <w:sz w:val="28"/>
          <w:szCs w:val="28"/>
        </w:rPr>
        <w:t>5,9</w:t>
      </w:r>
      <w:r w:rsidR="00B45CC2" w:rsidRPr="00143692">
        <w:rPr>
          <w:rFonts w:eastAsia="Malgun Gothic"/>
          <w:color w:val="000000" w:themeColor="text1"/>
          <w:sz w:val="28"/>
          <w:szCs w:val="28"/>
        </w:rPr>
        <w:t xml:space="preserve"> проц.</w:t>
      </w:r>
      <w:r w:rsidRPr="00143692">
        <w:rPr>
          <w:rFonts w:eastAsia="Malgun Gothic"/>
          <w:color w:val="000000" w:themeColor="text1"/>
          <w:sz w:val="28"/>
          <w:szCs w:val="28"/>
        </w:rPr>
        <w:t>)</w:t>
      </w:r>
      <w:r w:rsidR="00143692" w:rsidRPr="00143692">
        <w:rPr>
          <w:rFonts w:eastAsia="Malgun Gothic"/>
          <w:color w:val="000000" w:themeColor="text1"/>
          <w:sz w:val="28"/>
          <w:szCs w:val="28"/>
        </w:rPr>
        <w:t xml:space="preserve"> и Эстония</w:t>
      </w:r>
      <w:r w:rsidRPr="00143692">
        <w:rPr>
          <w:rFonts w:eastAsia="Malgun Gothic"/>
          <w:color w:val="000000" w:themeColor="text1"/>
          <w:sz w:val="28"/>
          <w:szCs w:val="28"/>
        </w:rPr>
        <w:t xml:space="preserve"> (5,</w:t>
      </w:r>
      <w:r w:rsidR="00143692" w:rsidRPr="00143692">
        <w:rPr>
          <w:rFonts w:eastAsia="Malgun Gothic"/>
          <w:color w:val="000000" w:themeColor="text1"/>
          <w:sz w:val="28"/>
          <w:szCs w:val="28"/>
        </w:rPr>
        <w:t>7</w:t>
      </w:r>
      <w:r w:rsidR="00B45CC2" w:rsidRPr="00143692">
        <w:rPr>
          <w:rFonts w:eastAsia="Malgun Gothic"/>
          <w:color w:val="000000" w:themeColor="text1"/>
          <w:sz w:val="28"/>
          <w:szCs w:val="28"/>
        </w:rPr>
        <w:t xml:space="preserve"> проц.</w:t>
      </w:r>
      <w:r w:rsidRPr="00143692">
        <w:rPr>
          <w:rFonts w:eastAsia="Malgun Gothic"/>
          <w:color w:val="000000" w:themeColor="text1"/>
          <w:sz w:val="28"/>
          <w:szCs w:val="28"/>
        </w:rPr>
        <w:t>).</w:t>
      </w:r>
      <w:proofErr w:type="gramEnd"/>
      <w:r w:rsidRPr="00143692">
        <w:rPr>
          <w:rFonts w:eastAsia="Malgun Gothic"/>
          <w:color w:val="000000" w:themeColor="text1"/>
          <w:sz w:val="28"/>
          <w:szCs w:val="28"/>
        </w:rPr>
        <w:t xml:space="preserve"> Суммарный товарооборот с этими странами составил </w:t>
      </w:r>
      <w:r w:rsidR="00143692" w:rsidRPr="00143692">
        <w:rPr>
          <w:rFonts w:eastAsia="Malgun Gothic"/>
          <w:color w:val="000000" w:themeColor="text1"/>
          <w:sz w:val="28"/>
          <w:szCs w:val="28"/>
        </w:rPr>
        <w:t>41,9</w:t>
      </w:r>
      <w:r w:rsidR="00B45CC2" w:rsidRPr="00143692">
        <w:rPr>
          <w:rFonts w:eastAsia="Malgun Gothic"/>
          <w:color w:val="000000" w:themeColor="text1"/>
          <w:sz w:val="28"/>
          <w:szCs w:val="28"/>
        </w:rPr>
        <w:t xml:space="preserve"> проц.</w:t>
      </w:r>
      <w:r w:rsidRPr="00143692">
        <w:rPr>
          <w:rFonts w:eastAsia="Malgun Gothic"/>
          <w:color w:val="000000" w:themeColor="text1"/>
          <w:sz w:val="28"/>
          <w:szCs w:val="28"/>
        </w:rPr>
        <w:t xml:space="preserve"> от общего товарооборота Ленинградской области.</w:t>
      </w:r>
    </w:p>
    <w:p w:rsidR="00494DB7" w:rsidRPr="00143692" w:rsidRDefault="00143692" w:rsidP="004D2468">
      <w:pPr>
        <w:ind w:firstLine="709"/>
        <w:jc w:val="both"/>
        <w:rPr>
          <w:rFonts w:eastAsia="Malgun Gothic"/>
          <w:color w:val="000000" w:themeColor="text1"/>
          <w:sz w:val="28"/>
          <w:szCs w:val="28"/>
        </w:rPr>
      </w:pPr>
      <w:r w:rsidRPr="00676AE2">
        <w:rPr>
          <w:rFonts w:eastAsia="Malgun Gothic"/>
          <w:sz w:val="28"/>
          <w:szCs w:val="28"/>
        </w:rPr>
        <w:t xml:space="preserve">Наиболее крупными участниками ВЭД Ленинградской области являлись следующие предприятия: </w:t>
      </w:r>
      <w:proofErr w:type="gramStart"/>
      <w:r w:rsidRPr="00676AE2">
        <w:rPr>
          <w:rFonts w:eastAsia="Malgun Gothic"/>
          <w:sz w:val="28"/>
          <w:szCs w:val="28"/>
        </w:rPr>
        <w:t xml:space="preserve">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676AE2">
        <w:rPr>
          <w:rFonts w:eastAsia="Malgun Gothic"/>
          <w:sz w:val="28"/>
          <w:szCs w:val="28"/>
        </w:rPr>
        <w:t>Новатэк</w:t>
      </w:r>
      <w:proofErr w:type="spellEnd"/>
      <w:r w:rsidRPr="00676AE2">
        <w:rPr>
          <w:rFonts w:eastAsia="Malgun Gothic"/>
          <w:sz w:val="28"/>
          <w:szCs w:val="28"/>
        </w:rPr>
        <w:t>-Усть-Луга</w:t>
      </w:r>
      <w:r>
        <w:rPr>
          <w:rFonts w:eastAsia="Malgun Gothic"/>
          <w:sz w:val="28"/>
          <w:szCs w:val="28"/>
        </w:rPr>
        <w:t>»</w:t>
      </w:r>
      <w:r w:rsidRPr="00676AE2">
        <w:rPr>
          <w:rFonts w:eastAsia="Malgun Gothic"/>
          <w:sz w:val="28"/>
          <w:szCs w:val="28"/>
        </w:rPr>
        <w:t xml:space="preserve">, АО </w:t>
      </w:r>
      <w:r>
        <w:rPr>
          <w:rFonts w:eastAsia="Malgun Gothic"/>
          <w:sz w:val="28"/>
          <w:szCs w:val="28"/>
        </w:rPr>
        <w:t>«</w:t>
      </w:r>
      <w:r w:rsidRPr="00676AE2">
        <w:rPr>
          <w:rFonts w:eastAsia="Malgun Gothic"/>
          <w:sz w:val="28"/>
          <w:szCs w:val="28"/>
        </w:rPr>
        <w:t>Филип Моррис Ижора</w:t>
      </w:r>
      <w:r>
        <w:rPr>
          <w:rFonts w:eastAsia="Malgun Gothic"/>
          <w:sz w:val="28"/>
          <w:szCs w:val="28"/>
        </w:rPr>
        <w:t>»</w:t>
      </w:r>
      <w:r w:rsidRPr="00676AE2">
        <w:rPr>
          <w:rFonts w:eastAsia="Malgun Gothic"/>
          <w:sz w:val="28"/>
          <w:szCs w:val="28"/>
        </w:rPr>
        <w:t>,</w:t>
      </w:r>
      <w:r>
        <w:rPr>
          <w:rFonts w:eastAsia="Malgun Gothic"/>
          <w:sz w:val="28"/>
          <w:szCs w:val="28"/>
        </w:rPr>
        <w:t xml:space="preserve"> </w:t>
      </w:r>
      <w:r w:rsidRPr="00676AE2">
        <w:rPr>
          <w:rFonts w:eastAsia="Malgun Gothic"/>
          <w:sz w:val="28"/>
          <w:szCs w:val="28"/>
        </w:rPr>
        <w:t xml:space="preserve">ООО ПГ </w:t>
      </w:r>
      <w:r>
        <w:rPr>
          <w:rFonts w:eastAsia="Malgun Gothic"/>
          <w:sz w:val="28"/>
          <w:szCs w:val="28"/>
        </w:rPr>
        <w:t>«</w:t>
      </w:r>
      <w:r w:rsidRPr="00676AE2">
        <w:rPr>
          <w:rFonts w:eastAsia="Malgun Gothic"/>
          <w:sz w:val="28"/>
          <w:szCs w:val="28"/>
        </w:rPr>
        <w:t>Фосфорит</w:t>
      </w:r>
      <w:r>
        <w:rPr>
          <w:rFonts w:eastAsia="Malgun Gothic"/>
          <w:sz w:val="28"/>
          <w:szCs w:val="28"/>
        </w:rPr>
        <w:t>»</w:t>
      </w:r>
      <w:r w:rsidRPr="00676AE2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676AE2">
        <w:rPr>
          <w:rFonts w:eastAsia="Malgun Gothic"/>
          <w:sz w:val="28"/>
          <w:szCs w:val="28"/>
        </w:rPr>
        <w:t>Нокиан</w:t>
      </w:r>
      <w:proofErr w:type="spellEnd"/>
      <w:r w:rsidRPr="00676AE2">
        <w:rPr>
          <w:rFonts w:eastAsia="Malgun Gothic"/>
          <w:sz w:val="28"/>
          <w:szCs w:val="28"/>
        </w:rPr>
        <w:t xml:space="preserve"> Шина</w:t>
      </w:r>
      <w:r>
        <w:rPr>
          <w:rFonts w:eastAsia="Malgun Gothic"/>
          <w:sz w:val="28"/>
          <w:szCs w:val="28"/>
        </w:rPr>
        <w:t>»</w:t>
      </w:r>
      <w:r w:rsidRPr="00676AE2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676AE2">
        <w:rPr>
          <w:rFonts w:eastAsia="Malgun Gothic"/>
          <w:sz w:val="28"/>
          <w:szCs w:val="28"/>
        </w:rPr>
        <w:t>Орими</w:t>
      </w:r>
      <w:proofErr w:type="spellEnd"/>
      <w:r>
        <w:rPr>
          <w:rFonts w:eastAsia="Malgun Gothic"/>
          <w:sz w:val="28"/>
          <w:szCs w:val="28"/>
        </w:rPr>
        <w:t>»</w:t>
      </w:r>
      <w:r w:rsidRPr="00676AE2">
        <w:rPr>
          <w:rFonts w:eastAsia="Malgun Gothic"/>
          <w:sz w:val="28"/>
          <w:szCs w:val="28"/>
        </w:rPr>
        <w:t xml:space="preserve">, ЗАО </w:t>
      </w:r>
      <w:r>
        <w:rPr>
          <w:rFonts w:eastAsia="Malgun Gothic"/>
          <w:sz w:val="28"/>
          <w:szCs w:val="28"/>
        </w:rPr>
        <w:t>«</w:t>
      </w:r>
      <w:r w:rsidRPr="00676AE2">
        <w:rPr>
          <w:rFonts w:eastAsia="Malgun Gothic"/>
          <w:sz w:val="28"/>
          <w:szCs w:val="28"/>
        </w:rPr>
        <w:t>Группа СЕБ-Восток</w:t>
      </w:r>
      <w:r>
        <w:rPr>
          <w:rFonts w:eastAsia="Malgun Gothic"/>
          <w:sz w:val="28"/>
          <w:szCs w:val="28"/>
        </w:rPr>
        <w:t>»</w:t>
      </w:r>
      <w:r w:rsidRPr="00676AE2">
        <w:rPr>
          <w:rFonts w:eastAsia="Malgun Gothic"/>
          <w:sz w:val="28"/>
          <w:szCs w:val="28"/>
        </w:rPr>
        <w:t xml:space="preserve">, ЗАО </w:t>
      </w:r>
      <w:r>
        <w:rPr>
          <w:rFonts w:eastAsia="Malgun Gothic"/>
          <w:sz w:val="28"/>
          <w:szCs w:val="28"/>
        </w:rPr>
        <w:t>«</w:t>
      </w:r>
      <w:r w:rsidRPr="00676AE2">
        <w:rPr>
          <w:rFonts w:eastAsia="Malgun Gothic"/>
          <w:sz w:val="28"/>
          <w:szCs w:val="28"/>
        </w:rPr>
        <w:t xml:space="preserve">Интернешнл </w:t>
      </w:r>
      <w:proofErr w:type="spellStart"/>
      <w:r w:rsidRPr="00676AE2">
        <w:rPr>
          <w:rFonts w:eastAsia="Malgun Gothic"/>
          <w:sz w:val="28"/>
          <w:szCs w:val="28"/>
        </w:rPr>
        <w:t>Пейпер</w:t>
      </w:r>
      <w:proofErr w:type="spellEnd"/>
      <w:r>
        <w:rPr>
          <w:rFonts w:eastAsia="Malgun Gothic"/>
          <w:sz w:val="28"/>
          <w:szCs w:val="28"/>
        </w:rPr>
        <w:t>»</w:t>
      </w:r>
      <w:r w:rsidRPr="00676AE2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r w:rsidRPr="00676AE2">
        <w:rPr>
          <w:rFonts w:eastAsia="Malgun Gothic"/>
          <w:sz w:val="28"/>
          <w:szCs w:val="28"/>
        </w:rPr>
        <w:t xml:space="preserve">Якобс Дау </w:t>
      </w:r>
      <w:proofErr w:type="spellStart"/>
      <w:r w:rsidRPr="00676AE2">
        <w:rPr>
          <w:rFonts w:eastAsia="Malgun Gothic"/>
          <w:sz w:val="28"/>
          <w:szCs w:val="28"/>
        </w:rPr>
        <w:t>Эгбертс</w:t>
      </w:r>
      <w:proofErr w:type="spellEnd"/>
      <w:r w:rsidRPr="00676AE2">
        <w:rPr>
          <w:rFonts w:eastAsia="Malgun Gothic"/>
          <w:sz w:val="28"/>
          <w:szCs w:val="28"/>
        </w:rPr>
        <w:t xml:space="preserve"> Рус</w:t>
      </w:r>
      <w:r>
        <w:rPr>
          <w:rFonts w:eastAsia="Malgun Gothic"/>
          <w:sz w:val="28"/>
          <w:szCs w:val="28"/>
        </w:rPr>
        <w:t>»</w:t>
      </w:r>
      <w:r w:rsidRPr="00676AE2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676AE2">
        <w:rPr>
          <w:rFonts w:eastAsia="Malgun Gothic"/>
          <w:sz w:val="28"/>
          <w:szCs w:val="28"/>
        </w:rPr>
        <w:t>Нокиан</w:t>
      </w:r>
      <w:proofErr w:type="spellEnd"/>
      <w:r w:rsidRPr="00676AE2">
        <w:rPr>
          <w:rFonts w:eastAsia="Malgun Gothic"/>
          <w:sz w:val="28"/>
          <w:szCs w:val="28"/>
        </w:rPr>
        <w:t xml:space="preserve"> </w:t>
      </w:r>
      <w:proofErr w:type="spellStart"/>
      <w:r w:rsidRPr="00676AE2">
        <w:rPr>
          <w:rFonts w:eastAsia="Malgun Gothic"/>
          <w:sz w:val="28"/>
          <w:szCs w:val="28"/>
        </w:rPr>
        <w:t>Тайерс</w:t>
      </w:r>
      <w:proofErr w:type="spellEnd"/>
      <w:r>
        <w:rPr>
          <w:rFonts w:eastAsia="Malgun Gothic"/>
          <w:sz w:val="28"/>
          <w:szCs w:val="28"/>
        </w:rPr>
        <w:t>»</w:t>
      </w:r>
      <w:r w:rsidRPr="00676AE2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676AE2">
        <w:rPr>
          <w:rFonts w:eastAsia="Malgun Gothic"/>
          <w:sz w:val="28"/>
          <w:szCs w:val="28"/>
        </w:rPr>
        <w:t>Крес</w:t>
      </w:r>
      <w:proofErr w:type="spellEnd"/>
      <w:r w:rsidRPr="00676AE2">
        <w:rPr>
          <w:rFonts w:eastAsia="Malgun Gothic"/>
          <w:sz w:val="28"/>
          <w:szCs w:val="28"/>
        </w:rPr>
        <w:t xml:space="preserve"> Нева</w:t>
      </w:r>
      <w:r w:rsidRPr="00143692">
        <w:rPr>
          <w:rFonts w:eastAsia="Malgun Gothic"/>
          <w:sz w:val="28"/>
          <w:szCs w:val="28"/>
        </w:rPr>
        <w:t>».</w:t>
      </w:r>
      <w:proofErr w:type="gramEnd"/>
      <w:r w:rsidRPr="00143692">
        <w:rPr>
          <w:rFonts w:eastAsia="Malgun Gothic"/>
          <w:sz w:val="28"/>
          <w:szCs w:val="28"/>
        </w:rPr>
        <w:t xml:space="preserve"> </w:t>
      </w:r>
      <w:r w:rsidR="00494DB7" w:rsidRPr="00143692">
        <w:rPr>
          <w:rFonts w:eastAsia="Malgun Gothic"/>
          <w:color w:val="000000" w:themeColor="text1"/>
          <w:sz w:val="28"/>
          <w:szCs w:val="28"/>
        </w:rPr>
        <w:t xml:space="preserve">Доля </w:t>
      </w:r>
      <w:r w:rsidR="000F5DDE" w:rsidRPr="00143692">
        <w:rPr>
          <w:rFonts w:eastAsia="Malgun Gothic"/>
          <w:color w:val="000000" w:themeColor="text1"/>
          <w:sz w:val="28"/>
          <w:szCs w:val="28"/>
        </w:rPr>
        <w:t xml:space="preserve">указанных </w:t>
      </w:r>
      <w:r w:rsidR="00494DB7" w:rsidRPr="00143692">
        <w:rPr>
          <w:rFonts w:eastAsia="Malgun Gothic"/>
          <w:color w:val="000000" w:themeColor="text1"/>
          <w:sz w:val="28"/>
          <w:szCs w:val="28"/>
        </w:rPr>
        <w:t xml:space="preserve">предприятий </w:t>
      </w:r>
      <w:r w:rsidR="000F5DDE" w:rsidRPr="00143692">
        <w:rPr>
          <w:rFonts w:eastAsia="Malgun Gothic"/>
          <w:color w:val="000000" w:themeColor="text1"/>
          <w:sz w:val="28"/>
          <w:szCs w:val="28"/>
        </w:rPr>
        <w:t xml:space="preserve">                  </w:t>
      </w:r>
      <w:r w:rsidR="00494DB7" w:rsidRPr="00143692">
        <w:rPr>
          <w:rFonts w:eastAsia="Malgun Gothic"/>
          <w:color w:val="000000" w:themeColor="text1"/>
          <w:sz w:val="28"/>
          <w:szCs w:val="28"/>
        </w:rPr>
        <w:t xml:space="preserve">во внешнеторговом обороте Ленинградской области составила </w:t>
      </w:r>
      <w:r w:rsidRPr="00143692">
        <w:rPr>
          <w:rFonts w:eastAsia="Malgun Gothic"/>
          <w:color w:val="000000" w:themeColor="text1"/>
          <w:sz w:val="28"/>
          <w:szCs w:val="28"/>
        </w:rPr>
        <w:t>59,7</w:t>
      </w:r>
      <w:r w:rsidR="000F5DDE" w:rsidRPr="00143692">
        <w:rPr>
          <w:rFonts w:eastAsia="Malgun Gothic"/>
          <w:color w:val="000000" w:themeColor="text1"/>
          <w:sz w:val="28"/>
          <w:szCs w:val="28"/>
        </w:rPr>
        <w:t xml:space="preserve"> проц</w:t>
      </w:r>
      <w:r w:rsidR="00494DB7" w:rsidRPr="00143692">
        <w:rPr>
          <w:rFonts w:eastAsia="Malgun Gothic"/>
          <w:color w:val="000000" w:themeColor="text1"/>
          <w:sz w:val="28"/>
          <w:szCs w:val="28"/>
        </w:rPr>
        <w:t>.</w:t>
      </w:r>
    </w:p>
    <w:p w:rsidR="00143692" w:rsidRPr="0023222B" w:rsidRDefault="00143692" w:rsidP="004D2468">
      <w:pPr>
        <w:ind w:firstLine="709"/>
        <w:jc w:val="both"/>
        <w:rPr>
          <w:rFonts w:eastAsia="Malgun Gothic"/>
          <w:sz w:val="28"/>
          <w:szCs w:val="28"/>
        </w:rPr>
      </w:pPr>
      <w:r w:rsidRPr="0023222B">
        <w:rPr>
          <w:rFonts w:eastAsia="Malgun Gothic"/>
          <w:sz w:val="28"/>
          <w:szCs w:val="28"/>
        </w:rPr>
        <w:t xml:space="preserve">Экспортные поставки (5396,9 </w:t>
      </w:r>
      <w:proofErr w:type="gramStart"/>
      <w:r w:rsidRPr="0023222B">
        <w:rPr>
          <w:rFonts w:eastAsia="Malgun Gothic"/>
          <w:sz w:val="28"/>
          <w:szCs w:val="28"/>
        </w:rPr>
        <w:t>млн</w:t>
      </w:r>
      <w:proofErr w:type="gramEnd"/>
      <w:r w:rsidRPr="0023222B">
        <w:rPr>
          <w:rFonts w:eastAsia="Malgun Gothic"/>
          <w:sz w:val="28"/>
          <w:szCs w:val="28"/>
        </w:rPr>
        <w:t xml:space="preserve"> долл. США) за 2020 год по сравнению </w:t>
      </w:r>
      <w:r w:rsidRPr="0023222B">
        <w:rPr>
          <w:rFonts w:eastAsia="Malgun Gothic"/>
          <w:sz w:val="28"/>
          <w:szCs w:val="28"/>
        </w:rPr>
        <w:br/>
        <w:t>с</w:t>
      </w:r>
      <w:r w:rsidRPr="0023222B">
        <w:rPr>
          <w:rFonts w:eastAsia="Malgun Gothic"/>
          <w:sz w:val="20"/>
          <w:szCs w:val="20"/>
        </w:rPr>
        <w:t xml:space="preserve"> </w:t>
      </w:r>
      <w:r w:rsidRPr="0023222B">
        <w:rPr>
          <w:rFonts w:eastAsia="Malgun Gothic"/>
          <w:sz w:val="28"/>
          <w:szCs w:val="28"/>
        </w:rPr>
        <w:t>2019 годом снизились на 20,5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. В торговле со странами СНГ произошло увеличение стоимостного объема экспорта на 1,3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</w:t>
      </w:r>
      <w:r w:rsidRPr="0023222B">
        <w:rPr>
          <w:rFonts w:eastAsia="Malgun Gothic"/>
          <w:sz w:val="28"/>
          <w:szCs w:val="28"/>
        </w:rPr>
        <w:t>. В торговле со странами дальнего зарубежья стоимостной объем экспорта снизился на 22,8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 xml:space="preserve"> </w:t>
      </w:r>
    </w:p>
    <w:p w:rsidR="00143692" w:rsidRPr="0023222B" w:rsidRDefault="00143692" w:rsidP="004D2468">
      <w:pPr>
        <w:ind w:firstLine="709"/>
        <w:jc w:val="both"/>
        <w:rPr>
          <w:rFonts w:eastAsia="Malgun Gothic"/>
          <w:sz w:val="28"/>
          <w:szCs w:val="28"/>
        </w:rPr>
      </w:pPr>
      <w:r w:rsidRPr="0023222B">
        <w:rPr>
          <w:rFonts w:eastAsia="Malgun Gothic"/>
          <w:sz w:val="28"/>
          <w:szCs w:val="28"/>
        </w:rPr>
        <w:t xml:space="preserve">Экспорт в страны дальнего зарубежья составил 4750,2 </w:t>
      </w:r>
      <w:proofErr w:type="gramStart"/>
      <w:r w:rsidRPr="0023222B">
        <w:rPr>
          <w:rFonts w:eastAsia="Malgun Gothic"/>
          <w:sz w:val="28"/>
          <w:szCs w:val="28"/>
        </w:rPr>
        <w:t>млн</w:t>
      </w:r>
      <w:proofErr w:type="gramEnd"/>
      <w:r w:rsidRPr="0023222B">
        <w:rPr>
          <w:rFonts w:eastAsia="Malgun Gothic"/>
          <w:sz w:val="28"/>
          <w:szCs w:val="28"/>
        </w:rPr>
        <w:t xml:space="preserve"> долл. США (88</w:t>
      </w:r>
      <w:r>
        <w:rPr>
          <w:rFonts w:eastAsia="Malgun Gothic"/>
          <w:sz w:val="28"/>
          <w:szCs w:val="28"/>
        </w:rPr>
        <w:t xml:space="preserve"> проц. </w:t>
      </w:r>
      <w:r w:rsidRPr="0023222B">
        <w:rPr>
          <w:rFonts w:eastAsia="Malgun Gothic"/>
          <w:sz w:val="28"/>
          <w:szCs w:val="28"/>
        </w:rPr>
        <w:t xml:space="preserve"> экспорта Ленинградской области). Экспортные поставки осуществлялись, в основном, в следующие страны: </w:t>
      </w:r>
      <w:proofErr w:type="gramStart"/>
      <w:r w:rsidRPr="0023222B">
        <w:rPr>
          <w:rFonts w:eastAsia="Malgun Gothic"/>
          <w:sz w:val="28"/>
          <w:szCs w:val="28"/>
        </w:rPr>
        <w:t>КНР (14,5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), Нидерланды (9,5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), Эстония (9,4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), Финляндию (9,4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), США (6,2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), Турция (4,2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).</w:t>
      </w:r>
      <w:proofErr w:type="gramEnd"/>
    </w:p>
    <w:p w:rsidR="00143692" w:rsidRPr="00676AE2" w:rsidRDefault="00143692" w:rsidP="004D2468">
      <w:pPr>
        <w:ind w:firstLine="709"/>
        <w:jc w:val="both"/>
        <w:rPr>
          <w:rFonts w:eastAsia="Malgun Gothic"/>
          <w:sz w:val="28"/>
          <w:szCs w:val="28"/>
        </w:rPr>
      </w:pPr>
      <w:r w:rsidRPr="0023222B">
        <w:rPr>
          <w:rFonts w:eastAsia="Malgun Gothic"/>
          <w:sz w:val="28"/>
          <w:szCs w:val="28"/>
        </w:rPr>
        <w:t xml:space="preserve">Экспорт в страны СНГ составил 646,7 </w:t>
      </w:r>
      <w:proofErr w:type="gramStart"/>
      <w:r w:rsidRPr="0023222B">
        <w:rPr>
          <w:rFonts w:eastAsia="Malgun Gothic"/>
          <w:sz w:val="28"/>
          <w:szCs w:val="28"/>
        </w:rPr>
        <w:t>млн</w:t>
      </w:r>
      <w:proofErr w:type="gramEnd"/>
      <w:r w:rsidRPr="0023222B">
        <w:rPr>
          <w:rFonts w:eastAsia="Malgun Gothic"/>
          <w:sz w:val="28"/>
          <w:szCs w:val="28"/>
        </w:rPr>
        <w:t xml:space="preserve"> долл. США (12</w:t>
      </w:r>
      <w:r w:rsidRPr="00676AE2">
        <w:rPr>
          <w:rFonts w:eastAsia="Malgun Gothic"/>
          <w:sz w:val="28"/>
          <w:szCs w:val="28"/>
        </w:rPr>
        <w:t>,0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676AE2">
        <w:rPr>
          <w:rFonts w:eastAsia="Malgun Gothic"/>
          <w:sz w:val="28"/>
          <w:szCs w:val="28"/>
        </w:rPr>
        <w:t xml:space="preserve"> экспорта Ленинградской области). Основными странами-контрагентами являлись: Казахстан (5,1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676AE2">
        <w:rPr>
          <w:rFonts w:eastAsia="Malgun Gothic"/>
          <w:sz w:val="28"/>
          <w:szCs w:val="28"/>
        </w:rPr>
        <w:t>), Беларусь (3,6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676AE2">
        <w:rPr>
          <w:rFonts w:eastAsia="Malgun Gothic"/>
          <w:sz w:val="28"/>
          <w:szCs w:val="28"/>
        </w:rPr>
        <w:t>), и Украина (1,0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676AE2">
        <w:rPr>
          <w:rFonts w:eastAsia="Malgun Gothic"/>
          <w:sz w:val="28"/>
          <w:szCs w:val="28"/>
        </w:rPr>
        <w:t>).</w:t>
      </w:r>
    </w:p>
    <w:p w:rsidR="00143692" w:rsidRPr="00676AE2" w:rsidRDefault="00143692" w:rsidP="004D2468">
      <w:pPr>
        <w:ind w:firstLine="709"/>
        <w:jc w:val="both"/>
        <w:rPr>
          <w:rFonts w:eastAsia="Malgun Gothic"/>
          <w:b/>
          <w:snapToGrid w:val="0"/>
          <w:sz w:val="28"/>
          <w:szCs w:val="28"/>
        </w:rPr>
      </w:pPr>
      <w:r w:rsidRPr="00676AE2">
        <w:rPr>
          <w:sz w:val="28"/>
          <w:szCs w:val="28"/>
        </w:rPr>
        <w:t>В 2020 году количество стран-партнеров в экспорте Ленинградской области – 144 (в 2019 году – 138 стран).</w:t>
      </w:r>
    </w:p>
    <w:p w:rsidR="00143692" w:rsidRPr="00676AE2" w:rsidRDefault="00143692" w:rsidP="004D2468">
      <w:pPr>
        <w:ind w:firstLine="709"/>
        <w:jc w:val="both"/>
        <w:rPr>
          <w:rFonts w:eastAsia="Malgun Gothic"/>
          <w:snapToGrid w:val="0"/>
          <w:sz w:val="28"/>
          <w:szCs w:val="28"/>
        </w:rPr>
      </w:pPr>
      <w:r w:rsidRPr="00676AE2">
        <w:rPr>
          <w:rFonts w:eastAsia="Malgun Gothic"/>
          <w:snapToGrid w:val="0"/>
          <w:sz w:val="28"/>
          <w:szCs w:val="28"/>
        </w:rPr>
        <w:t>Ведущие позиции в экспорте занимают минеральные продукты (46,7</w:t>
      </w:r>
      <w:r w:rsidR="00640193">
        <w:rPr>
          <w:rFonts w:eastAsia="Malgun Gothic"/>
          <w:snapToGrid w:val="0"/>
          <w:sz w:val="28"/>
          <w:szCs w:val="28"/>
        </w:rPr>
        <w:t xml:space="preserve"> </w:t>
      </w:r>
      <w:r w:rsidR="000D7061">
        <w:rPr>
          <w:rFonts w:eastAsia="Malgun Gothic"/>
          <w:snapToGrid w:val="0"/>
          <w:sz w:val="28"/>
          <w:szCs w:val="28"/>
        </w:rPr>
        <w:t>проц.</w:t>
      </w:r>
      <w:r w:rsidRPr="00676AE2">
        <w:rPr>
          <w:rFonts w:eastAsia="Malgun Gothic"/>
          <w:snapToGrid w:val="0"/>
          <w:sz w:val="28"/>
          <w:szCs w:val="28"/>
        </w:rPr>
        <w:t>), продукция химической промышленности (21,1</w:t>
      </w:r>
      <w:r w:rsidR="00640193">
        <w:rPr>
          <w:rFonts w:eastAsia="Malgun Gothic"/>
          <w:snapToGrid w:val="0"/>
          <w:sz w:val="28"/>
          <w:szCs w:val="28"/>
        </w:rPr>
        <w:t xml:space="preserve"> </w:t>
      </w:r>
      <w:r w:rsidR="000D7061">
        <w:rPr>
          <w:rFonts w:eastAsia="Malgun Gothic"/>
          <w:snapToGrid w:val="0"/>
          <w:sz w:val="28"/>
          <w:szCs w:val="28"/>
        </w:rPr>
        <w:t>проц.</w:t>
      </w:r>
      <w:r w:rsidRPr="00676AE2">
        <w:rPr>
          <w:rFonts w:eastAsia="Malgun Gothic"/>
          <w:snapToGrid w:val="0"/>
          <w:sz w:val="28"/>
          <w:szCs w:val="28"/>
        </w:rPr>
        <w:t>), древесина и целлюлозно-бумажные изделия (12,2</w:t>
      </w:r>
      <w:r w:rsidR="00640193">
        <w:rPr>
          <w:rFonts w:eastAsia="Malgun Gothic"/>
          <w:snapToGrid w:val="0"/>
          <w:sz w:val="28"/>
          <w:szCs w:val="28"/>
        </w:rPr>
        <w:t xml:space="preserve"> </w:t>
      </w:r>
      <w:r w:rsidR="000D7061">
        <w:rPr>
          <w:rFonts w:eastAsia="Malgun Gothic"/>
          <w:snapToGrid w:val="0"/>
          <w:sz w:val="28"/>
          <w:szCs w:val="28"/>
        </w:rPr>
        <w:t>проц.</w:t>
      </w:r>
      <w:r w:rsidRPr="00676AE2">
        <w:rPr>
          <w:rFonts w:eastAsia="Malgun Gothic"/>
          <w:snapToGrid w:val="0"/>
          <w:sz w:val="28"/>
          <w:szCs w:val="28"/>
        </w:rPr>
        <w:t>). Структурные сдвиги в экспорте существенные.</w:t>
      </w:r>
    </w:p>
    <w:p w:rsidR="00143692" w:rsidRPr="00676AE2" w:rsidRDefault="00143692" w:rsidP="004D2468">
      <w:pPr>
        <w:widowControl w:val="0"/>
        <w:ind w:firstLine="709"/>
        <w:jc w:val="both"/>
        <w:rPr>
          <w:rFonts w:eastAsia="Malgun Gothic"/>
          <w:snapToGrid w:val="0"/>
          <w:sz w:val="28"/>
          <w:szCs w:val="28"/>
        </w:rPr>
      </w:pPr>
      <w:r w:rsidRPr="00676AE2">
        <w:rPr>
          <w:rFonts w:eastAsia="Malgun Gothic"/>
          <w:sz w:val="28"/>
          <w:szCs w:val="28"/>
        </w:rPr>
        <w:t>Крупнейшими предприятиями-экспортерами Ленинградской области стали:</w:t>
      </w:r>
      <w:r w:rsidRPr="00676AE2">
        <w:rPr>
          <w:rFonts w:eastAsia="Malgun Gothic"/>
          <w:snapToGrid w:val="0"/>
          <w:sz w:val="28"/>
          <w:szCs w:val="28"/>
        </w:rPr>
        <w:t xml:space="preserve"> </w:t>
      </w:r>
      <w:proofErr w:type="gramStart"/>
      <w:r w:rsidRPr="00676AE2">
        <w:rPr>
          <w:rFonts w:eastAsia="Malgun Gothic"/>
          <w:snapToGrid w:val="0"/>
          <w:sz w:val="28"/>
          <w:szCs w:val="28"/>
        </w:rPr>
        <w:t xml:space="preserve">ООО </w:t>
      </w:r>
      <w:r>
        <w:rPr>
          <w:rFonts w:eastAsia="Malgun Gothic"/>
          <w:snapToGrid w:val="0"/>
          <w:sz w:val="28"/>
          <w:szCs w:val="28"/>
        </w:rPr>
        <w:t>«</w:t>
      </w:r>
      <w:proofErr w:type="spellStart"/>
      <w:r w:rsidRPr="00676AE2">
        <w:rPr>
          <w:rFonts w:eastAsia="Malgun Gothic"/>
          <w:snapToGrid w:val="0"/>
          <w:sz w:val="28"/>
          <w:szCs w:val="28"/>
        </w:rPr>
        <w:t>Новатэк</w:t>
      </w:r>
      <w:proofErr w:type="spellEnd"/>
      <w:r w:rsidRPr="00676AE2">
        <w:rPr>
          <w:rFonts w:eastAsia="Malgun Gothic"/>
          <w:snapToGrid w:val="0"/>
          <w:sz w:val="28"/>
          <w:szCs w:val="28"/>
        </w:rPr>
        <w:t>-Усть-Луга</w:t>
      </w:r>
      <w:r>
        <w:rPr>
          <w:rFonts w:eastAsia="Malgun Gothic"/>
          <w:snapToGrid w:val="0"/>
          <w:sz w:val="28"/>
          <w:szCs w:val="28"/>
        </w:rPr>
        <w:t>»</w:t>
      </w:r>
      <w:r w:rsidRPr="00676AE2">
        <w:rPr>
          <w:rFonts w:eastAsia="Malgun Gothic"/>
          <w:snapToGrid w:val="0"/>
          <w:sz w:val="28"/>
          <w:szCs w:val="28"/>
        </w:rPr>
        <w:t>,</w:t>
      </w:r>
      <w:r w:rsidRPr="00676AE2">
        <w:rPr>
          <w:rFonts w:eastAsia="Malgun Gothic"/>
          <w:sz w:val="28"/>
          <w:szCs w:val="28"/>
        </w:rPr>
        <w:t xml:space="preserve"> </w:t>
      </w:r>
      <w:r w:rsidRPr="00676AE2">
        <w:rPr>
          <w:rFonts w:eastAsia="Malgun Gothic"/>
          <w:snapToGrid w:val="0"/>
          <w:sz w:val="28"/>
          <w:szCs w:val="28"/>
        </w:rPr>
        <w:t xml:space="preserve">ООО ПГ </w:t>
      </w:r>
      <w:r>
        <w:rPr>
          <w:rFonts w:eastAsia="Malgun Gothic"/>
          <w:snapToGrid w:val="0"/>
          <w:sz w:val="28"/>
          <w:szCs w:val="28"/>
        </w:rPr>
        <w:t>«</w:t>
      </w:r>
      <w:r w:rsidRPr="00676AE2">
        <w:rPr>
          <w:rFonts w:eastAsia="Malgun Gothic"/>
          <w:snapToGrid w:val="0"/>
          <w:sz w:val="28"/>
          <w:szCs w:val="28"/>
        </w:rPr>
        <w:t>Фосфорит</w:t>
      </w:r>
      <w:r>
        <w:rPr>
          <w:rFonts w:eastAsia="Malgun Gothic"/>
          <w:snapToGrid w:val="0"/>
          <w:sz w:val="28"/>
          <w:szCs w:val="28"/>
        </w:rPr>
        <w:t>»</w:t>
      </w:r>
      <w:r w:rsidRPr="00676AE2">
        <w:rPr>
          <w:rFonts w:eastAsia="Malgun Gothic"/>
          <w:snapToGrid w:val="0"/>
          <w:sz w:val="28"/>
          <w:szCs w:val="28"/>
        </w:rPr>
        <w:t xml:space="preserve">, </w:t>
      </w:r>
      <w:r w:rsidRPr="00676AE2">
        <w:rPr>
          <w:rFonts w:eastAsia="Malgun Gothic"/>
          <w:sz w:val="28"/>
          <w:szCs w:val="28"/>
        </w:rPr>
        <w:t xml:space="preserve">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676AE2">
        <w:rPr>
          <w:rFonts w:eastAsia="Malgun Gothic"/>
          <w:sz w:val="28"/>
          <w:szCs w:val="28"/>
        </w:rPr>
        <w:t>Нокиан</w:t>
      </w:r>
      <w:proofErr w:type="spellEnd"/>
      <w:r w:rsidRPr="00676AE2">
        <w:rPr>
          <w:rFonts w:eastAsia="Malgun Gothic"/>
          <w:sz w:val="28"/>
          <w:szCs w:val="28"/>
        </w:rPr>
        <w:t xml:space="preserve"> Шина</w:t>
      </w:r>
      <w:r>
        <w:rPr>
          <w:rFonts w:eastAsia="Malgun Gothic"/>
          <w:sz w:val="28"/>
          <w:szCs w:val="28"/>
        </w:rPr>
        <w:t>»</w:t>
      </w:r>
      <w:r w:rsidRPr="00676AE2">
        <w:rPr>
          <w:rFonts w:eastAsia="Malgun Gothic"/>
          <w:sz w:val="28"/>
          <w:szCs w:val="28"/>
        </w:rPr>
        <w:t xml:space="preserve">, </w:t>
      </w:r>
      <w:r w:rsidRPr="00676AE2">
        <w:rPr>
          <w:rFonts w:eastAsia="Malgun Gothic"/>
          <w:snapToGrid w:val="0"/>
          <w:sz w:val="28"/>
          <w:szCs w:val="28"/>
        </w:rPr>
        <w:t xml:space="preserve">АО </w:t>
      </w:r>
      <w:r>
        <w:rPr>
          <w:rFonts w:eastAsia="Malgun Gothic"/>
          <w:snapToGrid w:val="0"/>
          <w:sz w:val="28"/>
          <w:szCs w:val="28"/>
        </w:rPr>
        <w:t>«</w:t>
      </w:r>
      <w:r w:rsidRPr="00676AE2">
        <w:rPr>
          <w:rFonts w:eastAsia="Malgun Gothic"/>
          <w:snapToGrid w:val="0"/>
          <w:sz w:val="28"/>
          <w:szCs w:val="28"/>
        </w:rPr>
        <w:t>Филип Моррис Ижора</w:t>
      </w:r>
      <w:r>
        <w:rPr>
          <w:rFonts w:eastAsia="Malgun Gothic"/>
          <w:snapToGrid w:val="0"/>
          <w:sz w:val="28"/>
          <w:szCs w:val="28"/>
        </w:rPr>
        <w:t>»</w:t>
      </w:r>
      <w:r w:rsidRPr="00676AE2">
        <w:rPr>
          <w:rFonts w:eastAsia="Malgun Gothic"/>
          <w:snapToGrid w:val="0"/>
          <w:sz w:val="28"/>
          <w:szCs w:val="28"/>
        </w:rPr>
        <w:t xml:space="preserve">, ЗАО </w:t>
      </w:r>
      <w:r>
        <w:rPr>
          <w:rFonts w:eastAsia="Malgun Gothic"/>
          <w:snapToGrid w:val="0"/>
          <w:sz w:val="28"/>
          <w:szCs w:val="28"/>
        </w:rPr>
        <w:t>«</w:t>
      </w:r>
      <w:r w:rsidRPr="00676AE2">
        <w:rPr>
          <w:rFonts w:eastAsia="Malgun Gothic"/>
          <w:snapToGrid w:val="0"/>
          <w:sz w:val="28"/>
          <w:szCs w:val="28"/>
        </w:rPr>
        <w:t xml:space="preserve">Интернешнл </w:t>
      </w:r>
      <w:proofErr w:type="spellStart"/>
      <w:r w:rsidRPr="00676AE2">
        <w:rPr>
          <w:rFonts w:eastAsia="Malgun Gothic"/>
          <w:snapToGrid w:val="0"/>
          <w:sz w:val="28"/>
          <w:szCs w:val="28"/>
        </w:rPr>
        <w:t>Пейпер</w:t>
      </w:r>
      <w:proofErr w:type="spellEnd"/>
      <w:r>
        <w:rPr>
          <w:rFonts w:eastAsia="Malgun Gothic"/>
          <w:snapToGrid w:val="0"/>
          <w:sz w:val="28"/>
          <w:szCs w:val="28"/>
        </w:rPr>
        <w:t>»</w:t>
      </w:r>
      <w:r w:rsidRPr="00676AE2">
        <w:rPr>
          <w:rFonts w:eastAsia="Malgun Gothic"/>
          <w:snapToGrid w:val="0"/>
          <w:sz w:val="28"/>
          <w:szCs w:val="28"/>
        </w:rPr>
        <w:t>,</w:t>
      </w:r>
      <w:r>
        <w:rPr>
          <w:rFonts w:eastAsia="Malgun Gothic"/>
          <w:b/>
          <w:sz w:val="28"/>
          <w:szCs w:val="28"/>
        </w:rPr>
        <w:t xml:space="preserve"> </w:t>
      </w:r>
      <w:r w:rsidRPr="00676AE2">
        <w:rPr>
          <w:rFonts w:eastAsia="Malgun Gothic"/>
          <w:sz w:val="28"/>
          <w:szCs w:val="28"/>
        </w:rPr>
        <w:t xml:space="preserve">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676AE2">
        <w:rPr>
          <w:rFonts w:eastAsia="Malgun Gothic"/>
          <w:sz w:val="28"/>
          <w:szCs w:val="28"/>
        </w:rPr>
        <w:t>Уни</w:t>
      </w:r>
      <w:proofErr w:type="spellEnd"/>
      <w:r w:rsidRPr="00676AE2">
        <w:rPr>
          <w:rFonts w:eastAsia="Malgun Gothic"/>
          <w:sz w:val="28"/>
          <w:szCs w:val="28"/>
        </w:rPr>
        <w:t>-Блок</w:t>
      </w:r>
      <w:r>
        <w:rPr>
          <w:rFonts w:eastAsia="Malgun Gothic"/>
          <w:sz w:val="28"/>
          <w:szCs w:val="28"/>
        </w:rPr>
        <w:t>»</w:t>
      </w:r>
      <w:r w:rsidRPr="00676AE2">
        <w:rPr>
          <w:rFonts w:eastAsia="Malgun Gothic"/>
          <w:sz w:val="28"/>
          <w:szCs w:val="28"/>
        </w:rPr>
        <w:t xml:space="preserve">, </w:t>
      </w:r>
      <w:r w:rsidRPr="00676AE2">
        <w:rPr>
          <w:rFonts w:eastAsia="Malgun Gothic"/>
          <w:snapToGrid w:val="0"/>
          <w:sz w:val="28"/>
          <w:szCs w:val="28"/>
        </w:rPr>
        <w:t xml:space="preserve">ООО ПО </w:t>
      </w:r>
      <w:r>
        <w:rPr>
          <w:rFonts w:eastAsia="Malgun Gothic"/>
          <w:snapToGrid w:val="0"/>
          <w:sz w:val="28"/>
          <w:szCs w:val="28"/>
        </w:rPr>
        <w:t>«</w:t>
      </w:r>
      <w:proofErr w:type="spellStart"/>
      <w:r w:rsidRPr="00676AE2">
        <w:rPr>
          <w:rFonts w:eastAsia="Malgun Gothic"/>
          <w:snapToGrid w:val="0"/>
          <w:sz w:val="28"/>
          <w:szCs w:val="28"/>
        </w:rPr>
        <w:t>Киришинефтеоргсинтез</w:t>
      </w:r>
      <w:proofErr w:type="spellEnd"/>
      <w:r>
        <w:rPr>
          <w:rFonts w:eastAsia="Malgun Gothic"/>
          <w:snapToGrid w:val="0"/>
          <w:sz w:val="28"/>
          <w:szCs w:val="28"/>
        </w:rPr>
        <w:t>»</w:t>
      </w:r>
      <w:r w:rsidRPr="00676AE2">
        <w:rPr>
          <w:rFonts w:eastAsia="Malgun Gothic"/>
          <w:snapToGrid w:val="0"/>
          <w:sz w:val="28"/>
          <w:szCs w:val="28"/>
        </w:rPr>
        <w:t xml:space="preserve">, ООО </w:t>
      </w:r>
      <w:r>
        <w:rPr>
          <w:rFonts w:eastAsia="Malgun Gothic"/>
          <w:snapToGrid w:val="0"/>
          <w:sz w:val="28"/>
          <w:szCs w:val="28"/>
        </w:rPr>
        <w:t>«</w:t>
      </w:r>
      <w:r w:rsidRPr="00676AE2">
        <w:rPr>
          <w:rFonts w:eastAsia="Malgun Gothic"/>
          <w:snapToGrid w:val="0"/>
          <w:sz w:val="28"/>
          <w:szCs w:val="28"/>
        </w:rPr>
        <w:t>Майер-</w:t>
      </w:r>
      <w:proofErr w:type="spellStart"/>
      <w:r w:rsidRPr="00676AE2">
        <w:rPr>
          <w:rFonts w:eastAsia="Malgun Gothic"/>
          <w:snapToGrid w:val="0"/>
          <w:sz w:val="28"/>
          <w:szCs w:val="28"/>
        </w:rPr>
        <w:t>Мелнхоф</w:t>
      </w:r>
      <w:proofErr w:type="spellEnd"/>
      <w:r w:rsidRPr="00676AE2">
        <w:rPr>
          <w:rFonts w:eastAsia="Malgun Gothic"/>
          <w:snapToGrid w:val="0"/>
          <w:sz w:val="28"/>
          <w:szCs w:val="28"/>
        </w:rPr>
        <w:t xml:space="preserve"> </w:t>
      </w:r>
      <w:proofErr w:type="spellStart"/>
      <w:r w:rsidRPr="00676AE2">
        <w:rPr>
          <w:rFonts w:eastAsia="Malgun Gothic"/>
          <w:snapToGrid w:val="0"/>
          <w:sz w:val="28"/>
          <w:szCs w:val="28"/>
        </w:rPr>
        <w:t>Хольц</w:t>
      </w:r>
      <w:proofErr w:type="spellEnd"/>
      <w:r w:rsidRPr="00676AE2">
        <w:rPr>
          <w:rFonts w:eastAsia="Malgun Gothic"/>
          <w:snapToGrid w:val="0"/>
          <w:sz w:val="28"/>
          <w:szCs w:val="28"/>
        </w:rPr>
        <w:t xml:space="preserve"> Ефимовский</w:t>
      </w:r>
      <w:r>
        <w:rPr>
          <w:rFonts w:eastAsia="Malgun Gothic"/>
          <w:snapToGrid w:val="0"/>
          <w:sz w:val="28"/>
          <w:szCs w:val="28"/>
        </w:rPr>
        <w:t>»</w:t>
      </w:r>
      <w:r w:rsidRPr="00676AE2">
        <w:rPr>
          <w:rFonts w:eastAsia="Malgun Gothic"/>
          <w:snapToGrid w:val="0"/>
          <w:sz w:val="28"/>
          <w:szCs w:val="28"/>
        </w:rPr>
        <w:t xml:space="preserve">, ООО </w:t>
      </w:r>
      <w:r>
        <w:rPr>
          <w:rFonts w:eastAsia="Malgun Gothic"/>
          <w:snapToGrid w:val="0"/>
          <w:sz w:val="28"/>
          <w:szCs w:val="28"/>
        </w:rPr>
        <w:t>«</w:t>
      </w:r>
      <w:proofErr w:type="spellStart"/>
      <w:r w:rsidRPr="00676AE2">
        <w:rPr>
          <w:rFonts w:eastAsia="Malgun Gothic"/>
          <w:snapToGrid w:val="0"/>
          <w:sz w:val="28"/>
          <w:szCs w:val="28"/>
        </w:rPr>
        <w:t>Крес</w:t>
      </w:r>
      <w:proofErr w:type="spellEnd"/>
      <w:r w:rsidRPr="00676AE2">
        <w:rPr>
          <w:rFonts w:eastAsia="Malgun Gothic"/>
          <w:snapToGrid w:val="0"/>
          <w:sz w:val="28"/>
          <w:szCs w:val="28"/>
        </w:rPr>
        <w:t xml:space="preserve"> Нева</w:t>
      </w:r>
      <w:r>
        <w:rPr>
          <w:rFonts w:eastAsia="Malgun Gothic"/>
          <w:snapToGrid w:val="0"/>
          <w:sz w:val="28"/>
          <w:szCs w:val="28"/>
        </w:rPr>
        <w:t>»</w:t>
      </w:r>
      <w:r w:rsidRPr="00676AE2">
        <w:rPr>
          <w:rFonts w:eastAsia="Malgun Gothic"/>
          <w:snapToGrid w:val="0"/>
          <w:sz w:val="28"/>
          <w:szCs w:val="28"/>
        </w:rPr>
        <w:t xml:space="preserve">, Волховский филиал АО </w:t>
      </w:r>
      <w:r>
        <w:rPr>
          <w:rFonts w:eastAsia="Malgun Gothic"/>
          <w:snapToGrid w:val="0"/>
          <w:sz w:val="28"/>
          <w:szCs w:val="28"/>
        </w:rPr>
        <w:t>«</w:t>
      </w:r>
      <w:r w:rsidRPr="00676AE2">
        <w:rPr>
          <w:rFonts w:eastAsia="Malgun Gothic"/>
          <w:snapToGrid w:val="0"/>
          <w:sz w:val="28"/>
          <w:szCs w:val="28"/>
        </w:rPr>
        <w:t>Апатит</w:t>
      </w:r>
      <w:r>
        <w:rPr>
          <w:rFonts w:eastAsia="Malgun Gothic"/>
          <w:snapToGrid w:val="0"/>
          <w:sz w:val="28"/>
          <w:szCs w:val="28"/>
        </w:rPr>
        <w:t>»</w:t>
      </w:r>
      <w:r w:rsidRPr="00676AE2">
        <w:rPr>
          <w:rFonts w:eastAsia="Malgun Gothic"/>
          <w:snapToGrid w:val="0"/>
          <w:sz w:val="28"/>
          <w:szCs w:val="28"/>
        </w:rPr>
        <w:t>.</w:t>
      </w:r>
      <w:proofErr w:type="gramEnd"/>
      <w:r w:rsidRPr="00676AE2">
        <w:rPr>
          <w:rFonts w:eastAsia="Malgun Gothic"/>
          <w:b/>
          <w:szCs w:val="20"/>
        </w:rPr>
        <w:t xml:space="preserve"> </w:t>
      </w:r>
      <w:r w:rsidRPr="00676AE2">
        <w:rPr>
          <w:rFonts w:eastAsia="Malgun Gothic"/>
          <w:sz w:val="28"/>
          <w:szCs w:val="28"/>
        </w:rPr>
        <w:t>Доля этих предприятий в экспорте области составила 74,9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</w:t>
      </w:r>
      <w:r w:rsidRPr="00676AE2">
        <w:rPr>
          <w:rFonts w:eastAsia="Malgun Gothic"/>
          <w:sz w:val="28"/>
          <w:szCs w:val="28"/>
        </w:rPr>
        <w:t>.</w:t>
      </w:r>
    </w:p>
    <w:p w:rsidR="00143692" w:rsidRPr="0023222B" w:rsidRDefault="00143692" w:rsidP="004D2468">
      <w:pPr>
        <w:ind w:firstLine="709"/>
        <w:jc w:val="both"/>
        <w:rPr>
          <w:rFonts w:eastAsia="Malgun Gothic"/>
          <w:sz w:val="28"/>
          <w:szCs w:val="28"/>
        </w:rPr>
      </w:pPr>
      <w:r w:rsidRPr="0023222B">
        <w:rPr>
          <w:rFonts w:eastAsia="Malgun Gothic"/>
          <w:sz w:val="28"/>
          <w:szCs w:val="28"/>
        </w:rPr>
        <w:lastRenderedPageBreak/>
        <w:t xml:space="preserve">Импортные поставки (3562,4 </w:t>
      </w:r>
      <w:proofErr w:type="gramStart"/>
      <w:r w:rsidRPr="0023222B">
        <w:rPr>
          <w:rFonts w:eastAsia="Malgun Gothic"/>
          <w:sz w:val="28"/>
          <w:szCs w:val="28"/>
        </w:rPr>
        <w:t>млн</w:t>
      </w:r>
      <w:proofErr w:type="gramEnd"/>
      <w:r w:rsidRPr="0023222B">
        <w:rPr>
          <w:rFonts w:eastAsia="Malgun Gothic"/>
          <w:sz w:val="28"/>
          <w:szCs w:val="28"/>
        </w:rPr>
        <w:t xml:space="preserve"> долл. США) в 2020 году по сравнению с 2019 годом сократились на 9,4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 xml:space="preserve"> Стоимостной объем импорта из стран дальнего зарубежья сократился на 9,1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, из стран СНГ – снижение на 13,8</w:t>
      </w:r>
      <w:r w:rsidR="00640193">
        <w:rPr>
          <w:rFonts w:eastAsia="Malgun Gothic"/>
          <w:sz w:val="28"/>
          <w:szCs w:val="28"/>
        </w:rPr>
        <w:t> </w:t>
      </w:r>
      <w:r w:rsidR="000D7061">
        <w:rPr>
          <w:rFonts w:eastAsia="Malgun Gothic"/>
          <w:sz w:val="28"/>
          <w:szCs w:val="28"/>
        </w:rPr>
        <w:t>проц</w:t>
      </w:r>
      <w:r w:rsidRPr="0023222B">
        <w:rPr>
          <w:rFonts w:eastAsia="Malgun Gothic"/>
          <w:sz w:val="28"/>
          <w:szCs w:val="28"/>
        </w:rPr>
        <w:t>. Количество стран – партнеров в импорте Ленинградской области – 120 (в 2019 году – 126 стран).</w:t>
      </w:r>
    </w:p>
    <w:p w:rsidR="00143692" w:rsidRPr="0023222B" w:rsidRDefault="00143692" w:rsidP="004D2468">
      <w:pPr>
        <w:ind w:firstLine="709"/>
        <w:jc w:val="both"/>
        <w:rPr>
          <w:rFonts w:eastAsia="Malgun Gothic"/>
          <w:sz w:val="28"/>
          <w:szCs w:val="28"/>
        </w:rPr>
      </w:pPr>
      <w:r w:rsidRPr="0023222B">
        <w:rPr>
          <w:rFonts w:eastAsia="Malgun Gothic"/>
          <w:sz w:val="28"/>
          <w:szCs w:val="28"/>
        </w:rPr>
        <w:t xml:space="preserve">Импорт из стран дальнего зарубежья составил 3411,1 </w:t>
      </w:r>
      <w:proofErr w:type="gramStart"/>
      <w:r w:rsidRPr="0023222B">
        <w:rPr>
          <w:rFonts w:eastAsia="Malgun Gothic"/>
          <w:sz w:val="28"/>
          <w:szCs w:val="28"/>
        </w:rPr>
        <w:t>млн</w:t>
      </w:r>
      <w:proofErr w:type="gramEnd"/>
      <w:r w:rsidRPr="0023222B">
        <w:rPr>
          <w:rFonts w:eastAsia="Malgun Gothic"/>
          <w:sz w:val="28"/>
          <w:szCs w:val="28"/>
        </w:rPr>
        <w:t xml:space="preserve"> долл. США (95,8</w:t>
      </w:r>
      <w:r w:rsidR="00640193">
        <w:rPr>
          <w:rFonts w:eastAsia="Malgun Gothic"/>
          <w:sz w:val="28"/>
          <w:szCs w:val="28"/>
        </w:rPr>
        <w:t> 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 xml:space="preserve"> импорта Ленинградской области). Наиболее значимые страны-контрагенты по импорту: </w:t>
      </w:r>
      <w:proofErr w:type="gramStart"/>
      <w:r w:rsidRPr="0023222B">
        <w:rPr>
          <w:rFonts w:eastAsia="Malgun Gothic"/>
          <w:sz w:val="28"/>
          <w:szCs w:val="28"/>
        </w:rPr>
        <w:t>КНР (16,6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), ФРГ (10,3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), Италия (6,8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), Финляндия (6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), Бразилия (5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), Франция (4,6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), Индия (3,7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).</w:t>
      </w:r>
      <w:proofErr w:type="gramEnd"/>
    </w:p>
    <w:p w:rsidR="00143692" w:rsidRPr="0023222B" w:rsidRDefault="00143692" w:rsidP="004D2468">
      <w:pPr>
        <w:ind w:firstLine="709"/>
        <w:jc w:val="both"/>
        <w:rPr>
          <w:rFonts w:eastAsia="Malgun Gothic"/>
          <w:sz w:val="20"/>
          <w:szCs w:val="20"/>
        </w:rPr>
      </w:pPr>
      <w:r w:rsidRPr="0023222B">
        <w:rPr>
          <w:rFonts w:eastAsia="Malgun Gothic"/>
          <w:sz w:val="28"/>
          <w:szCs w:val="28"/>
        </w:rPr>
        <w:t xml:space="preserve">Импорт из стран СНГ составил 151,3 </w:t>
      </w:r>
      <w:proofErr w:type="gramStart"/>
      <w:r w:rsidRPr="0023222B">
        <w:rPr>
          <w:rFonts w:eastAsia="Malgun Gothic"/>
          <w:sz w:val="28"/>
          <w:szCs w:val="28"/>
        </w:rPr>
        <w:t>млн</w:t>
      </w:r>
      <w:proofErr w:type="gramEnd"/>
      <w:r w:rsidRPr="0023222B">
        <w:rPr>
          <w:rFonts w:eastAsia="Malgun Gothic"/>
          <w:sz w:val="28"/>
          <w:szCs w:val="28"/>
        </w:rPr>
        <w:t xml:space="preserve"> долл. США. Основными странами-контрагентами являлись: Беларусь (2,7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), Казахстан (1,0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 и Украина (0,5</w:t>
      </w:r>
      <w:r w:rsidR="00640193">
        <w:rPr>
          <w:rFonts w:eastAsia="Malgun Gothic"/>
          <w:sz w:val="28"/>
          <w:szCs w:val="28"/>
        </w:rPr>
        <w:t xml:space="preserve"> </w:t>
      </w:r>
      <w:r w:rsidR="000D7061">
        <w:rPr>
          <w:rFonts w:eastAsia="Malgun Gothic"/>
          <w:sz w:val="28"/>
          <w:szCs w:val="28"/>
        </w:rPr>
        <w:t>проц.</w:t>
      </w:r>
      <w:r w:rsidRPr="0023222B">
        <w:rPr>
          <w:rFonts w:eastAsia="Malgun Gothic"/>
          <w:sz w:val="28"/>
          <w:szCs w:val="28"/>
        </w:rPr>
        <w:t>).</w:t>
      </w:r>
    </w:p>
    <w:p w:rsidR="00143692" w:rsidRDefault="00143692" w:rsidP="004D2468">
      <w:pPr>
        <w:ind w:firstLine="709"/>
        <w:contextualSpacing/>
        <w:jc w:val="both"/>
        <w:rPr>
          <w:rFonts w:eastAsia="Malgun Gothic"/>
          <w:sz w:val="28"/>
          <w:szCs w:val="28"/>
        </w:rPr>
      </w:pPr>
      <w:r w:rsidRPr="0023222B">
        <w:rPr>
          <w:rFonts w:eastAsia="Malgun Gothic"/>
          <w:sz w:val="28"/>
          <w:szCs w:val="28"/>
        </w:rPr>
        <w:t xml:space="preserve">Крупнейшими предприятиями-импортерами Ленинградской области стали: </w:t>
      </w:r>
      <w:proofErr w:type="gramStart"/>
      <w:r w:rsidRPr="0023222B">
        <w:rPr>
          <w:rFonts w:eastAsia="Malgun Gothic"/>
          <w:sz w:val="28"/>
          <w:szCs w:val="28"/>
        </w:rPr>
        <w:t xml:space="preserve">АО </w:t>
      </w:r>
      <w:r>
        <w:rPr>
          <w:rFonts w:eastAsia="Malgun Gothic"/>
          <w:sz w:val="28"/>
          <w:szCs w:val="28"/>
        </w:rPr>
        <w:t>«</w:t>
      </w:r>
      <w:r w:rsidRPr="0023222B">
        <w:rPr>
          <w:rFonts w:eastAsia="Malgun Gothic"/>
          <w:sz w:val="28"/>
          <w:szCs w:val="28"/>
        </w:rPr>
        <w:t>Филип Моррис Ижора</w:t>
      </w:r>
      <w:r>
        <w:rPr>
          <w:rFonts w:eastAsia="Malgun Gothic"/>
          <w:sz w:val="28"/>
          <w:szCs w:val="28"/>
        </w:rPr>
        <w:t>»</w:t>
      </w:r>
      <w:r w:rsidRPr="0023222B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23222B">
        <w:rPr>
          <w:rFonts w:eastAsia="Malgun Gothic"/>
          <w:sz w:val="28"/>
          <w:szCs w:val="28"/>
        </w:rPr>
        <w:t>Орими</w:t>
      </w:r>
      <w:proofErr w:type="spellEnd"/>
      <w:r>
        <w:rPr>
          <w:rFonts w:eastAsia="Malgun Gothic"/>
          <w:sz w:val="28"/>
          <w:szCs w:val="28"/>
        </w:rPr>
        <w:t>»</w:t>
      </w:r>
      <w:r w:rsidRPr="0023222B">
        <w:rPr>
          <w:rFonts w:eastAsia="Malgun Gothic"/>
          <w:sz w:val="28"/>
          <w:szCs w:val="28"/>
        </w:rPr>
        <w:t xml:space="preserve">, ЗАО </w:t>
      </w:r>
      <w:r>
        <w:rPr>
          <w:rFonts w:eastAsia="Malgun Gothic"/>
          <w:sz w:val="28"/>
          <w:szCs w:val="28"/>
        </w:rPr>
        <w:t>«</w:t>
      </w:r>
      <w:r w:rsidRPr="0023222B">
        <w:rPr>
          <w:rFonts w:eastAsia="Malgun Gothic"/>
          <w:sz w:val="28"/>
          <w:szCs w:val="28"/>
        </w:rPr>
        <w:t>Группа СЕБ-Восток</w:t>
      </w:r>
      <w:r>
        <w:rPr>
          <w:rFonts w:eastAsia="Malgun Gothic"/>
          <w:sz w:val="28"/>
          <w:szCs w:val="28"/>
        </w:rPr>
        <w:t>»</w:t>
      </w:r>
      <w:r w:rsidRPr="0023222B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23222B">
        <w:rPr>
          <w:rFonts w:eastAsia="Malgun Gothic"/>
          <w:sz w:val="28"/>
          <w:szCs w:val="28"/>
        </w:rPr>
        <w:t>Нокиан</w:t>
      </w:r>
      <w:proofErr w:type="spellEnd"/>
      <w:r w:rsidRPr="0023222B">
        <w:rPr>
          <w:rFonts w:eastAsia="Malgun Gothic"/>
          <w:sz w:val="28"/>
          <w:szCs w:val="28"/>
        </w:rPr>
        <w:t xml:space="preserve"> </w:t>
      </w:r>
      <w:proofErr w:type="spellStart"/>
      <w:r w:rsidRPr="0023222B">
        <w:rPr>
          <w:rFonts w:eastAsia="Malgun Gothic"/>
          <w:sz w:val="28"/>
          <w:szCs w:val="28"/>
        </w:rPr>
        <w:t>Тайерс</w:t>
      </w:r>
      <w:proofErr w:type="spellEnd"/>
      <w:r>
        <w:rPr>
          <w:rFonts w:eastAsia="Malgun Gothic"/>
          <w:sz w:val="28"/>
          <w:szCs w:val="28"/>
        </w:rPr>
        <w:t>»</w:t>
      </w:r>
      <w:r w:rsidRPr="0023222B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r w:rsidRPr="0023222B">
        <w:rPr>
          <w:rFonts w:eastAsia="Malgun Gothic"/>
          <w:sz w:val="28"/>
          <w:szCs w:val="28"/>
        </w:rPr>
        <w:t xml:space="preserve">Якобс Дау </w:t>
      </w:r>
      <w:proofErr w:type="spellStart"/>
      <w:r w:rsidRPr="0023222B">
        <w:rPr>
          <w:rFonts w:eastAsia="Malgun Gothic"/>
          <w:sz w:val="28"/>
          <w:szCs w:val="28"/>
        </w:rPr>
        <w:t>Эгбертс</w:t>
      </w:r>
      <w:proofErr w:type="spellEnd"/>
      <w:r w:rsidRPr="0023222B">
        <w:rPr>
          <w:rFonts w:eastAsia="Malgun Gothic"/>
          <w:sz w:val="28"/>
          <w:szCs w:val="28"/>
        </w:rPr>
        <w:t xml:space="preserve"> Рус</w:t>
      </w:r>
      <w:r>
        <w:rPr>
          <w:rFonts w:eastAsia="Malgun Gothic"/>
          <w:sz w:val="28"/>
          <w:szCs w:val="28"/>
        </w:rPr>
        <w:t>»</w:t>
      </w:r>
      <w:r w:rsidRPr="0023222B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23222B">
        <w:rPr>
          <w:rFonts w:eastAsia="Malgun Gothic"/>
          <w:sz w:val="28"/>
          <w:szCs w:val="28"/>
        </w:rPr>
        <w:t>Крес</w:t>
      </w:r>
      <w:proofErr w:type="spellEnd"/>
      <w:r w:rsidRPr="0023222B">
        <w:rPr>
          <w:rFonts w:eastAsia="Malgun Gothic"/>
          <w:sz w:val="28"/>
          <w:szCs w:val="28"/>
        </w:rPr>
        <w:t xml:space="preserve"> Нева</w:t>
      </w:r>
      <w:r>
        <w:rPr>
          <w:rFonts w:eastAsia="Malgun Gothic"/>
          <w:sz w:val="28"/>
          <w:szCs w:val="28"/>
        </w:rPr>
        <w:t>»</w:t>
      </w:r>
      <w:r w:rsidRPr="0023222B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23222B">
        <w:rPr>
          <w:rFonts w:eastAsia="Malgun Gothic"/>
          <w:sz w:val="28"/>
          <w:szCs w:val="28"/>
        </w:rPr>
        <w:t>Агроимпекс</w:t>
      </w:r>
      <w:proofErr w:type="spellEnd"/>
      <w:r>
        <w:rPr>
          <w:rFonts w:eastAsia="Malgun Gothic"/>
          <w:sz w:val="28"/>
          <w:szCs w:val="28"/>
        </w:rPr>
        <w:t>»</w:t>
      </w:r>
      <w:r w:rsidRPr="0023222B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23222B">
        <w:rPr>
          <w:rFonts w:eastAsia="Malgun Gothic"/>
          <w:sz w:val="28"/>
          <w:szCs w:val="28"/>
        </w:rPr>
        <w:t>Русьимпорт</w:t>
      </w:r>
      <w:proofErr w:type="spellEnd"/>
      <w:r>
        <w:rPr>
          <w:rFonts w:eastAsia="Malgun Gothic"/>
          <w:sz w:val="28"/>
          <w:szCs w:val="28"/>
        </w:rPr>
        <w:t>»</w:t>
      </w:r>
      <w:r w:rsidRPr="0023222B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proofErr w:type="spellStart"/>
      <w:r w:rsidRPr="0023222B">
        <w:rPr>
          <w:rFonts w:eastAsia="Malgun Gothic"/>
          <w:sz w:val="28"/>
          <w:szCs w:val="28"/>
        </w:rPr>
        <w:t>Супервэйв</w:t>
      </w:r>
      <w:proofErr w:type="spellEnd"/>
      <w:r w:rsidRPr="0023222B">
        <w:rPr>
          <w:rFonts w:eastAsia="Malgun Gothic"/>
          <w:sz w:val="28"/>
          <w:szCs w:val="28"/>
        </w:rPr>
        <w:t xml:space="preserve"> Групп</w:t>
      </w:r>
      <w:r>
        <w:rPr>
          <w:rFonts w:eastAsia="Malgun Gothic"/>
          <w:sz w:val="28"/>
          <w:szCs w:val="28"/>
        </w:rPr>
        <w:t>»</w:t>
      </w:r>
      <w:r w:rsidRPr="0023222B">
        <w:rPr>
          <w:rFonts w:eastAsia="Malgun Gothic"/>
          <w:sz w:val="28"/>
          <w:szCs w:val="28"/>
        </w:rPr>
        <w:t xml:space="preserve">, ООО </w:t>
      </w:r>
      <w:r>
        <w:rPr>
          <w:rFonts w:eastAsia="Malgun Gothic"/>
          <w:sz w:val="28"/>
          <w:szCs w:val="28"/>
        </w:rPr>
        <w:t>«</w:t>
      </w:r>
      <w:r w:rsidRPr="0023222B">
        <w:rPr>
          <w:rFonts w:eastAsia="Malgun Gothic"/>
          <w:sz w:val="28"/>
          <w:szCs w:val="28"/>
        </w:rPr>
        <w:t xml:space="preserve">Сименс </w:t>
      </w:r>
      <w:proofErr w:type="spellStart"/>
      <w:r w:rsidRPr="0023222B">
        <w:rPr>
          <w:rFonts w:eastAsia="Malgun Gothic"/>
          <w:sz w:val="28"/>
          <w:szCs w:val="28"/>
        </w:rPr>
        <w:t>Гамеса</w:t>
      </w:r>
      <w:proofErr w:type="spellEnd"/>
      <w:r w:rsidRPr="0023222B">
        <w:rPr>
          <w:rFonts w:eastAsia="Malgun Gothic"/>
          <w:sz w:val="28"/>
          <w:szCs w:val="28"/>
        </w:rPr>
        <w:t xml:space="preserve"> </w:t>
      </w:r>
      <w:proofErr w:type="spellStart"/>
      <w:r w:rsidRPr="0023222B">
        <w:rPr>
          <w:rFonts w:eastAsia="Malgun Gothic"/>
          <w:sz w:val="28"/>
          <w:szCs w:val="28"/>
        </w:rPr>
        <w:t>Реньюэбл</w:t>
      </w:r>
      <w:proofErr w:type="spellEnd"/>
      <w:r w:rsidRPr="0023222B">
        <w:rPr>
          <w:rFonts w:eastAsia="Malgun Gothic"/>
          <w:sz w:val="28"/>
          <w:szCs w:val="28"/>
        </w:rPr>
        <w:t xml:space="preserve"> </w:t>
      </w:r>
      <w:proofErr w:type="spellStart"/>
      <w:r w:rsidRPr="0023222B">
        <w:rPr>
          <w:rFonts w:eastAsia="Malgun Gothic"/>
          <w:sz w:val="28"/>
          <w:szCs w:val="28"/>
        </w:rPr>
        <w:t>Энерджи</w:t>
      </w:r>
      <w:proofErr w:type="spellEnd"/>
      <w:r>
        <w:rPr>
          <w:rFonts w:eastAsia="Malgun Gothic"/>
          <w:sz w:val="28"/>
          <w:szCs w:val="28"/>
        </w:rPr>
        <w:t>»</w:t>
      </w:r>
      <w:r w:rsidRPr="0023222B">
        <w:rPr>
          <w:rFonts w:eastAsia="Malgun Gothic"/>
          <w:sz w:val="28"/>
          <w:szCs w:val="28"/>
        </w:rPr>
        <w:t xml:space="preserve">. </w:t>
      </w:r>
      <w:proofErr w:type="gramEnd"/>
    </w:p>
    <w:p w:rsidR="00143692" w:rsidRPr="00676AE2" w:rsidRDefault="00143692" w:rsidP="004D2468">
      <w:pPr>
        <w:ind w:firstLine="709"/>
        <w:jc w:val="both"/>
        <w:rPr>
          <w:sz w:val="28"/>
          <w:szCs w:val="28"/>
        </w:rPr>
      </w:pPr>
      <w:r w:rsidRPr="00676AE2">
        <w:rPr>
          <w:sz w:val="28"/>
          <w:szCs w:val="28"/>
        </w:rPr>
        <w:t xml:space="preserve">В </w:t>
      </w:r>
      <w:r w:rsidRPr="00676AE2">
        <w:rPr>
          <w:b/>
          <w:sz w:val="28"/>
          <w:szCs w:val="28"/>
        </w:rPr>
        <w:t>базовом варианте</w:t>
      </w:r>
      <w:r w:rsidRPr="00676AE2">
        <w:rPr>
          <w:sz w:val="28"/>
          <w:szCs w:val="28"/>
        </w:rPr>
        <w:t xml:space="preserve"> в Ленинградской области в условиях ухудшения конъюнктуры мировых рынков из-за продолжающего распространения в мире коронавирусной инфекции COVID-19 и снижения внешнего и внутреннего спроса,</w:t>
      </w:r>
      <w:r w:rsidRPr="00676AE2">
        <w:t xml:space="preserve"> </w:t>
      </w:r>
      <w:r w:rsidRPr="00676AE2">
        <w:rPr>
          <w:sz w:val="28"/>
          <w:szCs w:val="28"/>
        </w:rPr>
        <w:t xml:space="preserve">связанного с замедлением роста мировой̆ экономики, </w:t>
      </w:r>
      <w:r w:rsidRPr="0023222B">
        <w:rPr>
          <w:b/>
          <w:sz w:val="28"/>
          <w:szCs w:val="28"/>
        </w:rPr>
        <w:t>по оценке 2021 года</w:t>
      </w:r>
      <w:r w:rsidRPr="00676AE2">
        <w:rPr>
          <w:sz w:val="28"/>
          <w:szCs w:val="28"/>
        </w:rPr>
        <w:t xml:space="preserve"> ожидается незначительный </w:t>
      </w:r>
      <w:proofErr w:type="gramStart"/>
      <w:r w:rsidRPr="00676AE2">
        <w:rPr>
          <w:sz w:val="28"/>
          <w:szCs w:val="28"/>
        </w:rPr>
        <w:t>рост</w:t>
      </w:r>
      <w:proofErr w:type="gramEnd"/>
      <w:r w:rsidRPr="00676AE2">
        <w:rPr>
          <w:sz w:val="28"/>
          <w:szCs w:val="28"/>
        </w:rPr>
        <w:t xml:space="preserve"> как экспорта, так и импорта. Экспорт увеличится до </w:t>
      </w:r>
      <w:r w:rsidRPr="008E195B">
        <w:rPr>
          <w:sz w:val="28"/>
          <w:szCs w:val="28"/>
        </w:rPr>
        <w:t>6686.8</w:t>
      </w:r>
      <w:r w:rsidRPr="00676AE2">
        <w:rPr>
          <w:sz w:val="28"/>
          <w:szCs w:val="28"/>
        </w:rPr>
        <w:t xml:space="preserve"> </w:t>
      </w:r>
      <w:proofErr w:type="gramStart"/>
      <w:r w:rsidRPr="00676AE2">
        <w:rPr>
          <w:sz w:val="28"/>
          <w:szCs w:val="28"/>
        </w:rPr>
        <w:t>млн</w:t>
      </w:r>
      <w:proofErr w:type="gramEnd"/>
      <w:r w:rsidRPr="00676AE2">
        <w:rPr>
          <w:sz w:val="28"/>
          <w:szCs w:val="28"/>
        </w:rPr>
        <w:t xml:space="preserve"> долл</w:t>
      </w:r>
      <w:r w:rsidRPr="008E195B">
        <w:rPr>
          <w:sz w:val="28"/>
          <w:szCs w:val="28"/>
        </w:rPr>
        <w:t>.</w:t>
      </w:r>
      <w:r w:rsidRPr="00676AE2">
        <w:rPr>
          <w:sz w:val="28"/>
          <w:szCs w:val="28"/>
        </w:rPr>
        <w:t xml:space="preserve"> США, импорт – до </w:t>
      </w:r>
      <w:r w:rsidRPr="008E195B">
        <w:rPr>
          <w:sz w:val="28"/>
          <w:szCs w:val="28"/>
        </w:rPr>
        <w:t>3929</w:t>
      </w:r>
      <w:r>
        <w:rPr>
          <w:sz w:val="28"/>
          <w:szCs w:val="28"/>
        </w:rPr>
        <w:t>,</w:t>
      </w:r>
      <w:r w:rsidRPr="001D16D8">
        <w:rPr>
          <w:sz w:val="28"/>
          <w:szCs w:val="28"/>
        </w:rPr>
        <w:t>3</w:t>
      </w:r>
      <w:r w:rsidRPr="00676AE2">
        <w:rPr>
          <w:sz w:val="28"/>
          <w:szCs w:val="28"/>
        </w:rPr>
        <w:t xml:space="preserve"> млн долл</w:t>
      </w:r>
      <w:r w:rsidRPr="008E195B">
        <w:rPr>
          <w:sz w:val="28"/>
          <w:szCs w:val="28"/>
        </w:rPr>
        <w:t>.</w:t>
      </w:r>
      <w:r w:rsidRPr="00676AE2">
        <w:rPr>
          <w:sz w:val="28"/>
          <w:szCs w:val="28"/>
        </w:rPr>
        <w:t xml:space="preserve"> США.</w:t>
      </w:r>
    </w:p>
    <w:p w:rsidR="00143692" w:rsidRPr="00676AE2" w:rsidRDefault="00143692" w:rsidP="004D2468">
      <w:pPr>
        <w:ind w:firstLine="709"/>
        <w:jc w:val="both"/>
        <w:rPr>
          <w:sz w:val="28"/>
          <w:szCs w:val="28"/>
        </w:rPr>
      </w:pPr>
      <w:r w:rsidRPr="00676AE2">
        <w:rPr>
          <w:sz w:val="28"/>
          <w:szCs w:val="28"/>
        </w:rPr>
        <w:t>В 2022 году прогнозируется нарастание позитивных тенденций и восстановление экономики. К концу 2022 года экономика выйдет на траекторию устойчивого роста, который продолжится на среднесрочном горизонте. Экономические последствия распространения коронавирусной инфекции до конца не преодолены. В связи с этим сохраняется повышенная неопределенность траектории экономического развития как на кратк</w:t>
      </w:r>
      <w:proofErr w:type="gramStart"/>
      <w:r w:rsidRPr="00676AE2">
        <w:rPr>
          <w:sz w:val="28"/>
          <w:szCs w:val="28"/>
        </w:rPr>
        <w:t>о-</w:t>
      </w:r>
      <w:proofErr w:type="gramEnd"/>
      <w:r w:rsidRPr="00676AE2">
        <w:rPr>
          <w:sz w:val="28"/>
          <w:szCs w:val="28"/>
        </w:rPr>
        <w:t>, так и на среднесрочном горизонте, которая будет определяться не только экономическими, но и эпидемиологическими факторами.</w:t>
      </w:r>
    </w:p>
    <w:p w:rsidR="00143692" w:rsidRPr="00676AE2" w:rsidRDefault="00143692" w:rsidP="004D2468">
      <w:pPr>
        <w:ind w:firstLine="709"/>
        <w:jc w:val="both"/>
        <w:rPr>
          <w:sz w:val="28"/>
          <w:szCs w:val="28"/>
        </w:rPr>
      </w:pPr>
      <w:r w:rsidRPr="00676AE2">
        <w:rPr>
          <w:sz w:val="28"/>
          <w:szCs w:val="28"/>
        </w:rPr>
        <w:t xml:space="preserve">Прогнозируется, что к 2024 году экспорт достигнет ориентировочно </w:t>
      </w:r>
      <w:r w:rsidRPr="008E195B">
        <w:rPr>
          <w:sz w:val="28"/>
          <w:szCs w:val="28"/>
        </w:rPr>
        <w:t>7543</w:t>
      </w:r>
      <w:r>
        <w:rPr>
          <w:sz w:val="28"/>
          <w:szCs w:val="28"/>
        </w:rPr>
        <w:t>,</w:t>
      </w:r>
      <w:r w:rsidRPr="008E195B">
        <w:rPr>
          <w:sz w:val="28"/>
          <w:szCs w:val="28"/>
        </w:rPr>
        <w:t>2</w:t>
      </w:r>
      <w:r w:rsidRPr="00676AE2">
        <w:rPr>
          <w:sz w:val="28"/>
          <w:szCs w:val="28"/>
        </w:rPr>
        <w:t xml:space="preserve"> </w:t>
      </w:r>
      <w:proofErr w:type="gramStart"/>
      <w:r w:rsidRPr="00676AE2">
        <w:rPr>
          <w:sz w:val="28"/>
          <w:szCs w:val="28"/>
        </w:rPr>
        <w:t>млн</w:t>
      </w:r>
      <w:proofErr w:type="gramEnd"/>
      <w:r w:rsidRPr="00676AE2">
        <w:rPr>
          <w:sz w:val="28"/>
          <w:szCs w:val="28"/>
        </w:rPr>
        <w:t xml:space="preserve"> долл. США,</w:t>
      </w:r>
      <w:r w:rsidRPr="00676AE2">
        <w:t xml:space="preserve"> </w:t>
      </w:r>
      <w:r>
        <w:rPr>
          <w:sz w:val="28"/>
          <w:szCs w:val="28"/>
        </w:rPr>
        <w:t xml:space="preserve">а </w:t>
      </w:r>
      <w:r w:rsidRPr="00676AE2">
        <w:rPr>
          <w:sz w:val="28"/>
          <w:szCs w:val="28"/>
        </w:rPr>
        <w:t>импорт вырастет до 47</w:t>
      </w:r>
      <w:r>
        <w:rPr>
          <w:sz w:val="28"/>
          <w:szCs w:val="28"/>
        </w:rPr>
        <w:t>14,</w:t>
      </w:r>
      <w:r w:rsidRPr="008E195B">
        <w:rPr>
          <w:sz w:val="28"/>
          <w:szCs w:val="28"/>
        </w:rPr>
        <w:t>8</w:t>
      </w:r>
      <w:r w:rsidRPr="00676AE2">
        <w:rPr>
          <w:sz w:val="28"/>
          <w:szCs w:val="28"/>
        </w:rPr>
        <w:t xml:space="preserve"> млн долл. США</w:t>
      </w:r>
      <w:r w:rsidRPr="008E195B">
        <w:rPr>
          <w:sz w:val="28"/>
          <w:szCs w:val="28"/>
        </w:rPr>
        <w:t xml:space="preserve"> (</w:t>
      </w:r>
      <w:r w:rsidRPr="008E195B">
        <w:rPr>
          <w:b/>
          <w:sz w:val="28"/>
          <w:szCs w:val="28"/>
        </w:rPr>
        <w:t>по базовому варианту</w:t>
      </w:r>
      <w:r w:rsidRPr="008E195B">
        <w:rPr>
          <w:sz w:val="28"/>
          <w:szCs w:val="28"/>
        </w:rPr>
        <w:t>)</w:t>
      </w:r>
      <w:r w:rsidRPr="00676AE2">
        <w:rPr>
          <w:sz w:val="28"/>
          <w:szCs w:val="28"/>
        </w:rPr>
        <w:t>, в связи с ростом инвестиционной активности частного сектора, требующего увеличения импорта разного рода продукции.</w:t>
      </w:r>
    </w:p>
    <w:p w:rsidR="00143692" w:rsidRPr="00C13F99" w:rsidRDefault="00143692" w:rsidP="004D2468">
      <w:pPr>
        <w:ind w:firstLine="709"/>
        <w:jc w:val="both"/>
        <w:rPr>
          <w:sz w:val="28"/>
          <w:szCs w:val="28"/>
        </w:rPr>
      </w:pPr>
      <w:r w:rsidRPr="00676AE2">
        <w:rPr>
          <w:sz w:val="28"/>
          <w:szCs w:val="28"/>
        </w:rPr>
        <w:t xml:space="preserve">В </w:t>
      </w:r>
      <w:r w:rsidRPr="00676AE2">
        <w:rPr>
          <w:b/>
          <w:sz w:val="28"/>
          <w:szCs w:val="28"/>
        </w:rPr>
        <w:t>консервативном варианте</w:t>
      </w:r>
      <w:r w:rsidRPr="00676AE2">
        <w:rPr>
          <w:sz w:val="28"/>
          <w:szCs w:val="28"/>
        </w:rPr>
        <w:t xml:space="preserve"> с 2022 по 2024 годы прогнозируется увеличение уровня экспорта Ленинградской области с </w:t>
      </w:r>
      <w:r>
        <w:rPr>
          <w:sz w:val="28"/>
          <w:szCs w:val="28"/>
        </w:rPr>
        <w:t>6767,0</w:t>
      </w:r>
      <w:r w:rsidRPr="00676AE2">
        <w:rPr>
          <w:sz w:val="28"/>
          <w:szCs w:val="28"/>
        </w:rPr>
        <w:t xml:space="preserve"> до </w:t>
      </w:r>
      <w:r>
        <w:rPr>
          <w:sz w:val="28"/>
          <w:szCs w:val="28"/>
        </w:rPr>
        <w:t>7102,7</w:t>
      </w:r>
      <w:r w:rsidRPr="00676AE2">
        <w:rPr>
          <w:sz w:val="28"/>
          <w:szCs w:val="28"/>
        </w:rPr>
        <w:t xml:space="preserve"> </w:t>
      </w:r>
      <w:proofErr w:type="gramStart"/>
      <w:r w:rsidRPr="00676AE2">
        <w:rPr>
          <w:sz w:val="28"/>
          <w:szCs w:val="28"/>
        </w:rPr>
        <w:t>млн</w:t>
      </w:r>
      <w:proofErr w:type="gramEnd"/>
      <w:r w:rsidRPr="00676AE2">
        <w:rPr>
          <w:sz w:val="28"/>
          <w:szCs w:val="28"/>
        </w:rPr>
        <w:t xml:space="preserve"> долл. США, а импорта – с </w:t>
      </w:r>
      <w:r>
        <w:rPr>
          <w:sz w:val="28"/>
          <w:szCs w:val="28"/>
        </w:rPr>
        <w:t>4172,9</w:t>
      </w:r>
      <w:r w:rsidRPr="00676AE2">
        <w:rPr>
          <w:sz w:val="28"/>
          <w:szCs w:val="28"/>
        </w:rPr>
        <w:t xml:space="preserve"> до </w:t>
      </w:r>
      <w:r>
        <w:rPr>
          <w:sz w:val="28"/>
          <w:szCs w:val="28"/>
        </w:rPr>
        <w:t>4640,1</w:t>
      </w:r>
      <w:r w:rsidRPr="00676AE2">
        <w:rPr>
          <w:sz w:val="28"/>
          <w:szCs w:val="28"/>
        </w:rPr>
        <w:t xml:space="preserve"> млн долл. США. Столь незначительные показатели прироста обуславливаются уменьшением спроса на энергоресурсы и прочие сырьевые товары, замедлением роста мировой̆ экономики. Ожидается более существенное, по сравнению с базовым вариантом, ухудшение конъюнктуры мировых товарных рынков. В условиях слабого глобального спроса цены на основные биржевые товары (нефть, газ, уголь, основные черные и цветные металлы, </w:t>
      </w:r>
      <w:r w:rsidRPr="00C13F99">
        <w:rPr>
          <w:sz w:val="28"/>
          <w:szCs w:val="28"/>
        </w:rPr>
        <w:t xml:space="preserve">древесину) будут меняться умеренными темпами. </w:t>
      </w:r>
    </w:p>
    <w:p w:rsidR="00C24B91" w:rsidRPr="00C13F99" w:rsidRDefault="00C24B91" w:rsidP="00494DB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94DB7" w:rsidRPr="00C13F99" w:rsidRDefault="00494DB7" w:rsidP="00494DB7">
      <w:pPr>
        <w:ind w:firstLine="709"/>
        <w:contextualSpacing/>
        <w:jc w:val="both"/>
        <w:rPr>
          <w:color w:val="000000" w:themeColor="text1"/>
          <w:sz w:val="16"/>
          <w:szCs w:val="16"/>
        </w:rPr>
      </w:pPr>
    </w:p>
    <w:p w:rsidR="00C24B91" w:rsidRPr="00C13F99" w:rsidRDefault="00494DB7" w:rsidP="00C24B91">
      <w:pPr>
        <w:contextualSpacing/>
        <w:jc w:val="center"/>
        <w:rPr>
          <w:color w:val="000000" w:themeColor="text1"/>
          <w:sz w:val="28"/>
          <w:szCs w:val="28"/>
        </w:rPr>
      </w:pPr>
      <w:r w:rsidRPr="00C13F99">
        <w:rPr>
          <w:color w:val="000000" w:themeColor="text1"/>
          <w:sz w:val="28"/>
          <w:szCs w:val="28"/>
        </w:rPr>
        <w:t xml:space="preserve">Малое и среднее предпринимательство, включая </w:t>
      </w:r>
      <w:proofErr w:type="spellStart"/>
      <w:r w:rsidRPr="00C13F99">
        <w:rPr>
          <w:color w:val="000000" w:themeColor="text1"/>
          <w:sz w:val="28"/>
          <w:szCs w:val="28"/>
        </w:rPr>
        <w:t>микропредприятия</w:t>
      </w:r>
      <w:proofErr w:type="spellEnd"/>
    </w:p>
    <w:p w:rsidR="00C24B91" w:rsidRPr="00C13F99" w:rsidRDefault="00C24B91" w:rsidP="00C24B91">
      <w:pPr>
        <w:ind w:firstLine="709"/>
        <w:contextualSpacing/>
        <w:jc w:val="both"/>
        <w:rPr>
          <w:color w:val="000000" w:themeColor="text1"/>
          <w:sz w:val="16"/>
          <w:szCs w:val="16"/>
        </w:rPr>
      </w:pPr>
    </w:p>
    <w:p w:rsidR="00143692" w:rsidRPr="00C13F99" w:rsidRDefault="00143692" w:rsidP="00143692">
      <w:pPr>
        <w:ind w:firstLine="709"/>
        <w:jc w:val="both"/>
        <w:rPr>
          <w:sz w:val="28"/>
          <w:szCs w:val="28"/>
        </w:rPr>
      </w:pPr>
      <w:r w:rsidRPr="00C13F99">
        <w:rPr>
          <w:b/>
          <w:sz w:val="28"/>
          <w:szCs w:val="28"/>
        </w:rPr>
        <w:t>В 2020 году</w:t>
      </w:r>
      <w:r w:rsidRPr="00C13F99">
        <w:rPr>
          <w:sz w:val="28"/>
          <w:szCs w:val="28"/>
        </w:rPr>
        <w:t>, несмотря на введенные ограничения деятельности субъектов малого и среднего предпринимательства (МСП) в связи с распространением новой коронавирусной инфекции, наблюдается рост основных показателей сферы малого и среднего предпринимательства:</w:t>
      </w:r>
    </w:p>
    <w:p w:rsidR="00143692" w:rsidRDefault="00143692" w:rsidP="00143692">
      <w:pPr>
        <w:ind w:firstLine="709"/>
        <w:jc w:val="both"/>
        <w:rPr>
          <w:sz w:val="28"/>
          <w:szCs w:val="28"/>
        </w:rPr>
      </w:pPr>
      <w:r w:rsidRPr="00C13F99">
        <w:rPr>
          <w:sz w:val="28"/>
          <w:szCs w:val="28"/>
        </w:rPr>
        <w:t>- количество малых и средних предприятий (с учетом микропредприятий) и индивидуальных предпринимателей</w:t>
      </w:r>
      <w:r>
        <w:rPr>
          <w:sz w:val="28"/>
          <w:szCs w:val="28"/>
        </w:rPr>
        <w:t xml:space="preserve"> в Ленинградской области по состоянию на 01 января 2021 года составляет 64 410 предприятий (прирост к значению 2019 года составил 101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 xml:space="preserve">); по итогам 2020 года только в пяти регионах Российской Федерации наблюдается положительная динамика количества субъектов МСП: </w:t>
      </w:r>
      <w:proofErr w:type="gramStart"/>
      <w:r>
        <w:rPr>
          <w:sz w:val="28"/>
          <w:szCs w:val="28"/>
        </w:rPr>
        <w:t xml:space="preserve">Ленинградская область, Республики Адыгея и  Бурятия, Чукотский автономный округ и Чеченская Республика; в целом по Российской Федерации количество субъектов МСП уменьшилось на 3,9 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>; в Ленинградской области значительный рост количества субъектов МСП произошел в разрезе средних предприятий и составил 16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>, что повлияло на  численность занятых, увеличение составило почти 5 тысяч работников или 21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>;</w:t>
      </w:r>
      <w:proofErr w:type="gramEnd"/>
    </w:p>
    <w:p w:rsidR="00143692" w:rsidRDefault="00143692" w:rsidP="00143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среднесписочная численность работников указанных предприятий составила 162,3 тыс. человек, что составляет 107,5 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 xml:space="preserve"> к 2019 году. </w:t>
      </w:r>
    </w:p>
    <w:p w:rsidR="00143692" w:rsidRDefault="00143692" w:rsidP="00143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малых и средних предприятий, включая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 и индивидуальных предпринимателей в 2020 году составил 660,6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руб. Снижение оборота на 5,8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 xml:space="preserve"> к 2019 году обусловлено временным приостановлением деятельности предприятий малого и среднего предпринимательства во 2 квартале 2020 года, направленным на недопущение распространения новой коронавирусной инфекции.</w:t>
      </w:r>
    </w:p>
    <w:p w:rsidR="00143692" w:rsidRPr="005E791E" w:rsidRDefault="00143692" w:rsidP="0014369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2B">
        <w:rPr>
          <w:b/>
          <w:sz w:val="28"/>
          <w:szCs w:val="28"/>
        </w:rPr>
        <w:t>По оценке в 2021 году</w:t>
      </w:r>
      <w:r w:rsidRPr="005E791E">
        <w:rPr>
          <w:sz w:val="28"/>
          <w:szCs w:val="28"/>
        </w:rPr>
        <w:t xml:space="preserve"> количество малых и средних предприятий, включая </w:t>
      </w:r>
      <w:proofErr w:type="spellStart"/>
      <w:r w:rsidRPr="005E791E"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>,</w:t>
      </w:r>
      <w:r w:rsidRPr="005E791E">
        <w:rPr>
          <w:sz w:val="28"/>
          <w:szCs w:val="28"/>
        </w:rPr>
        <w:t xml:space="preserve"> составит 68742 ед. (106,7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5E791E">
        <w:rPr>
          <w:sz w:val="28"/>
          <w:szCs w:val="28"/>
        </w:rPr>
        <w:t xml:space="preserve"> к 2020 году).</w:t>
      </w:r>
      <w:r>
        <w:rPr>
          <w:sz w:val="28"/>
          <w:szCs w:val="28"/>
        </w:rPr>
        <w:t xml:space="preserve"> При это оборот МСП увеличится на 108,5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 xml:space="preserve"> и составит 716,8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руб.</w:t>
      </w:r>
    </w:p>
    <w:p w:rsidR="00143692" w:rsidRDefault="00143692" w:rsidP="00143692">
      <w:pPr>
        <w:ind w:firstLine="709"/>
        <w:jc w:val="both"/>
        <w:rPr>
          <w:sz w:val="28"/>
          <w:szCs w:val="28"/>
        </w:rPr>
      </w:pPr>
      <w:proofErr w:type="gramStart"/>
      <w:r w:rsidRPr="0023222B">
        <w:rPr>
          <w:b/>
          <w:sz w:val="28"/>
          <w:szCs w:val="28"/>
        </w:rPr>
        <w:t>В период 2022-2024 гг.,</w:t>
      </w:r>
      <w:r>
        <w:rPr>
          <w:sz w:val="28"/>
          <w:szCs w:val="28"/>
        </w:rPr>
        <w:t xml:space="preserve"> при условии отсутствия сдерживающих факторов развития, планируется стабильный рост сферы малого и среднего предпринимательства, количество малых и средних предприятий в Ленинградской области увеличится на 9,7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 xml:space="preserve"> к уровню 2021 года и достигнет 75419 единиц (по консервативному варианту), на 11,3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 xml:space="preserve"> к уровню 2021 года и достигнет 76479 единиц (по базовому варианту).</w:t>
      </w:r>
      <w:proofErr w:type="gramEnd"/>
    </w:p>
    <w:p w:rsidR="00143692" w:rsidRDefault="00143692" w:rsidP="00143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базовым вариантом к 2024 году ожидается постепенное увеличение среднесписочной численности работников малых и средних предприятий до 169,8 тыс. человек (104,2 проц. к уровню 2021 года), оборот малых и средних предприятий (включая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 и индивидуальных предприятий) составит 797,5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руб. (прирост на 11,2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 xml:space="preserve"> по сравнению с 2021 годом).</w:t>
      </w:r>
    </w:p>
    <w:p w:rsidR="00143692" w:rsidRDefault="00143692" w:rsidP="00143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консервативным вариантом, к 2024 году ожидается постепенное увеличение среднесписочной численности работников малых и средних предприятий до 168,1 тыс. человек (103,2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 xml:space="preserve"> к уровню 2021 года), </w:t>
      </w:r>
      <w:r>
        <w:rPr>
          <w:sz w:val="28"/>
          <w:szCs w:val="28"/>
        </w:rPr>
        <w:lastRenderedPageBreak/>
        <w:t xml:space="preserve">оборот малых и средних предприятий (включая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) составит 786,4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руб. (рост на 9,7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 xml:space="preserve"> по сравнению с 2021 годом).</w:t>
      </w:r>
    </w:p>
    <w:p w:rsidR="00143692" w:rsidRPr="00C13F99" w:rsidRDefault="00143692" w:rsidP="00143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Превалирующими видами экономической деятельности предприятий малого и среднего бизнеса в Ленинградской области являются: торговля оптовая и розничная, транспортировка и хранение, строительство, обрабатывающие производства, деятельность </w:t>
      </w:r>
      <w:r w:rsidRPr="00C13F99">
        <w:rPr>
          <w:sz w:val="28"/>
          <w:szCs w:val="28"/>
        </w:rPr>
        <w:t>профессиональная, научная и техническая, деятельность по операциям с недвижимым имуществом, предоставление прочих видов услуг.</w:t>
      </w:r>
    </w:p>
    <w:p w:rsidR="00F80391" w:rsidRPr="00C13F99" w:rsidRDefault="00F80391" w:rsidP="00F409BE">
      <w:pPr>
        <w:ind w:firstLine="709"/>
        <w:jc w:val="both"/>
        <w:rPr>
          <w:color w:val="000000" w:themeColor="text1"/>
          <w:sz w:val="16"/>
          <w:szCs w:val="16"/>
        </w:rPr>
      </w:pPr>
    </w:p>
    <w:p w:rsidR="00F80391" w:rsidRPr="00C13F99" w:rsidRDefault="007A48FA" w:rsidP="00F80391">
      <w:pPr>
        <w:widowControl w:val="0"/>
        <w:jc w:val="center"/>
        <w:rPr>
          <w:b/>
          <w:sz w:val="28"/>
          <w:szCs w:val="28"/>
        </w:rPr>
      </w:pPr>
      <w:r w:rsidRPr="00C13F99">
        <w:rPr>
          <w:sz w:val="28"/>
          <w:szCs w:val="28"/>
        </w:rPr>
        <w:t>Инвестиции</w:t>
      </w:r>
    </w:p>
    <w:p w:rsidR="00F80391" w:rsidRPr="00C13F99" w:rsidRDefault="00F80391" w:rsidP="00BA18DE">
      <w:pPr>
        <w:widowControl w:val="0"/>
        <w:ind w:firstLine="709"/>
        <w:jc w:val="both"/>
        <w:rPr>
          <w:sz w:val="16"/>
          <w:szCs w:val="16"/>
        </w:rPr>
      </w:pPr>
    </w:p>
    <w:p w:rsidR="00143692" w:rsidRPr="00C13F99" w:rsidRDefault="00143692" w:rsidP="001436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F99">
        <w:rPr>
          <w:rFonts w:eastAsia="Calibri"/>
          <w:sz w:val="28"/>
          <w:szCs w:val="28"/>
          <w:lang w:eastAsia="en-US"/>
        </w:rPr>
        <w:t xml:space="preserve">Объем инвестиций в основной капитал за счет всех источников финансирования в </w:t>
      </w:r>
      <w:r w:rsidRPr="00C13F99">
        <w:rPr>
          <w:rFonts w:eastAsia="Calibri"/>
          <w:b/>
          <w:sz w:val="28"/>
          <w:szCs w:val="28"/>
          <w:lang w:eastAsia="en-US"/>
        </w:rPr>
        <w:t>2020 году</w:t>
      </w:r>
      <w:r w:rsidRPr="00C13F99">
        <w:rPr>
          <w:rFonts w:eastAsia="Calibri"/>
          <w:sz w:val="28"/>
          <w:szCs w:val="28"/>
          <w:lang w:eastAsia="en-US"/>
        </w:rPr>
        <w:t xml:space="preserve"> составил 458,1 </w:t>
      </w:r>
      <w:proofErr w:type="gramStart"/>
      <w:r w:rsidRPr="00C13F99">
        <w:rPr>
          <w:rFonts w:eastAsia="Calibri"/>
          <w:sz w:val="28"/>
          <w:szCs w:val="28"/>
          <w:lang w:eastAsia="en-US"/>
        </w:rPr>
        <w:t>млрд</w:t>
      </w:r>
      <w:proofErr w:type="gramEnd"/>
      <w:r w:rsidRPr="00C13F99">
        <w:rPr>
          <w:rFonts w:eastAsia="Calibri"/>
          <w:sz w:val="28"/>
          <w:szCs w:val="28"/>
          <w:lang w:eastAsia="en-US"/>
        </w:rPr>
        <w:t xml:space="preserve"> руб., что составляет 105,2</w:t>
      </w:r>
      <w:r w:rsidR="00640193">
        <w:rPr>
          <w:rFonts w:eastAsia="Calibri"/>
          <w:sz w:val="28"/>
          <w:szCs w:val="28"/>
          <w:lang w:eastAsia="en-US"/>
        </w:rPr>
        <w:t xml:space="preserve"> </w:t>
      </w:r>
      <w:r w:rsidR="000D7061">
        <w:rPr>
          <w:rFonts w:eastAsia="Calibri"/>
          <w:sz w:val="28"/>
          <w:szCs w:val="28"/>
          <w:lang w:eastAsia="en-US"/>
        </w:rPr>
        <w:t>проц.</w:t>
      </w:r>
      <w:r w:rsidRPr="00C13F99">
        <w:rPr>
          <w:rFonts w:eastAsia="Calibri"/>
          <w:sz w:val="28"/>
          <w:szCs w:val="28"/>
          <w:lang w:eastAsia="en-US"/>
        </w:rPr>
        <w:t xml:space="preserve"> по отношению к 2019 году в сопоставимых ценах. </w:t>
      </w:r>
    </w:p>
    <w:p w:rsidR="00143692" w:rsidRPr="00C13F99" w:rsidRDefault="00143692" w:rsidP="00143692">
      <w:pPr>
        <w:ind w:firstLine="709"/>
        <w:jc w:val="both"/>
        <w:rPr>
          <w:sz w:val="28"/>
          <w:szCs w:val="28"/>
        </w:rPr>
      </w:pPr>
      <w:r w:rsidRPr="00C13F99">
        <w:rPr>
          <w:sz w:val="28"/>
          <w:szCs w:val="28"/>
        </w:rPr>
        <w:t xml:space="preserve">Согласно оценке </w:t>
      </w:r>
      <w:r w:rsidRPr="00C13F99">
        <w:rPr>
          <w:b/>
          <w:sz w:val="28"/>
          <w:szCs w:val="28"/>
        </w:rPr>
        <w:t>2021 года</w:t>
      </w:r>
      <w:r w:rsidRPr="00C13F99">
        <w:rPr>
          <w:sz w:val="28"/>
          <w:szCs w:val="28"/>
        </w:rPr>
        <w:t xml:space="preserve"> объем инвестиций в основной капитал в Ленинградской области составит 512,3 </w:t>
      </w:r>
      <w:proofErr w:type="gramStart"/>
      <w:r w:rsidRPr="00C13F99">
        <w:rPr>
          <w:sz w:val="28"/>
          <w:szCs w:val="28"/>
        </w:rPr>
        <w:t>млрд</w:t>
      </w:r>
      <w:proofErr w:type="gramEnd"/>
      <w:r w:rsidRPr="00C13F99">
        <w:rPr>
          <w:sz w:val="28"/>
          <w:szCs w:val="28"/>
        </w:rPr>
        <w:t xml:space="preserve"> руб.</w:t>
      </w:r>
      <w:r w:rsidR="00DA2F56" w:rsidRPr="00C13F99">
        <w:rPr>
          <w:sz w:val="28"/>
          <w:szCs w:val="28"/>
        </w:rPr>
        <w:t xml:space="preserve"> и увеличится на 6,4</w:t>
      </w:r>
      <w:r w:rsidR="00640193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="00DA2F56" w:rsidRPr="00C13F99">
        <w:rPr>
          <w:sz w:val="28"/>
          <w:szCs w:val="28"/>
        </w:rPr>
        <w:t xml:space="preserve"> к 2020 году в сопоставимых ценах.</w:t>
      </w:r>
    </w:p>
    <w:p w:rsidR="00143692" w:rsidRPr="00435400" w:rsidRDefault="00143692" w:rsidP="00143692">
      <w:pPr>
        <w:ind w:firstLine="709"/>
        <w:jc w:val="both"/>
        <w:rPr>
          <w:sz w:val="28"/>
        </w:rPr>
      </w:pPr>
      <w:r w:rsidRPr="00C13F99">
        <w:rPr>
          <w:sz w:val="28"/>
        </w:rPr>
        <w:t>Распределение объема инвестиций в основной</w:t>
      </w:r>
      <w:r>
        <w:rPr>
          <w:sz w:val="28"/>
        </w:rPr>
        <w:t xml:space="preserve"> капитал в 2021</w:t>
      </w:r>
      <w:r w:rsidRPr="00435400">
        <w:rPr>
          <w:sz w:val="28"/>
        </w:rPr>
        <w:t xml:space="preserve"> году по видам экономической деятельности оценивается следующим образом:</w:t>
      </w:r>
    </w:p>
    <w:p w:rsidR="00143692" w:rsidRPr="00F50AEB" w:rsidRDefault="00143692" w:rsidP="00143692">
      <w:pPr>
        <w:ind w:firstLine="709"/>
        <w:jc w:val="both"/>
        <w:rPr>
          <w:sz w:val="28"/>
        </w:rPr>
      </w:pPr>
      <w:r w:rsidRPr="00F50AEB">
        <w:rPr>
          <w:sz w:val="28"/>
        </w:rPr>
        <w:t xml:space="preserve">- обрабатывающая промышленность – </w:t>
      </w:r>
      <w:r>
        <w:rPr>
          <w:sz w:val="28"/>
        </w:rPr>
        <w:t>113,2</w:t>
      </w:r>
      <w:r w:rsidRPr="00F50AEB">
        <w:rPr>
          <w:sz w:val="28"/>
        </w:rPr>
        <w:t xml:space="preserve"> </w:t>
      </w:r>
      <w:proofErr w:type="gramStart"/>
      <w:r w:rsidRPr="00F50AEB">
        <w:rPr>
          <w:sz w:val="28"/>
        </w:rPr>
        <w:t>млрд</w:t>
      </w:r>
      <w:proofErr w:type="gramEnd"/>
      <w:r w:rsidRPr="00F50AEB">
        <w:rPr>
          <w:sz w:val="28"/>
        </w:rPr>
        <w:t xml:space="preserve"> руб. (или </w:t>
      </w:r>
      <w:r>
        <w:rPr>
          <w:sz w:val="28"/>
        </w:rPr>
        <w:t>29,1</w:t>
      </w:r>
      <w:r w:rsidR="00640193">
        <w:rPr>
          <w:sz w:val="28"/>
        </w:rPr>
        <w:t xml:space="preserve"> </w:t>
      </w:r>
      <w:r w:rsidR="000D7061">
        <w:rPr>
          <w:sz w:val="28"/>
        </w:rPr>
        <w:t>проц.</w:t>
      </w:r>
      <w:r w:rsidRPr="00F50AEB">
        <w:rPr>
          <w:sz w:val="28"/>
        </w:rPr>
        <w:t xml:space="preserve"> от общего объема инвестиций в основной капитал);</w:t>
      </w:r>
    </w:p>
    <w:p w:rsidR="00143692" w:rsidRPr="00F50AEB" w:rsidRDefault="00143692" w:rsidP="00143692">
      <w:pPr>
        <w:ind w:firstLine="709"/>
        <w:jc w:val="both"/>
        <w:rPr>
          <w:sz w:val="28"/>
        </w:rPr>
      </w:pPr>
      <w:r w:rsidRPr="00F50AEB">
        <w:rPr>
          <w:sz w:val="28"/>
        </w:rPr>
        <w:t xml:space="preserve">- обеспечение электроэнергией, газом и паром – </w:t>
      </w:r>
      <w:r>
        <w:rPr>
          <w:sz w:val="28"/>
        </w:rPr>
        <w:t>76,4</w:t>
      </w:r>
      <w:r w:rsidRPr="00F50AEB">
        <w:rPr>
          <w:sz w:val="28"/>
        </w:rPr>
        <w:t xml:space="preserve"> </w:t>
      </w:r>
      <w:proofErr w:type="gramStart"/>
      <w:r w:rsidRPr="00F50AEB">
        <w:rPr>
          <w:sz w:val="28"/>
        </w:rPr>
        <w:t>млрд</w:t>
      </w:r>
      <w:proofErr w:type="gramEnd"/>
      <w:r w:rsidRPr="00F50AEB">
        <w:rPr>
          <w:sz w:val="28"/>
        </w:rPr>
        <w:t xml:space="preserve"> руб. (1</w:t>
      </w:r>
      <w:r>
        <w:rPr>
          <w:sz w:val="28"/>
        </w:rPr>
        <w:t>9,6</w:t>
      </w:r>
      <w:r w:rsidR="00640193">
        <w:rPr>
          <w:sz w:val="28"/>
        </w:rPr>
        <w:t xml:space="preserve"> </w:t>
      </w:r>
      <w:r w:rsidR="000D7061">
        <w:rPr>
          <w:sz w:val="28"/>
        </w:rPr>
        <w:t>проц.</w:t>
      </w:r>
      <w:r w:rsidRPr="00F50AEB">
        <w:rPr>
          <w:sz w:val="28"/>
        </w:rPr>
        <w:t>);</w:t>
      </w:r>
    </w:p>
    <w:p w:rsidR="00143692" w:rsidRPr="00F50AEB" w:rsidRDefault="00143692" w:rsidP="00143692">
      <w:pPr>
        <w:ind w:firstLine="709"/>
        <w:jc w:val="both"/>
        <w:rPr>
          <w:sz w:val="28"/>
        </w:rPr>
      </w:pPr>
      <w:r w:rsidRPr="00F50AEB">
        <w:rPr>
          <w:sz w:val="28"/>
        </w:rPr>
        <w:t>- транспортировка и хранение – 1</w:t>
      </w:r>
      <w:r>
        <w:rPr>
          <w:sz w:val="28"/>
        </w:rPr>
        <w:t>6</w:t>
      </w:r>
      <w:r w:rsidRPr="00F50AEB">
        <w:rPr>
          <w:sz w:val="28"/>
        </w:rPr>
        <w:t>5,</w:t>
      </w:r>
      <w:r>
        <w:rPr>
          <w:sz w:val="28"/>
        </w:rPr>
        <w:t>3</w:t>
      </w:r>
      <w:r w:rsidRPr="00F50AEB">
        <w:rPr>
          <w:sz w:val="28"/>
        </w:rPr>
        <w:t xml:space="preserve"> </w:t>
      </w:r>
      <w:proofErr w:type="gramStart"/>
      <w:r w:rsidRPr="00F50AEB">
        <w:rPr>
          <w:sz w:val="28"/>
        </w:rPr>
        <w:t>млрд</w:t>
      </w:r>
      <w:proofErr w:type="gramEnd"/>
      <w:r w:rsidRPr="00F50AEB">
        <w:rPr>
          <w:sz w:val="28"/>
        </w:rPr>
        <w:t xml:space="preserve"> руб. (</w:t>
      </w:r>
      <w:r>
        <w:rPr>
          <w:sz w:val="28"/>
        </w:rPr>
        <w:t>49,6</w:t>
      </w:r>
      <w:r w:rsidR="00640193">
        <w:rPr>
          <w:sz w:val="28"/>
        </w:rPr>
        <w:t xml:space="preserve"> </w:t>
      </w:r>
      <w:r w:rsidR="000D7061">
        <w:rPr>
          <w:sz w:val="28"/>
        </w:rPr>
        <w:t>проц.</w:t>
      </w:r>
      <w:r w:rsidRPr="00F50AEB">
        <w:rPr>
          <w:sz w:val="28"/>
        </w:rPr>
        <w:t>);</w:t>
      </w:r>
    </w:p>
    <w:p w:rsidR="00143692" w:rsidRPr="00F50AEB" w:rsidRDefault="00143692" w:rsidP="00143692">
      <w:pPr>
        <w:ind w:firstLine="709"/>
        <w:jc w:val="both"/>
        <w:rPr>
          <w:sz w:val="28"/>
        </w:rPr>
      </w:pPr>
      <w:r w:rsidRPr="00F50AEB">
        <w:rPr>
          <w:sz w:val="28"/>
        </w:rPr>
        <w:t xml:space="preserve">- строительство – </w:t>
      </w:r>
      <w:r>
        <w:rPr>
          <w:sz w:val="28"/>
        </w:rPr>
        <w:t>15</w:t>
      </w:r>
      <w:r w:rsidRPr="00F50AEB">
        <w:rPr>
          <w:sz w:val="28"/>
        </w:rPr>
        <w:t xml:space="preserve">,5 </w:t>
      </w:r>
      <w:proofErr w:type="gramStart"/>
      <w:r w:rsidRPr="00F50AEB">
        <w:rPr>
          <w:sz w:val="28"/>
        </w:rPr>
        <w:t>млрд</w:t>
      </w:r>
      <w:proofErr w:type="gramEnd"/>
      <w:r w:rsidRPr="00F50AEB">
        <w:rPr>
          <w:sz w:val="28"/>
        </w:rPr>
        <w:t xml:space="preserve"> руб. (</w:t>
      </w:r>
      <w:r>
        <w:rPr>
          <w:sz w:val="28"/>
        </w:rPr>
        <w:t>3,7</w:t>
      </w:r>
      <w:r w:rsidR="00640193">
        <w:rPr>
          <w:sz w:val="28"/>
        </w:rPr>
        <w:t xml:space="preserve"> </w:t>
      </w:r>
      <w:r w:rsidR="000D7061">
        <w:rPr>
          <w:sz w:val="28"/>
        </w:rPr>
        <w:t>проц.</w:t>
      </w:r>
      <w:r w:rsidRPr="00F50AEB">
        <w:rPr>
          <w:sz w:val="28"/>
        </w:rPr>
        <w:t>);</w:t>
      </w:r>
    </w:p>
    <w:p w:rsidR="00143692" w:rsidRPr="00F50AEB" w:rsidRDefault="00143692" w:rsidP="00143692">
      <w:pPr>
        <w:ind w:firstLine="709"/>
        <w:jc w:val="both"/>
        <w:rPr>
          <w:sz w:val="28"/>
        </w:rPr>
      </w:pPr>
      <w:r w:rsidRPr="00F50AEB">
        <w:rPr>
          <w:sz w:val="28"/>
        </w:rPr>
        <w:t xml:space="preserve">- операции с недвижимым имуществом, аренда и предоставление услуг – </w:t>
      </w:r>
      <w:r>
        <w:rPr>
          <w:sz w:val="28"/>
        </w:rPr>
        <w:t>22,3</w:t>
      </w:r>
      <w:r w:rsidRPr="00F50AEB">
        <w:rPr>
          <w:sz w:val="28"/>
        </w:rPr>
        <w:t xml:space="preserve"> </w:t>
      </w:r>
      <w:proofErr w:type="gramStart"/>
      <w:r w:rsidRPr="00F50AEB">
        <w:rPr>
          <w:sz w:val="28"/>
        </w:rPr>
        <w:t>млрд</w:t>
      </w:r>
      <w:proofErr w:type="gramEnd"/>
      <w:r w:rsidRPr="00F50AEB">
        <w:rPr>
          <w:sz w:val="28"/>
        </w:rPr>
        <w:t xml:space="preserve"> руб. (</w:t>
      </w:r>
      <w:r>
        <w:rPr>
          <w:sz w:val="28"/>
        </w:rPr>
        <w:t>5,7</w:t>
      </w:r>
      <w:r w:rsidR="00640193">
        <w:rPr>
          <w:sz w:val="28"/>
        </w:rPr>
        <w:t xml:space="preserve"> </w:t>
      </w:r>
      <w:r w:rsidR="000D7061">
        <w:rPr>
          <w:sz w:val="28"/>
        </w:rPr>
        <w:t>проц.</w:t>
      </w:r>
      <w:r w:rsidRPr="00F50AEB">
        <w:rPr>
          <w:sz w:val="28"/>
        </w:rPr>
        <w:t>);</w:t>
      </w:r>
    </w:p>
    <w:p w:rsidR="00143692" w:rsidRPr="00F50AEB" w:rsidRDefault="00143692" w:rsidP="00143692">
      <w:pPr>
        <w:ind w:firstLine="709"/>
        <w:jc w:val="both"/>
        <w:rPr>
          <w:sz w:val="28"/>
          <w:szCs w:val="28"/>
        </w:rPr>
      </w:pPr>
      <w:r w:rsidRPr="00F50AEB">
        <w:rPr>
          <w:sz w:val="28"/>
          <w:szCs w:val="28"/>
        </w:rPr>
        <w:t>- сельское хозяйство, охота и лесное хозяйство – 1</w:t>
      </w:r>
      <w:r>
        <w:rPr>
          <w:sz w:val="28"/>
          <w:szCs w:val="28"/>
        </w:rPr>
        <w:t>3</w:t>
      </w:r>
      <w:r w:rsidRPr="00F50AEB">
        <w:rPr>
          <w:sz w:val="28"/>
          <w:szCs w:val="28"/>
        </w:rPr>
        <w:t>,3</w:t>
      </w:r>
      <w:r w:rsidRPr="00F50AEB">
        <w:rPr>
          <w:sz w:val="28"/>
        </w:rPr>
        <w:t xml:space="preserve"> </w:t>
      </w:r>
      <w:proofErr w:type="gramStart"/>
      <w:r w:rsidRPr="00F50AEB">
        <w:rPr>
          <w:sz w:val="28"/>
        </w:rPr>
        <w:t>млрд</w:t>
      </w:r>
      <w:proofErr w:type="gramEnd"/>
      <w:r w:rsidRPr="00F50AEB">
        <w:rPr>
          <w:sz w:val="28"/>
        </w:rPr>
        <w:t xml:space="preserve"> руб. (3,</w:t>
      </w:r>
      <w:r>
        <w:rPr>
          <w:sz w:val="28"/>
        </w:rPr>
        <w:t>4</w:t>
      </w:r>
      <w:r w:rsidR="0050340F">
        <w:rPr>
          <w:sz w:val="28"/>
        </w:rPr>
        <w:t xml:space="preserve"> </w:t>
      </w:r>
      <w:r w:rsidR="000D7061">
        <w:rPr>
          <w:sz w:val="28"/>
        </w:rPr>
        <w:t>проц.</w:t>
      </w:r>
      <w:r w:rsidRPr="00F50AEB">
        <w:rPr>
          <w:sz w:val="28"/>
        </w:rPr>
        <w:t>).</w:t>
      </w:r>
    </w:p>
    <w:p w:rsidR="00143692" w:rsidRPr="00435400" w:rsidRDefault="00143692" w:rsidP="00143692">
      <w:pPr>
        <w:ind w:firstLine="709"/>
        <w:jc w:val="both"/>
        <w:rPr>
          <w:sz w:val="28"/>
        </w:rPr>
      </w:pPr>
      <w:r w:rsidRPr="00F50AEB">
        <w:rPr>
          <w:sz w:val="28"/>
        </w:rPr>
        <w:t xml:space="preserve">В период с </w:t>
      </w:r>
      <w:r>
        <w:rPr>
          <w:sz w:val="28"/>
        </w:rPr>
        <w:t>2021</w:t>
      </w:r>
      <w:r w:rsidRPr="00F50AEB">
        <w:rPr>
          <w:sz w:val="28"/>
        </w:rPr>
        <w:t xml:space="preserve"> по 202</w:t>
      </w:r>
      <w:r>
        <w:rPr>
          <w:sz w:val="28"/>
        </w:rPr>
        <w:t>4</w:t>
      </w:r>
      <w:r w:rsidRPr="00F50AEB">
        <w:rPr>
          <w:sz w:val="28"/>
        </w:rPr>
        <w:t xml:space="preserve"> годы структура распределения инвестиций по видам экономической деятельности может меняться, что обусловлено началом реализации</w:t>
      </w:r>
      <w:r w:rsidRPr="00435400">
        <w:rPr>
          <w:sz w:val="28"/>
        </w:rPr>
        <w:t xml:space="preserve"> </w:t>
      </w:r>
      <w:r>
        <w:rPr>
          <w:sz w:val="28"/>
        </w:rPr>
        <w:t xml:space="preserve">одних </w:t>
      </w:r>
      <w:r w:rsidRPr="00435400">
        <w:rPr>
          <w:sz w:val="28"/>
        </w:rPr>
        <w:t>к</w:t>
      </w:r>
      <w:r>
        <w:rPr>
          <w:sz w:val="28"/>
        </w:rPr>
        <w:t>рупных инвестиционных проектов и окончанием других.</w:t>
      </w:r>
    </w:p>
    <w:p w:rsidR="00143692" w:rsidRDefault="00143692" w:rsidP="00143692">
      <w:pPr>
        <w:ind w:firstLine="709"/>
        <w:jc w:val="both"/>
        <w:rPr>
          <w:sz w:val="28"/>
          <w:szCs w:val="28"/>
        </w:rPr>
      </w:pPr>
      <w:r w:rsidRPr="00F46DF6">
        <w:rPr>
          <w:sz w:val="28"/>
          <w:szCs w:val="28"/>
        </w:rPr>
        <w:t xml:space="preserve">Объем инвестиций в основной </w:t>
      </w:r>
      <w:r w:rsidRPr="0023222B">
        <w:rPr>
          <w:sz w:val="28"/>
          <w:szCs w:val="28"/>
        </w:rPr>
        <w:t xml:space="preserve">капитал в Ленинградской области коррелируется с инвестиционными фазами крупных инфраструктурных и промышленных проектов. </w:t>
      </w:r>
    </w:p>
    <w:p w:rsidR="00143692" w:rsidRPr="00C13F99" w:rsidRDefault="00143692" w:rsidP="00143692">
      <w:pPr>
        <w:ind w:firstLine="709"/>
        <w:jc w:val="both"/>
        <w:rPr>
          <w:sz w:val="28"/>
          <w:szCs w:val="28"/>
        </w:rPr>
      </w:pPr>
      <w:r w:rsidRPr="0023222B">
        <w:rPr>
          <w:sz w:val="28"/>
          <w:szCs w:val="28"/>
        </w:rPr>
        <w:t>Прогнозируемый рост</w:t>
      </w:r>
      <w:r w:rsidRPr="00F46DF6">
        <w:rPr>
          <w:sz w:val="28"/>
          <w:szCs w:val="28"/>
        </w:rPr>
        <w:t xml:space="preserve"> инвестиций в 202</w:t>
      </w:r>
      <w:r>
        <w:rPr>
          <w:sz w:val="28"/>
          <w:szCs w:val="28"/>
        </w:rPr>
        <w:t xml:space="preserve">1-2024 </w:t>
      </w:r>
      <w:r w:rsidRPr="00F46DF6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F46DF6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</w:t>
      </w:r>
      <w:r w:rsidRPr="00F46DF6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ей</w:t>
      </w:r>
      <w:r w:rsidRPr="00F46DF6">
        <w:rPr>
          <w:sz w:val="28"/>
          <w:szCs w:val="28"/>
        </w:rPr>
        <w:t xml:space="preserve"> крупных портовых проектов ООО</w:t>
      </w:r>
      <w:r>
        <w:rPr>
          <w:sz w:val="28"/>
          <w:szCs w:val="28"/>
        </w:rPr>
        <w:t xml:space="preserve"> «</w:t>
      </w:r>
      <w:proofErr w:type="spellStart"/>
      <w:r w:rsidRPr="00F46DF6">
        <w:rPr>
          <w:sz w:val="28"/>
          <w:szCs w:val="28"/>
        </w:rPr>
        <w:t>Ультрамар</w:t>
      </w:r>
      <w:proofErr w:type="spellEnd"/>
      <w:r>
        <w:rPr>
          <w:sz w:val="28"/>
          <w:szCs w:val="28"/>
        </w:rPr>
        <w:t>»</w:t>
      </w:r>
      <w:r w:rsidRPr="00F46DF6">
        <w:rPr>
          <w:sz w:val="28"/>
          <w:szCs w:val="28"/>
        </w:rPr>
        <w:t xml:space="preserve"> (строительство специализированного терминала по перевалке</w:t>
      </w:r>
      <w:r>
        <w:rPr>
          <w:sz w:val="28"/>
          <w:szCs w:val="28"/>
        </w:rPr>
        <w:t xml:space="preserve"> минеральных удобрений, 35 </w:t>
      </w:r>
      <w:proofErr w:type="gramStart"/>
      <w:r>
        <w:rPr>
          <w:sz w:val="28"/>
          <w:szCs w:val="28"/>
        </w:rPr>
        <w:t>млрд</w:t>
      </w:r>
      <w:proofErr w:type="gramEnd"/>
      <w:r w:rsidRPr="00F46DF6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46DF6">
        <w:rPr>
          <w:sz w:val="28"/>
          <w:szCs w:val="28"/>
        </w:rPr>
        <w:t xml:space="preserve">), Универсальный торговый терминал </w:t>
      </w:r>
      <w:r>
        <w:rPr>
          <w:sz w:val="28"/>
          <w:szCs w:val="28"/>
        </w:rPr>
        <w:t>«</w:t>
      </w:r>
      <w:r w:rsidRPr="00F46DF6">
        <w:rPr>
          <w:sz w:val="28"/>
          <w:szCs w:val="28"/>
        </w:rPr>
        <w:t>Усть-Луга</w:t>
      </w:r>
      <w:r>
        <w:rPr>
          <w:sz w:val="28"/>
          <w:szCs w:val="28"/>
        </w:rPr>
        <w:t>»</w:t>
      </w:r>
      <w:r w:rsidRPr="00F46DF6">
        <w:rPr>
          <w:sz w:val="28"/>
          <w:szCs w:val="28"/>
        </w:rPr>
        <w:t xml:space="preserve"> (группа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Новотранс</w:t>
      </w:r>
      <w:proofErr w:type="spellEnd"/>
      <w:r>
        <w:rPr>
          <w:sz w:val="28"/>
          <w:szCs w:val="28"/>
        </w:rPr>
        <w:t xml:space="preserve">», 46,5 млрд руб.), </w:t>
      </w:r>
      <w:r w:rsidRPr="00F46DF6">
        <w:rPr>
          <w:sz w:val="28"/>
          <w:szCs w:val="28"/>
        </w:rPr>
        <w:t xml:space="preserve">Приморского универсального перегрузочного комплекса </w:t>
      </w:r>
      <w:r>
        <w:rPr>
          <w:sz w:val="28"/>
          <w:szCs w:val="28"/>
        </w:rPr>
        <w:t xml:space="preserve">(ООО «Приморский УПК, 120 млрд. руб.) и </w:t>
      </w:r>
      <w:r w:rsidRPr="00F46DF6">
        <w:rPr>
          <w:sz w:val="28"/>
          <w:szCs w:val="28"/>
        </w:rPr>
        <w:t>переход</w:t>
      </w:r>
      <w:r>
        <w:rPr>
          <w:sz w:val="28"/>
          <w:szCs w:val="28"/>
        </w:rPr>
        <w:t>ом</w:t>
      </w:r>
      <w:r w:rsidRPr="00F46DF6">
        <w:rPr>
          <w:sz w:val="28"/>
          <w:szCs w:val="28"/>
        </w:rPr>
        <w:t xml:space="preserve"> в активную инвестиционную фазу проект</w:t>
      </w:r>
      <w:r>
        <w:rPr>
          <w:sz w:val="28"/>
          <w:szCs w:val="28"/>
        </w:rPr>
        <w:t>а</w:t>
      </w:r>
      <w:r w:rsidRPr="00F46DF6">
        <w:rPr>
          <w:sz w:val="28"/>
          <w:szCs w:val="28"/>
        </w:rPr>
        <w:t xml:space="preserve"> по строительству комплекса по переработке </w:t>
      </w:r>
      <w:proofErr w:type="spellStart"/>
      <w:r w:rsidRPr="00F46DF6">
        <w:rPr>
          <w:sz w:val="28"/>
          <w:szCs w:val="28"/>
        </w:rPr>
        <w:t>этансодержащего</w:t>
      </w:r>
      <w:proofErr w:type="spellEnd"/>
      <w:r w:rsidRPr="00F46DF6">
        <w:rPr>
          <w:sz w:val="28"/>
          <w:szCs w:val="28"/>
        </w:rPr>
        <w:t xml:space="preserve"> газа, реализуемого ООО</w:t>
      </w:r>
      <w:r>
        <w:rPr>
          <w:sz w:val="28"/>
          <w:szCs w:val="28"/>
        </w:rPr>
        <w:t xml:space="preserve"> «</w:t>
      </w:r>
      <w:proofErr w:type="spellStart"/>
      <w:r w:rsidRPr="00F46DF6">
        <w:rPr>
          <w:sz w:val="28"/>
          <w:szCs w:val="28"/>
        </w:rPr>
        <w:t>РусХимАльянс</w:t>
      </w:r>
      <w:proofErr w:type="spellEnd"/>
      <w:r>
        <w:rPr>
          <w:sz w:val="28"/>
          <w:szCs w:val="28"/>
        </w:rPr>
        <w:t>»</w:t>
      </w:r>
      <w:r w:rsidRPr="00F46DF6">
        <w:rPr>
          <w:sz w:val="28"/>
          <w:szCs w:val="28"/>
        </w:rPr>
        <w:t xml:space="preserve"> и </w:t>
      </w:r>
      <w:r w:rsidRPr="00C13F99">
        <w:rPr>
          <w:sz w:val="28"/>
          <w:szCs w:val="28"/>
        </w:rPr>
        <w:t xml:space="preserve">ООО «Балтийский Химический Комплекс», суммарной стоимостью более 1,5 </w:t>
      </w:r>
      <w:proofErr w:type="gramStart"/>
      <w:r w:rsidRPr="00C13F99">
        <w:rPr>
          <w:sz w:val="28"/>
          <w:szCs w:val="28"/>
        </w:rPr>
        <w:t>трлн</w:t>
      </w:r>
      <w:proofErr w:type="gramEnd"/>
      <w:r w:rsidRPr="00C13F99">
        <w:rPr>
          <w:sz w:val="28"/>
          <w:szCs w:val="28"/>
        </w:rPr>
        <w:t xml:space="preserve"> руб.</w:t>
      </w:r>
    </w:p>
    <w:p w:rsidR="00BA18DE" w:rsidRPr="00C13F99" w:rsidRDefault="00BA18DE" w:rsidP="00BA18DE">
      <w:pPr>
        <w:ind w:firstLine="709"/>
        <w:jc w:val="both"/>
        <w:rPr>
          <w:color w:val="000000" w:themeColor="text1"/>
          <w:sz w:val="28"/>
          <w:szCs w:val="28"/>
        </w:rPr>
      </w:pPr>
    </w:p>
    <w:p w:rsidR="002F0984" w:rsidRPr="00C13F99" w:rsidRDefault="00BA18DE" w:rsidP="002F0984">
      <w:pPr>
        <w:pStyle w:val="1"/>
        <w:spacing w:after="0" w:line="240" w:lineRule="auto"/>
        <w:jc w:val="center"/>
        <w:rPr>
          <w:b/>
          <w:i w:val="0"/>
          <w:color w:val="000000" w:themeColor="text1"/>
          <w:sz w:val="28"/>
          <w:szCs w:val="28"/>
        </w:rPr>
      </w:pPr>
      <w:r w:rsidRPr="00C13F99">
        <w:rPr>
          <w:i w:val="0"/>
          <w:color w:val="000000" w:themeColor="text1"/>
          <w:sz w:val="28"/>
          <w:szCs w:val="28"/>
        </w:rPr>
        <w:lastRenderedPageBreak/>
        <w:t>Денежные доходы населения</w:t>
      </w:r>
    </w:p>
    <w:p w:rsidR="002F0984" w:rsidRPr="00C13F99" w:rsidRDefault="002F0984" w:rsidP="00BA18DE">
      <w:pPr>
        <w:pStyle w:val="1"/>
        <w:spacing w:after="0" w:line="240" w:lineRule="auto"/>
        <w:ind w:firstLine="709"/>
        <w:jc w:val="both"/>
        <w:rPr>
          <w:i w:val="0"/>
          <w:color w:val="000000" w:themeColor="text1"/>
          <w:sz w:val="16"/>
          <w:szCs w:val="16"/>
        </w:rPr>
      </w:pPr>
    </w:p>
    <w:p w:rsidR="00DA2F56" w:rsidRPr="006F7CE8" w:rsidRDefault="00DA2F56" w:rsidP="00DA2F56">
      <w:pPr>
        <w:ind w:firstLine="709"/>
        <w:jc w:val="both"/>
        <w:rPr>
          <w:iCs/>
          <w:sz w:val="28"/>
          <w:szCs w:val="28"/>
        </w:rPr>
      </w:pPr>
      <w:r w:rsidRPr="00C13F99">
        <w:rPr>
          <w:b/>
          <w:sz w:val="28"/>
          <w:szCs w:val="28"/>
        </w:rPr>
        <w:t>В 2020 году</w:t>
      </w:r>
      <w:r w:rsidRPr="00C13F99">
        <w:rPr>
          <w:sz w:val="28"/>
          <w:szCs w:val="28"/>
        </w:rPr>
        <w:t xml:space="preserve"> денежные доходы на душу населения составили 33 004 руб., что к уровню 2019 года составляет 101,7</w:t>
      </w:r>
      <w:r w:rsidR="0050340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461459">
        <w:rPr>
          <w:sz w:val="28"/>
          <w:szCs w:val="28"/>
        </w:rPr>
        <w:t xml:space="preserve"> Среднемесячная номинальная начисленная заработная плата одного работника в 2020 году по данным Петростата составила 48</w:t>
      </w:r>
      <w:r w:rsidR="0050340F">
        <w:rPr>
          <w:sz w:val="28"/>
          <w:szCs w:val="28"/>
        </w:rPr>
        <w:t> </w:t>
      </w:r>
      <w:r>
        <w:rPr>
          <w:sz w:val="28"/>
          <w:szCs w:val="28"/>
        </w:rPr>
        <w:t>286</w:t>
      </w:r>
      <w:r w:rsidRPr="00461459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461459">
        <w:rPr>
          <w:sz w:val="28"/>
          <w:szCs w:val="28"/>
        </w:rPr>
        <w:t>, или 10</w:t>
      </w:r>
      <w:r>
        <w:rPr>
          <w:sz w:val="28"/>
          <w:szCs w:val="28"/>
        </w:rPr>
        <w:t>4,7</w:t>
      </w:r>
      <w:r w:rsidR="0050340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461459">
        <w:rPr>
          <w:sz w:val="28"/>
          <w:szCs w:val="28"/>
        </w:rPr>
        <w:t xml:space="preserve"> к 2019 году</w:t>
      </w:r>
      <w:r w:rsidRPr="006F7CE8">
        <w:rPr>
          <w:sz w:val="28"/>
          <w:szCs w:val="28"/>
        </w:rPr>
        <w:t xml:space="preserve">. </w:t>
      </w:r>
      <w:r w:rsidRPr="006F7CE8">
        <w:rPr>
          <w:iCs/>
          <w:sz w:val="28"/>
          <w:szCs w:val="28"/>
        </w:rPr>
        <w:t>Реальная начисленная заработная плата, рассчитанная с учетом индекса потребительских цен, в 2020 году на уровне 101,1</w:t>
      </w:r>
      <w:r w:rsidR="0050340F">
        <w:rPr>
          <w:iCs/>
          <w:sz w:val="28"/>
          <w:szCs w:val="28"/>
        </w:rPr>
        <w:t xml:space="preserve"> </w:t>
      </w:r>
      <w:r w:rsidR="000D7061">
        <w:rPr>
          <w:iCs/>
          <w:sz w:val="28"/>
          <w:szCs w:val="28"/>
        </w:rPr>
        <w:t>проц.</w:t>
      </w:r>
      <w:r w:rsidRPr="006F7CE8">
        <w:rPr>
          <w:iCs/>
          <w:sz w:val="28"/>
          <w:szCs w:val="28"/>
        </w:rPr>
        <w:t xml:space="preserve"> к уровню 2019 года.</w:t>
      </w:r>
    </w:p>
    <w:p w:rsidR="00DA2F56" w:rsidRPr="001D16D8" w:rsidRDefault="00DA2F56" w:rsidP="00DA2F56">
      <w:pPr>
        <w:shd w:val="clear" w:color="auto" w:fill="FFFFFF"/>
        <w:ind w:firstLine="709"/>
        <w:jc w:val="both"/>
        <w:rPr>
          <w:sz w:val="28"/>
          <w:szCs w:val="28"/>
        </w:rPr>
      </w:pPr>
      <w:r w:rsidRPr="001D16D8">
        <w:rPr>
          <w:sz w:val="28"/>
          <w:szCs w:val="28"/>
        </w:rPr>
        <w:t xml:space="preserve">По оценке </w:t>
      </w:r>
      <w:r w:rsidRPr="001D16D8">
        <w:rPr>
          <w:b/>
          <w:sz w:val="28"/>
          <w:szCs w:val="28"/>
        </w:rPr>
        <w:t>2021 года</w:t>
      </w:r>
      <w:r w:rsidRPr="001D16D8">
        <w:rPr>
          <w:sz w:val="28"/>
          <w:szCs w:val="28"/>
        </w:rPr>
        <w:t xml:space="preserve"> номинальная начисленная среднемесячная заработная плата работников организаций региона, возрастет до 51 470 руб</w:t>
      </w:r>
      <w:r>
        <w:rPr>
          <w:sz w:val="28"/>
          <w:szCs w:val="28"/>
        </w:rPr>
        <w:t>.</w:t>
      </w:r>
      <w:r w:rsidRPr="001D16D8">
        <w:rPr>
          <w:sz w:val="28"/>
          <w:szCs w:val="28"/>
        </w:rPr>
        <w:t xml:space="preserve"> (106,6</w:t>
      </w:r>
      <w:r w:rsidR="0050340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1D16D8">
        <w:rPr>
          <w:sz w:val="28"/>
          <w:szCs w:val="28"/>
        </w:rPr>
        <w:t xml:space="preserve"> к уровню 2020 года), реальная заработная плата работников организаций составит 101,5</w:t>
      </w:r>
      <w:r w:rsidR="0050340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1D16D8">
        <w:rPr>
          <w:sz w:val="28"/>
          <w:szCs w:val="28"/>
        </w:rPr>
        <w:t xml:space="preserve"> к уровню 2020 года. </w:t>
      </w:r>
      <w:r w:rsidRPr="001D16D8">
        <w:rPr>
          <w:bCs/>
          <w:iCs/>
          <w:sz w:val="28"/>
          <w:szCs w:val="28"/>
        </w:rPr>
        <w:t xml:space="preserve">Сдерживание темпов роста реальной заработной платы в 2020 году связано в первую очередь с </w:t>
      </w:r>
      <w:r>
        <w:rPr>
          <w:bCs/>
          <w:iCs/>
          <w:sz w:val="28"/>
          <w:szCs w:val="28"/>
        </w:rPr>
        <w:t xml:space="preserve">действием </w:t>
      </w:r>
      <w:r w:rsidRPr="001D16D8">
        <w:rPr>
          <w:bCs/>
          <w:iCs/>
          <w:sz w:val="28"/>
          <w:szCs w:val="28"/>
        </w:rPr>
        <w:t>ограничительны</w:t>
      </w:r>
      <w:r>
        <w:rPr>
          <w:bCs/>
          <w:iCs/>
          <w:sz w:val="28"/>
          <w:szCs w:val="28"/>
        </w:rPr>
        <w:t>х мер</w:t>
      </w:r>
      <w:r w:rsidRPr="001D16D8">
        <w:rPr>
          <w:bCs/>
          <w:iCs/>
          <w:sz w:val="28"/>
          <w:szCs w:val="28"/>
        </w:rPr>
        <w:t xml:space="preserve"> по борьбе с коронавирусной инфекцией.</w:t>
      </w:r>
    </w:p>
    <w:p w:rsidR="00DA2F56" w:rsidRPr="001D16D8" w:rsidRDefault="00DA2F56" w:rsidP="00DA2F56">
      <w:pPr>
        <w:shd w:val="clear" w:color="auto" w:fill="FFFFFF"/>
        <w:ind w:firstLine="709"/>
        <w:jc w:val="both"/>
        <w:rPr>
          <w:sz w:val="28"/>
          <w:szCs w:val="28"/>
        </w:rPr>
      </w:pPr>
      <w:r w:rsidRPr="001D16D8">
        <w:rPr>
          <w:bCs/>
          <w:iCs/>
          <w:sz w:val="28"/>
          <w:szCs w:val="28"/>
        </w:rPr>
        <w:t>Также н</w:t>
      </w:r>
      <w:r w:rsidRPr="001D16D8">
        <w:rPr>
          <w:sz w:val="28"/>
          <w:szCs w:val="28"/>
        </w:rPr>
        <w:t>а темп роста реальной заработной платы в 2021 году, как и на ее покупательную способность, негативно скажется ускорение инфляции (до 105,0</w:t>
      </w:r>
      <w:r w:rsidR="0050340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1D16D8">
        <w:rPr>
          <w:sz w:val="28"/>
          <w:szCs w:val="28"/>
        </w:rPr>
        <w:t xml:space="preserve"> за год). В дальнейшем на прогнозном периоде ожидается восстановление темпов роста реальных заработных плат до сопоставимого уровня с темпами роста производительности труда.</w:t>
      </w:r>
    </w:p>
    <w:p w:rsidR="00DA2F56" w:rsidRPr="00F8010D" w:rsidRDefault="00DA2F56" w:rsidP="00DA2F56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F8010D">
        <w:rPr>
          <w:bCs/>
          <w:iCs/>
          <w:sz w:val="28"/>
          <w:szCs w:val="28"/>
        </w:rPr>
        <w:t xml:space="preserve">В </w:t>
      </w:r>
      <w:r w:rsidRPr="00F8010D">
        <w:rPr>
          <w:b/>
          <w:bCs/>
          <w:iCs/>
          <w:sz w:val="28"/>
          <w:szCs w:val="28"/>
        </w:rPr>
        <w:t>2022-2024 годах</w:t>
      </w:r>
      <w:r w:rsidRPr="00F8010D">
        <w:rPr>
          <w:bCs/>
          <w:iCs/>
          <w:sz w:val="28"/>
          <w:szCs w:val="28"/>
        </w:rPr>
        <w:t xml:space="preserve"> при базовом варианте прогноза ежегодный прирост реальных располагаемых денежных доходов населения составит от 2,5 до 3,0</w:t>
      </w:r>
      <w:r w:rsidR="0050340F">
        <w:rPr>
          <w:bCs/>
          <w:iCs/>
          <w:sz w:val="28"/>
          <w:szCs w:val="28"/>
        </w:rPr>
        <w:t xml:space="preserve"> </w:t>
      </w:r>
      <w:r w:rsidR="000D7061">
        <w:rPr>
          <w:bCs/>
          <w:iCs/>
          <w:sz w:val="28"/>
          <w:szCs w:val="28"/>
        </w:rPr>
        <w:t>проц.</w:t>
      </w:r>
      <w:r w:rsidRPr="00F8010D">
        <w:rPr>
          <w:bCs/>
          <w:iCs/>
          <w:sz w:val="28"/>
          <w:szCs w:val="28"/>
        </w:rPr>
        <w:t xml:space="preserve"> (по базовому варианту), или от 1,8 до 2,3</w:t>
      </w:r>
      <w:r w:rsidR="0050340F">
        <w:rPr>
          <w:bCs/>
          <w:iCs/>
          <w:sz w:val="28"/>
          <w:szCs w:val="28"/>
        </w:rPr>
        <w:t xml:space="preserve"> </w:t>
      </w:r>
      <w:r w:rsidR="000D7061">
        <w:rPr>
          <w:bCs/>
          <w:iCs/>
          <w:sz w:val="28"/>
          <w:szCs w:val="28"/>
        </w:rPr>
        <w:t>проц.</w:t>
      </w:r>
      <w:r w:rsidRPr="00F8010D">
        <w:rPr>
          <w:bCs/>
          <w:iCs/>
          <w:sz w:val="28"/>
          <w:szCs w:val="28"/>
        </w:rPr>
        <w:t xml:space="preserve"> (по консервативному). </w:t>
      </w:r>
    </w:p>
    <w:p w:rsidR="00DA2F56" w:rsidRPr="00F8010D" w:rsidRDefault="00DA2F56" w:rsidP="00DA2F56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F8010D"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 xml:space="preserve">среднесрочном </w:t>
      </w:r>
      <w:r w:rsidRPr="00F8010D">
        <w:rPr>
          <w:bCs/>
          <w:iCs/>
          <w:sz w:val="28"/>
          <w:szCs w:val="28"/>
        </w:rPr>
        <w:t>прогнозном периоде реальная зарабо</w:t>
      </w:r>
      <w:r>
        <w:rPr>
          <w:bCs/>
          <w:iCs/>
          <w:sz w:val="28"/>
          <w:szCs w:val="28"/>
        </w:rPr>
        <w:t xml:space="preserve">тная плата будет увеличиваться </w:t>
      </w:r>
      <w:r w:rsidRPr="00F8010D">
        <w:rPr>
          <w:bCs/>
          <w:iCs/>
          <w:sz w:val="28"/>
          <w:szCs w:val="28"/>
        </w:rPr>
        <w:t>на 2-2,4</w:t>
      </w:r>
      <w:r w:rsidR="0050340F">
        <w:rPr>
          <w:bCs/>
          <w:iCs/>
          <w:sz w:val="28"/>
          <w:szCs w:val="28"/>
        </w:rPr>
        <w:t xml:space="preserve"> </w:t>
      </w:r>
      <w:r w:rsidR="000D7061">
        <w:rPr>
          <w:bCs/>
          <w:iCs/>
          <w:sz w:val="28"/>
          <w:szCs w:val="28"/>
        </w:rPr>
        <w:t>проц.</w:t>
      </w:r>
      <w:r w:rsidRPr="00F8010D">
        <w:rPr>
          <w:bCs/>
          <w:iCs/>
          <w:sz w:val="28"/>
          <w:szCs w:val="28"/>
        </w:rPr>
        <w:t xml:space="preserve"> ежегодно по базовому сценарию, или на 1-2</w:t>
      </w:r>
      <w:r w:rsidR="0050340F">
        <w:rPr>
          <w:bCs/>
          <w:iCs/>
          <w:sz w:val="28"/>
          <w:szCs w:val="28"/>
        </w:rPr>
        <w:t xml:space="preserve"> </w:t>
      </w:r>
      <w:r w:rsidR="000D7061">
        <w:rPr>
          <w:bCs/>
          <w:iCs/>
          <w:sz w:val="28"/>
          <w:szCs w:val="28"/>
        </w:rPr>
        <w:t>проц.</w:t>
      </w:r>
      <w:r w:rsidRPr="00F8010D">
        <w:rPr>
          <w:bCs/>
          <w:iCs/>
          <w:sz w:val="28"/>
          <w:szCs w:val="28"/>
        </w:rPr>
        <w:t xml:space="preserve"> ежегодно - по консервативному. </w:t>
      </w:r>
    </w:p>
    <w:p w:rsidR="00DA2F56" w:rsidRPr="00F8010D" w:rsidRDefault="00DA2F56" w:rsidP="00DA2F56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F8010D">
        <w:rPr>
          <w:bCs/>
          <w:iCs/>
          <w:sz w:val="28"/>
          <w:szCs w:val="28"/>
        </w:rPr>
        <w:t>В 2024 году по базовому варианту прогноза номинальная начисленная среднемесячная заработная плата работников организаций составит 61 940 руб</w:t>
      </w:r>
      <w:r>
        <w:rPr>
          <w:bCs/>
          <w:iCs/>
          <w:sz w:val="28"/>
          <w:szCs w:val="28"/>
        </w:rPr>
        <w:t>.</w:t>
      </w:r>
      <w:r w:rsidRPr="00F8010D">
        <w:rPr>
          <w:bCs/>
          <w:iCs/>
          <w:sz w:val="28"/>
          <w:szCs w:val="28"/>
        </w:rPr>
        <w:t xml:space="preserve"> (увеличение в 1,20 раза по сравнению с 2021 годом), по консервативному варианту – 61 370 руб</w:t>
      </w:r>
      <w:r>
        <w:rPr>
          <w:bCs/>
          <w:iCs/>
          <w:sz w:val="28"/>
          <w:szCs w:val="28"/>
        </w:rPr>
        <w:t>.</w:t>
      </w:r>
      <w:r w:rsidRPr="00F8010D">
        <w:rPr>
          <w:bCs/>
          <w:iCs/>
          <w:sz w:val="28"/>
          <w:szCs w:val="28"/>
        </w:rPr>
        <w:t xml:space="preserve"> (увеличение в 1,19 раза по сравнению с 2021 годом).</w:t>
      </w:r>
    </w:p>
    <w:p w:rsidR="00DA2F56" w:rsidRPr="0049129E" w:rsidRDefault="00DA2F56" w:rsidP="00DA2F56">
      <w:pPr>
        <w:shd w:val="clear" w:color="auto" w:fill="FFFFFF"/>
        <w:ind w:firstLine="709"/>
        <w:jc w:val="both"/>
        <w:rPr>
          <w:sz w:val="28"/>
          <w:szCs w:val="28"/>
        </w:rPr>
      </w:pPr>
      <w:r w:rsidRPr="0049129E">
        <w:rPr>
          <w:sz w:val="28"/>
          <w:szCs w:val="28"/>
        </w:rPr>
        <w:t>Стабильный рост заработной платы планируется обеспечить за счет:</w:t>
      </w:r>
    </w:p>
    <w:p w:rsidR="00DA2F56" w:rsidRPr="0049129E" w:rsidRDefault="00DA2F56" w:rsidP="00DA2F5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9129E">
        <w:rPr>
          <w:sz w:val="28"/>
          <w:szCs w:val="28"/>
        </w:rPr>
        <w:t xml:space="preserve">- осуществления мер по обеспечению минимальных государственных гарантий по оплате труда: 24 декабря 2020 года подписано региональное соглашение № 6/с-20 </w:t>
      </w:r>
      <w:r>
        <w:rPr>
          <w:sz w:val="28"/>
          <w:szCs w:val="28"/>
        </w:rPr>
        <w:t>«</w:t>
      </w:r>
      <w:r w:rsidRPr="0049129E">
        <w:rPr>
          <w:sz w:val="28"/>
          <w:szCs w:val="28"/>
        </w:rPr>
        <w:t>О минимальной заработной плате в Ленинградской области на 2021 год</w:t>
      </w:r>
      <w:r>
        <w:rPr>
          <w:sz w:val="28"/>
          <w:szCs w:val="28"/>
        </w:rPr>
        <w:t>»</w:t>
      </w:r>
      <w:r w:rsidRPr="0049129E">
        <w:rPr>
          <w:sz w:val="28"/>
          <w:szCs w:val="28"/>
        </w:rPr>
        <w:t>, устанавливающее с 1 января 2021 года размер минимальной оплаты труда в сумме 12 800 руб</w:t>
      </w:r>
      <w:r>
        <w:rPr>
          <w:sz w:val="28"/>
          <w:szCs w:val="28"/>
        </w:rPr>
        <w:t>.</w:t>
      </w:r>
      <w:r w:rsidRPr="0049129E">
        <w:rPr>
          <w:sz w:val="28"/>
          <w:szCs w:val="28"/>
        </w:rPr>
        <w:t>, с 1 апреля 2021 года в сумме 13 000 руб</w:t>
      </w:r>
      <w:r>
        <w:rPr>
          <w:sz w:val="28"/>
          <w:szCs w:val="28"/>
        </w:rPr>
        <w:t>.</w:t>
      </w:r>
      <w:r w:rsidRPr="0049129E">
        <w:rPr>
          <w:sz w:val="28"/>
          <w:szCs w:val="28"/>
        </w:rPr>
        <w:t>, с 1 сентября 2021 года в</w:t>
      </w:r>
      <w:proofErr w:type="gramEnd"/>
      <w:r w:rsidRPr="0049129E">
        <w:rPr>
          <w:sz w:val="28"/>
          <w:szCs w:val="28"/>
        </w:rPr>
        <w:t xml:space="preserve"> сумме 13 315 руб</w:t>
      </w:r>
      <w:r>
        <w:rPr>
          <w:sz w:val="28"/>
          <w:szCs w:val="28"/>
        </w:rPr>
        <w:t xml:space="preserve">., с 1 декабря 2021 года в сумме </w:t>
      </w:r>
      <w:r w:rsidRPr="0049129E">
        <w:rPr>
          <w:sz w:val="28"/>
          <w:szCs w:val="28"/>
        </w:rPr>
        <w:t>14 250 руб.</w:t>
      </w:r>
    </w:p>
    <w:p w:rsidR="00DA2F56" w:rsidRPr="00D412BE" w:rsidRDefault="00DA2F56" w:rsidP="00DA2F56">
      <w:pPr>
        <w:shd w:val="clear" w:color="auto" w:fill="FFFFFF"/>
        <w:ind w:firstLine="709"/>
        <w:jc w:val="both"/>
        <w:rPr>
          <w:sz w:val="28"/>
          <w:szCs w:val="28"/>
        </w:rPr>
      </w:pPr>
      <w:r w:rsidRPr="0049129E">
        <w:rPr>
          <w:sz w:val="28"/>
          <w:szCs w:val="28"/>
        </w:rPr>
        <w:t xml:space="preserve">- планомерного повышения заработной платы отдельных категорий работников бюджетной сферы и сохранение достигнутых целевых показателей в соответствии с указом Президента Российской Федерации от 7 мая 2012 года № 597 </w:t>
      </w:r>
      <w:r>
        <w:rPr>
          <w:sz w:val="28"/>
          <w:szCs w:val="28"/>
        </w:rPr>
        <w:t>«</w:t>
      </w:r>
      <w:r w:rsidRPr="0049129E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r w:rsidRPr="0049129E">
        <w:rPr>
          <w:sz w:val="28"/>
          <w:szCs w:val="28"/>
        </w:rPr>
        <w:t xml:space="preserve">. </w:t>
      </w:r>
    </w:p>
    <w:p w:rsidR="00DA2F56" w:rsidRPr="0035055E" w:rsidRDefault="00DA2F56" w:rsidP="00DA2F56">
      <w:pPr>
        <w:ind w:firstLine="709"/>
        <w:jc w:val="both"/>
        <w:rPr>
          <w:bCs/>
          <w:sz w:val="28"/>
          <w:szCs w:val="20"/>
        </w:rPr>
      </w:pPr>
      <w:r w:rsidRPr="0035055E">
        <w:rPr>
          <w:sz w:val="28"/>
          <w:szCs w:val="20"/>
        </w:rPr>
        <w:t>Ве</w:t>
      </w:r>
      <w:r w:rsidRPr="0035055E">
        <w:rPr>
          <w:bCs/>
          <w:sz w:val="28"/>
          <w:szCs w:val="20"/>
        </w:rPr>
        <w:t xml:space="preserve">личина прожиточного минимума на душу населения в среднем за  2020 год составила 11 </w:t>
      </w:r>
      <w:r>
        <w:rPr>
          <w:bCs/>
          <w:sz w:val="28"/>
          <w:szCs w:val="20"/>
        </w:rPr>
        <w:t>192</w:t>
      </w:r>
      <w:r w:rsidRPr="0035055E">
        <w:rPr>
          <w:bCs/>
          <w:sz w:val="28"/>
          <w:szCs w:val="20"/>
        </w:rPr>
        <w:t xml:space="preserve"> руб</w:t>
      </w:r>
      <w:r>
        <w:rPr>
          <w:bCs/>
          <w:sz w:val="28"/>
          <w:szCs w:val="20"/>
        </w:rPr>
        <w:t>.</w:t>
      </w:r>
      <w:r w:rsidRPr="0035055E">
        <w:rPr>
          <w:bCs/>
          <w:sz w:val="28"/>
          <w:szCs w:val="20"/>
        </w:rPr>
        <w:t xml:space="preserve">, на 2021 год установлена </w:t>
      </w:r>
      <w:r>
        <w:rPr>
          <w:bCs/>
          <w:sz w:val="28"/>
          <w:szCs w:val="20"/>
        </w:rPr>
        <w:t xml:space="preserve">на уровне </w:t>
      </w:r>
      <w:r w:rsidRPr="0035055E">
        <w:rPr>
          <w:bCs/>
          <w:sz w:val="28"/>
          <w:szCs w:val="20"/>
        </w:rPr>
        <w:t xml:space="preserve">11 289 руб.  </w:t>
      </w:r>
    </w:p>
    <w:p w:rsidR="00DA2F56" w:rsidRPr="0035055E" w:rsidRDefault="00DA2F56" w:rsidP="00DA2F56">
      <w:pPr>
        <w:ind w:firstLine="709"/>
        <w:jc w:val="both"/>
        <w:rPr>
          <w:sz w:val="28"/>
          <w:szCs w:val="28"/>
        </w:rPr>
      </w:pPr>
      <w:proofErr w:type="gramStart"/>
      <w:r w:rsidRPr="0035055E">
        <w:rPr>
          <w:sz w:val="28"/>
          <w:szCs w:val="20"/>
        </w:rPr>
        <w:t>Исходя из рассчитанного показателя величины ПМ на душу нас</w:t>
      </w:r>
      <w:r>
        <w:rPr>
          <w:sz w:val="28"/>
          <w:szCs w:val="20"/>
        </w:rPr>
        <w:t>е</w:t>
      </w:r>
      <w:r w:rsidRPr="0035055E">
        <w:rPr>
          <w:sz w:val="28"/>
          <w:szCs w:val="20"/>
        </w:rPr>
        <w:t>ления по Р</w:t>
      </w:r>
      <w:r>
        <w:rPr>
          <w:sz w:val="28"/>
          <w:szCs w:val="20"/>
        </w:rPr>
        <w:t xml:space="preserve">оссийской </w:t>
      </w:r>
      <w:r w:rsidRPr="0035055E">
        <w:rPr>
          <w:sz w:val="28"/>
          <w:szCs w:val="20"/>
        </w:rPr>
        <w:t>Ф</w:t>
      </w:r>
      <w:r>
        <w:rPr>
          <w:sz w:val="28"/>
          <w:szCs w:val="20"/>
        </w:rPr>
        <w:t xml:space="preserve">едерации </w:t>
      </w:r>
      <w:r w:rsidRPr="0035055E">
        <w:rPr>
          <w:sz w:val="28"/>
          <w:szCs w:val="20"/>
        </w:rPr>
        <w:t xml:space="preserve">на 2022 год </w:t>
      </w:r>
      <w:r w:rsidRPr="0035055E">
        <w:rPr>
          <w:sz w:val="28"/>
          <w:szCs w:val="28"/>
        </w:rPr>
        <w:t>(проект постановления Правительства РФ подготовлен Минтрудом России, ID 01/01/02-20/00099706) и п</w:t>
      </w:r>
      <w:r w:rsidRPr="0035055E">
        <w:rPr>
          <w:sz w:val="28"/>
          <w:szCs w:val="20"/>
        </w:rPr>
        <w:t xml:space="preserve">рогноза </w:t>
      </w:r>
      <w:r w:rsidRPr="0035055E">
        <w:rPr>
          <w:sz w:val="28"/>
          <w:szCs w:val="20"/>
        </w:rPr>
        <w:lastRenderedPageBreak/>
        <w:t>показателей индекса потребительских цен по Российской Федерации на 2023 – 2024 годы планируемая величина ПМ на душу населения в Ленинградской области по базовому варианту в 20</w:t>
      </w:r>
      <w:r>
        <w:rPr>
          <w:sz w:val="28"/>
          <w:szCs w:val="20"/>
        </w:rPr>
        <w:t xml:space="preserve">22 году составит 11 950 руб., </w:t>
      </w:r>
      <w:r w:rsidRPr="0035055E">
        <w:rPr>
          <w:sz w:val="28"/>
          <w:szCs w:val="20"/>
        </w:rPr>
        <w:t>в</w:t>
      </w:r>
      <w:proofErr w:type="gramEnd"/>
      <w:r w:rsidRPr="0035055E">
        <w:rPr>
          <w:sz w:val="28"/>
          <w:szCs w:val="20"/>
        </w:rPr>
        <w:t xml:space="preserve"> 2023 году – 12</w:t>
      </w:r>
      <w:r w:rsidR="0050340F">
        <w:rPr>
          <w:sz w:val="28"/>
          <w:szCs w:val="20"/>
        </w:rPr>
        <w:t> </w:t>
      </w:r>
      <w:r w:rsidRPr="0035055E">
        <w:rPr>
          <w:sz w:val="28"/>
          <w:szCs w:val="20"/>
        </w:rPr>
        <w:t>552 руб</w:t>
      </w:r>
      <w:r>
        <w:rPr>
          <w:sz w:val="28"/>
          <w:szCs w:val="20"/>
        </w:rPr>
        <w:t>.</w:t>
      </w:r>
      <w:r w:rsidRPr="0035055E">
        <w:rPr>
          <w:sz w:val="28"/>
          <w:szCs w:val="20"/>
        </w:rPr>
        <w:t>, в 2024 году – 13 313 руб.</w:t>
      </w:r>
      <w:r w:rsidRPr="0035055E">
        <w:rPr>
          <w:sz w:val="28"/>
          <w:szCs w:val="28"/>
        </w:rPr>
        <w:t xml:space="preserve"> </w:t>
      </w:r>
    </w:p>
    <w:p w:rsidR="00DA2F56" w:rsidRPr="00C13F99" w:rsidRDefault="00DA2F56" w:rsidP="00DA2F56">
      <w:pPr>
        <w:ind w:firstLine="709"/>
        <w:jc w:val="both"/>
        <w:rPr>
          <w:sz w:val="28"/>
          <w:szCs w:val="20"/>
        </w:rPr>
      </w:pPr>
      <w:r w:rsidRPr="0035055E">
        <w:rPr>
          <w:sz w:val="28"/>
          <w:szCs w:val="20"/>
        </w:rPr>
        <w:t xml:space="preserve">В результате прогнозируемая </w:t>
      </w:r>
      <w:r w:rsidRPr="00C13F99">
        <w:rPr>
          <w:sz w:val="28"/>
          <w:szCs w:val="20"/>
        </w:rPr>
        <w:t>величина прожиточного минимума в среднем на душу населения в Ленинградской области к 2024 году по отношению к 2020 году и к 2021 году увеличится в 1,2 раза.</w:t>
      </w:r>
    </w:p>
    <w:p w:rsidR="00704FB9" w:rsidRPr="00C13F99" w:rsidRDefault="00704FB9" w:rsidP="00BA18DE">
      <w:pPr>
        <w:ind w:firstLine="709"/>
        <w:jc w:val="both"/>
        <w:rPr>
          <w:color w:val="000000" w:themeColor="text1"/>
          <w:sz w:val="16"/>
          <w:szCs w:val="16"/>
        </w:rPr>
      </w:pPr>
    </w:p>
    <w:p w:rsidR="00704FB9" w:rsidRPr="00C13F99" w:rsidRDefault="007A48FA" w:rsidP="00704FB9">
      <w:pPr>
        <w:jc w:val="center"/>
        <w:rPr>
          <w:b/>
          <w:sz w:val="28"/>
          <w:szCs w:val="28"/>
        </w:rPr>
      </w:pPr>
      <w:r w:rsidRPr="00C13F99">
        <w:rPr>
          <w:sz w:val="28"/>
          <w:szCs w:val="28"/>
        </w:rPr>
        <w:t>Труд и занятость</w:t>
      </w:r>
    </w:p>
    <w:p w:rsidR="00704FB9" w:rsidRPr="00C13F99" w:rsidRDefault="00704FB9" w:rsidP="00405363">
      <w:pPr>
        <w:ind w:firstLine="709"/>
        <w:jc w:val="both"/>
        <w:rPr>
          <w:sz w:val="16"/>
          <w:szCs w:val="16"/>
        </w:rPr>
      </w:pPr>
    </w:p>
    <w:p w:rsidR="00DA2F56" w:rsidRPr="00C13F99" w:rsidRDefault="00DA2F56" w:rsidP="00DA2F56">
      <w:pPr>
        <w:pStyle w:val="ac"/>
        <w:spacing w:after="0"/>
        <w:ind w:firstLine="709"/>
        <w:jc w:val="both"/>
        <w:rPr>
          <w:bCs/>
          <w:sz w:val="28"/>
          <w:szCs w:val="28"/>
        </w:rPr>
      </w:pPr>
      <w:r w:rsidRPr="00C13F99">
        <w:rPr>
          <w:sz w:val="28"/>
          <w:szCs w:val="28"/>
        </w:rPr>
        <w:t xml:space="preserve">В </w:t>
      </w:r>
      <w:r w:rsidRPr="00C13F99">
        <w:rPr>
          <w:b/>
          <w:sz w:val="28"/>
          <w:szCs w:val="28"/>
        </w:rPr>
        <w:t>2020 году</w:t>
      </w:r>
      <w:r w:rsidRPr="00C13F99">
        <w:rPr>
          <w:sz w:val="28"/>
          <w:szCs w:val="28"/>
        </w:rPr>
        <w:t xml:space="preserve"> в результате негативных последствий распространения коронавирусной инфекции (</w:t>
      </w:r>
      <w:r w:rsidRPr="00C13F99">
        <w:rPr>
          <w:sz w:val="28"/>
          <w:szCs w:val="28"/>
          <w:lang w:val="en-US"/>
        </w:rPr>
        <w:t>COVID</w:t>
      </w:r>
      <w:r w:rsidRPr="00C13F99">
        <w:rPr>
          <w:sz w:val="28"/>
          <w:szCs w:val="28"/>
        </w:rPr>
        <w:t>-19) на рынке труда Ленинградской отмечался рост численности безработных граждан и уровня</w:t>
      </w:r>
      <w:r w:rsidRPr="00C13F99">
        <w:rPr>
          <w:color w:val="0070C0"/>
          <w:sz w:val="28"/>
          <w:szCs w:val="28"/>
        </w:rPr>
        <w:t xml:space="preserve"> </w:t>
      </w:r>
      <w:r w:rsidRPr="00C13F99">
        <w:rPr>
          <w:sz w:val="28"/>
          <w:szCs w:val="28"/>
        </w:rPr>
        <w:t>регистрируемой безработицы, те</w:t>
      </w:r>
      <w:r w:rsidRPr="00C13F99">
        <w:rPr>
          <w:bCs/>
          <w:sz w:val="28"/>
          <w:szCs w:val="28"/>
        </w:rPr>
        <w:t>нденция роста зафиксирована с начала апреля 2020 года.</w:t>
      </w:r>
    </w:p>
    <w:p w:rsidR="00DA2F56" w:rsidRPr="00DA2F56" w:rsidRDefault="00DA2F56" w:rsidP="00DA2F56">
      <w:pPr>
        <w:shd w:val="clear" w:color="auto" w:fill="FFFFFF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C13F99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Уровень зарегистрированной безработицы</w:t>
      </w:r>
      <w:r w:rsidRPr="00DA2F5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на конец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2020 </w:t>
      </w:r>
      <w:r w:rsidRPr="00DA2F5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года имел значение 3,1</w:t>
      </w:r>
      <w:r w:rsidR="0050340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0D706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проц.</w:t>
      </w:r>
      <w:r w:rsidRPr="00DA2F5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к численности рабочей силы (в 2019 году – 0,4 </w:t>
      </w:r>
      <w:proofErr w:type="gramStart"/>
      <w:r w:rsidRPr="00DA2F5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процентных</w:t>
      </w:r>
      <w:proofErr w:type="gramEnd"/>
      <w:r w:rsidRPr="00DA2F5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пункта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). Ч</w:t>
      </w:r>
      <w:r w:rsidRPr="00DA2F5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исленность официально зарегистрированных безработных в государственных учреждениях службы занятости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составил </w:t>
      </w:r>
      <w:r w:rsidRPr="00DA2F5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30,2 тыс. человек (3,7 тыс. человек в 2019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году). Н</w:t>
      </w:r>
      <w:r w:rsidRPr="00DA2F5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апряженность на рынке труда по Ленинградской области составила 1,5 незанятых граждан на одну вакансию.</w:t>
      </w:r>
    </w:p>
    <w:p w:rsidR="00DA2F56" w:rsidRPr="00DE355B" w:rsidRDefault="00DA2F56" w:rsidP="00DA2F56">
      <w:pPr>
        <w:shd w:val="clear" w:color="auto" w:fill="FFFFFF"/>
        <w:ind w:firstLine="709"/>
        <w:jc w:val="both"/>
        <w:rPr>
          <w:sz w:val="28"/>
          <w:szCs w:val="28"/>
        </w:rPr>
      </w:pPr>
      <w:r w:rsidRPr="00DE355B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В 2020 году уровень безработицы в среднем за год, рассчитываемый по методологии МОТ, по Ленинградской области составил 5,3</w:t>
      </w:r>
      <w:r w:rsidR="0050340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0D706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проц.</w:t>
      </w:r>
      <w:r w:rsidRPr="00DE355B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, что на 1,4</w:t>
      </w:r>
      <w:r w:rsidR="0050340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0D706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проц.</w:t>
      </w:r>
      <w:r w:rsidRPr="00DE355B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выше значения в 2019 году.</w:t>
      </w:r>
      <w:r w:rsidRPr="00DE355B">
        <w:rPr>
          <w:sz w:val="28"/>
          <w:szCs w:val="28"/>
        </w:rPr>
        <w:t xml:space="preserve"> </w:t>
      </w:r>
    </w:p>
    <w:p w:rsidR="00725C08" w:rsidRDefault="00725C08" w:rsidP="00A803DB">
      <w:pPr>
        <w:ind w:firstLine="709"/>
        <w:jc w:val="both"/>
        <w:rPr>
          <w:sz w:val="28"/>
          <w:szCs w:val="28"/>
        </w:rPr>
      </w:pPr>
      <w:r w:rsidRPr="0091149E">
        <w:rPr>
          <w:b/>
          <w:sz w:val="28"/>
          <w:szCs w:val="28"/>
        </w:rPr>
        <w:t>В 2021 год</w:t>
      </w:r>
      <w:r>
        <w:rPr>
          <w:b/>
          <w:sz w:val="28"/>
          <w:szCs w:val="28"/>
        </w:rPr>
        <w:t>у</w:t>
      </w:r>
      <w:r w:rsidRPr="00DE3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Ленинградской области </w:t>
      </w:r>
      <w:r w:rsidRPr="00DE355B">
        <w:rPr>
          <w:sz w:val="28"/>
          <w:szCs w:val="28"/>
        </w:rPr>
        <w:t>удалось не только стабил</w:t>
      </w:r>
      <w:r>
        <w:rPr>
          <w:sz w:val="28"/>
          <w:szCs w:val="28"/>
        </w:rPr>
        <w:t>изировать ситуацию на</w:t>
      </w:r>
      <w:r w:rsidRPr="00DE355B">
        <w:rPr>
          <w:sz w:val="28"/>
          <w:szCs w:val="28"/>
        </w:rPr>
        <w:t xml:space="preserve"> рынк</w:t>
      </w:r>
      <w:r>
        <w:rPr>
          <w:sz w:val="28"/>
          <w:szCs w:val="28"/>
        </w:rPr>
        <w:t>е</w:t>
      </w:r>
      <w:r w:rsidRPr="00DE355B">
        <w:rPr>
          <w:sz w:val="28"/>
          <w:szCs w:val="28"/>
        </w:rPr>
        <w:t xml:space="preserve"> труда области, но и </w:t>
      </w:r>
      <w:r>
        <w:rPr>
          <w:sz w:val="28"/>
          <w:szCs w:val="28"/>
        </w:rPr>
        <w:t xml:space="preserve">обеспечить </w:t>
      </w:r>
      <w:r w:rsidRPr="00DE355B">
        <w:rPr>
          <w:sz w:val="28"/>
          <w:szCs w:val="28"/>
        </w:rPr>
        <w:t>снижение регистрируемой безработицы.</w:t>
      </w:r>
      <w:r w:rsidR="00A803DB">
        <w:rPr>
          <w:sz w:val="28"/>
          <w:szCs w:val="28"/>
        </w:rPr>
        <w:t xml:space="preserve"> Это обеспечивается как за счет </w:t>
      </w:r>
      <w:r w:rsidRPr="00DE355B">
        <w:rPr>
          <w:sz w:val="28"/>
          <w:szCs w:val="28"/>
        </w:rPr>
        <w:t>реализаци</w:t>
      </w:r>
      <w:r w:rsidR="00A803DB">
        <w:rPr>
          <w:sz w:val="28"/>
          <w:szCs w:val="28"/>
        </w:rPr>
        <w:t>и</w:t>
      </w:r>
      <w:r w:rsidRPr="00DE355B">
        <w:rPr>
          <w:sz w:val="28"/>
          <w:szCs w:val="28"/>
        </w:rPr>
        <w:t xml:space="preserve"> традиционных форм поддержания и повышения занятости жителей региона</w:t>
      </w:r>
      <w:r w:rsidR="00A803DB">
        <w:rPr>
          <w:sz w:val="28"/>
          <w:szCs w:val="28"/>
        </w:rPr>
        <w:t xml:space="preserve"> (профессиональное и дополнительное профессиональное обучение, организация общественных  работ и др.)</w:t>
      </w:r>
      <w:r w:rsidRPr="00DE355B">
        <w:rPr>
          <w:sz w:val="28"/>
          <w:szCs w:val="28"/>
        </w:rPr>
        <w:t xml:space="preserve">, так и </w:t>
      </w:r>
      <w:r>
        <w:rPr>
          <w:sz w:val="28"/>
          <w:szCs w:val="28"/>
        </w:rPr>
        <w:t>«</w:t>
      </w:r>
      <w:r w:rsidRPr="00DE355B">
        <w:rPr>
          <w:sz w:val="28"/>
          <w:szCs w:val="28"/>
        </w:rPr>
        <w:t>новыми</w:t>
      </w:r>
      <w:r>
        <w:rPr>
          <w:sz w:val="28"/>
          <w:szCs w:val="28"/>
        </w:rPr>
        <w:t>»</w:t>
      </w:r>
      <w:r w:rsidRPr="00DE355B">
        <w:rPr>
          <w:sz w:val="28"/>
          <w:szCs w:val="28"/>
        </w:rPr>
        <w:t xml:space="preserve"> проектами и инициативами, предложенными и уже внедряемыми службой занятости.</w:t>
      </w:r>
    </w:p>
    <w:p w:rsidR="00A803DB" w:rsidRDefault="00A803DB" w:rsidP="00A803DB">
      <w:pPr>
        <w:ind w:firstLine="709"/>
        <w:jc w:val="both"/>
        <w:rPr>
          <w:sz w:val="28"/>
          <w:szCs w:val="28"/>
        </w:rPr>
      </w:pPr>
      <w:r w:rsidRPr="00DE355B">
        <w:rPr>
          <w:sz w:val="28"/>
          <w:szCs w:val="28"/>
        </w:rPr>
        <w:t>В связи с ситуацией, вызванной распространением новой коронавирусной инфекции</w:t>
      </w:r>
      <w:r>
        <w:rPr>
          <w:sz w:val="28"/>
          <w:szCs w:val="28"/>
        </w:rPr>
        <w:t>,</w:t>
      </w:r>
      <w:r w:rsidRPr="00DE355B">
        <w:rPr>
          <w:sz w:val="28"/>
          <w:szCs w:val="28"/>
        </w:rPr>
        <w:t xml:space="preserve"> в 2020 году на федеральном уровне разр</w:t>
      </w:r>
      <w:r>
        <w:rPr>
          <w:sz w:val="28"/>
          <w:szCs w:val="28"/>
        </w:rPr>
        <w:t>аботана «Программа организации</w:t>
      </w:r>
      <w:r w:rsidRPr="00DE355B">
        <w:rPr>
          <w:sz w:val="28"/>
          <w:szCs w:val="28"/>
        </w:rPr>
        <w:t xml:space="preserve"> профессионального обучения и дополнительного профессионального образования лиц, пострадавших от последствий распро</w:t>
      </w:r>
      <w:r>
        <w:rPr>
          <w:sz w:val="28"/>
          <w:szCs w:val="28"/>
        </w:rPr>
        <w:t xml:space="preserve">странения новой коронавирусной </w:t>
      </w:r>
      <w:r w:rsidRPr="00DE355B">
        <w:rPr>
          <w:sz w:val="28"/>
          <w:szCs w:val="28"/>
        </w:rPr>
        <w:t>инфекции</w:t>
      </w:r>
      <w:r>
        <w:rPr>
          <w:sz w:val="28"/>
          <w:szCs w:val="28"/>
        </w:rPr>
        <w:t>»</w:t>
      </w:r>
      <w:r w:rsidRPr="00DE355B">
        <w:rPr>
          <w:sz w:val="28"/>
          <w:szCs w:val="28"/>
        </w:rPr>
        <w:t>. Ленинградская область принял</w:t>
      </w:r>
      <w:r>
        <w:rPr>
          <w:sz w:val="28"/>
          <w:szCs w:val="28"/>
        </w:rPr>
        <w:t>а</w:t>
      </w:r>
      <w:r w:rsidRPr="00DE355B">
        <w:rPr>
          <w:sz w:val="28"/>
          <w:szCs w:val="28"/>
        </w:rPr>
        <w:t xml:space="preserve"> участие в реализации Программы, обучив 1300 граждан, относящихся к категории </w:t>
      </w:r>
      <w:r>
        <w:rPr>
          <w:sz w:val="28"/>
          <w:szCs w:val="28"/>
        </w:rPr>
        <w:t>«</w:t>
      </w:r>
      <w:r w:rsidRPr="00DE355B">
        <w:rPr>
          <w:sz w:val="28"/>
          <w:szCs w:val="28"/>
        </w:rPr>
        <w:t>пострадавшие</w:t>
      </w:r>
      <w:r>
        <w:rPr>
          <w:sz w:val="28"/>
          <w:szCs w:val="28"/>
        </w:rPr>
        <w:t xml:space="preserve"> </w:t>
      </w:r>
      <w:r w:rsidRPr="00DE355B">
        <w:rPr>
          <w:sz w:val="28"/>
          <w:szCs w:val="28"/>
        </w:rPr>
        <w:t>от последствий распространения новой коронавирусной инфекции</w:t>
      </w:r>
      <w:r>
        <w:rPr>
          <w:sz w:val="28"/>
          <w:szCs w:val="28"/>
        </w:rPr>
        <w:t>»</w:t>
      </w:r>
      <w:r w:rsidRPr="00DE355B">
        <w:rPr>
          <w:sz w:val="28"/>
          <w:szCs w:val="28"/>
        </w:rPr>
        <w:t>.</w:t>
      </w:r>
    </w:p>
    <w:p w:rsidR="00A803DB" w:rsidRPr="00DE355B" w:rsidRDefault="00A803DB" w:rsidP="00A803DB">
      <w:pPr>
        <w:suppressAutoHyphens/>
        <w:ind w:firstLine="709"/>
        <w:jc w:val="both"/>
        <w:rPr>
          <w:sz w:val="28"/>
          <w:szCs w:val="28"/>
        </w:rPr>
      </w:pPr>
      <w:r w:rsidRPr="00DE355B">
        <w:rPr>
          <w:sz w:val="28"/>
          <w:szCs w:val="28"/>
        </w:rPr>
        <w:t xml:space="preserve">Новое место работы в 2021 году </w:t>
      </w:r>
      <w:r>
        <w:rPr>
          <w:sz w:val="28"/>
          <w:szCs w:val="28"/>
        </w:rPr>
        <w:t xml:space="preserve">уже </w:t>
      </w:r>
      <w:r w:rsidRPr="00DE355B">
        <w:rPr>
          <w:sz w:val="28"/>
          <w:szCs w:val="28"/>
        </w:rPr>
        <w:t>нашли 9,8 тыс. человек, из них 3,7 тыс. человек трудоустроены до признания безработным.</w:t>
      </w:r>
    </w:p>
    <w:p w:rsidR="00A803DB" w:rsidRPr="00DE355B" w:rsidRDefault="00A803DB" w:rsidP="00A803D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91149E">
        <w:rPr>
          <w:b/>
          <w:sz w:val="28"/>
          <w:szCs w:val="28"/>
        </w:rPr>
        <w:t>По оценке к концу 2021 года</w:t>
      </w:r>
      <w:r>
        <w:rPr>
          <w:b/>
          <w:sz w:val="28"/>
          <w:szCs w:val="28"/>
        </w:rPr>
        <w:t xml:space="preserve"> </w:t>
      </w:r>
      <w:r w:rsidRPr="00DE355B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за</w:t>
      </w:r>
      <w:r w:rsidRPr="00DE355B">
        <w:rPr>
          <w:sz w:val="28"/>
          <w:szCs w:val="28"/>
        </w:rPr>
        <w:t>регистрир</w:t>
      </w:r>
      <w:r>
        <w:rPr>
          <w:sz w:val="28"/>
          <w:szCs w:val="28"/>
        </w:rPr>
        <w:t>ованной</w:t>
      </w:r>
      <w:r w:rsidRPr="00DE355B">
        <w:rPr>
          <w:sz w:val="28"/>
          <w:szCs w:val="28"/>
        </w:rPr>
        <w:t xml:space="preserve"> безработицы может </w:t>
      </w:r>
      <w:proofErr w:type="gramStart"/>
      <w:r w:rsidRPr="00DE355B">
        <w:rPr>
          <w:sz w:val="28"/>
          <w:szCs w:val="28"/>
        </w:rPr>
        <w:t>снизится</w:t>
      </w:r>
      <w:proofErr w:type="gramEnd"/>
      <w:r w:rsidRPr="00DE355B">
        <w:rPr>
          <w:sz w:val="28"/>
          <w:szCs w:val="28"/>
        </w:rPr>
        <w:t xml:space="preserve"> </w:t>
      </w:r>
      <w:r>
        <w:rPr>
          <w:sz w:val="28"/>
          <w:szCs w:val="28"/>
        </w:rPr>
        <w:t>до 0,4</w:t>
      </w:r>
      <w:r w:rsidR="0050340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DE355B">
        <w:rPr>
          <w:sz w:val="28"/>
          <w:szCs w:val="28"/>
        </w:rPr>
        <w:t xml:space="preserve"> при численности официально зарегистрированных безработных не более 4,4 </w:t>
      </w:r>
      <w:r>
        <w:rPr>
          <w:sz w:val="28"/>
          <w:szCs w:val="28"/>
        </w:rPr>
        <w:t>тыс. человек</w:t>
      </w:r>
      <w:r w:rsidRPr="00DE355B">
        <w:rPr>
          <w:sz w:val="28"/>
          <w:szCs w:val="28"/>
        </w:rPr>
        <w:t>.</w:t>
      </w:r>
    </w:p>
    <w:p w:rsidR="00A803DB" w:rsidRPr="00DE355B" w:rsidRDefault="00A803DB" w:rsidP="00A803D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DE355B">
        <w:rPr>
          <w:sz w:val="28"/>
          <w:szCs w:val="28"/>
        </w:rPr>
        <w:t xml:space="preserve">По мере снятия карантинных ограничений в регионе </w:t>
      </w:r>
      <w:r>
        <w:rPr>
          <w:sz w:val="28"/>
          <w:szCs w:val="28"/>
        </w:rPr>
        <w:t xml:space="preserve">можно ожидать, </w:t>
      </w:r>
      <w:r>
        <w:rPr>
          <w:sz w:val="28"/>
          <w:szCs w:val="28"/>
        </w:rPr>
        <w:br/>
      </w:r>
      <w:r w:rsidRPr="00DE355B">
        <w:rPr>
          <w:sz w:val="28"/>
          <w:szCs w:val="28"/>
        </w:rPr>
        <w:t xml:space="preserve">что уровень общей безработицы </w:t>
      </w:r>
      <w:r>
        <w:rPr>
          <w:sz w:val="28"/>
          <w:szCs w:val="28"/>
        </w:rPr>
        <w:t xml:space="preserve">(по методологии МОТ) </w:t>
      </w:r>
      <w:r w:rsidRPr="00DE355B">
        <w:rPr>
          <w:sz w:val="28"/>
          <w:szCs w:val="28"/>
        </w:rPr>
        <w:t xml:space="preserve">в среднем за 2021 год </w:t>
      </w:r>
      <w:r w:rsidRPr="00DE355B">
        <w:rPr>
          <w:sz w:val="28"/>
          <w:szCs w:val="28"/>
        </w:rPr>
        <w:lastRenderedPageBreak/>
        <w:t>будет не более 4,1</w:t>
      </w:r>
      <w:r w:rsidR="0050340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>
        <w:rPr>
          <w:sz w:val="28"/>
          <w:szCs w:val="28"/>
        </w:rPr>
        <w:t xml:space="preserve"> при численности</w:t>
      </w:r>
      <w:r w:rsidRPr="00DE355B">
        <w:rPr>
          <w:sz w:val="28"/>
          <w:szCs w:val="28"/>
        </w:rPr>
        <w:t xml:space="preserve"> безработных в среднем за 2021 год порядка 40,3 тыс. человек. </w:t>
      </w:r>
    </w:p>
    <w:p w:rsidR="00A803DB" w:rsidRPr="00DE355B" w:rsidRDefault="00A803DB" w:rsidP="00A803D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4D2468">
        <w:rPr>
          <w:sz w:val="28"/>
          <w:szCs w:val="28"/>
        </w:rPr>
        <w:t>Прогноз рынка труда</w:t>
      </w:r>
      <w:r w:rsidRPr="0091149E">
        <w:rPr>
          <w:b/>
          <w:sz w:val="28"/>
          <w:szCs w:val="28"/>
        </w:rPr>
        <w:t xml:space="preserve"> по консервативному варианту</w:t>
      </w:r>
      <w:r w:rsidRPr="00DE355B">
        <w:rPr>
          <w:sz w:val="28"/>
          <w:szCs w:val="28"/>
        </w:rPr>
        <w:t xml:space="preserve"> основан на предпосылке о менее благоприятной санитарно-эпидемиологической ситуации, затяжном восстановлении региональной экономики в среднесрочной перспективе из-за последствий распространения новой корон</w:t>
      </w:r>
      <w:r>
        <w:rPr>
          <w:sz w:val="28"/>
          <w:szCs w:val="28"/>
        </w:rPr>
        <w:t>а</w:t>
      </w:r>
      <w:r w:rsidRPr="00DE355B">
        <w:rPr>
          <w:sz w:val="28"/>
          <w:szCs w:val="28"/>
        </w:rPr>
        <w:t>вирусной инфекции.</w:t>
      </w:r>
    </w:p>
    <w:p w:rsidR="00A803DB" w:rsidRPr="00DE355B" w:rsidRDefault="00A803DB" w:rsidP="00A803D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DE355B">
        <w:rPr>
          <w:sz w:val="28"/>
          <w:szCs w:val="28"/>
        </w:rPr>
        <w:t>В 2022-2024 годах прогнозируется восстановление стабильности на общем рынке труда с наметившейся тенденцией к постепенному снижению основных показателей, характеризующих безработицу.</w:t>
      </w:r>
      <w:r>
        <w:rPr>
          <w:sz w:val="28"/>
          <w:szCs w:val="28"/>
        </w:rPr>
        <w:t xml:space="preserve"> </w:t>
      </w:r>
      <w:r w:rsidRPr="00DE355B">
        <w:rPr>
          <w:sz w:val="28"/>
          <w:szCs w:val="28"/>
        </w:rPr>
        <w:t xml:space="preserve">Планируемое значение показателя </w:t>
      </w:r>
      <w:r>
        <w:rPr>
          <w:sz w:val="28"/>
          <w:szCs w:val="28"/>
        </w:rPr>
        <w:t>«</w:t>
      </w:r>
      <w:r w:rsidRPr="00DE355B">
        <w:rPr>
          <w:sz w:val="28"/>
          <w:szCs w:val="28"/>
        </w:rPr>
        <w:t>уровень безработицы</w:t>
      </w:r>
      <w:r>
        <w:rPr>
          <w:sz w:val="28"/>
          <w:szCs w:val="28"/>
        </w:rPr>
        <w:t>»</w:t>
      </w:r>
      <w:r w:rsidRPr="00DE355B">
        <w:rPr>
          <w:sz w:val="28"/>
          <w:szCs w:val="28"/>
        </w:rPr>
        <w:t xml:space="preserve"> (по методологии МОТ) в среднем за год, за период 2022 – 2024 год, составит 4,7</w:t>
      </w:r>
      <w:r w:rsidR="0050340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DE355B">
        <w:rPr>
          <w:sz w:val="28"/>
          <w:szCs w:val="28"/>
        </w:rPr>
        <w:t xml:space="preserve"> </w:t>
      </w:r>
    </w:p>
    <w:p w:rsidR="00A803DB" w:rsidRPr="00DE355B" w:rsidRDefault="00A803DB" w:rsidP="00A803D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DE355B">
        <w:rPr>
          <w:sz w:val="28"/>
          <w:szCs w:val="28"/>
        </w:rPr>
        <w:t>Численность безработных (по методологии МОТ) в период с 2022-2023 годы составит 46 тыс. человек. В 2023 – 2024 году ожидается ежегодное сокращение численности безработных граждан (по методологии МОТ) в среднем на 2 тыс. человек. К 2024 году численность безработных граждан (по методологии МОТ) составит 46,4 тыс. человек.</w:t>
      </w:r>
    </w:p>
    <w:p w:rsidR="00A803DB" w:rsidRPr="00DE355B" w:rsidRDefault="00A803DB" w:rsidP="00A803D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E355B">
        <w:rPr>
          <w:sz w:val="28"/>
          <w:szCs w:val="28"/>
        </w:rPr>
        <w:t>ровень регистрируемой безработицы к концу 2024 года планируе</w:t>
      </w:r>
      <w:r>
        <w:rPr>
          <w:sz w:val="28"/>
          <w:szCs w:val="28"/>
        </w:rPr>
        <w:t xml:space="preserve">тся на уровне </w:t>
      </w:r>
      <w:r w:rsidRPr="00DE355B">
        <w:rPr>
          <w:sz w:val="28"/>
          <w:szCs w:val="28"/>
        </w:rPr>
        <w:t>0,6</w:t>
      </w:r>
      <w:r w:rsidR="0050340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проц.</w:t>
      </w:r>
      <w:r w:rsidRPr="00DE355B">
        <w:rPr>
          <w:sz w:val="28"/>
          <w:szCs w:val="28"/>
        </w:rPr>
        <w:t xml:space="preserve"> </w:t>
      </w:r>
    </w:p>
    <w:p w:rsidR="00A803DB" w:rsidRDefault="00A803DB" w:rsidP="00A803D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DE355B">
        <w:rPr>
          <w:sz w:val="28"/>
          <w:szCs w:val="28"/>
        </w:rPr>
        <w:t>Численность официально зарегистрированных в службе занятости безработных граждан прогнозируется в конце 2022 года – 6,9 тыс. человек, начиная с 2023 года, планируется сокращение численности официально зарегистрированных в службе занятости безработных граждан. К концу 2024 года данный показатель составит 6 тыс. человек.</w:t>
      </w:r>
    </w:p>
    <w:p w:rsidR="00A803DB" w:rsidRPr="00DE355B" w:rsidRDefault="00A803DB" w:rsidP="00A803D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4D2468">
        <w:rPr>
          <w:sz w:val="28"/>
          <w:szCs w:val="28"/>
        </w:rPr>
        <w:t>Прогноз рынка труда</w:t>
      </w:r>
      <w:r w:rsidRPr="0091149E">
        <w:rPr>
          <w:b/>
          <w:sz w:val="28"/>
          <w:szCs w:val="28"/>
        </w:rPr>
        <w:t xml:space="preserve"> по базовому варианту </w:t>
      </w:r>
      <w:r w:rsidRPr="00DE355B">
        <w:rPr>
          <w:sz w:val="28"/>
          <w:szCs w:val="28"/>
        </w:rPr>
        <w:t xml:space="preserve">опирается на позитивные ожидания в развитии всех сфер экономики региона, а также в части развития рынка труда (сохранение стабильности на рынке труда региона при некотором снижении безработицы). </w:t>
      </w:r>
    </w:p>
    <w:p w:rsidR="00A803DB" w:rsidRPr="00DE355B" w:rsidRDefault="00A803DB" w:rsidP="00A803DB">
      <w:pPr>
        <w:pStyle w:val="ac"/>
        <w:spacing w:after="0"/>
        <w:ind w:firstLine="709"/>
        <w:contextualSpacing/>
        <w:jc w:val="both"/>
        <w:rPr>
          <w:i/>
          <w:sz w:val="28"/>
          <w:szCs w:val="28"/>
        </w:rPr>
      </w:pPr>
      <w:r w:rsidRPr="00DE355B">
        <w:rPr>
          <w:sz w:val="28"/>
          <w:szCs w:val="28"/>
        </w:rPr>
        <w:t xml:space="preserve">В 2022-2024 годах прогнозируется постепенное снижение </w:t>
      </w:r>
      <w:r>
        <w:rPr>
          <w:sz w:val="28"/>
          <w:szCs w:val="28"/>
        </w:rPr>
        <w:t>у</w:t>
      </w:r>
      <w:r w:rsidRPr="00DE355B">
        <w:rPr>
          <w:sz w:val="28"/>
          <w:szCs w:val="28"/>
        </w:rPr>
        <w:t>ров</w:t>
      </w:r>
      <w:r>
        <w:rPr>
          <w:sz w:val="28"/>
          <w:szCs w:val="28"/>
        </w:rPr>
        <w:t xml:space="preserve">ня </w:t>
      </w:r>
      <w:r w:rsidRPr="00DE355B">
        <w:rPr>
          <w:sz w:val="28"/>
          <w:szCs w:val="28"/>
        </w:rPr>
        <w:t>безработицы (по методологии МОТ) в ср</w:t>
      </w:r>
      <w:r>
        <w:rPr>
          <w:sz w:val="28"/>
          <w:szCs w:val="28"/>
        </w:rPr>
        <w:t xml:space="preserve">еднем за год, соответственно, с </w:t>
      </w:r>
      <w:r w:rsidRPr="00DE355B">
        <w:rPr>
          <w:sz w:val="28"/>
          <w:szCs w:val="28"/>
        </w:rPr>
        <w:t>3,9 до 3,8</w:t>
      </w:r>
      <w:r w:rsidR="0050340F">
        <w:rPr>
          <w:sz w:val="28"/>
          <w:szCs w:val="28"/>
        </w:rPr>
        <w:t> </w:t>
      </w:r>
      <w:r w:rsidR="000D7061">
        <w:rPr>
          <w:sz w:val="28"/>
          <w:szCs w:val="28"/>
        </w:rPr>
        <w:t>проц.</w:t>
      </w:r>
      <w:r w:rsidRPr="00DE355B">
        <w:rPr>
          <w:sz w:val="28"/>
          <w:szCs w:val="28"/>
        </w:rPr>
        <w:t xml:space="preserve"> </w:t>
      </w:r>
    </w:p>
    <w:p w:rsidR="00A803DB" w:rsidRPr="00DE355B" w:rsidRDefault="00A803DB" w:rsidP="00A803D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DE355B">
        <w:rPr>
          <w:sz w:val="28"/>
          <w:szCs w:val="28"/>
        </w:rPr>
        <w:t xml:space="preserve">Численность безработных (по методологии МОТ) в среднем за год сократится с 38,6 тыс. человек в 2022 году до 38,4 тыс. человек в 2024 году. </w:t>
      </w:r>
    </w:p>
    <w:p w:rsidR="00A803DB" w:rsidRPr="00DE355B" w:rsidRDefault="00A803DB" w:rsidP="00A803D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DE355B">
        <w:rPr>
          <w:sz w:val="28"/>
          <w:szCs w:val="28"/>
        </w:rPr>
        <w:t>В 2022-2024 годах прогнозируется, что уровень регистрируемой безработицы</w:t>
      </w:r>
      <w:r>
        <w:rPr>
          <w:sz w:val="28"/>
          <w:szCs w:val="28"/>
        </w:rPr>
        <w:t xml:space="preserve"> </w:t>
      </w:r>
      <w:r w:rsidRPr="00DE355B">
        <w:rPr>
          <w:sz w:val="28"/>
          <w:szCs w:val="28"/>
        </w:rPr>
        <w:t>не превысит значения 0,4</w:t>
      </w:r>
      <w:r w:rsidR="0050340F">
        <w:rPr>
          <w:sz w:val="28"/>
          <w:szCs w:val="28"/>
        </w:rPr>
        <w:t xml:space="preserve"> </w:t>
      </w:r>
      <w:r w:rsidR="000D7061">
        <w:rPr>
          <w:sz w:val="28"/>
          <w:szCs w:val="28"/>
        </w:rPr>
        <w:t>проц</w:t>
      </w:r>
      <w:r w:rsidRPr="00DE355B">
        <w:rPr>
          <w:sz w:val="28"/>
          <w:szCs w:val="28"/>
        </w:rPr>
        <w:t>.</w:t>
      </w:r>
    </w:p>
    <w:p w:rsidR="00A803DB" w:rsidRPr="00DE355B" w:rsidRDefault="00A803DB" w:rsidP="00A803D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DE355B">
        <w:rPr>
          <w:sz w:val="28"/>
          <w:szCs w:val="28"/>
        </w:rPr>
        <w:t>исленность официально зарегистрированных в службе занятости безработных граждан прогнозируется снижение с 4 тыс. человек в конце 2022 года до 3,8 тыс. человек в конце 2024 года.</w:t>
      </w:r>
    </w:p>
    <w:p w:rsidR="00A803DB" w:rsidRDefault="00A803DB" w:rsidP="00A803DB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DE355B">
        <w:rPr>
          <w:sz w:val="28"/>
          <w:szCs w:val="28"/>
        </w:rPr>
        <w:t xml:space="preserve">Прогнозируется, что реализуемые службой занятости мероприятия позволят на протяжении 2022-2024 годов поддержать стабильность на рынке труда Ленинградской области даже в условиях возникновения негативных факторов, как в сфере экономики, так и других сферах жизни общества. Показатели, характеризующие рынок труда к концу 2022 года восстановятся на уровне </w:t>
      </w:r>
      <w:r>
        <w:rPr>
          <w:sz w:val="28"/>
          <w:szCs w:val="28"/>
        </w:rPr>
        <w:br/>
      </w:r>
      <w:r w:rsidRPr="00DE355B">
        <w:rPr>
          <w:sz w:val="28"/>
          <w:szCs w:val="28"/>
        </w:rPr>
        <w:t>2019 года.</w:t>
      </w:r>
    </w:p>
    <w:p w:rsidR="00A803DB" w:rsidRPr="004B235C" w:rsidRDefault="00A803DB" w:rsidP="00A803DB">
      <w:pPr>
        <w:pStyle w:val="ac"/>
        <w:spacing w:after="0"/>
        <w:ind w:firstLine="709"/>
        <w:contextualSpacing/>
        <w:jc w:val="both"/>
        <w:rPr>
          <w:color w:val="000000" w:themeColor="text1"/>
          <w:sz w:val="16"/>
          <w:szCs w:val="16"/>
          <w:highlight w:val="yellow"/>
        </w:rPr>
      </w:pPr>
    </w:p>
    <w:p w:rsidR="00DA4C64" w:rsidRPr="004D2468" w:rsidRDefault="00B07D61" w:rsidP="00DA4C64">
      <w:pPr>
        <w:pStyle w:val="ac"/>
        <w:spacing w:after="0"/>
        <w:contextualSpacing/>
        <w:jc w:val="center"/>
        <w:rPr>
          <w:sz w:val="28"/>
          <w:szCs w:val="28"/>
        </w:rPr>
      </w:pPr>
      <w:r w:rsidRPr="004D2468">
        <w:rPr>
          <w:sz w:val="28"/>
          <w:szCs w:val="28"/>
        </w:rPr>
        <w:t>Основные параметры государственных программ Лени</w:t>
      </w:r>
      <w:r w:rsidR="00DA4C64" w:rsidRPr="004D2468">
        <w:rPr>
          <w:sz w:val="28"/>
          <w:szCs w:val="28"/>
        </w:rPr>
        <w:t>нградской области</w:t>
      </w:r>
    </w:p>
    <w:p w:rsidR="00DA4C64" w:rsidRPr="004D2468" w:rsidRDefault="00DA4C64" w:rsidP="00DA4C64">
      <w:pPr>
        <w:pStyle w:val="ac"/>
        <w:spacing w:after="0"/>
        <w:contextualSpacing/>
        <w:jc w:val="center"/>
        <w:rPr>
          <w:sz w:val="16"/>
          <w:szCs w:val="16"/>
        </w:rPr>
      </w:pPr>
    </w:p>
    <w:p w:rsidR="00B07D61" w:rsidRPr="004D2468" w:rsidRDefault="00B07D61" w:rsidP="004D2468">
      <w:pPr>
        <w:pStyle w:val="ac"/>
        <w:spacing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4D2468">
        <w:rPr>
          <w:rFonts w:eastAsia="Calibri"/>
          <w:sz w:val="28"/>
          <w:szCs w:val="28"/>
        </w:rPr>
        <w:t>В 20</w:t>
      </w:r>
      <w:r w:rsidR="00EA0429" w:rsidRPr="004D2468">
        <w:rPr>
          <w:rFonts w:eastAsia="Calibri"/>
          <w:sz w:val="28"/>
          <w:szCs w:val="28"/>
        </w:rPr>
        <w:t>20</w:t>
      </w:r>
      <w:r w:rsidRPr="004D2468">
        <w:rPr>
          <w:rFonts w:eastAsia="Calibri"/>
          <w:sz w:val="28"/>
          <w:szCs w:val="28"/>
        </w:rPr>
        <w:t xml:space="preserve"> году было</w:t>
      </w:r>
      <w:r w:rsidR="00EA0429" w:rsidRPr="004D2468">
        <w:rPr>
          <w:rFonts w:eastAsia="Calibri"/>
          <w:sz w:val="28"/>
          <w:szCs w:val="28"/>
        </w:rPr>
        <w:t xml:space="preserve"> предусмотрено финансирование 18</w:t>
      </w:r>
      <w:r w:rsidRPr="004D2468">
        <w:rPr>
          <w:rFonts w:eastAsia="Calibri"/>
          <w:sz w:val="28"/>
          <w:szCs w:val="28"/>
        </w:rPr>
        <w:t xml:space="preserve"> государственных программ Ленинградской области в объеме </w:t>
      </w:r>
      <w:r w:rsidR="00EA0429" w:rsidRPr="004D2468">
        <w:rPr>
          <w:rFonts w:eastAsia="Calibri"/>
          <w:sz w:val="28"/>
          <w:szCs w:val="28"/>
        </w:rPr>
        <w:t>175,</w:t>
      </w:r>
      <w:r w:rsidR="004D2468">
        <w:rPr>
          <w:rFonts w:eastAsia="Calibri"/>
          <w:sz w:val="28"/>
          <w:szCs w:val="28"/>
        </w:rPr>
        <w:t xml:space="preserve">5 </w:t>
      </w:r>
      <w:proofErr w:type="gramStart"/>
      <w:r w:rsidR="00EA0429" w:rsidRPr="004D2468">
        <w:rPr>
          <w:rFonts w:eastAsia="Calibri"/>
          <w:sz w:val="28"/>
          <w:szCs w:val="28"/>
        </w:rPr>
        <w:t>млрд</w:t>
      </w:r>
      <w:proofErr w:type="gramEnd"/>
      <w:r w:rsidR="00EA0429" w:rsidRPr="004D2468">
        <w:rPr>
          <w:rFonts w:eastAsia="Calibri"/>
          <w:sz w:val="28"/>
          <w:szCs w:val="28"/>
        </w:rPr>
        <w:t xml:space="preserve"> рублей (в 2019</w:t>
      </w:r>
      <w:r w:rsidRPr="004D2468">
        <w:rPr>
          <w:rFonts w:eastAsia="Calibri"/>
          <w:sz w:val="28"/>
          <w:szCs w:val="28"/>
        </w:rPr>
        <w:t xml:space="preserve"> году – </w:t>
      </w:r>
      <w:r w:rsidR="00D20ADF" w:rsidRPr="004D2468">
        <w:rPr>
          <w:rFonts w:eastAsia="Calibri"/>
          <w:sz w:val="28"/>
          <w:szCs w:val="28"/>
        </w:rPr>
        <w:t xml:space="preserve">                      </w:t>
      </w:r>
      <w:r w:rsidR="00EA0429" w:rsidRPr="004D2468">
        <w:rPr>
          <w:rFonts w:eastAsia="Calibri"/>
          <w:sz w:val="28"/>
          <w:szCs w:val="28"/>
        </w:rPr>
        <w:t>145,2</w:t>
      </w:r>
      <w:r w:rsidRPr="004D2468">
        <w:rPr>
          <w:rFonts w:eastAsia="Calibri"/>
          <w:sz w:val="28"/>
          <w:szCs w:val="28"/>
        </w:rPr>
        <w:t xml:space="preserve"> млрд рублей) за счет средств всех источников (в соответствии </w:t>
      </w:r>
      <w:r w:rsidRPr="004D2468">
        <w:rPr>
          <w:rFonts w:eastAsia="Calibri"/>
          <w:sz w:val="28"/>
          <w:szCs w:val="28"/>
        </w:rPr>
        <w:br/>
        <w:t>с утвержденными государственными программами</w:t>
      </w:r>
      <w:r w:rsidRPr="004D2468">
        <w:rPr>
          <w:sz w:val="28"/>
          <w:szCs w:val="28"/>
        </w:rPr>
        <w:t xml:space="preserve"> </w:t>
      </w:r>
      <w:r w:rsidRPr="004D2468">
        <w:rPr>
          <w:rFonts w:eastAsia="Calibri"/>
          <w:sz w:val="28"/>
          <w:szCs w:val="28"/>
        </w:rPr>
        <w:t>Ленинградской области).</w:t>
      </w:r>
    </w:p>
    <w:p w:rsidR="00B07D61" w:rsidRPr="004D2468" w:rsidRDefault="00B07D61" w:rsidP="004D2468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4D2468">
        <w:rPr>
          <w:szCs w:val="28"/>
        </w:rPr>
        <w:t xml:space="preserve">Расходы областного бюджета на государственные программы Ленинградской области с учетом межбюджетных трансфертов из федерального бюджета составили </w:t>
      </w:r>
      <w:r w:rsidR="00EA0429" w:rsidRPr="004D2468">
        <w:rPr>
          <w:szCs w:val="28"/>
        </w:rPr>
        <w:t xml:space="preserve">94,3 </w:t>
      </w:r>
      <w:r w:rsidR="00D20ADF" w:rsidRPr="004D2468">
        <w:rPr>
          <w:szCs w:val="28"/>
        </w:rPr>
        <w:t>проц.</w:t>
      </w:r>
      <w:r w:rsidRPr="004D2468">
        <w:rPr>
          <w:szCs w:val="28"/>
        </w:rPr>
        <w:t xml:space="preserve"> от общего объема расходов областного бюджета Ленинградской области</w:t>
      </w:r>
      <w:r w:rsidR="00DA4C64" w:rsidRPr="004D2468">
        <w:rPr>
          <w:szCs w:val="28"/>
        </w:rPr>
        <w:t>,</w:t>
      </w:r>
      <w:r w:rsidR="00EA0429" w:rsidRPr="004D2468">
        <w:rPr>
          <w:szCs w:val="28"/>
        </w:rPr>
        <w:t xml:space="preserve"> или 160,6 </w:t>
      </w:r>
      <w:proofErr w:type="gramStart"/>
      <w:r w:rsidR="00EA0429" w:rsidRPr="004D2468">
        <w:rPr>
          <w:szCs w:val="28"/>
        </w:rPr>
        <w:t>млрд</w:t>
      </w:r>
      <w:proofErr w:type="gramEnd"/>
      <w:r w:rsidR="00EA0429" w:rsidRPr="004D2468">
        <w:rPr>
          <w:szCs w:val="28"/>
        </w:rPr>
        <w:t xml:space="preserve"> рублей (в 2019</w:t>
      </w:r>
      <w:r w:rsidRPr="004D2468">
        <w:rPr>
          <w:szCs w:val="28"/>
        </w:rPr>
        <w:t xml:space="preserve"> году программные расходы составили 94</w:t>
      </w:r>
      <w:r w:rsidR="00EA0429" w:rsidRPr="004D2468">
        <w:rPr>
          <w:szCs w:val="28"/>
        </w:rPr>
        <w:t>,4</w:t>
      </w:r>
      <w:r w:rsidR="00D20ADF" w:rsidRPr="004D2468">
        <w:rPr>
          <w:szCs w:val="28"/>
        </w:rPr>
        <w:t xml:space="preserve"> проц.</w:t>
      </w:r>
      <w:r w:rsidR="00DA4C64" w:rsidRPr="004D2468">
        <w:rPr>
          <w:szCs w:val="28"/>
        </w:rPr>
        <w:t>,</w:t>
      </w:r>
      <w:r w:rsidRPr="004D2468">
        <w:rPr>
          <w:szCs w:val="28"/>
        </w:rPr>
        <w:t xml:space="preserve"> или </w:t>
      </w:r>
      <w:r w:rsidR="00EA0429" w:rsidRPr="004D2468">
        <w:rPr>
          <w:szCs w:val="28"/>
        </w:rPr>
        <w:t>133,1</w:t>
      </w:r>
      <w:r w:rsidRPr="004D2468">
        <w:rPr>
          <w:szCs w:val="28"/>
        </w:rPr>
        <w:t xml:space="preserve"> млрд рублей). </w:t>
      </w:r>
    </w:p>
    <w:p w:rsidR="00B07D61" w:rsidRPr="004D2468" w:rsidRDefault="00B07D61" w:rsidP="004D2468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4D2468">
        <w:rPr>
          <w:szCs w:val="28"/>
        </w:rPr>
        <w:t xml:space="preserve">Фактическое финансирование государственных программ Ленинградской области из всех источников составило </w:t>
      </w:r>
      <w:r w:rsidR="00EA0429" w:rsidRPr="004D2468">
        <w:rPr>
          <w:szCs w:val="28"/>
        </w:rPr>
        <w:t>179,31</w:t>
      </w:r>
      <w:r w:rsidRPr="004D2468">
        <w:rPr>
          <w:szCs w:val="28"/>
        </w:rPr>
        <w:t xml:space="preserve"> </w:t>
      </w:r>
      <w:proofErr w:type="gramStart"/>
      <w:r w:rsidRPr="004D2468">
        <w:rPr>
          <w:szCs w:val="28"/>
        </w:rPr>
        <w:t>млрд</w:t>
      </w:r>
      <w:proofErr w:type="gramEnd"/>
      <w:r w:rsidRPr="004D2468">
        <w:rPr>
          <w:szCs w:val="28"/>
        </w:rPr>
        <w:t xml:space="preserve"> рублей</w:t>
      </w:r>
      <w:r w:rsidR="008A4803" w:rsidRPr="004D2468">
        <w:rPr>
          <w:szCs w:val="28"/>
        </w:rPr>
        <w:t>,</w:t>
      </w:r>
      <w:r w:rsidRPr="004D2468">
        <w:rPr>
          <w:szCs w:val="28"/>
        </w:rPr>
        <w:t xml:space="preserve"> </w:t>
      </w:r>
      <w:r w:rsidR="00D20ADF" w:rsidRPr="004D2468">
        <w:rPr>
          <w:szCs w:val="28"/>
        </w:rPr>
        <w:t xml:space="preserve">                                        </w:t>
      </w:r>
      <w:r w:rsidRPr="004D2468">
        <w:rPr>
          <w:szCs w:val="28"/>
        </w:rPr>
        <w:t xml:space="preserve">или </w:t>
      </w:r>
      <w:r w:rsidR="00EA0429" w:rsidRPr="004D2468">
        <w:rPr>
          <w:szCs w:val="28"/>
        </w:rPr>
        <w:t>102,2</w:t>
      </w:r>
      <w:r w:rsidR="00D20ADF" w:rsidRPr="004D2468">
        <w:rPr>
          <w:szCs w:val="28"/>
        </w:rPr>
        <w:t xml:space="preserve"> проц.</w:t>
      </w:r>
      <w:r w:rsidRPr="004D2468">
        <w:rPr>
          <w:szCs w:val="28"/>
        </w:rPr>
        <w:t xml:space="preserve"> от запланированного объема финансирова</w:t>
      </w:r>
      <w:r w:rsidR="00EA0429" w:rsidRPr="004D2468">
        <w:rPr>
          <w:szCs w:val="28"/>
        </w:rPr>
        <w:t>ния по программам на год (в 2019</w:t>
      </w:r>
      <w:r w:rsidRPr="004D2468">
        <w:rPr>
          <w:szCs w:val="28"/>
        </w:rPr>
        <w:t xml:space="preserve"> году – </w:t>
      </w:r>
      <w:r w:rsidR="00EA0429" w:rsidRPr="004D2468">
        <w:rPr>
          <w:szCs w:val="28"/>
        </w:rPr>
        <w:t>139,3</w:t>
      </w:r>
      <w:r w:rsidRPr="004D2468">
        <w:rPr>
          <w:szCs w:val="28"/>
        </w:rPr>
        <w:t xml:space="preserve"> млрд рублей</w:t>
      </w:r>
      <w:r w:rsidR="008A4803" w:rsidRPr="004D2468">
        <w:rPr>
          <w:szCs w:val="28"/>
        </w:rPr>
        <w:t>,</w:t>
      </w:r>
      <w:r w:rsidR="00EA0429" w:rsidRPr="004D2468">
        <w:rPr>
          <w:szCs w:val="28"/>
        </w:rPr>
        <w:t xml:space="preserve"> или 96</w:t>
      </w:r>
      <w:r w:rsidR="00D20ADF" w:rsidRPr="004D2468">
        <w:rPr>
          <w:szCs w:val="28"/>
        </w:rPr>
        <w:t xml:space="preserve"> проц.</w:t>
      </w:r>
      <w:r w:rsidRPr="004D2468">
        <w:rPr>
          <w:szCs w:val="28"/>
        </w:rPr>
        <w:t>).</w:t>
      </w:r>
    </w:p>
    <w:p w:rsidR="00B07D61" w:rsidRPr="004D2468" w:rsidRDefault="00B07D61" w:rsidP="004D246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68">
        <w:rPr>
          <w:rFonts w:eastAsia="Calibri"/>
          <w:sz w:val="28"/>
          <w:szCs w:val="28"/>
        </w:rPr>
        <w:t>Финансирование из областного бюджета Ленинградской о</w:t>
      </w:r>
      <w:r w:rsidR="00EA0429" w:rsidRPr="004D2468">
        <w:rPr>
          <w:rFonts w:eastAsia="Calibri"/>
          <w:sz w:val="28"/>
          <w:szCs w:val="28"/>
        </w:rPr>
        <w:t>бласти осуществлялось по всем 18</w:t>
      </w:r>
      <w:r w:rsidRPr="004D2468">
        <w:rPr>
          <w:rFonts w:eastAsia="Calibri"/>
          <w:sz w:val="28"/>
          <w:szCs w:val="28"/>
        </w:rPr>
        <w:t xml:space="preserve"> государственным программам и составило </w:t>
      </w:r>
      <w:r w:rsidR="00EA0429" w:rsidRPr="004D2468">
        <w:rPr>
          <w:rFonts w:eastAsia="Calibri"/>
          <w:sz w:val="28"/>
          <w:szCs w:val="28"/>
        </w:rPr>
        <w:t>141,5</w:t>
      </w:r>
      <w:r w:rsidRPr="004D2468">
        <w:rPr>
          <w:rFonts w:eastAsia="Calibri"/>
          <w:sz w:val="28"/>
          <w:szCs w:val="28"/>
        </w:rPr>
        <w:t xml:space="preserve"> </w:t>
      </w:r>
      <w:proofErr w:type="gramStart"/>
      <w:r w:rsidRPr="004D2468">
        <w:rPr>
          <w:rFonts w:eastAsia="Calibri"/>
          <w:sz w:val="28"/>
          <w:szCs w:val="28"/>
        </w:rPr>
        <w:t>млрд</w:t>
      </w:r>
      <w:proofErr w:type="gramEnd"/>
      <w:r w:rsidRPr="004D2468">
        <w:rPr>
          <w:rFonts w:eastAsia="Calibri"/>
          <w:sz w:val="28"/>
          <w:szCs w:val="28"/>
        </w:rPr>
        <w:t xml:space="preserve"> рублей</w:t>
      </w:r>
      <w:r w:rsidR="008A4803" w:rsidRPr="004D2468">
        <w:rPr>
          <w:rFonts w:eastAsia="Calibri"/>
          <w:sz w:val="28"/>
          <w:szCs w:val="28"/>
        </w:rPr>
        <w:t>,</w:t>
      </w:r>
      <w:r w:rsidRPr="004D2468">
        <w:rPr>
          <w:rFonts w:eastAsia="Calibri"/>
          <w:sz w:val="28"/>
          <w:szCs w:val="28"/>
        </w:rPr>
        <w:t xml:space="preserve"> или </w:t>
      </w:r>
      <w:r w:rsidR="00EA0429" w:rsidRPr="004D2468">
        <w:rPr>
          <w:rFonts w:eastAsia="Calibri"/>
          <w:sz w:val="28"/>
          <w:szCs w:val="28"/>
        </w:rPr>
        <w:t>96,9</w:t>
      </w:r>
      <w:r w:rsidR="00D20ADF" w:rsidRPr="004D2468">
        <w:rPr>
          <w:rFonts w:eastAsia="Calibri"/>
          <w:sz w:val="28"/>
          <w:szCs w:val="28"/>
        </w:rPr>
        <w:t xml:space="preserve"> проц.</w:t>
      </w:r>
      <w:r w:rsidR="00EA0429" w:rsidRPr="004D2468">
        <w:rPr>
          <w:rFonts w:eastAsia="Calibri"/>
          <w:sz w:val="28"/>
          <w:szCs w:val="28"/>
        </w:rPr>
        <w:t xml:space="preserve"> (в 2019</w:t>
      </w:r>
      <w:r w:rsidRPr="004D2468">
        <w:rPr>
          <w:rFonts w:eastAsia="Calibri"/>
          <w:sz w:val="28"/>
          <w:szCs w:val="28"/>
        </w:rPr>
        <w:t xml:space="preserve"> году – </w:t>
      </w:r>
      <w:r w:rsidR="00EA0429" w:rsidRPr="004D2468">
        <w:rPr>
          <w:rFonts w:eastAsia="Calibri"/>
          <w:sz w:val="28"/>
          <w:szCs w:val="28"/>
        </w:rPr>
        <w:t>122,5</w:t>
      </w:r>
      <w:r w:rsidRPr="004D2468">
        <w:rPr>
          <w:rFonts w:eastAsia="Calibri"/>
          <w:sz w:val="28"/>
          <w:szCs w:val="28"/>
        </w:rPr>
        <w:t xml:space="preserve"> млрд рублей</w:t>
      </w:r>
      <w:r w:rsidR="008A4803" w:rsidRPr="004D2468">
        <w:rPr>
          <w:rFonts w:eastAsia="Calibri"/>
          <w:sz w:val="28"/>
          <w:szCs w:val="28"/>
        </w:rPr>
        <w:t>,</w:t>
      </w:r>
      <w:r w:rsidR="00EA0429" w:rsidRPr="004D2468">
        <w:rPr>
          <w:rFonts w:eastAsia="Calibri"/>
          <w:sz w:val="28"/>
          <w:szCs w:val="28"/>
        </w:rPr>
        <w:t xml:space="preserve"> или 98</w:t>
      </w:r>
      <w:r w:rsidR="00D20ADF" w:rsidRPr="004D2468">
        <w:rPr>
          <w:rFonts w:eastAsia="Calibri"/>
          <w:sz w:val="28"/>
          <w:szCs w:val="28"/>
        </w:rPr>
        <w:t xml:space="preserve"> проц.</w:t>
      </w:r>
      <w:r w:rsidRPr="004D2468">
        <w:rPr>
          <w:rFonts w:eastAsia="Calibri"/>
          <w:sz w:val="28"/>
          <w:szCs w:val="28"/>
        </w:rPr>
        <w:t xml:space="preserve">) </w:t>
      </w:r>
      <w:r w:rsidRPr="004D2468">
        <w:rPr>
          <w:rFonts w:eastAsia="Calibri"/>
          <w:sz w:val="28"/>
          <w:szCs w:val="28"/>
        </w:rPr>
        <w:br/>
        <w:t>от запланированного на год объема финансирования.</w:t>
      </w:r>
    </w:p>
    <w:p w:rsidR="00B07D61" w:rsidRPr="004D2468" w:rsidRDefault="00B07D61" w:rsidP="004D24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68">
        <w:rPr>
          <w:rFonts w:eastAsia="Calibri"/>
          <w:sz w:val="28"/>
          <w:szCs w:val="28"/>
          <w:lang w:eastAsia="en-US"/>
        </w:rPr>
        <w:t xml:space="preserve">Выполнение работ (мероприятий) государственных программ Ленинградской области за счет всех источников составило </w:t>
      </w:r>
      <w:r w:rsidR="00EA0429" w:rsidRPr="004D2468">
        <w:rPr>
          <w:rFonts w:eastAsia="Calibri"/>
          <w:sz w:val="28"/>
          <w:szCs w:val="28"/>
          <w:lang w:eastAsia="en-US"/>
        </w:rPr>
        <w:t>174,</w:t>
      </w:r>
      <w:r w:rsidR="004D2468">
        <w:rPr>
          <w:rFonts w:eastAsia="Calibri"/>
          <w:sz w:val="28"/>
          <w:szCs w:val="28"/>
          <w:lang w:eastAsia="en-US"/>
        </w:rPr>
        <w:t>3</w:t>
      </w:r>
      <w:r w:rsidRPr="004D246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D2468">
        <w:rPr>
          <w:rFonts w:eastAsia="Calibri"/>
          <w:sz w:val="28"/>
          <w:szCs w:val="28"/>
          <w:lang w:eastAsia="en-US"/>
        </w:rPr>
        <w:t>млрд</w:t>
      </w:r>
      <w:proofErr w:type="gramEnd"/>
      <w:r w:rsidRPr="004D2468">
        <w:rPr>
          <w:rFonts w:eastAsia="Calibri"/>
          <w:sz w:val="28"/>
          <w:szCs w:val="28"/>
          <w:lang w:eastAsia="en-US"/>
        </w:rPr>
        <w:t xml:space="preserve"> руб</w:t>
      </w:r>
      <w:r w:rsidR="004D7AC9" w:rsidRPr="004D2468">
        <w:rPr>
          <w:rFonts w:eastAsia="Calibri"/>
          <w:sz w:val="28"/>
          <w:szCs w:val="28"/>
          <w:lang w:eastAsia="en-US"/>
        </w:rPr>
        <w:t>лей</w:t>
      </w:r>
      <w:r w:rsidRPr="004D2468">
        <w:rPr>
          <w:rFonts w:eastAsia="Calibri"/>
          <w:sz w:val="28"/>
          <w:szCs w:val="28"/>
          <w:lang w:eastAsia="en-US"/>
        </w:rPr>
        <w:t xml:space="preserve"> </w:t>
      </w:r>
      <w:r w:rsidR="00D20ADF" w:rsidRPr="004D2468">
        <w:rPr>
          <w:rFonts w:eastAsia="Calibri"/>
          <w:sz w:val="28"/>
          <w:szCs w:val="28"/>
          <w:lang w:eastAsia="en-US"/>
        </w:rPr>
        <w:t xml:space="preserve">                 </w:t>
      </w:r>
      <w:r w:rsidRPr="004D2468">
        <w:rPr>
          <w:rFonts w:eastAsia="Calibri"/>
          <w:sz w:val="28"/>
          <w:szCs w:val="28"/>
          <w:lang w:eastAsia="en-US"/>
        </w:rPr>
        <w:t>(</w:t>
      </w:r>
      <w:r w:rsidR="009753FD" w:rsidRPr="004D2468">
        <w:rPr>
          <w:rFonts w:eastAsia="Calibri"/>
          <w:sz w:val="28"/>
          <w:szCs w:val="28"/>
          <w:lang w:eastAsia="en-US"/>
        </w:rPr>
        <w:t>97,2</w:t>
      </w:r>
      <w:r w:rsidR="00D20ADF" w:rsidRPr="004D2468">
        <w:rPr>
          <w:rFonts w:eastAsia="Calibri"/>
          <w:sz w:val="28"/>
          <w:szCs w:val="28"/>
          <w:lang w:eastAsia="en-US"/>
        </w:rPr>
        <w:t xml:space="preserve"> проц.</w:t>
      </w:r>
      <w:r w:rsidRPr="004D2468">
        <w:rPr>
          <w:rFonts w:eastAsia="Calibri"/>
          <w:sz w:val="28"/>
          <w:szCs w:val="28"/>
          <w:lang w:eastAsia="en-US"/>
        </w:rPr>
        <w:t xml:space="preserve"> от финансирования</w:t>
      </w:r>
      <w:r w:rsidR="004D7AC9" w:rsidRPr="004D2468">
        <w:rPr>
          <w:rFonts w:eastAsia="Calibri"/>
          <w:sz w:val="28"/>
          <w:szCs w:val="28"/>
          <w:lang w:eastAsia="en-US"/>
        </w:rPr>
        <w:t>,</w:t>
      </w:r>
      <w:r w:rsidRPr="004D2468">
        <w:rPr>
          <w:rFonts w:eastAsia="Calibri"/>
          <w:sz w:val="28"/>
          <w:szCs w:val="28"/>
          <w:lang w:eastAsia="en-US"/>
        </w:rPr>
        <w:t xml:space="preserve"> или </w:t>
      </w:r>
      <w:r w:rsidR="009753FD" w:rsidRPr="004D2468">
        <w:rPr>
          <w:rFonts w:eastAsia="Calibri"/>
          <w:sz w:val="28"/>
          <w:szCs w:val="28"/>
          <w:lang w:eastAsia="en-US"/>
        </w:rPr>
        <w:t>99,3</w:t>
      </w:r>
      <w:r w:rsidR="00D20ADF" w:rsidRPr="004D2468">
        <w:rPr>
          <w:rFonts w:eastAsia="Calibri"/>
          <w:sz w:val="28"/>
          <w:szCs w:val="28"/>
          <w:lang w:eastAsia="en-US"/>
        </w:rPr>
        <w:t xml:space="preserve"> проц.</w:t>
      </w:r>
      <w:r w:rsidRPr="004D2468">
        <w:rPr>
          <w:rFonts w:eastAsia="Calibri"/>
          <w:sz w:val="28"/>
          <w:szCs w:val="28"/>
          <w:lang w:eastAsia="en-US"/>
        </w:rPr>
        <w:t xml:space="preserve"> от плана).</w:t>
      </w:r>
    </w:p>
    <w:p w:rsidR="00F12167" w:rsidRPr="004D2468" w:rsidRDefault="00F12167" w:rsidP="004D2468">
      <w:pPr>
        <w:ind w:firstLine="709"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По итогам реализации государственных программ в 2020 году отмечаются следующие основные результаты: 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1. </w:t>
      </w:r>
      <w:proofErr w:type="gramStart"/>
      <w:r w:rsidRPr="004D2468">
        <w:rPr>
          <w:rFonts w:cs="Calibri"/>
          <w:sz w:val="28"/>
          <w:szCs w:val="28"/>
          <w:u w:val="single"/>
        </w:rPr>
        <w:t>Введены</w:t>
      </w:r>
      <w:proofErr w:type="gramEnd"/>
      <w:r w:rsidRPr="004D2468">
        <w:rPr>
          <w:rFonts w:cs="Calibri"/>
          <w:sz w:val="28"/>
          <w:szCs w:val="28"/>
          <w:u w:val="single"/>
        </w:rPr>
        <w:t xml:space="preserve"> в эксплуатацию</w:t>
      </w:r>
      <w:r w:rsidRPr="004D2468">
        <w:rPr>
          <w:rFonts w:cs="Calibri"/>
          <w:sz w:val="28"/>
          <w:szCs w:val="28"/>
        </w:rPr>
        <w:t xml:space="preserve">: 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поликлиника при областной детской больнице в </w:t>
      </w:r>
      <w:proofErr w:type="spellStart"/>
      <w:r w:rsidRPr="004D2468">
        <w:rPr>
          <w:rFonts w:cs="Calibri"/>
          <w:sz w:val="28"/>
          <w:szCs w:val="28"/>
        </w:rPr>
        <w:t>г</w:t>
      </w:r>
      <w:proofErr w:type="gramStart"/>
      <w:r w:rsidRPr="004D2468">
        <w:rPr>
          <w:rFonts w:cs="Calibri"/>
          <w:sz w:val="28"/>
          <w:szCs w:val="28"/>
        </w:rPr>
        <w:t>.С</w:t>
      </w:r>
      <w:proofErr w:type="gramEnd"/>
      <w:r w:rsidRPr="004D2468">
        <w:rPr>
          <w:rFonts w:cs="Calibri"/>
          <w:sz w:val="28"/>
          <w:szCs w:val="28"/>
        </w:rPr>
        <w:t>ертолово</w:t>
      </w:r>
      <w:proofErr w:type="spellEnd"/>
      <w:r w:rsidRPr="004D2468">
        <w:rPr>
          <w:rFonts w:cs="Calibri"/>
          <w:sz w:val="28"/>
          <w:szCs w:val="28"/>
        </w:rPr>
        <w:t xml:space="preserve"> на 850 пос. в смену;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школа на 600 мест в </w:t>
      </w:r>
      <w:proofErr w:type="spellStart"/>
      <w:r w:rsidRPr="004D2468">
        <w:rPr>
          <w:rFonts w:cs="Calibri"/>
          <w:sz w:val="28"/>
          <w:szCs w:val="28"/>
        </w:rPr>
        <w:t>г</w:t>
      </w:r>
      <w:proofErr w:type="gramStart"/>
      <w:r w:rsidRPr="004D2468">
        <w:rPr>
          <w:rFonts w:cs="Calibri"/>
          <w:sz w:val="28"/>
          <w:szCs w:val="28"/>
        </w:rPr>
        <w:t>.Ш</w:t>
      </w:r>
      <w:proofErr w:type="gramEnd"/>
      <w:r w:rsidRPr="004D2468">
        <w:rPr>
          <w:rFonts w:cs="Calibri"/>
          <w:sz w:val="28"/>
          <w:szCs w:val="28"/>
        </w:rPr>
        <w:t>лиссельбурге</w:t>
      </w:r>
      <w:proofErr w:type="spellEnd"/>
      <w:r w:rsidRPr="004D2468">
        <w:rPr>
          <w:rFonts w:cs="Calibri"/>
          <w:sz w:val="28"/>
          <w:szCs w:val="28"/>
        </w:rPr>
        <w:t>;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пристройка на 350 мест к школе в </w:t>
      </w:r>
      <w:proofErr w:type="spellStart"/>
      <w:r w:rsidRPr="004D2468">
        <w:rPr>
          <w:rFonts w:cs="Calibri"/>
          <w:sz w:val="28"/>
          <w:szCs w:val="28"/>
        </w:rPr>
        <w:t>пос</w:t>
      </w:r>
      <w:proofErr w:type="gramStart"/>
      <w:r w:rsidRPr="004D2468">
        <w:rPr>
          <w:rFonts w:cs="Calibri"/>
          <w:sz w:val="28"/>
          <w:szCs w:val="28"/>
        </w:rPr>
        <w:t>.Т</w:t>
      </w:r>
      <w:proofErr w:type="gramEnd"/>
      <w:r w:rsidRPr="004D2468">
        <w:rPr>
          <w:rFonts w:cs="Calibri"/>
          <w:sz w:val="28"/>
          <w:szCs w:val="28"/>
        </w:rPr>
        <w:t>олмачево</w:t>
      </w:r>
      <w:proofErr w:type="spellEnd"/>
      <w:r w:rsidRPr="004D2468">
        <w:rPr>
          <w:rFonts w:cs="Calibri"/>
          <w:sz w:val="28"/>
          <w:szCs w:val="28"/>
        </w:rPr>
        <w:t xml:space="preserve"> Лужского района;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спортивный зал школы в </w:t>
      </w:r>
      <w:proofErr w:type="spellStart"/>
      <w:r w:rsidRPr="004D2468">
        <w:rPr>
          <w:rFonts w:cs="Calibri"/>
          <w:sz w:val="28"/>
          <w:szCs w:val="28"/>
        </w:rPr>
        <w:t>д</w:t>
      </w:r>
      <w:proofErr w:type="gramStart"/>
      <w:r w:rsidRPr="004D2468">
        <w:rPr>
          <w:rFonts w:cs="Calibri"/>
          <w:sz w:val="28"/>
          <w:szCs w:val="28"/>
        </w:rPr>
        <w:t>.Ф</w:t>
      </w:r>
      <w:proofErr w:type="gramEnd"/>
      <w:r w:rsidRPr="004D2468">
        <w:rPr>
          <w:rFonts w:cs="Calibri"/>
          <w:sz w:val="28"/>
          <w:szCs w:val="28"/>
        </w:rPr>
        <w:t>едоровское</w:t>
      </w:r>
      <w:proofErr w:type="spellEnd"/>
      <w:r w:rsidRPr="004D2468">
        <w:rPr>
          <w:rFonts w:cs="Calibri"/>
          <w:sz w:val="28"/>
          <w:szCs w:val="28"/>
        </w:rPr>
        <w:t xml:space="preserve"> </w:t>
      </w:r>
      <w:proofErr w:type="spellStart"/>
      <w:r w:rsidRPr="004D2468">
        <w:rPr>
          <w:rFonts w:cs="Calibri"/>
          <w:sz w:val="28"/>
          <w:szCs w:val="28"/>
        </w:rPr>
        <w:t>Тосненского</w:t>
      </w:r>
      <w:proofErr w:type="spellEnd"/>
      <w:r w:rsidRPr="004D2468">
        <w:rPr>
          <w:rFonts w:cs="Calibri"/>
          <w:sz w:val="28"/>
          <w:szCs w:val="28"/>
        </w:rPr>
        <w:t xml:space="preserve"> района;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>- в рамках федерального проекта «Жилье»: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школа на 550 мест в </w:t>
      </w:r>
      <w:proofErr w:type="spellStart"/>
      <w:r w:rsidRPr="004D2468">
        <w:rPr>
          <w:rFonts w:cs="Calibri"/>
          <w:sz w:val="28"/>
          <w:szCs w:val="28"/>
        </w:rPr>
        <w:t>п</w:t>
      </w:r>
      <w:proofErr w:type="gramStart"/>
      <w:r w:rsidRPr="004D2468">
        <w:rPr>
          <w:rFonts w:cs="Calibri"/>
          <w:sz w:val="28"/>
          <w:szCs w:val="28"/>
        </w:rPr>
        <w:t>.Н</w:t>
      </w:r>
      <w:proofErr w:type="gramEnd"/>
      <w:r w:rsidRPr="004D2468">
        <w:rPr>
          <w:rFonts w:cs="Calibri"/>
          <w:sz w:val="28"/>
          <w:szCs w:val="28"/>
        </w:rPr>
        <w:t>овогорелово</w:t>
      </w:r>
      <w:proofErr w:type="spellEnd"/>
      <w:r w:rsidRPr="004D2468">
        <w:rPr>
          <w:rFonts w:cs="Calibri"/>
          <w:sz w:val="28"/>
          <w:szCs w:val="28"/>
        </w:rPr>
        <w:t xml:space="preserve"> Ломоносовского района;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детский сад на 295 мест в </w:t>
      </w:r>
      <w:proofErr w:type="spellStart"/>
      <w:r w:rsidRPr="004D2468">
        <w:rPr>
          <w:rFonts w:cs="Calibri"/>
          <w:sz w:val="28"/>
          <w:szCs w:val="28"/>
        </w:rPr>
        <w:t>г</w:t>
      </w:r>
      <w:proofErr w:type="gramStart"/>
      <w:r w:rsidRPr="004D2468">
        <w:rPr>
          <w:rFonts w:cs="Calibri"/>
          <w:sz w:val="28"/>
          <w:szCs w:val="28"/>
        </w:rPr>
        <w:t>.К</w:t>
      </w:r>
      <w:proofErr w:type="gramEnd"/>
      <w:r w:rsidRPr="004D2468">
        <w:rPr>
          <w:rFonts w:cs="Calibri"/>
          <w:sz w:val="28"/>
          <w:szCs w:val="28"/>
        </w:rPr>
        <w:t>удрово</w:t>
      </w:r>
      <w:proofErr w:type="spellEnd"/>
      <w:r w:rsidRPr="004D2468">
        <w:rPr>
          <w:rFonts w:cs="Calibri"/>
          <w:sz w:val="28"/>
          <w:szCs w:val="28"/>
        </w:rPr>
        <w:t>;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- 2 физкультурно-оздоровительных комплекса в </w:t>
      </w:r>
      <w:proofErr w:type="spellStart"/>
      <w:r w:rsidRPr="004D2468">
        <w:rPr>
          <w:rFonts w:cs="Calibri"/>
          <w:sz w:val="28"/>
          <w:szCs w:val="28"/>
        </w:rPr>
        <w:t>г</w:t>
      </w:r>
      <w:proofErr w:type="gramStart"/>
      <w:r w:rsidRPr="004D2468">
        <w:rPr>
          <w:rFonts w:cs="Calibri"/>
          <w:sz w:val="28"/>
          <w:szCs w:val="28"/>
        </w:rPr>
        <w:t>.С</w:t>
      </w:r>
      <w:proofErr w:type="gramEnd"/>
      <w:r w:rsidRPr="004D2468">
        <w:rPr>
          <w:rFonts w:cs="Calibri"/>
          <w:sz w:val="28"/>
          <w:szCs w:val="28"/>
        </w:rPr>
        <w:t>ланцы</w:t>
      </w:r>
      <w:proofErr w:type="spellEnd"/>
      <w:r w:rsidRPr="004D2468">
        <w:rPr>
          <w:rFonts w:cs="Calibri"/>
          <w:sz w:val="28"/>
          <w:szCs w:val="28"/>
        </w:rPr>
        <w:t xml:space="preserve"> и </w:t>
      </w:r>
      <w:proofErr w:type="spellStart"/>
      <w:r w:rsidRPr="004D2468">
        <w:rPr>
          <w:rFonts w:cs="Calibri"/>
          <w:sz w:val="28"/>
          <w:szCs w:val="28"/>
        </w:rPr>
        <w:t>пос.Будогощь</w:t>
      </w:r>
      <w:proofErr w:type="spellEnd"/>
      <w:r w:rsidRPr="004D2468">
        <w:rPr>
          <w:rFonts w:cs="Calibri"/>
          <w:sz w:val="28"/>
          <w:szCs w:val="28"/>
        </w:rPr>
        <w:t xml:space="preserve"> </w:t>
      </w:r>
      <w:proofErr w:type="spellStart"/>
      <w:r w:rsidRPr="004D2468">
        <w:rPr>
          <w:rFonts w:cs="Calibri"/>
          <w:sz w:val="28"/>
          <w:szCs w:val="28"/>
        </w:rPr>
        <w:t>Киришского</w:t>
      </w:r>
      <w:proofErr w:type="spellEnd"/>
      <w:r w:rsidRPr="004D2468">
        <w:rPr>
          <w:rFonts w:cs="Calibri"/>
          <w:sz w:val="28"/>
          <w:szCs w:val="28"/>
        </w:rPr>
        <w:t xml:space="preserve"> района;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склад имущества гражданской обороны с помещениями для работников и химико-радиометрической лаборатории (на 10 854 единицы хранения) в </w:t>
      </w:r>
      <w:proofErr w:type="spellStart"/>
      <w:r w:rsidRPr="004D2468">
        <w:rPr>
          <w:rFonts w:cs="Calibri"/>
          <w:sz w:val="28"/>
          <w:szCs w:val="28"/>
        </w:rPr>
        <w:t>г</w:t>
      </w:r>
      <w:proofErr w:type="gramStart"/>
      <w:r w:rsidRPr="004D2468">
        <w:rPr>
          <w:rFonts w:cs="Calibri"/>
          <w:sz w:val="28"/>
          <w:szCs w:val="28"/>
        </w:rPr>
        <w:t>.Т</w:t>
      </w:r>
      <w:proofErr w:type="gramEnd"/>
      <w:r w:rsidRPr="004D2468">
        <w:rPr>
          <w:rFonts w:cs="Calibri"/>
          <w:sz w:val="28"/>
          <w:szCs w:val="28"/>
        </w:rPr>
        <w:t>осно</w:t>
      </w:r>
      <w:proofErr w:type="spellEnd"/>
      <w:r w:rsidRPr="004D2468">
        <w:rPr>
          <w:rFonts w:cs="Calibri"/>
          <w:sz w:val="28"/>
          <w:szCs w:val="28"/>
        </w:rPr>
        <w:t>;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гаражно-складской комплекс для стоянки, обслуживания автомобильной техники (20 </w:t>
      </w:r>
      <w:proofErr w:type="spellStart"/>
      <w:r w:rsidRPr="004D2468">
        <w:rPr>
          <w:rFonts w:cs="Calibri"/>
          <w:sz w:val="28"/>
          <w:szCs w:val="28"/>
        </w:rPr>
        <w:t>машино</w:t>
      </w:r>
      <w:proofErr w:type="spellEnd"/>
      <w:r w:rsidRPr="004D2468">
        <w:rPr>
          <w:rFonts w:cs="Calibri"/>
          <w:sz w:val="28"/>
          <w:szCs w:val="28"/>
        </w:rPr>
        <w:t xml:space="preserve">-выездов) в </w:t>
      </w:r>
      <w:proofErr w:type="spellStart"/>
      <w:r w:rsidRPr="004D2468">
        <w:rPr>
          <w:rFonts w:cs="Calibri"/>
          <w:sz w:val="28"/>
          <w:szCs w:val="28"/>
        </w:rPr>
        <w:t>г</w:t>
      </w:r>
      <w:proofErr w:type="gramStart"/>
      <w:r w:rsidRPr="004D2468">
        <w:rPr>
          <w:rFonts w:cs="Calibri"/>
          <w:sz w:val="28"/>
          <w:szCs w:val="28"/>
        </w:rPr>
        <w:t>.Т</w:t>
      </w:r>
      <w:proofErr w:type="gramEnd"/>
      <w:r w:rsidRPr="004D2468">
        <w:rPr>
          <w:rFonts w:cs="Calibri"/>
          <w:sz w:val="28"/>
          <w:szCs w:val="28"/>
        </w:rPr>
        <w:t>осно</w:t>
      </w:r>
      <w:proofErr w:type="spellEnd"/>
      <w:r w:rsidRPr="004D2468">
        <w:rPr>
          <w:rFonts w:cs="Calibri"/>
          <w:sz w:val="28"/>
          <w:szCs w:val="28"/>
        </w:rPr>
        <w:t>;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здание поисково-спасательной станции (5 </w:t>
      </w:r>
      <w:proofErr w:type="spellStart"/>
      <w:r w:rsidRPr="004D2468">
        <w:rPr>
          <w:rFonts w:cs="Calibri"/>
          <w:sz w:val="28"/>
          <w:szCs w:val="28"/>
        </w:rPr>
        <w:t>машино</w:t>
      </w:r>
      <w:proofErr w:type="spellEnd"/>
      <w:r w:rsidRPr="004D2468">
        <w:rPr>
          <w:rFonts w:cs="Calibri"/>
          <w:sz w:val="28"/>
          <w:szCs w:val="28"/>
        </w:rPr>
        <w:t xml:space="preserve">-выездов) в </w:t>
      </w:r>
      <w:proofErr w:type="spellStart"/>
      <w:r w:rsidRPr="004D2468">
        <w:rPr>
          <w:rFonts w:cs="Calibri"/>
          <w:sz w:val="28"/>
          <w:szCs w:val="28"/>
        </w:rPr>
        <w:t>г</w:t>
      </w:r>
      <w:proofErr w:type="gramStart"/>
      <w:r w:rsidRPr="004D2468">
        <w:rPr>
          <w:rFonts w:cs="Calibri"/>
          <w:sz w:val="28"/>
          <w:szCs w:val="28"/>
        </w:rPr>
        <w:t>.Т</w:t>
      </w:r>
      <w:proofErr w:type="gramEnd"/>
      <w:r w:rsidRPr="004D2468">
        <w:rPr>
          <w:rFonts w:cs="Calibri"/>
          <w:sz w:val="28"/>
          <w:szCs w:val="28"/>
        </w:rPr>
        <w:t>осно</w:t>
      </w:r>
      <w:proofErr w:type="spellEnd"/>
      <w:r w:rsidRPr="004D2468">
        <w:rPr>
          <w:rFonts w:cs="Calibri"/>
          <w:sz w:val="28"/>
          <w:szCs w:val="28"/>
        </w:rPr>
        <w:t>;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- 2,868 км/102,3 </w:t>
      </w:r>
      <w:proofErr w:type="spellStart"/>
      <w:r w:rsidRPr="004D2468">
        <w:rPr>
          <w:rFonts w:cs="Calibri"/>
          <w:sz w:val="28"/>
          <w:szCs w:val="28"/>
        </w:rPr>
        <w:t>пог</w:t>
      </w:r>
      <w:proofErr w:type="gramStart"/>
      <w:r w:rsidRPr="004D2468">
        <w:rPr>
          <w:rFonts w:cs="Calibri"/>
          <w:sz w:val="28"/>
          <w:szCs w:val="28"/>
        </w:rPr>
        <w:t>.м</w:t>
      </w:r>
      <w:proofErr w:type="spellEnd"/>
      <w:proofErr w:type="gramEnd"/>
      <w:r w:rsidRPr="004D2468">
        <w:rPr>
          <w:rFonts w:cs="Calibri"/>
          <w:sz w:val="28"/>
          <w:szCs w:val="28"/>
        </w:rPr>
        <w:t xml:space="preserve"> автомобильных дорог общего пользования регионального значения (и искусственных сооружений на них), муниципального значения - 0,514 км.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z w:val="28"/>
          <w:szCs w:val="28"/>
          <w:u w:val="single"/>
        </w:rPr>
      </w:pPr>
      <w:r w:rsidRPr="004D2468">
        <w:rPr>
          <w:rFonts w:cs="Calibri"/>
          <w:sz w:val="28"/>
          <w:szCs w:val="28"/>
        </w:rPr>
        <w:t xml:space="preserve">2. </w:t>
      </w:r>
      <w:r w:rsidRPr="004D2468">
        <w:rPr>
          <w:rFonts w:cs="Calibri"/>
          <w:sz w:val="28"/>
          <w:szCs w:val="28"/>
          <w:u w:val="single"/>
        </w:rPr>
        <w:t>Завершено строительство (реконструкция):</w:t>
      </w:r>
    </w:p>
    <w:p w:rsidR="00F12167" w:rsidRPr="004D2468" w:rsidRDefault="00F12167" w:rsidP="004D2468">
      <w:pPr>
        <w:ind w:firstLine="709"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врачебной амбулатории на 110 посещений с постом скорой медицинской помощи в </w:t>
      </w:r>
      <w:proofErr w:type="spellStart"/>
      <w:r w:rsidRPr="004D2468">
        <w:rPr>
          <w:rFonts w:cs="Calibri"/>
          <w:sz w:val="28"/>
          <w:szCs w:val="28"/>
        </w:rPr>
        <w:t>пос</w:t>
      </w:r>
      <w:proofErr w:type="gramStart"/>
      <w:r w:rsidRPr="004D2468">
        <w:rPr>
          <w:rFonts w:cs="Calibri"/>
          <w:sz w:val="28"/>
          <w:szCs w:val="28"/>
        </w:rPr>
        <w:t>.Т</w:t>
      </w:r>
      <w:proofErr w:type="gramEnd"/>
      <w:r w:rsidRPr="004D2468">
        <w:rPr>
          <w:rFonts w:cs="Calibri"/>
          <w:sz w:val="28"/>
          <w:szCs w:val="28"/>
        </w:rPr>
        <w:t>олмачево</w:t>
      </w:r>
      <w:proofErr w:type="spellEnd"/>
      <w:r w:rsidRPr="004D2468">
        <w:rPr>
          <w:rFonts w:cs="Calibri"/>
          <w:sz w:val="28"/>
          <w:szCs w:val="28"/>
        </w:rPr>
        <w:t xml:space="preserve"> Лужского района;</w:t>
      </w:r>
    </w:p>
    <w:p w:rsidR="00F12167" w:rsidRPr="004D2468" w:rsidRDefault="00F12167" w:rsidP="004D2468">
      <w:pPr>
        <w:ind w:firstLine="709"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lastRenderedPageBreak/>
        <w:t xml:space="preserve">- крытого плавательного бассейна в </w:t>
      </w:r>
      <w:proofErr w:type="spellStart"/>
      <w:r w:rsidRPr="004D2468">
        <w:rPr>
          <w:rFonts w:cs="Calibri"/>
          <w:sz w:val="28"/>
          <w:szCs w:val="28"/>
        </w:rPr>
        <w:t>г</w:t>
      </w:r>
      <w:proofErr w:type="gramStart"/>
      <w:r w:rsidRPr="004D2468">
        <w:rPr>
          <w:rFonts w:cs="Calibri"/>
          <w:sz w:val="28"/>
          <w:szCs w:val="28"/>
        </w:rPr>
        <w:t>.И</w:t>
      </w:r>
      <w:proofErr w:type="gramEnd"/>
      <w:r w:rsidRPr="004D2468">
        <w:rPr>
          <w:rFonts w:cs="Calibri"/>
          <w:sz w:val="28"/>
          <w:szCs w:val="28"/>
        </w:rPr>
        <w:t>вангороде</w:t>
      </w:r>
      <w:proofErr w:type="spellEnd"/>
      <w:r w:rsidRPr="004D2468">
        <w:rPr>
          <w:rFonts w:cs="Calibri"/>
          <w:sz w:val="28"/>
          <w:szCs w:val="28"/>
        </w:rPr>
        <w:t>;</w:t>
      </w:r>
    </w:p>
    <w:p w:rsidR="00F12167" w:rsidRPr="004D2468" w:rsidRDefault="00F12167" w:rsidP="004D2468">
      <w:pPr>
        <w:ind w:firstLine="709"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>- 280,589 км распределительных газовых сетей;</w:t>
      </w:r>
    </w:p>
    <w:p w:rsidR="00F12167" w:rsidRPr="004D2468" w:rsidRDefault="00F12167" w:rsidP="004D2468">
      <w:pPr>
        <w:ind w:firstLine="709"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>- канализационных очистных сооружений мощностью 200 м³/</w:t>
      </w:r>
      <w:proofErr w:type="spellStart"/>
      <w:r w:rsidRPr="004D2468">
        <w:rPr>
          <w:rFonts w:cs="Calibri"/>
          <w:sz w:val="28"/>
          <w:szCs w:val="28"/>
        </w:rPr>
        <w:t>сут</w:t>
      </w:r>
      <w:proofErr w:type="spellEnd"/>
      <w:r w:rsidRPr="004D2468">
        <w:rPr>
          <w:rFonts w:cs="Calibri"/>
          <w:sz w:val="28"/>
          <w:szCs w:val="28"/>
        </w:rPr>
        <w:t xml:space="preserve"> в п. </w:t>
      </w:r>
      <w:proofErr w:type="spellStart"/>
      <w:r w:rsidRPr="004D2468">
        <w:rPr>
          <w:rFonts w:cs="Calibri"/>
          <w:sz w:val="28"/>
          <w:szCs w:val="28"/>
        </w:rPr>
        <w:t>Каложицы</w:t>
      </w:r>
      <w:proofErr w:type="spellEnd"/>
      <w:r w:rsidRPr="004D2468">
        <w:rPr>
          <w:rFonts w:cs="Calibri"/>
          <w:sz w:val="28"/>
          <w:szCs w:val="28"/>
        </w:rPr>
        <w:t xml:space="preserve"> </w:t>
      </w:r>
      <w:proofErr w:type="spellStart"/>
      <w:r w:rsidRPr="004D2468">
        <w:rPr>
          <w:rFonts w:cs="Calibri"/>
          <w:sz w:val="28"/>
          <w:szCs w:val="28"/>
        </w:rPr>
        <w:t>Волосовского</w:t>
      </w:r>
      <w:proofErr w:type="spellEnd"/>
      <w:r w:rsidRPr="004D2468">
        <w:rPr>
          <w:rFonts w:cs="Calibri"/>
          <w:sz w:val="28"/>
          <w:szCs w:val="28"/>
        </w:rPr>
        <w:t xml:space="preserve"> района;</w:t>
      </w:r>
    </w:p>
    <w:p w:rsidR="00F12167" w:rsidRPr="004D2468" w:rsidRDefault="00F12167" w:rsidP="004D2468">
      <w:pPr>
        <w:ind w:firstLine="709"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- 1 этапа сетей водоснабжения протяженностью 6443,3 </w:t>
      </w:r>
      <w:proofErr w:type="spellStart"/>
      <w:r w:rsidRPr="004D2468">
        <w:rPr>
          <w:rFonts w:cs="Calibri"/>
          <w:sz w:val="28"/>
          <w:szCs w:val="28"/>
        </w:rPr>
        <w:t>пог.м</w:t>
      </w:r>
      <w:proofErr w:type="spellEnd"/>
      <w:r w:rsidRPr="004D2468">
        <w:rPr>
          <w:rFonts w:cs="Calibri"/>
          <w:sz w:val="28"/>
          <w:szCs w:val="28"/>
        </w:rPr>
        <w:t xml:space="preserve"> в микрорайоне </w:t>
      </w:r>
      <w:proofErr w:type="spellStart"/>
      <w:r w:rsidRPr="004D2468">
        <w:rPr>
          <w:rFonts w:cs="Calibri"/>
          <w:sz w:val="28"/>
          <w:szCs w:val="28"/>
        </w:rPr>
        <w:t>Петрушинское</w:t>
      </w:r>
      <w:proofErr w:type="spellEnd"/>
      <w:r w:rsidRPr="004D2468">
        <w:rPr>
          <w:rFonts w:cs="Calibri"/>
          <w:sz w:val="28"/>
          <w:szCs w:val="28"/>
        </w:rPr>
        <w:t xml:space="preserve"> Поле </w:t>
      </w:r>
      <w:proofErr w:type="spellStart"/>
      <w:r w:rsidRPr="004D2468">
        <w:rPr>
          <w:rFonts w:cs="Calibri"/>
          <w:sz w:val="28"/>
          <w:szCs w:val="28"/>
        </w:rPr>
        <w:t>г</w:t>
      </w:r>
      <w:proofErr w:type="gramStart"/>
      <w:r w:rsidRPr="004D2468">
        <w:rPr>
          <w:rFonts w:cs="Calibri"/>
          <w:sz w:val="28"/>
          <w:szCs w:val="28"/>
        </w:rPr>
        <w:t>.О</w:t>
      </w:r>
      <w:proofErr w:type="gramEnd"/>
      <w:r w:rsidRPr="004D2468">
        <w:rPr>
          <w:rFonts w:cs="Calibri"/>
          <w:sz w:val="28"/>
          <w:szCs w:val="28"/>
        </w:rPr>
        <w:t>традное</w:t>
      </w:r>
      <w:proofErr w:type="spellEnd"/>
      <w:r w:rsidRPr="004D2468">
        <w:rPr>
          <w:rFonts w:cs="Calibri"/>
          <w:sz w:val="28"/>
          <w:szCs w:val="28"/>
        </w:rPr>
        <w:t xml:space="preserve">; </w:t>
      </w:r>
    </w:p>
    <w:p w:rsidR="00F12167" w:rsidRPr="004D2468" w:rsidRDefault="00F12167" w:rsidP="004D2468">
      <w:pPr>
        <w:ind w:firstLine="709"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- 2 ниток протяженностью 3589,75 </w:t>
      </w:r>
      <w:proofErr w:type="spellStart"/>
      <w:r w:rsidRPr="004D2468">
        <w:rPr>
          <w:rFonts w:cs="Calibri"/>
          <w:sz w:val="28"/>
          <w:szCs w:val="28"/>
        </w:rPr>
        <w:t>пог.м</w:t>
      </w:r>
      <w:proofErr w:type="spellEnd"/>
      <w:r w:rsidRPr="004D2468">
        <w:rPr>
          <w:rFonts w:cs="Calibri"/>
          <w:sz w:val="28"/>
          <w:szCs w:val="28"/>
        </w:rPr>
        <w:t xml:space="preserve"> напорного канализационного коллектора мощностью 105 м</w:t>
      </w:r>
      <w:r w:rsidRPr="004D2468">
        <w:rPr>
          <w:sz w:val="28"/>
          <w:szCs w:val="28"/>
        </w:rPr>
        <w:t>³</w:t>
      </w:r>
      <w:r w:rsidRPr="004D2468">
        <w:rPr>
          <w:rFonts w:cs="Calibri"/>
          <w:sz w:val="28"/>
          <w:szCs w:val="28"/>
        </w:rPr>
        <w:t>/</w:t>
      </w:r>
      <w:proofErr w:type="spellStart"/>
      <w:r w:rsidRPr="004D2468">
        <w:rPr>
          <w:rFonts w:cs="Calibri"/>
          <w:sz w:val="28"/>
          <w:szCs w:val="28"/>
        </w:rPr>
        <w:t>сут</w:t>
      </w:r>
      <w:proofErr w:type="spellEnd"/>
      <w:r w:rsidRPr="004D2468">
        <w:rPr>
          <w:rFonts w:cs="Calibri"/>
          <w:sz w:val="28"/>
          <w:szCs w:val="28"/>
        </w:rPr>
        <w:t xml:space="preserve"> от </w:t>
      </w:r>
      <w:proofErr w:type="spellStart"/>
      <w:r w:rsidRPr="004D2468">
        <w:rPr>
          <w:rFonts w:cs="Calibri"/>
          <w:sz w:val="28"/>
          <w:szCs w:val="28"/>
        </w:rPr>
        <w:t>пос</w:t>
      </w:r>
      <w:proofErr w:type="gramStart"/>
      <w:r w:rsidRPr="004D2468">
        <w:rPr>
          <w:rFonts w:cs="Calibri"/>
          <w:sz w:val="28"/>
          <w:szCs w:val="28"/>
        </w:rPr>
        <w:t>.Д</w:t>
      </w:r>
      <w:proofErr w:type="gramEnd"/>
      <w:r w:rsidRPr="004D2468">
        <w:rPr>
          <w:rFonts w:cs="Calibri"/>
          <w:sz w:val="28"/>
          <w:szCs w:val="28"/>
        </w:rPr>
        <w:t>ружная</w:t>
      </w:r>
      <w:proofErr w:type="spellEnd"/>
      <w:r w:rsidRPr="004D2468">
        <w:rPr>
          <w:rFonts w:cs="Calibri"/>
          <w:sz w:val="28"/>
          <w:szCs w:val="28"/>
        </w:rPr>
        <w:t xml:space="preserve"> Горка до </w:t>
      </w:r>
      <w:proofErr w:type="spellStart"/>
      <w:r w:rsidRPr="004D2468">
        <w:rPr>
          <w:rFonts w:cs="Calibri"/>
          <w:sz w:val="28"/>
          <w:szCs w:val="28"/>
        </w:rPr>
        <w:t>дер.Лампово</w:t>
      </w:r>
      <w:proofErr w:type="spellEnd"/>
      <w:r w:rsidRPr="004D2468">
        <w:rPr>
          <w:rFonts w:cs="Calibri"/>
          <w:sz w:val="28"/>
          <w:szCs w:val="28"/>
        </w:rPr>
        <w:t xml:space="preserve"> в Гатчинском районе;</w:t>
      </w:r>
    </w:p>
    <w:p w:rsidR="00F12167" w:rsidRPr="004D2468" w:rsidRDefault="00F12167" w:rsidP="004D2468">
      <w:pPr>
        <w:ind w:firstLine="709"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 xml:space="preserve">- объектов водоснабжения протяженностью 9278,9 </w:t>
      </w:r>
      <w:proofErr w:type="spellStart"/>
      <w:r w:rsidRPr="004D2468">
        <w:rPr>
          <w:rFonts w:cs="Calibri"/>
          <w:sz w:val="28"/>
          <w:szCs w:val="28"/>
        </w:rPr>
        <w:t>пог.м</w:t>
      </w:r>
      <w:proofErr w:type="spellEnd"/>
      <w:r w:rsidRPr="004D2468">
        <w:rPr>
          <w:rFonts w:cs="Calibri"/>
          <w:sz w:val="28"/>
          <w:szCs w:val="28"/>
        </w:rPr>
        <w:t xml:space="preserve"> в </w:t>
      </w:r>
      <w:proofErr w:type="spellStart"/>
      <w:r w:rsidRPr="004D2468">
        <w:rPr>
          <w:rFonts w:cs="Calibri"/>
          <w:sz w:val="28"/>
          <w:szCs w:val="28"/>
        </w:rPr>
        <w:t>д</w:t>
      </w:r>
      <w:proofErr w:type="gramStart"/>
      <w:r w:rsidRPr="004D2468">
        <w:rPr>
          <w:rFonts w:cs="Calibri"/>
          <w:sz w:val="28"/>
          <w:szCs w:val="28"/>
        </w:rPr>
        <w:t>.Т</w:t>
      </w:r>
      <w:proofErr w:type="gramEnd"/>
      <w:r w:rsidRPr="004D2468">
        <w:rPr>
          <w:rFonts w:cs="Calibri"/>
          <w:sz w:val="28"/>
          <w:szCs w:val="28"/>
        </w:rPr>
        <w:t>орошковичи</w:t>
      </w:r>
      <w:proofErr w:type="spellEnd"/>
      <w:r w:rsidRPr="004D2468">
        <w:rPr>
          <w:rFonts w:cs="Calibri"/>
          <w:sz w:val="28"/>
          <w:szCs w:val="28"/>
        </w:rPr>
        <w:t xml:space="preserve"> Лужского района в рамках федерального проекта «Чистая вода»;</w:t>
      </w:r>
    </w:p>
    <w:p w:rsidR="00F12167" w:rsidRPr="004D2468" w:rsidRDefault="00F12167" w:rsidP="004D2468">
      <w:pPr>
        <w:ind w:firstLine="709"/>
        <w:jc w:val="both"/>
        <w:rPr>
          <w:rFonts w:cs="Calibri"/>
          <w:sz w:val="28"/>
          <w:szCs w:val="28"/>
        </w:rPr>
      </w:pPr>
      <w:r w:rsidRPr="004D2468">
        <w:rPr>
          <w:rFonts w:cs="Calibri"/>
          <w:sz w:val="28"/>
          <w:szCs w:val="28"/>
        </w:rPr>
        <w:t>- дорог к 15 предприятиям агропромышленного комплекса протяженностью 19,6 км.</w:t>
      </w:r>
    </w:p>
    <w:p w:rsidR="00F12167" w:rsidRPr="004D2468" w:rsidRDefault="00F12167" w:rsidP="004D2468">
      <w:pPr>
        <w:tabs>
          <w:tab w:val="left" w:pos="1134"/>
        </w:tabs>
        <w:ind w:firstLine="709"/>
        <w:contextualSpacing/>
        <w:jc w:val="both"/>
        <w:rPr>
          <w:rFonts w:cs="Calibri"/>
          <w:spacing w:val="-6"/>
          <w:sz w:val="28"/>
          <w:szCs w:val="28"/>
          <w:u w:val="single"/>
        </w:rPr>
      </w:pPr>
      <w:r w:rsidRPr="004D2468">
        <w:rPr>
          <w:rFonts w:cs="Calibri"/>
          <w:spacing w:val="-6"/>
          <w:sz w:val="28"/>
          <w:szCs w:val="28"/>
        </w:rPr>
        <w:t xml:space="preserve">3. </w:t>
      </w:r>
      <w:r w:rsidRPr="004D2468">
        <w:rPr>
          <w:rFonts w:cs="Calibri"/>
          <w:spacing w:val="-6"/>
          <w:sz w:val="28"/>
          <w:szCs w:val="28"/>
          <w:u w:val="single"/>
        </w:rPr>
        <w:t>Приобретены:</w:t>
      </w:r>
    </w:p>
    <w:p w:rsidR="00F12167" w:rsidRPr="004D2468" w:rsidRDefault="00F12167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- школа на 550 учащихся с оборудованием в </w:t>
      </w:r>
      <w:proofErr w:type="spellStart"/>
      <w:r w:rsidRPr="004D2468">
        <w:rPr>
          <w:sz w:val="28"/>
          <w:szCs w:val="28"/>
        </w:rPr>
        <w:t>г.п</w:t>
      </w:r>
      <w:proofErr w:type="gramStart"/>
      <w:r w:rsidRPr="004D2468">
        <w:rPr>
          <w:sz w:val="28"/>
          <w:szCs w:val="28"/>
        </w:rPr>
        <w:t>.Н</w:t>
      </w:r>
      <w:proofErr w:type="gramEnd"/>
      <w:r w:rsidRPr="004D2468">
        <w:rPr>
          <w:sz w:val="28"/>
          <w:szCs w:val="28"/>
        </w:rPr>
        <w:t>овоселье</w:t>
      </w:r>
      <w:proofErr w:type="spellEnd"/>
      <w:r w:rsidRPr="004D2468">
        <w:rPr>
          <w:sz w:val="28"/>
          <w:szCs w:val="28"/>
        </w:rPr>
        <w:t xml:space="preserve"> Ломоносовского района;</w:t>
      </w:r>
    </w:p>
    <w:p w:rsidR="00F12167" w:rsidRPr="004D2468" w:rsidRDefault="00F12167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- 4 детских сада во Всеволожском районе на 450 мест (в </w:t>
      </w:r>
      <w:proofErr w:type="spellStart"/>
      <w:r w:rsidRPr="004D2468">
        <w:rPr>
          <w:sz w:val="28"/>
          <w:szCs w:val="28"/>
        </w:rPr>
        <w:t>г.п</w:t>
      </w:r>
      <w:proofErr w:type="gramStart"/>
      <w:r w:rsidRPr="004D2468">
        <w:rPr>
          <w:sz w:val="28"/>
          <w:szCs w:val="28"/>
        </w:rPr>
        <w:t>.Я</w:t>
      </w:r>
      <w:proofErr w:type="gramEnd"/>
      <w:r w:rsidRPr="004D2468">
        <w:rPr>
          <w:sz w:val="28"/>
          <w:szCs w:val="28"/>
        </w:rPr>
        <w:t>нино</w:t>
      </w:r>
      <w:proofErr w:type="spellEnd"/>
      <w:r w:rsidRPr="004D2468">
        <w:rPr>
          <w:sz w:val="28"/>
          <w:szCs w:val="28"/>
        </w:rPr>
        <w:t xml:space="preserve"> - 105 мест, </w:t>
      </w:r>
      <w:proofErr w:type="spellStart"/>
      <w:r w:rsidRPr="004D2468">
        <w:rPr>
          <w:sz w:val="28"/>
          <w:szCs w:val="28"/>
        </w:rPr>
        <w:t>д.Мистолово</w:t>
      </w:r>
      <w:proofErr w:type="spellEnd"/>
      <w:r w:rsidRPr="004D2468">
        <w:rPr>
          <w:sz w:val="28"/>
          <w:szCs w:val="28"/>
        </w:rPr>
        <w:t xml:space="preserve"> - 95 мест, </w:t>
      </w:r>
      <w:proofErr w:type="spellStart"/>
      <w:r w:rsidRPr="004D2468">
        <w:rPr>
          <w:sz w:val="28"/>
          <w:szCs w:val="28"/>
        </w:rPr>
        <w:t>г.Мурино</w:t>
      </w:r>
      <w:proofErr w:type="spellEnd"/>
      <w:r w:rsidRPr="004D2468">
        <w:rPr>
          <w:sz w:val="28"/>
          <w:szCs w:val="28"/>
        </w:rPr>
        <w:t xml:space="preserve"> - 100 мест, </w:t>
      </w:r>
      <w:proofErr w:type="spellStart"/>
      <w:r w:rsidRPr="004D2468">
        <w:rPr>
          <w:sz w:val="28"/>
          <w:szCs w:val="28"/>
        </w:rPr>
        <w:t>г.Кудрово</w:t>
      </w:r>
      <w:proofErr w:type="spellEnd"/>
      <w:r w:rsidRPr="004D2468">
        <w:rPr>
          <w:sz w:val="28"/>
          <w:szCs w:val="28"/>
        </w:rPr>
        <w:t xml:space="preserve"> - 150 мест);</w:t>
      </w:r>
    </w:p>
    <w:p w:rsidR="00F12167" w:rsidRPr="004D2468" w:rsidRDefault="00F12167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- детский сад на 210 мест в </w:t>
      </w:r>
      <w:proofErr w:type="spellStart"/>
      <w:r w:rsidRPr="004D2468">
        <w:rPr>
          <w:sz w:val="28"/>
          <w:szCs w:val="28"/>
        </w:rPr>
        <w:t>п</w:t>
      </w:r>
      <w:proofErr w:type="gramStart"/>
      <w:r w:rsidRPr="004D2468">
        <w:rPr>
          <w:sz w:val="28"/>
          <w:szCs w:val="28"/>
        </w:rPr>
        <w:t>.Б</w:t>
      </w:r>
      <w:proofErr w:type="gramEnd"/>
      <w:r w:rsidRPr="004D2468">
        <w:rPr>
          <w:sz w:val="28"/>
          <w:szCs w:val="28"/>
        </w:rPr>
        <w:t>угры</w:t>
      </w:r>
      <w:proofErr w:type="spellEnd"/>
      <w:r w:rsidRPr="004D2468">
        <w:rPr>
          <w:sz w:val="28"/>
          <w:szCs w:val="28"/>
        </w:rPr>
        <w:t xml:space="preserve"> в рамках федерального проекта «Содействие занятости женщин - создание условий дошкольного образования для детей в возрасте до трех лет»;</w:t>
      </w:r>
    </w:p>
    <w:p w:rsidR="00F12167" w:rsidRPr="004D2468" w:rsidRDefault="00F12167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- врачебная амбулатория на 100 пос. в смену в </w:t>
      </w:r>
      <w:proofErr w:type="spellStart"/>
      <w:r w:rsidRPr="004D2468">
        <w:rPr>
          <w:sz w:val="28"/>
          <w:szCs w:val="28"/>
        </w:rPr>
        <w:t>д</w:t>
      </w:r>
      <w:proofErr w:type="gramStart"/>
      <w:r w:rsidRPr="004D2468">
        <w:rPr>
          <w:sz w:val="28"/>
          <w:szCs w:val="28"/>
        </w:rPr>
        <w:t>.В</w:t>
      </w:r>
      <w:proofErr w:type="gramEnd"/>
      <w:r w:rsidRPr="004D2468">
        <w:rPr>
          <w:sz w:val="28"/>
          <w:szCs w:val="28"/>
        </w:rPr>
        <w:t>истино</w:t>
      </w:r>
      <w:proofErr w:type="spellEnd"/>
      <w:r w:rsidRPr="004D2468">
        <w:rPr>
          <w:sz w:val="28"/>
          <w:szCs w:val="28"/>
        </w:rPr>
        <w:t xml:space="preserve"> </w:t>
      </w:r>
      <w:proofErr w:type="spellStart"/>
      <w:r w:rsidRPr="004D2468">
        <w:rPr>
          <w:sz w:val="28"/>
          <w:szCs w:val="28"/>
        </w:rPr>
        <w:t>Кингисеппского</w:t>
      </w:r>
      <w:proofErr w:type="spellEnd"/>
      <w:r w:rsidRPr="004D2468">
        <w:rPr>
          <w:sz w:val="28"/>
          <w:szCs w:val="28"/>
        </w:rPr>
        <w:t xml:space="preserve"> района и помещение под размещение амбулатории на 35 пос. в смену в </w:t>
      </w:r>
      <w:proofErr w:type="spellStart"/>
      <w:r w:rsidRPr="004D2468">
        <w:rPr>
          <w:sz w:val="28"/>
          <w:szCs w:val="28"/>
        </w:rPr>
        <w:t>п.Рябово</w:t>
      </w:r>
      <w:proofErr w:type="spellEnd"/>
      <w:r w:rsidRPr="004D2468">
        <w:rPr>
          <w:sz w:val="28"/>
          <w:szCs w:val="28"/>
        </w:rPr>
        <w:t xml:space="preserve"> </w:t>
      </w:r>
      <w:proofErr w:type="spellStart"/>
      <w:r w:rsidRPr="004D2468">
        <w:rPr>
          <w:sz w:val="28"/>
          <w:szCs w:val="28"/>
        </w:rPr>
        <w:t>Тосненского</w:t>
      </w:r>
      <w:proofErr w:type="spellEnd"/>
      <w:r w:rsidRPr="004D2468">
        <w:rPr>
          <w:sz w:val="28"/>
          <w:szCs w:val="28"/>
        </w:rPr>
        <w:t xml:space="preserve"> района;</w:t>
      </w:r>
    </w:p>
    <w:p w:rsidR="00F12167" w:rsidRPr="004D2468" w:rsidRDefault="00F12167" w:rsidP="004D2468">
      <w:pPr>
        <w:ind w:firstLine="709"/>
        <w:jc w:val="both"/>
        <w:rPr>
          <w:sz w:val="28"/>
          <w:szCs w:val="28"/>
          <w:u w:val="single"/>
        </w:rPr>
      </w:pPr>
      <w:r w:rsidRPr="004D2468">
        <w:rPr>
          <w:sz w:val="28"/>
          <w:szCs w:val="28"/>
          <w:u w:val="single"/>
        </w:rPr>
        <w:t>Кроме того:</w:t>
      </w:r>
    </w:p>
    <w:p w:rsidR="00F12167" w:rsidRPr="004D2468" w:rsidRDefault="00F12167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- отремонтировано 2 256 </w:t>
      </w:r>
      <w:proofErr w:type="spellStart"/>
      <w:r w:rsidRPr="004D2468">
        <w:rPr>
          <w:sz w:val="28"/>
          <w:szCs w:val="28"/>
        </w:rPr>
        <w:t>пог</w:t>
      </w:r>
      <w:proofErr w:type="gramStart"/>
      <w:r w:rsidRPr="004D2468">
        <w:rPr>
          <w:sz w:val="28"/>
          <w:szCs w:val="28"/>
        </w:rPr>
        <w:t>.м</w:t>
      </w:r>
      <w:proofErr w:type="spellEnd"/>
      <w:proofErr w:type="gramEnd"/>
      <w:r w:rsidRPr="004D2468">
        <w:rPr>
          <w:sz w:val="28"/>
          <w:szCs w:val="28"/>
        </w:rPr>
        <w:t xml:space="preserve"> водопроводных сетей, 893 </w:t>
      </w:r>
      <w:proofErr w:type="spellStart"/>
      <w:r w:rsidRPr="004D2468">
        <w:rPr>
          <w:sz w:val="28"/>
          <w:szCs w:val="28"/>
        </w:rPr>
        <w:t>пог.м</w:t>
      </w:r>
      <w:proofErr w:type="spellEnd"/>
      <w:r w:rsidRPr="004D2468">
        <w:rPr>
          <w:sz w:val="28"/>
          <w:szCs w:val="28"/>
        </w:rPr>
        <w:t xml:space="preserve"> магистрального канализационного трубопровода;</w:t>
      </w:r>
    </w:p>
    <w:p w:rsidR="00F12167" w:rsidRPr="004D2468" w:rsidRDefault="00F12167" w:rsidP="004D246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>- к сетям газораспределения подключено 639 индивидуальных домовладений;</w:t>
      </w:r>
    </w:p>
    <w:p w:rsidR="00F12167" w:rsidRPr="004D2468" w:rsidRDefault="00F12167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>- улучшили жилищные условия:</w:t>
      </w:r>
    </w:p>
    <w:p w:rsidR="00F12167" w:rsidRPr="004D2468" w:rsidRDefault="00F12167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237 молодых граждан (семей), приобретены жилые помещения общей площадью 12 165,52 </w:t>
      </w:r>
      <w:proofErr w:type="spellStart"/>
      <w:r w:rsidRPr="004D2468">
        <w:rPr>
          <w:sz w:val="28"/>
          <w:szCs w:val="28"/>
        </w:rPr>
        <w:t>кв</w:t>
      </w:r>
      <w:proofErr w:type="gramStart"/>
      <w:r w:rsidRPr="004D2468">
        <w:rPr>
          <w:sz w:val="28"/>
          <w:szCs w:val="28"/>
        </w:rPr>
        <w:t>.м</w:t>
      </w:r>
      <w:proofErr w:type="spellEnd"/>
      <w:proofErr w:type="gramEnd"/>
      <w:r w:rsidRPr="004D2468">
        <w:rPr>
          <w:sz w:val="28"/>
          <w:szCs w:val="28"/>
        </w:rPr>
        <w:t>;</w:t>
      </w:r>
    </w:p>
    <w:p w:rsidR="00F12167" w:rsidRPr="004D2468" w:rsidRDefault="00F12167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45 граждан (семей) (в том числе 8 молодых педагогов) с использованием средств ипотечных кредитов, приобретено 3 156,35 </w:t>
      </w:r>
      <w:proofErr w:type="spellStart"/>
      <w:r w:rsidRPr="004D2468">
        <w:rPr>
          <w:sz w:val="28"/>
          <w:szCs w:val="28"/>
        </w:rPr>
        <w:t>кв</w:t>
      </w:r>
      <w:proofErr w:type="gramStart"/>
      <w:r w:rsidRPr="004D2468">
        <w:rPr>
          <w:sz w:val="28"/>
          <w:szCs w:val="28"/>
        </w:rPr>
        <w:t>.м</w:t>
      </w:r>
      <w:proofErr w:type="spellEnd"/>
      <w:proofErr w:type="gramEnd"/>
      <w:r w:rsidRPr="004D2468">
        <w:rPr>
          <w:sz w:val="28"/>
          <w:szCs w:val="28"/>
        </w:rPr>
        <w:t>;</w:t>
      </w:r>
    </w:p>
    <w:p w:rsidR="00F12167" w:rsidRPr="004D2468" w:rsidRDefault="00F12167" w:rsidP="004D2468">
      <w:pPr>
        <w:ind w:firstLine="709"/>
        <w:contextualSpacing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41 сельская семья, приобретены жилые помещения общей площадью 3 282,23 </w:t>
      </w:r>
      <w:proofErr w:type="spellStart"/>
      <w:r w:rsidRPr="004D2468">
        <w:rPr>
          <w:sz w:val="28"/>
          <w:szCs w:val="28"/>
        </w:rPr>
        <w:t>кв</w:t>
      </w:r>
      <w:proofErr w:type="gramStart"/>
      <w:r w:rsidRPr="004D2468">
        <w:rPr>
          <w:sz w:val="28"/>
          <w:szCs w:val="28"/>
        </w:rPr>
        <w:t>.м</w:t>
      </w:r>
      <w:proofErr w:type="spellEnd"/>
      <w:proofErr w:type="gramEnd"/>
      <w:r w:rsidRPr="004D2468">
        <w:rPr>
          <w:sz w:val="28"/>
          <w:szCs w:val="28"/>
        </w:rPr>
        <w:t>;</w:t>
      </w:r>
    </w:p>
    <w:p w:rsidR="00F12167" w:rsidRPr="004D2468" w:rsidRDefault="00F12167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переселено 1577 чел. из аварийного жилищного фонда общей площадью 24599,37 </w:t>
      </w:r>
      <w:proofErr w:type="spellStart"/>
      <w:r w:rsidRPr="004D2468">
        <w:rPr>
          <w:sz w:val="28"/>
          <w:szCs w:val="28"/>
        </w:rPr>
        <w:t>кв</w:t>
      </w:r>
      <w:proofErr w:type="gramStart"/>
      <w:r w:rsidRPr="004D2468">
        <w:rPr>
          <w:sz w:val="28"/>
          <w:szCs w:val="28"/>
        </w:rPr>
        <w:t>.м</w:t>
      </w:r>
      <w:proofErr w:type="spellEnd"/>
      <w:proofErr w:type="gramEnd"/>
      <w:r w:rsidRPr="004D2468">
        <w:rPr>
          <w:sz w:val="28"/>
          <w:szCs w:val="28"/>
        </w:rPr>
        <w:t>;</w:t>
      </w:r>
    </w:p>
    <w:p w:rsidR="00F12167" w:rsidRPr="004D2468" w:rsidRDefault="00F12167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приобретено 11 жилых помещений общей площадью 501,1 </w:t>
      </w:r>
      <w:proofErr w:type="spellStart"/>
      <w:r w:rsidRPr="004D2468">
        <w:rPr>
          <w:sz w:val="28"/>
          <w:szCs w:val="28"/>
        </w:rPr>
        <w:t>кв</w:t>
      </w:r>
      <w:proofErr w:type="gramStart"/>
      <w:r w:rsidRPr="004D2468">
        <w:rPr>
          <w:sz w:val="28"/>
          <w:szCs w:val="28"/>
        </w:rPr>
        <w:t>.м</w:t>
      </w:r>
      <w:proofErr w:type="spellEnd"/>
      <w:proofErr w:type="gramEnd"/>
      <w:r w:rsidRPr="004D2468">
        <w:rPr>
          <w:sz w:val="28"/>
          <w:szCs w:val="28"/>
        </w:rPr>
        <w:t xml:space="preserve"> для обеспечения жилыми помещениями 24 граждан, пострадавших в результате пожара муниципального жилищного фонда.</w:t>
      </w:r>
    </w:p>
    <w:p w:rsidR="00F12167" w:rsidRPr="004D2468" w:rsidRDefault="00F12167" w:rsidP="004D2468">
      <w:pPr>
        <w:ind w:firstLine="709"/>
        <w:jc w:val="both"/>
        <w:rPr>
          <w:sz w:val="28"/>
          <w:szCs w:val="28"/>
        </w:rPr>
      </w:pPr>
      <w:r w:rsidRPr="004D2468">
        <w:rPr>
          <w:sz w:val="28"/>
          <w:szCs w:val="28"/>
        </w:rPr>
        <w:t xml:space="preserve">- обеспечены инженерной и транспортной инфраструктурой 116 земельных участков в районах массовой жилой застройки, в том числе 88 участков, предоставленных многодетным семьям. </w:t>
      </w:r>
    </w:p>
    <w:p w:rsidR="00F66AEF" w:rsidRPr="00DE3A19" w:rsidRDefault="00B07D61" w:rsidP="004D2468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4D2468">
        <w:rPr>
          <w:sz w:val="28"/>
          <w:szCs w:val="28"/>
        </w:rPr>
        <w:lastRenderedPageBreak/>
        <w:t xml:space="preserve">На </w:t>
      </w:r>
      <w:r w:rsidR="00F12167" w:rsidRPr="004D2468">
        <w:rPr>
          <w:sz w:val="28"/>
          <w:szCs w:val="28"/>
        </w:rPr>
        <w:t>прогнозируемый период 2022</w:t>
      </w:r>
      <w:r w:rsidR="004D7AC9" w:rsidRPr="004D2468">
        <w:rPr>
          <w:sz w:val="28"/>
          <w:szCs w:val="28"/>
        </w:rPr>
        <w:t xml:space="preserve"> – </w:t>
      </w:r>
      <w:r w:rsidR="004E3022" w:rsidRPr="004D2468">
        <w:rPr>
          <w:sz w:val="28"/>
          <w:szCs w:val="28"/>
        </w:rPr>
        <w:t xml:space="preserve">2024 </w:t>
      </w:r>
      <w:r w:rsidRPr="004D2468">
        <w:rPr>
          <w:sz w:val="28"/>
          <w:szCs w:val="28"/>
        </w:rPr>
        <w:t>год</w:t>
      </w:r>
      <w:r w:rsidR="004D7AC9" w:rsidRPr="004D2468">
        <w:rPr>
          <w:sz w:val="28"/>
          <w:szCs w:val="28"/>
        </w:rPr>
        <w:t>ов</w:t>
      </w:r>
      <w:r w:rsidRPr="004D2468">
        <w:rPr>
          <w:sz w:val="28"/>
          <w:szCs w:val="28"/>
        </w:rPr>
        <w:t xml:space="preserve"> финансирование государственных программ Ленинградской области планируется в соответствии </w:t>
      </w:r>
      <w:r w:rsidR="004E3022" w:rsidRPr="004D2468">
        <w:rPr>
          <w:sz w:val="28"/>
          <w:szCs w:val="28"/>
        </w:rPr>
        <w:br/>
      </w:r>
      <w:r w:rsidRPr="004D2468">
        <w:rPr>
          <w:sz w:val="28"/>
          <w:szCs w:val="28"/>
        </w:rPr>
        <w:t xml:space="preserve">с постановлениями Правительства Ленинградской области об утверждении государственных программ Ленинградской области в рамках бюджетных ассигнований, которые будут определены в </w:t>
      </w:r>
      <w:r w:rsidR="004D7AC9" w:rsidRPr="004D2468">
        <w:rPr>
          <w:sz w:val="28"/>
          <w:szCs w:val="28"/>
        </w:rPr>
        <w:t xml:space="preserve">областном </w:t>
      </w:r>
      <w:r w:rsidRPr="004D2468">
        <w:rPr>
          <w:sz w:val="28"/>
          <w:szCs w:val="28"/>
        </w:rPr>
        <w:t xml:space="preserve">законе об областном бюджете Ленинградской области на очередной финансовый год </w:t>
      </w:r>
      <w:r w:rsidR="004E3022" w:rsidRPr="004D2468">
        <w:rPr>
          <w:sz w:val="28"/>
          <w:szCs w:val="28"/>
        </w:rPr>
        <w:br/>
      </w:r>
      <w:r w:rsidRPr="004D2468">
        <w:rPr>
          <w:sz w:val="28"/>
          <w:szCs w:val="28"/>
        </w:rPr>
        <w:t xml:space="preserve">и </w:t>
      </w:r>
      <w:r w:rsidR="00FF7BCA" w:rsidRPr="004D2468">
        <w:rPr>
          <w:sz w:val="28"/>
          <w:szCs w:val="28"/>
        </w:rPr>
        <w:t xml:space="preserve">на </w:t>
      </w:r>
      <w:r w:rsidRPr="004D2468">
        <w:rPr>
          <w:sz w:val="28"/>
          <w:szCs w:val="28"/>
        </w:rPr>
        <w:t>плановый период.</w:t>
      </w:r>
      <w:r w:rsidRPr="00DE3A19">
        <w:rPr>
          <w:sz w:val="28"/>
          <w:szCs w:val="28"/>
        </w:rPr>
        <w:t xml:space="preserve"> </w:t>
      </w:r>
      <w:r w:rsidR="007A48FA" w:rsidRPr="00DE3A19">
        <w:rPr>
          <w:sz w:val="28"/>
          <w:szCs w:val="28"/>
        </w:rPr>
        <w:t xml:space="preserve"> </w:t>
      </w:r>
    </w:p>
    <w:sectPr w:rsidR="00F66AEF" w:rsidRPr="00DE3A19" w:rsidSect="00F66AE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40" w:rsidRDefault="005C1D40" w:rsidP="00F77777">
      <w:r>
        <w:separator/>
      </w:r>
    </w:p>
  </w:endnote>
  <w:endnote w:type="continuationSeparator" w:id="0">
    <w:p w:rsidR="005C1D40" w:rsidRDefault="005C1D40" w:rsidP="00F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40" w:rsidRDefault="005C1D40" w:rsidP="00F77777">
      <w:r>
        <w:separator/>
      </w:r>
    </w:p>
  </w:footnote>
  <w:footnote w:type="continuationSeparator" w:id="0">
    <w:p w:rsidR="005C1D40" w:rsidRDefault="005C1D40" w:rsidP="00F77777">
      <w:r>
        <w:continuationSeparator/>
      </w:r>
    </w:p>
  </w:footnote>
  <w:footnote w:id="1">
    <w:p w:rsidR="00EA0429" w:rsidRDefault="00EA0429" w:rsidP="002D5568">
      <w:pPr>
        <w:pStyle w:val="af"/>
        <w:spacing w:after="12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</w:rPr>
        <w:t>аздел 5 Порядка разработки и корректировки прогнозов социально-экономического развития Ленинградской области</w:t>
      </w:r>
      <w:r>
        <w:rPr>
          <w:rFonts w:ascii="Times New Roman" w:hAnsi="Times New Roman"/>
          <w:lang w:val="ru-RU"/>
        </w:rPr>
        <w:t>, утверждённого постановлением</w:t>
      </w:r>
      <w:r>
        <w:rPr>
          <w:rFonts w:ascii="Times New Roman" w:hAnsi="Times New Roman"/>
        </w:rPr>
        <w:t xml:space="preserve"> Правительства Ленинградской области от 07.12.2015 </w:t>
      </w:r>
      <w:r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</w:rPr>
        <w:t xml:space="preserve"> 461</w:t>
      </w:r>
      <w:r>
        <w:rPr>
          <w:rFonts w:ascii="Times New Roman" w:hAnsi="Times New Roman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976983"/>
      <w:docPartObj>
        <w:docPartGallery w:val="Page Numbers (Top of Page)"/>
        <w:docPartUnique/>
      </w:docPartObj>
    </w:sdtPr>
    <w:sdtEndPr/>
    <w:sdtContent>
      <w:p w:rsidR="00EA0429" w:rsidRDefault="00EA04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468">
          <w:rPr>
            <w:noProof/>
          </w:rPr>
          <w:t>2</w:t>
        </w:r>
        <w:r>
          <w:fldChar w:fldCharType="end"/>
        </w:r>
      </w:p>
    </w:sdtContent>
  </w:sdt>
  <w:p w:rsidR="00EA0429" w:rsidRDefault="00EA04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29" w:rsidRDefault="00EA0429">
    <w:pPr>
      <w:pStyle w:val="a3"/>
      <w:jc w:val="center"/>
    </w:pPr>
  </w:p>
  <w:p w:rsidR="00EA0429" w:rsidRDefault="00EA04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50A"/>
    <w:multiLevelType w:val="hybridMultilevel"/>
    <w:tmpl w:val="DF5A2082"/>
    <w:lvl w:ilvl="0" w:tplc="0896DF6A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E130FF"/>
    <w:multiLevelType w:val="hybridMultilevel"/>
    <w:tmpl w:val="93127FDC"/>
    <w:lvl w:ilvl="0" w:tplc="DC66EA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E0FE0"/>
    <w:multiLevelType w:val="hybridMultilevel"/>
    <w:tmpl w:val="9FDE7E14"/>
    <w:lvl w:ilvl="0" w:tplc="A19C70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50E81"/>
    <w:multiLevelType w:val="multilevel"/>
    <w:tmpl w:val="4BC50E8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72396"/>
    <w:multiLevelType w:val="hybridMultilevel"/>
    <w:tmpl w:val="2B34C372"/>
    <w:lvl w:ilvl="0" w:tplc="126AE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C73000"/>
    <w:multiLevelType w:val="hybridMultilevel"/>
    <w:tmpl w:val="7ED077A2"/>
    <w:lvl w:ilvl="0" w:tplc="0896DF6A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BE1CEB"/>
    <w:multiLevelType w:val="hybridMultilevel"/>
    <w:tmpl w:val="218417C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3A024A"/>
    <w:multiLevelType w:val="hybridMultilevel"/>
    <w:tmpl w:val="F36AE7E8"/>
    <w:lvl w:ilvl="0" w:tplc="91388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864842"/>
    <w:multiLevelType w:val="hybridMultilevel"/>
    <w:tmpl w:val="7D98CA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7D91E36"/>
    <w:multiLevelType w:val="hybridMultilevel"/>
    <w:tmpl w:val="7EB2EB52"/>
    <w:lvl w:ilvl="0" w:tplc="0F9E63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872dc4f-2144-4fa6-9350-f3a483199be9"/>
  </w:docVars>
  <w:rsids>
    <w:rsidRoot w:val="0085636C"/>
    <w:rsid w:val="000002EE"/>
    <w:rsid w:val="00013CC5"/>
    <w:rsid w:val="00021412"/>
    <w:rsid w:val="00032214"/>
    <w:rsid w:val="00040A42"/>
    <w:rsid w:val="00047F56"/>
    <w:rsid w:val="000578CB"/>
    <w:rsid w:val="00062E30"/>
    <w:rsid w:val="00076F55"/>
    <w:rsid w:val="000836D0"/>
    <w:rsid w:val="000848F5"/>
    <w:rsid w:val="00084C01"/>
    <w:rsid w:val="00093A3E"/>
    <w:rsid w:val="000A3B41"/>
    <w:rsid w:val="000A7DAC"/>
    <w:rsid w:val="000B0800"/>
    <w:rsid w:val="000B2C74"/>
    <w:rsid w:val="000B7C24"/>
    <w:rsid w:val="000D2E34"/>
    <w:rsid w:val="000D54A6"/>
    <w:rsid w:val="000D7061"/>
    <w:rsid w:val="000E70B6"/>
    <w:rsid w:val="000F5DDE"/>
    <w:rsid w:val="001251B7"/>
    <w:rsid w:val="00126744"/>
    <w:rsid w:val="00136A22"/>
    <w:rsid w:val="00137DD1"/>
    <w:rsid w:val="00141582"/>
    <w:rsid w:val="00143692"/>
    <w:rsid w:val="00147A8F"/>
    <w:rsid w:val="001530A6"/>
    <w:rsid w:val="00174BAA"/>
    <w:rsid w:val="0017791B"/>
    <w:rsid w:val="00190D26"/>
    <w:rsid w:val="00196680"/>
    <w:rsid w:val="001A31AF"/>
    <w:rsid w:val="001B4AA4"/>
    <w:rsid w:val="001D03E7"/>
    <w:rsid w:val="001D0C34"/>
    <w:rsid w:val="001D2161"/>
    <w:rsid w:val="001D358E"/>
    <w:rsid w:val="001D7655"/>
    <w:rsid w:val="001E1625"/>
    <w:rsid w:val="001E26FD"/>
    <w:rsid w:val="001F0B65"/>
    <w:rsid w:val="001F750E"/>
    <w:rsid w:val="00211CC1"/>
    <w:rsid w:val="00215501"/>
    <w:rsid w:val="002160A5"/>
    <w:rsid w:val="00221F01"/>
    <w:rsid w:val="002250E0"/>
    <w:rsid w:val="002265EE"/>
    <w:rsid w:val="00230230"/>
    <w:rsid w:val="0023119F"/>
    <w:rsid w:val="002312F2"/>
    <w:rsid w:val="00240919"/>
    <w:rsid w:val="00250580"/>
    <w:rsid w:val="00264928"/>
    <w:rsid w:val="00264FA8"/>
    <w:rsid w:val="00272E29"/>
    <w:rsid w:val="00277E45"/>
    <w:rsid w:val="0028059C"/>
    <w:rsid w:val="00283993"/>
    <w:rsid w:val="00284604"/>
    <w:rsid w:val="002861E1"/>
    <w:rsid w:val="00290FEF"/>
    <w:rsid w:val="002A30EC"/>
    <w:rsid w:val="002B2B77"/>
    <w:rsid w:val="002C3EF4"/>
    <w:rsid w:val="002C662C"/>
    <w:rsid w:val="002C75B4"/>
    <w:rsid w:val="002D5568"/>
    <w:rsid w:val="002E13C6"/>
    <w:rsid w:val="002E3AD1"/>
    <w:rsid w:val="002F0984"/>
    <w:rsid w:val="002F22E6"/>
    <w:rsid w:val="002F7733"/>
    <w:rsid w:val="00305BA7"/>
    <w:rsid w:val="00305C3A"/>
    <w:rsid w:val="00315CB1"/>
    <w:rsid w:val="003304D4"/>
    <w:rsid w:val="00337BD6"/>
    <w:rsid w:val="00343365"/>
    <w:rsid w:val="00355C0B"/>
    <w:rsid w:val="00361BFE"/>
    <w:rsid w:val="00362BE4"/>
    <w:rsid w:val="00367834"/>
    <w:rsid w:val="00383233"/>
    <w:rsid w:val="00386D53"/>
    <w:rsid w:val="00387D44"/>
    <w:rsid w:val="003A3F37"/>
    <w:rsid w:val="003F3844"/>
    <w:rsid w:val="003F48CC"/>
    <w:rsid w:val="00400436"/>
    <w:rsid w:val="00405363"/>
    <w:rsid w:val="0040676B"/>
    <w:rsid w:val="004102CE"/>
    <w:rsid w:val="00415B81"/>
    <w:rsid w:val="0043327F"/>
    <w:rsid w:val="00452100"/>
    <w:rsid w:val="00452F52"/>
    <w:rsid w:val="004535C2"/>
    <w:rsid w:val="00454EAB"/>
    <w:rsid w:val="004570BD"/>
    <w:rsid w:val="00457FD3"/>
    <w:rsid w:val="00471570"/>
    <w:rsid w:val="00481531"/>
    <w:rsid w:val="00481FAB"/>
    <w:rsid w:val="004820D8"/>
    <w:rsid w:val="004834F1"/>
    <w:rsid w:val="00486213"/>
    <w:rsid w:val="00492694"/>
    <w:rsid w:val="00494DB7"/>
    <w:rsid w:val="004A53A4"/>
    <w:rsid w:val="004A7E93"/>
    <w:rsid w:val="004B235C"/>
    <w:rsid w:val="004B3C4B"/>
    <w:rsid w:val="004C18C3"/>
    <w:rsid w:val="004C2722"/>
    <w:rsid w:val="004C3251"/>
    <w:rsid w:val="004D2468"/>
    <w:rsid w:val="004D7AC9"/>
    <w:rsid w:val="004E10F6"/>
    <w:rsid w:val="004E3022"/>
    <w:rsid w:val="004F5C50"/>
    <w:rsid w:val="004F5FDF"/>
    <w:rsid w:val="0050114A"/>
    <w:rsid w:val="0050340F"/>
    <w:rsid w:val="00514FE5"/>
    <w:rsid w:val="00517FBC"/>
    <w:rsid w:val="00536A7A"/>
    <w:rsid w:val="0054279D"/>
    <w:rsid w:val="00543548"/>
    <w:rsid w:val="0054697D"/>
    <w:rsid w:val="0057588D"/>
    <w:rsid w:val="00587A02"/>
    <w:rsid w:val="00593B71"/>
    <w:rsid w:val="005A00C4"/>
    <w:rsid w:val="005C1D40"/>
    <w:rsid w:val="005C1DF1"/>
    <w:rsid w:val="005C289A"/>
    <w:rsid w:val="005E356A"/>
    <w:rsid w:val="005F2A68"/>
    <w:rsid w:val="006175B6"/>
    <w:rsid w:val="006206DD"/>
    <w:rsid w:val="0062324A"/>
    <w:rsid w:val="006242CD"/>
    <w:rsid w:val="00640193"/>
    <w:rsid w:val="00656827"/>
    <w:rsid w:val="006702B8"/>
    <w:rsid w:val="00670DD0"/>
    <w:rsid w:val="00676E59"/>
    <w:rsid w:val="00683F1C"/>
    <w:rsid w:val="006848EF"/>
    <w:rsid w:val="006A4376"/>
    <w:rsid w:val="006A526C"/>
    <w:rsid w:val="006A720C"/>
    <w:rsid w:val="006B4949"/>
    <w:rsid w:val="006B553F"/>
    <w:rsid w:val="006C4A9F"/>
    <w:rsid w:val="006D4FBE"/>
    <w:rsid w:val="006E3F39"/>
    <w:rsid w:val="00704FB9"/>
    <w:rsid w:val="00707D7B"/>
    <w:rsid w:val="00715CF9"/>
    <w:rsid w:val="0072224C"/>
    <w:rsid w:val="00725C08"/>
    <w:rsid w:val="00730E89"/>
    <w:rsid w:val="00736AF1"/>
    <w:rsid w:val="00742F28"/>
    <w:rsid w:val="00753ACB"/>
    <w:rsid w:val="00754803"/>
    <w:rsid w:val="00760406"/>
    <w:rsid w:val="00760962"/>
    <w:rsid w:val="00761037"/>
    <w:rsid w:val="007638F9"/>
    <w:rsid w:val="00770FBF"/>
    <w:rsid w:val="007807E8"/>
    <w:rsid w:val="007835FD"/>
    <w:rsid w:val="00791612"/>
    <w:rsid w:val="00794D1B"/>
    <w:rsid w:val="007A245B"/>
    <w:rsid w:val="007A2F03"/>
    <w:rsid w:val="007A48FA"/>
    <w:rsid w:val="007B5F14"/>
    <w:rsid w:val="007C2272"/>
    <w:rsid w:val="007C4A5C"/>
    <w:rsid w:val="007C7500"/>
    <w:rsid w:val="007D505A"/>
    <w:rsid w:val="007E50D5"/>
    <w:rsid w:val="007F17A4"/>
    <w:rsid w:val="008138FD"/>
    <w:rsid w:val="008208B9"/>
    <w:rsid w:val="00825923"/>
    <w:rsid w:val="00830991"/>
    <w:rsid w:val="00832FB8"/>
    <w:rsid w:val="0083320D"/>
    <w:rsid w:val="008421DD"/>
    <w:rsid w:val="00845068"/>
    <w:rsid w:val="0085636C"/>
    <w:rsid w:val="00872D5C"/>
    <w:rsid w:val="008822FC"/>
    <w:rsid w:val="00890DE9"/>
    <w:rsid w:val="008A4803"/>
    <w:rsid w:val="008A51FC"/>
    <w:rsid w:val="008B009E"/>
    <w:rsid w:val="008D0C74"/>
    <w:rsid w:val="008D249A"/>
    <w:rsid w:val="008D424E"/>
    <w:rsid w:val="008E5A21"/>
    <w:rsid w:val="008E790E"/>
    <w:rsid w:val="008F6374"/>
    <w:rsid w:val="00904966"/>
    <w:rsid w:val="009118E1"/>
    <w:rsid w:val="00912A01"/>
    <w:rsid w:val="0091468D"/>
    <w:rsid w:val="009241D2"/>
    <w:rsid w:val="00927CAE"/>
    <w:rsid w:val="00934F99"/>
    <w:rsid w:val="00947E68"/>
    <w:rsid w:val="00952A86"/>
    <w:rsid w:val="00952E05"/>
    <w:rsid w:val="0096276E"/>
    <w:rsid w:val="00965A9F"/>
    <w:rsid w:val="009753FD"/>
    <w:rsid w:val="0098086A"/>
    <w:rsid w:val="009863F9"/>
    <w:rsid w:val="00991A82"/>
    <w:rsid w:val="0099487F"/>
    <w:rsid w:val="00994E35"/>
    <w:rsid w:val="009955DB"/>
    <w:rsid w:val="009A2F66"/>
    <w:rsid w:val="009A5B24"/>
    <w:rsid w:val="009B0B14"/>
    <w:rsid w:val="009B55E2"/>
    <w:rsid w:val="009C1911"/>
    <w:rsid w:val="009C3AFF"/>
    <w:rsid w:val="009E20BF"/>
    <w:rsid w:val="009E50FE"/>
    <w:rsid w:val="009F5643"/>
    <w:rsid w:val="00A151E9"/>
    <w:rsid w:val="00A228BF"/>
    <w:rsid w:val="00A22EEE"/>
    <w:rsid w:val="00A24505"/>
    <w:rsid w:val="00A3072F"/>
    <w:rsid w:val="00A37605"/>
    <w:rsid w:val="00A45D17"/>
    <w:rsid w:val="00A525A4"/>
    <w:rsid w:val="00A533A9"/>
    <w:rsid w:val="00A718BF"/>
    <w:rsid w:val="00A74853"/>
    <w:rsid w:val="00A803DB"/>
    <w:rsid w:val="00A85EAA"/>
    <w:rsid w:val="00A90AA9"/>
    <w:rsid w:val="00A92CC7"/>
    <w:rsid w:val="00AA048F"/>
    <w:rsid w:val="00AB0145"/>
    <w:rsid w:val="00AB0A17"/>
    <w:rsid w:val="00AB0D1B"/>
    <w:rsid w:val="00AB4441"/>
    <w:rsid w:val="00AC6586"/>
    <w:rsid w:val="00AC69F3"/>
    <w:rsid w:val="00AD62B2"/>
    <w:rsid w:val="00AD6EF0"/>
    <w:rsid w:val="00AF0A4D"/>
    <w:rsid w:val="00AF26B9"/>
    <w:rsid w:val="00AF7C49"/>
    <w:rsid w:val="00B026EB"/>
    <w:rsid w:val="00B05E53"/>
    <w:rsid w:val="00B07D61"/>
    <w:rsid w:val="00B10EF9"/>
    <w:rsid w:val="00B20387"/>
    <w:rsid w:val="00B247DF"/>
    <w:rsid w:val="00B262C0"/>
    <w:rsid w:val="00B4587D"/>
    <w:rsid w:val="00B45C7E"/>
    <w:rsid w:val="00B45CC2"/>
    <w:rsid w:val="00B50C97"/>
    <w:rsid w:val="00B53B55"/>
    <w:rsid w:val="00B57010"/>
    <w:rsid w:val="00B66744"/>
    <w:rsid w:val="00B75CEE"/>
    <w:rsid w:val="00B8007E"/>
    <w:rsid w:val="00B90E3A"/>
    <w:rsid w:val="00BA18DE"/>
    <w:rsid w:val="00BA1A7E"/>
    <w:rsid w:val="00BB1CBA"/>
    <w:rsid w:val="00BB6F13"/>
    <w:rsid w:val="00BB7AE6"/>
    <w:rsid w:val="00BE0659"/>
    <w:rsid w:val="00BE233B"/>
    <w:rsid w:val="00BE6842"/>
    <w:rsid w:val="00BE7C04"/>
    <w:rsid w:val="00C0511C"/>
    <w:rsid w:val="00C13F99"/>
    <w:rsid w:val="00C219C9"/>
    <w:rsid w:val="00C247F9"/>
    <w:rsid w:val="00C24B91"/>
    <w:rsid w:val="00C27501"/>
    <w:rsid w:val="00C31A7D"/>
    <w:rsid w:val="00C356D4"/>
    <w:rsid w:val="00C403E7"/>
    <w:rsid w:val="00C438AA"/>
    <w:rsid w:val="00C47F51"/>
    <w:rsid w:val="00C505B3"/>
    <w:rsid w:val="00C553A6"/>
    <w:rsid w:val="00C5675E"/>
    <w:rsid w:val="00C73255"/>
    <w:rsid w:val="00C74799"/>
    <w:rsid w:val="00C80F5A"/>
    <w:rsid w:val="00C91D2C"/>
    <w:rsid w:val="00C950FC"/>
    <w:rsid w:val="00C95C13"/>
    <w:rsid w:val="00CA52D0"/>
    <w:rsid w:val="00CC5A8B"/>
    <w:rsid w:val="00CC5FE5"/>
    <w:rsid w:val="00CD3AE9"/>
    <w:rsid w:val="00D016AD"/>
    <w:rsid w:val="00D0740E"/>
    <w:rsid w:val="00D117AB"/>
    <w:rsid w:val="00D15B89"/>
    <w:rsid w:val="00D16758"/>
    <w:rsid w:val="00D20ADF"/>
    <w:rsid w:val="00D2118E"/>
    <w:rsid w:val="00D2158D"/>
    <w:rsid w:val="00D408ED"/>
    <w:rsid w:val="00D4150D"/>
    <w:rsid w:val="00D43AB1"/>
    <w:rsid w:val="00D6219D"/>
    <w:rsid w:val="00D82955"/>
    <w:rsid w:val="00D842CB"/>
    <w:rsid w:val="00D910B7"/>
    <w:rsid w:val="00D92454"/>
    <w:rsid w:val="00D948D6"/>
    <w:rsid w:val="00DA2F56"/>
    <w:rsid w:val="00DA4C64"/>
    <w:rsid w:val="00DB1E44"/>
    <w:rsid w:val="00DD28A8"/>
    <w:rsid w:val="00DD69EF"/>
    <w:rsid w:val="00DE3A19"/>
    <w:rsid w:val="00DE7116"/>
    <w:rsid w:val="00DF6810"/>
    <w:rsid w:val="00E02853"/>
    <w:rsid w:val="00E03656"/>
    <w:rsid w:val="00E04B96"/>
    <w:rsid w:val="00E105D7"/>
    <w:rsid w:val="00E26A06"/>
    <w:rsid w:val="00E27020"/>
    <w:rsid w:val="00E30C78"/>
    <w:rsid w:val="00E311ED"/>
    <w:rsid w:val="00E34F80"/>
    <w:rsid w:val="00E51F2A"/>
    <w:rsid w:val="00E63A55"/>
    <w:rsid w:val="00E7136D"/>
    <w:rsid w:val="00E8654C"/>
    <w:rsid w:val="00E917D3"/>
    <w:rsid w:val="00EA0429"/>
    <w:rsid w:val="00EB0189"/>
    <w:rsid w:val="00EB3177"/>
    <w:rsid w:val="00EB40FE"/>
    <w:rsid w:val="00EC1D8F"/>
    <w:rsid w:val="00EC2E78"/>
    <w:rsid w:val="00EC735E"/>
    <w:rsid w:val="00ED6E4F"/>
    <w:rsid w:val="00ED7AB6"/>
    <w:rsid w:val="00EF60F0"/>
    <w:rsid w:val="00F00D90"/>
    <w:rsid w:val="00F00EBC"/>
    <w:rsid w:val="00F019A7"/>
    <w:rsid w:val="00F055ED"/>
    <w:rsid w:val="00F12167"/>
    <w:rsid w:val="00F15733"/>
    <w:rsid w:val="00F17BCE"/>
    <w:rsid w:val="00F367FC"/>
    <w:rsid w:val="00F37057"/>
    <w:rsid w:val="00F37438"/>
    <w:rsid w:val="00F409BE"/>
    <w:rsid w:val="00F450A5"/>
    <w:rsid w:val="00F52EEB"/>
    <w:rsid w:val="00F57E21"/>
    <w:rsid w:val="00F57EFF"/>
    <w:rsid w:val="00F6077D"/>
    <w:rsid w:val="00F62863"/>
    <w:rsid w:val="00F64DEB"/>
    <w:rsid w:val="00F66AEF"/>
    <w:rsid w:val="00F66D55"/>
    <w:rsid w:val="00F77777"/>
    <w:rsid w:val="00F80391"/>
    <w:rsid w:val="00F81201"/>
    <w:rsid w:val="00F83B3D"/>
    <w:rsid w:val="00F8448A"/>
    <w:rsid w:val="00F86B9E"/>
    <w:rsid w:val="00FA6ECE"/>
    <w:rsid w:val="00FB53EC"/>
    <w:rsid w:val="00FC174E"/>
    <w:rsid w:val="00FC5A2D"/>
    <w:rsid w:val="00FF0D60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DB7"/>
    <w:pPr>
      <w:keepNext/>
      <w:spacing w:after="200" w:line="276" w:lineRule="auto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2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2C3E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C3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117AB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7A48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A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qFormat/>
    <w:rsid w:val="007A48FA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e">
    <w:name w:val="annotation reference"/>
    <w:uiPriority w:val="99"/>
    <w:unhideWhenUsed/>
    <w:rsid w:val="001E1625"/>
    <w:rPr>
      <w:sz w:val="16"/>
      <w:szCs w:val="16"/>
    </w:rPr>
  </w:style>
  <w:style w:type="paragraph" w:styleId="af">
    <w:name w:val="footnote text"/>
    <w:basedOn w:val="a"/>
    <w:link w:val="af0"/>
    <w:uiPriority w:val="99"/>
    <w:rsid w:val="004B3C4B"/>
    <w:pPr>
      <w:spacing w:after="200" w:line="276" w:lineRule="auto"/>
    </w:pPr>
    <w:rPr>
      <w:rFonts w:ascii="Arial" w:hAnsi="Arial"/>
      <w:bCs/>
      <w:sz w:val="20"/>
      <w:szCs w:val="20"/>
      <w:lang w:val="zh-CN" w:eastAsia="zh-CN"/>
    </w:rPr>
  </w:style>
  <w:style w:type="character" w:customStyle="1" w:styleId="af0">
    <w:name w:val="Текст сноски Знак"/>
    <w:basedOn w:val="a0"/>
    <w:link w:val="af"/>
    <w:uiPriority w:val="99"/>
    <w:rsid w:val="004B3C4B"/>
    <w:rPr>
      <w:rFonts w:ascii="Arial" w:eastAsia="Times New Roman" w:hAnsi="Arial" w:cs="Times New Roman"/>
      <w:bCs/>
      <w:sz w:val="20"/>
      <w:szCs w:val="20"/>
      <w:lang w:val="zh-CN" w:eastAsia="zh-CN"/>
    </w:rPr>
  </w:style>
  <w:style w:type="character" w:styleId="af1">
    <w:name w:val="footnote reference"/>
    <w:uiPriority w:val="99"/>
    <w:rsid w:val="004B3C4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494D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f2">
    <w:name w:val="Table Grid"/>
    <w:basedOn w:val="a1"/>
    <w:uiPriority w:val="59"/>
    <w:rsid w:val="00DD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14 Знак Знак"/>
    <w:basedOn w:val="a"/>
    <w:qFormat/>
    <w:rsid w:val="00D15B89"/>
    <w:pPr>
      <w:spacing w:after="200" w:line="276" w:lineRule="auto"/>
      <w:ind w:firstLine="709"/>
      <w:jc w:val="both"/>
    </w:pPr>
    <w:rPr>
      <w:sz w:val="28"/>
      <w:szCs w:val="20"/>
    </w:rPr>
  </w:style>
  <w:style w:type="paragraph" w:styleId="af3">
    <w:name w:val="Document Map"/>
    <w:basedOn w:val="a"/>
    <w:link w:val="af4"/>
    <w:rsid w:val="00A803DB"/>
    <w:pPr>
      <w:spacing w:after="200" w:line="276" w:lineRule="auto"/>
    </w:pPr>
    <w:rPr>
      <w:rFonts w:ascii="Tahoma" w:hAnsi="Tahoma"/>
      <w:sz w:val="16"/>
      <w:szCs w:val="16"/>
      <w:lang w:val="zh-CN" w:eastAsia="zh-CN"/>
    </w:rPr>
  </w:style>
  <w:style w:type="character" w:customStyle="1" w:styleId="af4">
    <w:name w:val="Схема документа Знак"/>
    <w:basedOn w:val="a0"/>
    <w:link w:val="af3"/>
    <w:rsid w:val="00A803DB"/>
    <w:rPr>
      <w:rFonts w:ascii="Tahoma" w:eastAsia="Times New Roman" w:hAnsi="Tahoma" w:cs="Times New Roman"/>
      <w:sz w:val="16"/>
      <w:szCs w:val="16"/>
      <w:lang w:val="zh-CN" w:eastAsia="zh-CN"/>
    </w:rPr>
  </w:style>
  <w:style w:type="paragraph" w:customStyle="1" w:styleId="21">
    <w:name w:val="Основной текст 21"/>
    <w:basedOn w:val="a"/>
    <w:qFormat/>
    <w:rsid w:val="009C1911"/>
    <w:pPr>
      <w:spacing w:after="60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AF26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DB7"/>
    <w:pPr>
      <w:keepNext/>
      <w:spacing w:after="200" w:line="276" w:lineRule="auto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2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2C3E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C3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117AB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7A48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A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qFormat/>
    <w:rsid w:val="007A48FA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e">
    <w:name w:val="annotation reference"/>
    <w:uiPriority w:val="99"/>
    <w:unhideWhenUsed/>
    <w:rsid w:val="001E1625"/>
    <w:rPr>
      <w:sz w:val="16"/>
      <w:szCs w:val="16"/>
    </w:rPr>
  </w:style>
  <w:style w:type="paragraph" w:styleId="af">
    <w:name w:val="footnote text"/>
    <w:basedOn w:val="a"/>
    <w:link w:val="af0"/>
    <w:uiPriority w:val="99"/>
    <w:rsid w:val="004B3C4B"/>
    <w:pPr>
      <w:spacing w:after="200" w:line="276" w:lineRule="auto"/>
    </w:pPr>
    <w:rPr>
      <w:rFonts w:ascii="Arial" w:hAnsi="Arial"/>
      <w:bCs/>
      <w:sz w:val="20"/>
      <w:szCs w:val="20"/>
      <w:lang w:val="zh-CN" w:eastAsia="zh-CN"/>
    </w:rPr>
  </w:style>
  <w:style w:type="character" w:customStyle="1" w:styleId="af0">
    <w:name w:val="Текст сноски Знак"/>
    <w:basedOn w:val="a0"/>
    <w:link w:val="af"/>
    <w:uiPriority w:val="99"/>
    <w:rsid w:val="004B3C4B"/>
    <w:rPr>
      <w:rFonts w:ascii="Arial" w:eastAsia="Times New Roman" w:hAnsi="Arial" w:cs="Times New Roman"/>
      <w:bCs/>
      <w:sz w:val="20"/>
      <w:szCs w:val="20"/>
      <w:lang w:val="zh-CN" w:eastAsia="zh-CN"/>
    </w:rPr>
  </w:style>
  <w:style w:type="character" w:styleId="af1">
    <w:name w:val="footnote reference"/>
    <w:uiPriority w:val="99"/>
    <w:rsid w:val="004B3C4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494D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f2">
    <w:name w:val="Table Grid"/>
    <w:basedOn w:val="a1"/>
    <w:uiPriority w:val="59"/>
    <w:rsid w:val="00DD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14 Знак Знак"/>
    <w:basedOn w:val="a"/>
    <w:qFormat/>
    <w:rsid w:val="00D15B89"/>
    <w:pPr>
      <w:spacing w:after="200" w:line="276" w:lineRule="auto"/>
      <w:ind w:firstLine="709"/>
      <w:jc w:val="both"/>
    </w:pPr>
    <w:rPr>
      <w:sz w:val="28"/>
      <w:szCs w:val="20"/>
    </w:rPr>
  </w:style>
  <w:style w:type="paragraph" w:styleId="af3">
    <w:name w:val="Document Map"/>
    <w:basedOn w:val="a"/>
    <w:link w:val="af4"/>
    <w:rsid w:val="00A803DB"/>
    <w:pPr>
      <w:spacing w:after="200" w:line="276" w:lineRule="auto"/>
    </w:pPr>
    <w:rPr>
      <w:rFonts w:ascii="Tahoma" w:hAnsi="Tahoma"/>
      <w:sz w:val="16"/>
      <w:szCs w:val="16"/>
      <w:lang w:val="zh-CN" w:eastAsia="zh-CN"/>
    </w:rPr>
  </w:style>
  <w:style w:type="character" w:customStyle="1" w:styleId="af4">
    <w:name w:val="Схема документа Знак"/>
    <w:basedOn w:val="a0"/>
    <w:link w:val="af3"/>
    <w:rsid w:val="00A803DB"/>
    <w:rPr>
      <w:rFonts w:ascii="Tahoma" w:eastAsia="Times New Roman" w:hAnsi="Tahoma" w:cs="Times New Roman"/>
      <w:sz w:val="16"/>
      <w:szCs w:val="16"/>
      <w:lang w:val="zh-CN" w:eastAsia="zh-CN"/>
    </w:rPr>
  </w:style>
  <w:style w:type="paragraph" w:customStyle="1" w:styleId="21">
    <w:name w:val="Основной текст 21"/>
    <w:basedOn w:val="a"/>
    <w:qFormat/>
    <w:rsid w:val="009C1911"/>
    <w:pPr>
      <w:spacing w:after="60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AF26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120D-79DE-44C2-987D-44FA1E6D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32</Pages>
  <Words>11504</Words>
  <Characters>65577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Вячеславовна Ковалёва</cp:lastModifiedBy>
  <cp:revision>16</cp:revision>
  <cp:lastPrinted>2020-09-24T12:01:00Z</cp:lastPrinted>
  <dcterms:created xsi:type="dcterms:W3CDTF">2021-07-23T07:40:00Z</dcterms:created>
  <dcterms:modified xsi:type="dcterms:W3CDTF">2021-07-27T10:47:00Z</dcterms:modified>
</cp:coreProperties>
</file>